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947EB7">
      <w:pPr>
        <w:tabs>
          <w:tab w:val="left" w:pos="315"/>
        </w:tabs>
        <w:wordWrap w:val="0"/>
        <w:spacing w:line="360" w:lineRule="auto"/>
        <w:jc w:val="center"/>
        <w:outlineLvl w:val="0"/>
        <w:rPr>
          <w:rStyle w:val="30"/>
          <w:rFonts w:ascii="宋体" w:hAnsi="宋体" w:eastAsia="宋体" w:cs="宋体"/>
          <w:sz w:val="48"/>
          <w:szCs w:val="48"/>
        </w:rPr>
      </w:pPr>
      <w:bookmarkStart w:id="0" w:name="_Toc409438747"/>
      <w:bookmarkStart w:id="1" w:name="_Toc388026587"/>
      <w:r>
        <w:rPr>
          <w:rStyle w:val="30"/>
          <w:rFonts w:hint="eastAsia" w:ascii="宋体" w:hAnsi="宋体" w:eastAsia="宋体" w:cs="宋体"/>
          <w:sz w:val="48"/>
          <w:szCs w:val="48"/>
        </w:rPr>
        <w:t>政府采购合同</w:t>
      </w:r>
    </w:p>
    <w:bookmarkEnd w:id="0"/>
    <w:bookmarkEnd w:id="1"/>
    <w:p w14:paraId="0AED011D">
      <w:pPr>
        <w:spacing w:line="360" w:lineRule="auto"/>
        <w:ind w:firstLine="480" w:firstLineChars="200"/>
        <w:jc w:val="left"/>
        <w:rPr>
          <w:rFonts w:hint="eastAsia" w:ascii="宋体" w:hAnsi="宋体" w:eastAsia="宋体" w:cs="宋体"/>
          <w:color w:val="000000"/>
          <w:kern w:val="0"/>
          <w:sz w:val="24"/>
          <w:szCs w:val="24"/>
          <w:highlight w:val="none"/>
          <w:lang w:val="zh-CN" w:eastAsia="zh-CN"/>
        </w:rPr>
      </w:pPr>
      <w:r>
        <w:rPr>
          <w:rFonts w:hint="eastAsia" w:ascii="宋体" w:hAnsi="宋体" w:eastAsia="宋体" w:cs="宋体"/>
          <w:color w:val="000000"/>
          <w:kern w:val="0"/>
          <w:sz w:val="24"/>
          <w:szCs w:val="24"/>
          <w:highlight w:val="none"/>
          <w:lang w:val="zh-CN" w:eastAsia="zh-CN"/>
        </w:rPr>
        <w:t>甲方：苏州大学附属第一医院</w:t>
      </w:r>
    </w:p>
    <w:p w14:paraId="3816CE45">
      <w:pPr>
        <w:spacing w:line="360" w:lineRule="auto"/>
        <w:ind w:firstLine="480" w:firstLineChars="200"/>
        <w:jc w:val="left"/>
        <w:rPr>
          <w:rFonts w:hint="eastAsia" w:ascii="宋体" w:hAnsi="宋体" w:eastAsia="宋体" w:cs="宋体"/>
          <w:color w:val="000000"/>
          <w:kern w:val="0"/>
          <w:sz w:val="24"/>
          <w:szCs w:val="24"/>
          <w:highlight w:val="none"/>
          <w:lang w:val="zh-CN" w:eastAsia="zh-CN"/>
        </w:rPr>
      </w:pPr>
      <w:r>
        <w:rPr>
          <w:rFonts w:hint="eastAsia" w:ascii="宋体" w:hAnsi="宋体" w:eastAsia="宋体" w:cs="宋体"/>
          <w:color w:val="000000"/>
          <w:kern w:val="0"/>
          <w:sz w:val="24"/>
          <w:szCs w:val="24"/>
          <w:highlight w:val="none"/>
          <w:lang w:val="zh-CN" w:eastAsia="zh-CN"/>
        </w:rPr>
        <w:t>住所地：苏州市姑苏区平海路899号</w:t>
      </w:r>
    </w:p>
    <w:p w14:paraId="7C1F1B98">
      <w:pPr>
        <w:spacing w:line="360" w:lineRule="auto"/>
        <w:ind w:firstLine="480" w:firstLineChars="200"/>
        <w:jc w:val="left"/>
        <w:rPr>
          <w:rFonts w:hint="eastAsia" w:ascii="宋体" w:hAnsi="宋体" w:eastAsia="宋体" w:cs="宋体"/>
          <w:color w:val="000000"/>
          <w:kern w:val="0"/>
          <w:sz w:val="24"/>
          <w:szCs w:val="24"/>
          <w:highlight w:val="none"/>
          <w:lang w:val="zh-CN" w:eastAsia="zh-CN"/>
        </w:rPr>
      </w:pPr>
      <w:r>
        <w:rPr>
          <w:rFonts w:hint="eastAsia" w:ascii="宋体" w:hAnsi="宋体" w:eastAsia="宋体" w:cs="宋体"/>
          <w:color w:val="000000"/>
          <w:kern w:val="0"/>
          <w:sz w:val="24"/>
          <w:szCs w:val="24"/>
          <w:highlight w:val="none"/>
          <w:lang w:val="zh-CN" w:eastAsia="zh-CN"/>
        </w:rPr>
        <w:t>邮编：215031</w:t>
      </w:r>
    </w:p>
    <w:p w14:paraId="0FCA377D">
      <w:pPr>
        <w:spacing w:line="360" w:lineRule="auto"/>
        <w:ind w:firstLine="480" w:firstLineChars="200"/>
        <w:jc w:val="left"/>
        <w:rPr>
          <w:rFonts w:hint="default" w:ascii="宋体" w:hAnsi="宋体" w:eastAsia="宋体" w:cs="宋体"/>
          <w:color w:val="000000"/>
          <w:kern w:val="0"/>
          <w:sz w:val="24"/>
          <w:szCs w:val="24"/>
          <w:highlight w:val="none"/>
          <w:lang w:val="en-US" w:eastAsia="zh-CN"/>
        </w:rPr>
      </w:pPr>
      <w:r>
        <w:rPr>
          <w:rFonts w:hint="eastAsia" w:ascii="宋体" w:hAnsi="宋体" w:eastAsia="宋体" w:cs="宋体"/>
          <w:color w:val="000000"/>
          <w:kern w:val="0"/>
          <w:sz w:val="24"/>
          <w:szCs w:val="24"/>
          <w:highlight w:val="none"/>
          <w:lang w:val="zh-CN" w:eastAsia="zh-CN"/>
        </w:rPr>
        <w:t>联系人：</w:t>
      </w:r>
      <w:r>
        <w:rPr>
          <w:rFonts w:hint="eastAsia" w:ascii="宋体" w:hAnsi="宋体" w:cs="宋体"/>
          <w:color w:val="000000"/>
          <w:kern w:val="0"/>
          <w:sz w:val="24"/>
          <w:szCs w:val="24"/>
          <w:highlight w:val="none"/>
          <w:lang w:val="en-US" w:eastAsia="zh-CN"/>
        </w:rPr>
        <w:t>王珀</w:t>
      </w:r>
    </w:p>
    <w:p w14:paraId="7E485085">
      <w:pPr>
        <w:spacing w:line="360" w:lineRule="auto"/>
        <w:ind w:firstLine="480" w:firstLineChars="200"/>
        <w:jc w:val="left"/>
        <w:rPr>
          <w:rFonts w:hint="default" w:ascii="宋体" w:hAnsi="宋体" w:eastAsia="宋体" w:cs="宋体"/>
          <w:color w:val="000000"/>
          <w:kern w:val="0"/>
          <w:sz w:val="24"/>
          <w:szCs w:val="24"/>
          <w:highlight w:val="none"/>
          <w:lang w:val="en-US" w:eastAsia="zh-CN"/>
        </w:rPr>
      </w:pPr>
      <w:r>
        <w:rPr>
          <w:rFonts w:hint="eastAsia" w:ascii="宋体" w:hAnsi="宋体" w:eastAsia="宋体" w:cs="宋体"/>
          <w:color w:val="000000"/>
          <w:kern w:val="0"/>
          <w:sz w:val="24"/>
          <w:szCs w:val="24"/>
          <w:highlight w:val="none"/>
          <w:lang w:val="zh-CN" w:eastAsia="zh-CN"/>
        </w:rPr>
        <w:t>电话：1</w:t>
      </w:r>
      <w:r>
        <w:rPr>
          <w:rFonts w:hint="eastAsia" w:ascii="宋体" w:hAnsi="宋体" w:cs="宋体"/>
          <w:color w:val="000000"/>
          <w:kern w:val="0"/>
          <w:sz w:val="24"/>
          <w:szCs w:val="24"/>
          <w:highlight w:val="none"/>
          <w:lang w:val="en-US" w:eastAsia="zh-CN"/>
        </w:rPr>
        <w:t>8362973523</w:t>
      </w:r>
    </w:p>
    <w:p w14:paraId="5D0ADDC0">
      <w:pPr>
        <w:spacing w:line="360" w:lineRule="auto"/>
        <w:ind w:firstLine="480" w:firstLineChars="200"/>
        <w:jc w:val="left"/>
        <w:rPr>
          <w:rFonts w:hint="eastAsia" w:ascii="宋体" w:hAnsi="宋体" w:eastAsia="宋体" w:cs="宋体"/>
          <w:color w:val="000000"/>
          <w:kern w:val="0"/>
          <w:sz w:val="24"/>
          <w:szCs w:val="24"/>
          <w:highlight w:val="none"/>
          <w:lang w:val="zh-CN" w:eastAsia="zh-CN"/>
        </w:rPr>
      </w:pPr>
    </w:p>
    <w:p w14:paraId="56E960C3">
      <w:pPr>
        <w:spacing w:line="360" w:lineRule="auto"/>
        <w:ind w:firstLine="480" w:firstLineChars="200"/>
        <w:jc w:val="left"/>
        <w:rPr>
          <w:rFonts w:hint="default" w:ascii="宋体" w:hAnsi="宋体" w:eastAsia="宋体" w:cs="宋体"/>
          <w:color w:val="000000"/>
          <w:kern w:val="0"/>
          <w:sz w:val="24"/>
          <w:szCs w:val="24"/>
          <w:highlight w:val="none"/>
          <w:lang w:val="en-US" w:eastAsia="zh-CN"/>
        </w:rPr>
      </w:pPr>
      <w:r>
        <w:rPr>
          <w:rFonts w:hint="eastAsia" w:ascii="宋体" w:hAnsi="宋体" w:eastAsia="宋体" w:cs="宋体"/>
          <w:color w:val="000000"/>
          <w:kern w:val="0"/>
          <w:sz w:val="24"/>
          <w:szCs w:val="24"/>
          <w:highlight w:val="none"/>
          <w:lang w:val="zh-CN" w:eastAsia="zh-CN"/>
        </w:rPr>
        <w:t>乙方：上海市数字证书认证中心</w:t>
      </w:r>
      <w:r>
        <w:rPr>
          <w:rFonts w:hint="eastAsia" w:ascii="宋体" w:hAnsi="宋体" w:cs="宋体"/>
          <w:color w:val="000000"/>
          <w:kern w:val="0"/>
          <w:sz w:val="24"/>
          <w:szCs w:val="24"/>
          <w:highlight w:val="none"/>
          <w:lang w:val="en-US" w:eastAsia="zh-CN"/>
        </w:rPr>
        <w:t>有限公司</w:t>
      </w:r>
    </w:p>
    <w:p w14:paraId="0A5F9553">
      <w:pPr>
        <w:spacing w:line="360" w:lineRule="auto"/>
        <w:ind w:firstLine="480" w:firstLineChars="200"/>
        <w:jc w:val="left"/>
        <w:rPr>
          <w:rFonts w:hint="default" w:ascii="宋体" w:hAnsi="宋体" w:eastAsia="宋体" w:cs="宋体"/>
          <w:color w:val="000000"/>
          <w:kern w:val="0"/>
          <w:sz w:val="24"/>
          <w:szCs w:val="24"/>
          <w:highlight w:val="none"/>
          <w:lang w:val="en-US" w:eastAsia="zh-CN"/>
        </w:rPr>
      </w:pPr>
      <w:r>
        <w:rPr>
          <w:rFonts w:hint="eastAsia" w:ascii="宋体" w:hAnsi="宋体" w:eastAsia="宋体" w:cs="宋体"/>
          <w:color w:val="000000"/>
          <w:kern w:val="0"/>
          <w:sz w:val="24"/>
          <w:szCs w:val="24"/>
          <w:highlight w:val="none"/>
          <w:lang w:val="zh-CN" w:eastAsia="zh-CN"/>
        </w:rPr>
        <w:t>住所地：上海市虹口区四川北路1717号1808、1809、1810室</w:t>
      </w:r>
    </w:p>
    <w:p w14:paraId="0FAE218B">
      <w:pPr>
        <w:spacing w:line="360" w:lineRule="auto"/>
        <w:ind w:firstLine="480" w:firstLineChars="200"/>
        <w:jc w:val="left"/>
        <w:rPr>
          <w:rFonts w:hint="default" w:ascii="宋体" w:hAnsi="宋体" w:eastAsia="宋体" w:cs="宋体"/>
          <w:color w:val="000000"/>
          <w:kern w:val="0"/>
          <w:sz w:val="24"/>
          <w:szCs w:val="24"/>
          <w:highlight w:val="none"/>
          <w:lang w:val="en-US" w:eastAsia="zh-CN"/>
        </w:rPr>
      </w:pPr>
      <w:r>
        <w:rPr>
          <w:rFonts w:hint="eastAsia" w:ascii="宋体" w:hAnsi="宋体" w:eastAsia="宋体" w:cs="宋体"/>
          <w:color w:val="000000"/>
          <w:kern w:val="0"/>
          <w:sz w:val="24"/>
          <w:szCs w:val="24"/>
          <w:highlight w:val="none"/>
          <w:lang w:val="zh-CN" w:eastAsia="zh-CN"/>
        </w:rPr>
        <w:t>邮编：210080</w:t>
      </w:r>
    </w:p>
    <w:p w14:paraId="39C4E5EB">
      <w:pPr>
        <w:spacing w:line="360" w:lineRule="auto"/>
        <w:ind w:firstLine="480" w:firstLineChars="200"/>
        <w:jc w:val="left"/>
        <w:rPr>
          <w:rFonts w:hint="eastAsia" w:ascii="宋体" w:hAnsi="宋体" w:eastAsia="宋体" w:cs="宋体"/>
          <w:color w:val="000000"/>
          <w:kern w:val="0"/>
          <w:sz w:val="24"/>
          <w:szCs w:val="24"/>
          <w:highlight w:val="none"/>
          <w:lang w:val="zh-CN" w:eastAsia="zh-CN"/>
        </w:rPr>
      </w:pPr>
      <w:r>
        <w:rPr>
          <w:rFonts w:hint="eastAsia" w:ascii="宋体" w:hAnsi="宋体" w:eastAsia="宋体" w:cs="宋体"/>
          <w:color w:val="000000"/>
          <w:kern w:val="0"/>
          <w:sz w:val="24"/>
          <w:szCs w:val="24"/>
          <w:highlight w:val="none"/>
          <w:lang w:val="zh-CN" w:eastAsia="zh-CN"/>
        </w:rPr>
        <w:t>联系人：赵彬彬</w:t>
      </w:r>
    </w:p>
    <w:p w14:paraId="2E63E79F">
      <w:pPr>
        <w:spacing w:line="360" w:lineRule="auto"/>
        <w:ind w:firstLine="480" w:firstLineChars="200"/>
        <w:jc w:val="left"/>
        <w:rPr>
          <w:rFonts w:hint="default" w:ascii="宋体" w:hAnsi="宋体" w:eastAsia="宋体" w:cs="宋体"/>
          <w:color w:val="000000"/>
          <w:kern w:val="0"/>
          <w:sz w:val="24"/>
          <w:szCs w:val="24"/>
          <w:highlight w:val="none"/>
          <w:lang w:val="en-US" w:eastAsia="zh-CN"/>
        </w:rPr>
      </w:pPr>
      <w:r>
        <w:rPr>
          <w:rFonts w:hint="eastAsia" w:ascii="宋体" w:hAnsi="宋体" w:eastAsia="宋体" w:cs="宋体"/>
          <w:color w:val="000000"/>
          <w:kern w:val="0"/>
          <w:sz w:val="24"/>
          <w:szCs w:val="24"/>
          <w:highlight w:val="none"/>
          <w:lang w:val="zh-CN" w:eastAsia="zh-CN"/>
        </w:rPr>
        <w:t>电话：18651981927</w:t>
      </w:r>
    </w:p>
    <w:p w14:paraId="2A920B01">
      <w:pPr>
        <w:spacing w:line="360" w:lineRule="auto"/>
        <w:ind w:firstLine="480" w:firstLineChars="200"/>
        <w:jc w:val="left"/>
        <w:rPr>
          <w:rFonts w:hint="eastAsia" w:ascii="宋体" w:hAnsi="宋体" w:eastAsia="宋体" w:cs="宋体"/>
          <w:color w:val="000000"/>
          <w:kern w:val="0"/>
          <w:sz w:val="24"/>
          <w:szCs w:val="24"/>
          <w:highlight w:val="none"/>
          <w:lang w:val="zh-CN"/>
        </w:rPr>
      </w:pPr>
    </w:p>
    <w:p w14:paraId="06359450">
      <w:pPr>
        <w:spacing w:line="360" w:lineRule="auto"/>
        <w:ind w:firstLine="480" w:firstLineChars="200"/>
        <w:jc w:val="left"/>
        <w:rPr>
          <w:rFonts w:hint="eastAsia" w:ascii="宋体" w:hAnsi="宋体" w:eastAsia="宋体" w:cs="宋体"/>
          <w:color w:val="000000"/>
          <w:kern w:val="0"/>
          <w:sz w:val="24"/>
          <w:szCs w:val="24"/>
          <w:highlight w:val="none"/>
          <w:lang w:val="zh-CN"/>
        </w:rPr>
      </w:pPr>
      <w:r>
        <w:rPr>
          <w:rFonts w:hint="eastAsia" w:ascii="宋体" w:hAnsi="宋体" w:eastAsia="宋体" w:cs="宋体"/>
          <w:color w:val="000000"/>
          <w:kern w:val="0"/>
          <w:sz w:val="24"/>
          <w:szCs w:val="24"/>
          <w:highlight w:val="none"/>
          <w:lang w:val="zh-CN"/>
        </w:rPr>
        <w:t>根据甲方</w:t>
      </w:r>
      <w:r>
        <w:rPr>
          <w:rFonts w:hint="eastAsia" w:ascii="宋体" w:hAnsi="宋体" w:eastAsia="宋体" w:cs="宋体"/>
          <w:color w:val="000000"/>
          <w:kern w:val="0"/>
          <w:sz w:val="24"/>
          <w:szCs w:val="24"/>
          <w:highlight w:val="none"/>
        </w:rPr>
        <w:t>的</w:t>
      </w:r>
      <w:r>
        <w:rPr>
          <w:rFonts w:hint="eastAsia" w:ascii="宋体" w:hAnsi="宋体" w:eastAsia="宋体" w:cs="宋体"/>
          <w:color w:val="000000"/>
          <w:kern w:val="0"/>
          <w:sz w:val="24"/>
          <w:szCs w:val="24"/>
          <w:highlight w:val="none"/>
          <w:u w:val="single"/>
          <w:lang w:val="en-US" w:eastAsia="zh-CN"/>
        </w:rPr>
        <w:t>(采购编号）JSZC-320000-JZCZ-G2025-0028</w:t>
      </w:r>
      <w:r>
        <w:rPr>
          <w:rFonts w:hint="eastAsia" w:ascii="宋体" w:hAnsi="宋体" w:eastAsia="宋体" w:cs="宋体"/>
          <w:color w:val="000000"/>
          <w:kern w:val="0"/>
          <w:sz w:val="24"/>
          <w:szCs w:val="24"/>
          <w:highlight w:val="none"/>
          <w:lang w:val="zh-CN"/>
        </w:rPr>
        <w:t>采购计划，（依据甲方委托</w:t>
      </w:r>
      <w:r>
        <w:rPr>
          <w:rFonts w:hint="eastAsia" w:ascii="宋体" w:hAnsi="宋体" w:eastAsia="宋体" w:cs="宋体"/>
          <w:sz w:val="24"/>
          <w:szCs w:val="24"/>
          <w:highlight w:val="none"/>
          <w:u w:val="single"/>
          <w:lang w:val="en-US" w:eastAsia="zh-CN"/>
        </w:rPr>
        <w:t>江苏</w:t>
      </w:r>
      <w:r>
        <w:rPr>
          <w:rFonts w:hint="eastAsia" w:ascii="宋体" w:hAnsi="宋体" w:eastAsia="宋体" w:cs="宋体"/>
          <w:color w:val="000000"/>
          <w:kern w:val="0"/>
          <w:sz w:val="24"/>
          <w:szCs w:val="24"/>
          <w:highlight w:val="none"/>
          <w:u w:val="single"/>
          <w:lang w:val="en-US" w:eastAsia="zh-CN"/>
        </w:rPr>
        <w:t>纵驰工程管理有限公司</w:t>
      </w:r>
      <w:r>
        <w:rPr>
          <w:rFonts w:hint="eastAsia" w:ascii="宋体" w:hAnsi="宋体" w:eastAsia="宋体" w:cs="宋体"/>
          <w:color w:val="000000"/>
          <w:kern w:val="0"/>
          <w:sz w:val="24"/>
          <w:szCs w:val="24"/>
          <w:highlight w:val="none"/>
          <w:lang w:val="zh-CN"/>
        </w:rPr>
        <w:t>）进行本项目采购</w:t>
      </w:r>
      <w:r>
        <w:rPr>
          <w:rFonts w:hint="eastAsia" w:ascii="宋体" w:hAnsi="宋体" w:eastAsia="宋体" w:cs="宋体"/>
          <w:color w:val="auto"/>
          <w:sz w:val="24"/>
          <w:szCs w:val="24"/>
          <w:highlight w:val="none"/>
          <w:u w:val="single"/>
          <w:lang w:eastAsia="zh-CN"/>
        </w:rPr>
        <w:t>密码基础支撑平台</w:t>
      </w:r>
      <w:r>
        <w:rPr>
          <w:rFonts w:hint="eastAsia" w:ascii="宋体" w:hAnsi="宋体" w:eastAsia="宋体" w:cs="宋体"/>
          <w:color w:val="000000"/>
          <w:kern w:val="0"/>
          <w:sz w:val="24"/>
          <w:szCs w:val="24"/>
          <w:highlight w:val="none"/>
          <w:lang w:val="zh-CN"/>
        </w:rPr>
        <w:t>的</w:t>
      </w:r>
      <w:r>
        <w:rPr>
          <w:rFonts w:hint="eastAsia" w:ascii="宋体" w:hAnsi="宋体" w:eastAsia="宋体" w:cs="宋体"/>
          <w:color w:val="000000"/>
          <w:kern w:val="0"/>
          <w:sz w:val="24"/>
          <w:szCs w:val="24"/>
          <w:highlight w:val="none"/>
          <w:lang w:val="en-US" w:eastAsia="zh-CN"/>
        </w:rPr>
        <w:t>采购</w:t>
      </w:r>
      <w:r>
        <w:rPr>
          <w:rFonts w:hint="eastAsia" w:ascii="宋体" w:hAnsi="宋体" w:eastAsia="宋体" w:cs="宋体"/>
          <w:color w:val="000000"/>
          <w:kern w:val="0"/>
          <w:sz w:val="24"/>
          <w:szCs w:val="24"/>
          <w:highlight w:val="none"/>
          <w:lang w:val="zh-CN"/>
        </w:rPr>
        <w:t>结果确定</w:t>
      </w:r>
      <w:r>
        <w:rPr>
          <w:rFonts w:hint="eastAsia" w:ascii="宋体" w:hAnsi="宋体" w:eastAsia="宋体" w:cs="宋体"/>
          <w:color w:val="000000"/>
          <w:kern w:val="0"/>
          <w:sz w:val="24"/>
          <w:szCs w:val="24"/>
          <w:highlight w:val="none"/>
          <w:u w:val="single"/>
          <w:lang w:val="zh-CN" w:eastAsia="zh-CN"/>
        </w:rPr>
        <w:t>上海市数字证书认证中心</w:t>
      </w:r>
      <w:r>
        <w:rPr>
          <w:rFonts w:hint="eastAsia" w:ascii="宋体" w:hAnsi="宋体" w:eastAsia="宋体" w:cs="宋体"/>
          <w:color w:val="000000"/>
          <w:kern w:val="0"/>
          <w:sz w:val="24"/>
          <w:szCs w:val="24"/>
          <w:highlight w:val="none"/>
          <w:u w:val="single"/>
        </w:rPr>
        <w:t>公司</w:t>
      </w:r>
      <w:r>
        <w:rPr>
          <w:rFonts w:hint="eastAsia" w:ascii="宋体" w:hAnsi="宋体" w:eastAsia="宋体" w:cs="宋体"/>
          <w:color w:val="000000"/>
          <w:kern w:val="0"/>
          <w:sz w:val="24"/>
          <w:szCs w:val="24"/>
          <w:highlight w:val="none"/>
        </w:rPr>
        <w:t>（以下简称“乙方”）</w:t>
      </w:r>
      <w:r>
        <w:rPr>
          <w:rFonts w:hint="eastAsia" w:ascii="宋体" w:hAnsi="宋体" w:eastAsia="宋体" w:cs="宋体"/>
          <w:color w:val="000000"/>
          <w:kern w:val="0"/>
          <w:sz w:val="24"/>
          <w:szCs w:val="24"/>
          <w:highlight w:val="none"/>
          <w:lang w:val="zh-CN"/>
        </w:rPr>
        <w:t>为本次中标人。现依照招标文件、乙方的响应文件及相关文件的内容，经双方平等协商，特签订本合同书。</w:t>
      </w:r>
    </w:p>
    <w:p w14:paraId="65137931">
      <w:pPr>
        <w:pStyle w:val="48"/>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firstLine="0"/>
        <w:jc w:val="left"/>
        <w:textAlignment w:val="auto"/>
        <w:rPr>
          <w:rFonts w:hint="eastAsia" w:ascii="宋体" w:hAnsi="宋体" w:eastAsia="宋体" w:cs="宋体"/>
          <w:b/>
          <w:bCs/>
          <w:color w:val="000000"/>
          <w:kern w:val="0"/>
          <w:sz w:val="24"/>
          <w:szCs w:val="24"/>
          <w:highlight w:val="none"/>
          <w:lang w:val="zh-CN"/>
        </w:rPr>
      </w:pPr>
      <w:r>
        <w:rPr>
          <w:rFonts w:hint="eastAsia" w:ascii="宋体" w:hAnsi="宋体" w:eastAsia="宋体" w:cs="宋体"/>
          <w:b/>
          <w:bCs/>
          <w:color w:val="000000"/>
          <w:kern w:val="0"/>
          <w:sz w:val="24"/>
          <w:szCs w:val="24"/>
          <w:highlight w:val="none"/>
          <w:lang w:val="zh-CN"/>
        </w:rPr>
        <w:t>合同价格</w:t>
      </w:r>
    </w:p>
    <w:p w14:paraId="2A53D14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highlight w:val="none"/>
          <w:lang w:val="zh-CN"/>
        </w:rPr>
      </w:pPr>
      <w:r>
        <w:rPr>
          <w:rFonts w:hint="eastAsia" w:ascii="宋体" w:hAnsi="宋体" w:eastAsia="宋体" w:cs="宋体"/>
          <w:color w:val="000000"/>
          <w:kern w:val="0"/>
          <w:sz w:val="24"/>
          <w:szCs w:val="24"/>
          <w:highlight w:val="none"/>
          <w:lang w:val="zh-CN"/>
        </w:rPr>
        <w:t>合同总金额（人民币）：人民币（大写）</w:t>
      </w:r>
      <w:r>
        <w:rPr>
          <w:rFonts w:hint="eastAsia" w:ascii="宋体" w:hAnsi="宋体" w:eastAsia="宋体" w:cs="宋体"/>
          <w:color w:val="000000"/>
          <w:kern w:val="0"/>
          <w:sz w:val="24"/>
          <w:szCs w:val="24"/>
          <w:highlight w:val="none"/>
          <w:u w:val="single"/>
          <w:lang w:val="en-US" w:eastAsia="zh-CN"/>
        </w:rPr>
        <w:t>壹佰柒拾柒万玖仟元整</w:t>
      </w:r>
      <w:r>
        <w:rPr>
          <w:rFonts w:hint="eastAsia" w:ascii="宋体" w:hAnsi="宋体" w:eastAsia="宋体" w:cs="宋体"/>
          <w:color w:val="000000"/>
          <w:kern w:val="0"/>
          <w:sz w:val="24"/>
          <w:szCs w:val="24"/>
          <w:highlight w:val="none"/>
        </w:rPr>
        <w:t>（含税）</w:t>
      </w:r>
      <w:r>
        <w:rPr>
          <w:rFonts w:hint="eastAsia" w:ascii="宋体" w:hAnsi="宋体" w:eastAsia="宋体" w:cs="宋体"/>
          <w:color w:val="000000"/>
          <w:kern w:val="0"/>
          <w:sz w:val="24"/>
          <w:szCs w:val="24"/>
          <w:highlight w:val="none"/>
          <w:lang w:val="zh-CN"/>
        </w:rPr>
        <w:t>（小写￥</w:t>
      </w:r>
      <w:r>
        <w:rPr>
          <w:rFonts w:hint="eastAsia" w:ascii="宋体" w:hAnsi="宋体" w:eastAsia="宋体" w:cs="宋体"/>
          <w:color w:val="000000"/>
          <w:kern w:val="0"/>
          <w:sz w:val="24"/>
          <w:szCs w:val="24"/>
          <w:highlight w:val="none"/>
          <w:u w:val="single"/>
          <w:lang w:val="en-US" w:eastAsia="zh-CN"/>
        </w:rPr>
        <w:t>1779000.00</w:t>
      </w:r>
      <w:r>
        <w:rPr>
          <w:rFonts w:hint="eastAsia" w:ascii="宋体" w:hAnsi="宋体" w:eastAsia="宋体" w:cs="宋体"/>
          <w:color w:val="000000"/>
          <w:kern w:val="0"/>
          <w:sz w:val="24"/>
          <w:szCs w:val="24"/>
          <w:highlight w:val="none"/>
          <w:lang w:val="zh-CN"/>
        </w:rPr>
        <w:t>），</w:t>
      </w:r>
      <w:r>
        <w:rPr>
          <w:rFonts w:hint="eastAsia" w:ascii="宋体" w:hAnsi="宋体" w:eastAsia="宋体" w:cs="宋体"/>
          <w:color w:val="000000"/>
          <w:kern w:val="0"/>
          <w:szCs w:val="21"/>
          <w:highlight w:val="none"/>
          <w:lang w:val="zh-CN"/>
        </w:rPr>
        <w:t>包括但不限于完成本项目工作所需</w:t>
      </w:r>
      <w:r>
        <w:rPr>
          <w:rFonts w:hint="eastAsia" w:ascii="宋体" w:hAnsi="宋体" w:eastAsia="宋体" w:cs="宋体"/>
          <w:color w:val="000000"/>
          <w:kern w:val="0"/>
          <w:szCs w:val="21"/>
          <w:highlight w:val="none"/>
          <w:lang w:val="en-US" w:eastAsia="zh-CN"/>
        </w:rPr>
        <w:t>及其配套的</w:t>
      </w:r>
      <w:r>
        <w:rPr>
          <w:rFonts w:hint="eastAsia" w:ascii="宋体" w:hAnsi="宋体" w:eastAsia="宋体" w:cs="宋体"/>
          <w:color w:val="000000"/>
          <w:kern w:val="0"/>
          <w:szCs w:val="21"/>
          <w:highlight w:val="none"/>
          <w:lang w:val="zh-CN"/>
        </w:rPr>
        <w:t>管理内容、设备、软件</w:t>
      </w:r>
      <w:r>
        <w:rPr>
          <w:rFonts w:hint="eastAsia" w:ascii="宋体" w:hAnsi="宋体" w:eastAsia="宋体" w:cs="宋体"/>
          <w:color w:val="000000"/>
          <w:kern w:val="0"/>
          <w:szCs w:val="21"/>
          <w:highlight w:val="none"/>
          <w:lang w:val="en-US" w:eastAsia="zh-CN"/>
        </w:rPr>
        <w:t>开发</w:t>
      </w:r>
      <w:r>
        <w:rPr>
          <w:rFonts w:hint="eastAsia" w:ascii="宋体" w:hAnsi="宋体" w:eastAsia="宋体" w:cs="宋体"/>
          <w:color w:val="000000"/>
          <w:kern w:val="0"/>
          <w:szCs w:val="21"/>
          <w:highlight w:val="none"/>
          <w:lang w:val="zh-CN"/>
        </w:rPr>
        <w:t>、第三方系统接口</w:t>
      </w:r>
      <w:r>
        <w:rPr>
          <w:rFonts w:hint="eastAsia" w:ascii="宋体" w:hAnsi="宋体" w:eastAsia="宋体" w:cs="宋体"/>
          <w:color w:val="000000"/>
          <w:kern w:val="0"/>
          <w:szCs w:val="21"/>
          <w:highlight w:val="none"/>
          <w:lang w:val="zh-CN" w:eastAsia="zh-CN"/>
        </w:rPr>
        <w:t>、</w:t>
      </w:r>
      <w:r>
        <w:rPr>
          <w:rFonts w:hint="eastAsia" w:ascii="宋体" w:hAnsi="宋体" w:eastAsia="宋体" w:cs="宋体"/>
          <w:color w:val="000000"/>
          <w:kern w:val="0"/>
          <w:szCs w:val="21"/>
          <w:highlight w:val="none"/>
          <w:lang w:val="zh-CN"/>
        </w:rPr>
        <w:t>实施部署、验收及运维支持、运输仓储、系统安装</w:t>
      </w:r>
      <w:r>
        <w:rPr>
          <w:rFonts w:hint="eastAsia" w:ascii="宋体" w:hAnsi="宋体" w:eastAsia="宋体" w:cs="宋体"/>
          <w:color w:val="000000"/>
          <w:kern w:val="0"/>
          <w:szCs w:val="21"/>
          <w:highlight w:val="none"/>
          <w:lang w:val="zh-CN" w:eastAsia="zh-CN"/>
        </w:rPr>
        <w:t>、</w:t>
      </w:r>
      <w:r>
        <w:rPr>
          <w:rFonts w:hint="eastAsia" w:ascii="宋体" w:hAnsi="宋体" w:eastAsia="宋体" w:cs="宋体"/>
          <w:color w:val="000000"/>
          <w:kern w:val="0"/>
          <w:szCs w:val="21"/>
          <w:highlight w:val="none"/>
          <w:lang w:val="zh-CN"/>
        </w:rPr>
        <w:t>劳保、技术支持与培训、专利技术、各种税费、人工、保险、维护、利润、代理服务费、政策性文件规定及合同包含的所有风险、责任等各项应有费用</w:t>
      </w:r>
      <w:r>
        <w:rPr>
          <w:rFonts w:hint="eastAsia" w:ascii="宋体" w:hAnsi="宋体" w:cs="宋体"/>
          <w:color w:val="000000"/>
          <w:kern w:val="0"/>
          <w:szCs w:val="21"/>
          <w:highlight w:val="none"/>
          <w:lang w:val="zh-CN"/>
        </w:rPr>
        <w:t>；</w:t>
      </w:r>
      <w:r>
        <w:rPr>
          <w:rFonts w:hint="eastAsia" w:ascii="宋体" w:hAnsi="宋体" w:cs="宋体"/>
          <w:color w:val="000000"/>
          <w:kern w:val="0"/>
          <w:szCs w:val="21"/>
          <w:highlight w:val="none"/>
          <w:lang w:val="en-US" w:eastAsia="zh-CN"/>
        </w:rPr>
        <w:t>甲方无须支付其他任何费用</w:t>
      </w:r>
      <w:r>
        <w:rPr>
          <w:rFonts w:hint="eastAsia" w:ascii="宋体" w:hAnsi="宋体" w:eastAsia="宋体" w:cs="宋体"/>
          <w:color w:val="000000"/>
          <w:kern w:val="0"/>
          <w:szCs w:val="21"/>
          <w:highlight w:val="none"/>
          <w:lang w:val="zh-CN"/>
        </w:rPr>
        <w:t>。同时，除非合同条款中另有规定，否则，本合同项下合同总金额在合同履行期间不因市场变化因素而变动。</w:t>
      </w:r>
    </w:p>
    <w:p w14:paraId="66E2D4D0">
      <w:pPr>
        <w:pStyle w:val="48"/>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firstLine="0"/>
        <w:jc w:val="left"/>
        <w:textAlignment w:val="auto"/>
        <w:rPr>
          <w:rFonts w:hint="eastAsia" w:ascii="宋体" w:hAnsi="宋体" w:eastAsia="宋体" w:cs="宋体"/>
          <w:b/>
          <w:bCs/>
          <w:color w:val="000000"/>
          <w:kern w:val="0"/>
          <w:sz w:val="24"/>
          <w:szCs w:val="24"/>
          <w:highlight w:val="none"/>
          <w:lang w:val="zh-CN"/>
        </w:rPr>
      </w:pPr>
      <w:r>
        <w:rPr>
          <w:rFonts w:hint="eastAsia" w:ascii="宋体" w:hAnsi="宋体" w:eastAsia="宋体" w:cs="宋体"/>
          <w:b/>
          <w:bCs/>
          <w:color w:val="000000"/>
          <w:kern w:val="0"/>
          <w:sz w:val="24"/>
          <w:szCs w:val="24"/>
          <w:highlight w:val="none"/>
          <w:lang w:val="zh-CN"/>
        </w:rPr>
        <w:t>服务内容、要求及期限</w:t>
      </w:r>
    </w:p>
    <w:p w14:paraId="0AEACA2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highlight w:val="none"/>
          <w:lang w:val="zh-CN"/>
        </w:rPr>
      </w:pPr>
      <w:r>
        <w:rPr>
          <w:rFonts w:hint="eastAsia" w:ascii="宋体" w:hAnsi="宋体" w:eastAsia="宋体" w:cs="宋体"/>
          <w:color w:val="000000"/>
          <w:kern w:val="0"/>
          <w:sz w:val="24"/>
          <w:szCs w:val="24"/>
          <w:highlight w:val="none"/>
          <w:lang w:val="zh-CN"/>
        </w:rPr>
        <w:t>1、乙方负责提供</w:t>
      </w:r>
      <w:r>
        <w:rPr>
          <w:rFonts w:hint="eastAsia" w:ascii="宋体" w:hAnsi="宋体" w:eastAsia="宋体" w:cs="宋体"/>
          <w:color w:val="auto"/>
          <w:sz w:val="24"/>
          <w:szCs w:val="24"/>
          <w:highlight w:val="none"/>
          <w:u w:val="single"/>
          <w:lang w:eastAsia="zh-CN"/>
        </w:rPr>
        <w:t>密码基础支撑平台</w:t>
      </w:r>
      <w:r>
        <w:rPr>
          <w:rFonts w:hint="eastAsia" w:ascii="宋体" w:hAnsi="宋体" w:eastAsia="宋体" w:cs="宋体"/>
          <w:color w:val="000000"/>
          <w:kern w:val="0"/>
          <w:sz w:val="24"/>
          <w:szCs w:val="24"/>
          <w:highlight w:val="none"/>
          <w:lang w:val="zh-CN"/>
        </w:rPr>
        <w:t>（详见</w:t>
      </w:r>
      <w:r>
        <w:rPr>
          <w:rFonts w:hint="eastAsia" w:ascii="宋体" w:hAnsi="宋体" w:eastAsia="宋体" w:cs="宋体"/>
          <w:color w:val="000000"/>
          <w:kern w:val="0"/>
          <w:sz w:val="24"/>
          <w:szCs w:val="24"/>
          <w:highlight w:val="none"/>
          <w:lang w:val="en-US" w:eastAsia="zh-CN"/>
        </w:rPr>
        <w:t>附件，参见</w:t>
      </w:r>
      <w:r>
        <w:rPr>
          <w:rFonts w:hint="eastAsia" w:ascii="宋体" w:hAnsi="宋体" w:eastAsia="宋体" w:cs="宋体"/>
          <w:color w:val="000000"/>
          <w:kern w:val="0"/>
          <w:sz w:val="24"/>
          <w:szCs w:val="24"/>
          <w:highlight w:val="none"/>
          <w:lang w:val="zh-CN"/>
        </w:rPr>
        <w:t>招投标文件）；</w:t>
      </w:r>
    </w:p>
    <w:p w14:paraId="5095524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highlight w:val="none"/>
          <w:lang w:val="zh-CN"/>
        </w:rPr>
      </w:pPr>
      <w:r>
        <w:rPr>
          <w:rFonts w:hint="eastAsia" w:ascii="宋体" w:hAnsi="宋体" w:eastAsia="宋体" w:cs="宋体"/>
          <w:color w:val="000000"/>
          <w:kern w:val="0"/>
          <w:sz w:val="24"/>
          <w:szCs w:val="24"/>
          <w:highlight w:val="none"/>
          <w:lang w:val="zh-CN"/>
        </w:rPr>
        <w:t>2、服务内容及要求：</w:t>
      </w:r>
    </w:p>
    <w:p w14:paraId="1DE9764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lang w:val="zh-CN"/>
        </w:rPr>
        <w:t>2.1</w:t>
      </w:r>
      <w:r>
        <w:rPr>
          <w:rFonts w:hint="eastAsia" w:ascii="宋体" w:hAnsi="宋体" w:eastAsia="宋体" w:cs="宋体"/>
          <w:color w:val="000000"/>
          <w:kern w:val="0"/>
          <w:sz w:val="24"/>
          <w:szCs w:val="24"/>
          <w:highlight w:val="none"/>
        </w:rPr>
        <w:t xml:space="preserve"> </w:t>
      </w:r>
    </w:p>
    <w:tbl>
      <w:tblPr>
        <w:tblStyle w:val="21"/>
        <w:tblW w:w="499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12"/>
        <w:gridCol w:w="2798"/>
        <w:gridCol w:w="718"/>
        <w:gridCol w:w="867"/>
        <w:gridCol w:w="2137"/>
        <w:gridCol w:w="1345"/>
        <w:gridCol w:w="1365"/>
      </w:tblGrid>
      <w:tr w14:paraId="261C57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cantSplit/>
          <w:trHeight w:val="376" w:hRule="atLeast"/>
          <w:jc w:val="center"/>
        </w:trPr>
        <w:tc>
          <w:tcPr>
            <w:tcW w:w="360" w:type="pct"/>
            <w:vAlign w:val="center"/>
          </w:tcPr>
          <w:p w14:paraId="027DF542">
            <w:pPr>
              <w:spacing w:line="0" w:lineRule="atLeast"/>
              <w:jc w:val="center"/>
              <w:rPr>
                <w:rFonts w:hint="eastAsia" w:ascii="宋体" w:hAnsi="宋体" w:eastAsia="宋体" w:cs="宋体"/>
                <w:b/>
                <w:color w:val="000000"/>
                <w:sz w:val="24"/>
                <w:szCs w:val="24"/>
              </w:rPr>
            </w:pPr>
            <w:r>
              <w:rPr>
                <w:rFonts w:hint="eastAsia" w:ascii="宋体" w:hAnsi="宋体" w:eastAsia="宋体" w:cs="宋体"/>
                <w:b/>
                <w:color w:val="000000"/>
                <w:sz w:val="24"/>
                <w:szCs w:val="24"/>
              </w:rPr>
              <w:t>序号</w:t>
            </w:r>
          </w:p>
        </w:tc>
        <w:tc>
          <w:tcPr>
            <w:tcW w:w="1409" w:type="pct"/>
            <w:vAlign w:val="center"/>
          </w:tcPr>
          <w:p w14:paraId="42E64DA4">
            <w:pPr>
              <w:spacing w:line="0" w:lineRule="atLeast"/>
              <w:jc w:val="center"/>
              <w:rPr>
                <w:rFonts w:hint="eastAsia" w:ascii="宋体" w:hAnsi="宋体" w:eastAsia="宋体" w:cs="宋体"/>
                <w:b/>
                <w:color w:val="000000"/>
                <w:sz w:val="24"/>
                <w:szCs w:val="24"/>
              </w:rPr>
            </w:pPr>
            <w:r>
              <w:rPr>
                <w:rFonts w:hint="eastAsia" w:ascii="宋体" w:hAnsi="宋体" w:eastAsia="宋体" w:cs="宋体"/>
                <w:b/>
                <w:color w:val="000000"/>
                <w:sz w:val="24"/>
                <w:szCs w:val="24"/>
              </w:rPr>
              <w:t>采购标的</w:t>
            </w:r>
          </w:p>
        </w:tc>
        <w:tc>
          <w:tcPr>
            <w:tcW w:w="363" w:type="pct"/>
            <w:vAlign w:val="center"/>
          </w:tcPr>
          <w:p w14:paraId="15FA5429">
            <w:pPr>
              <w:spacing w:line="0" w:lineRule="atLeast"/>
              <w:jc w:val="center"/>
              <w:rPr>
                <w:rFonts w:hint="eastAsia" w:ascii="宋体" w:hAnsi="宋体" w:eastAsia="宋体" w:cs="宋体"/>
                <w:b/>
                <w:color w:val="000000"/>
                <w:sz w:val="24"/>
                <w:szCs w:val="24"/>
              </w:rPr>
            </w:pPr>
            <w:r>
              <w:rPr>
                <w:rFonts w:hint="eastAsia" w:ascii="宋体" w:hAnsi="宋体" w:eastAsia="宋体" w:cs="宋体"/>
                <w:b/>
                <w:bCs/>
                <w:color w:val="000000"/>
                <w:sz w:val="24"/>
                <w:szCs w:val="24"/>
              </w:rPr>
              <w:t>数量</w:t>
            </w:r>
          </w:p>
        </w:tc>
        <w:tc>
          <w:tcPr>
            <w:tcW w:w="438" w:type="pct"/>
            <w:vAlign w:val="center"/>
          </w:tcPr>
          <w:p w14:paraId="02060788">
            <w:pPr>
              <w:spacing w:line="0" w:lineRule="atLeast"/>
              <w:jc w:val="center"/>
              <w:rPr>
                <w:rFonts w:hint="eastAsia" w:ascii="宋体" w:hAnsi="宋体" w:eastAsia="宋体" w:cs="宋体"/>
                <w:b/>
                <w:color w:val="000000"/>
                <w:sz w:val="24"/>
                <w:szCs w:val="24"/>
              </w:rPr>
            </w:pPr>
            <w:r>
              <w:rPr>
                <w:rFonts w:hint="eastAsia" w:ascii="宋体" w:hAnsi="宋体" w:eastAsia="宋体" w:cs="宋体"/>
                <w:b/>
                <w:bCs/>
                <w:color w:val="000000"/>
                <w:sz w:val="24"/>
                <w:szCs w:val="24"/>
              </w:rPr>
              <w:t>单位</w:t>
            </w:r>
          </w:p>
        </w:tc>
        <w:tc>
          <w:tcPr>
            <w:tcW w:w="1063" w:type="pct"/>
            <w:vAlign w:val="center"/>
          </w:tcPr>
          <w:p w14:paraId="5A5A41EC">
            <w:pPr>
              <w:spacing w:line="0" w:lineRule="atLeast"/>
              <w:jc w:val="center"/>
              <w:rPr>
                <w:rFonts w:hint="default" w:ascii="宋体" w:hAnsi="宋体" w:eastAsia="宋体" w:cs="宋体"/>
                <w:b/>
                <w:bCs/>
                <w:color w:val="000000"/>
                <w:sz w:val="24"/>
                <w:szCs w:val="24"/>
                <w:lang w:val="en-US" w:eastAsia="zh-CN"/>
              </w:rPr>
            </w:pPr>
            <w:r>
              <w:rPr>
                <w:rFonts w:hint="eastAsia" w:ascii="宋体" w:hAnsi="宋体" w:cs="宋体"/>
                <w:b/>
                <w:bCs/>
                <w:color w:val="000000"/>
                <w:sz w:val="24"/>
                <w:szCs w:val="24"/>
                <w:lang w:val="en-US" w:eastAsia="zh-CN"/>
              </w:rPr>
              <w:t>品牌型号</w:t>
            </w:r>
          </w:p>
        </w:tc>
        <w:tc>
          <w:tcPr>
            <w:tcW w:w="678" w:type="pct"/>
            <w:vAlign w:val="center"/>
          </w:tcPr>
          <w:p w14:paraId="5C9C035A">
            <w:pPr>
              <w:spacing w:line="0" w:lineRule="atLeast"/>
              <w:jc w:val="center"/>
              <w:rPr>
                <w:rFonts w:hint="eastAsia" w:ascii="宋体" w:hAnsi="宋体" w:eastAsia="宋体" w:cs="宋体"/>
                <w:b/>
                <w:bCs/>
                <w:color w:val="000000"/>
                <w:sz w:val="24"/>
                <w:szCs w:val="24"/>
                <w:lang w:val="en-US" w:eastAsia="zh-CN"/>
              </w:rPr>
            </w:pPr>
            <w:r>
              <w:rPr>
                <w:rFonts w:hint="eastAsia" w:ascii="宋体" w:hAnsi="宋体" w:cs="宋体"/>
                <w:b/>
                <w:bCs/>
                <w:color w:val="000000"/>
                <w:sz w:val="24"/>
                <w:szCs w:val="24"/>
                <w:lang w:val="en-US" w:eastAsia="zh-CN"/>
              </w:rPr>
              <w:t>单价（元）</w:t>
            </w:r>
          </w:p>
        </w:tc>
        <w:tc>
          <w:tcPr>
            <w:tcW w:w="686" w:type="pct"/>
            <w:vAlign w:val="center"/>
          </w:tcPr>
          <w:p w14:paraId="17618B82">
            <w:pPr>
              <w:spacing w:line="0" w:lineRule="atLeast"/>
              <w:jc w:val="center"/>
              <w:rPr>
                <w:rFonts w:hint="default" w:ascii="宋体" w:hAnsi="宋体" w:cs="宋体"/>
                <w:b/>
                <w:bCs/>
                <w:color w:val="000000"/>
                <w:sz w:val="24"/>
                <w:szCs w:val="24"/>
                <w:lang w:val="en-US" w:eastAsia="zh-CN"/>
              </w:rPr>
            </w:pPr>
            <w:r>
              <w:rPr>
                <w:rFonts w:hint="eastAsia" w:ascii="宋体" w:hAnsi="宋体" w:cs="宋体"/>
                <w:b/>
                <w:bCs/>
                <w:color w:val="000000"/>
                <w:sz w:val="24"/>
                <w:szCs w:val="24"/>
                <w:lang w:val="en-US" w:eastAsia="zh-CN"/>
              </w:rPr>
              <w:t>总价（元）</w:t>
            </w:r>
          </w:p>
        </w:tc>
      </w:tr>
      <w:tr w14:paraId="09474D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91" w:hRule="atLeast"/>
          <w:jc w:val="center"/>
        </w:trPr>
        <w:tc>
          <w:tcPr>
            <w:tcW w:w="360" w:type="pct"/>
            <w:vAlign w:val="center"/>
          </w:tcPr>
          <w:p w14:paraId="3C03BA9E">
            <w:pPr>
              <w:widowControl/>
              <w:jc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rPr>
              <w:t>1</w:t>
            </w:r>
          </w:p>
        </w:tc>
        <w:tc>
          <w:tcPr>
            <w:tcW w:w="1409" w:type="pct"/>
            <w:vAlign w:val="center"/>
          </w:tcPr>
          <w:p w14:paraId="49203815">
            <w:pPr>
              <w:widowControl/>
              <w:jc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rPr>
              <w:t>安全认证网关</w:t>
            </w:r>
          </w:p>
        </w:tc>
        <w:tc>
          <w:tcPr>
            <w:tcW w:w="363" w:type="pct"/>
            <w:vAlign w:val="center"/>
          </w:tcPr>
          <w:p w14:paraId="173C14A8">
            <w:pPr>
              <w:widowControl/>
              <w:jc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rPr>
              <w:t>1</w:t>
            </w:r>
          </w:p>
        </w:tc>
        <w:tc>
          <w:tcPr>
            <w:tcW w:w="438" w:type="pct"/>
            <w:vAlign w:val="center"/>
          </w:tcPr>
          <w:p w14:paraId="168BB74D">
            <w:pPr>
              <w:spacing w:line="276" w:lineRule="auto"/>
              <w:jc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rPr>
              <w:t>台</w:t>
            </w:r>
          </w:p>
        </w:tc>
        <w:tc>
          <w:tcPr>
            <w:tcW w:w="2114" w:type="dxa"/>
            <w:vAlign w:val="top"/>
          </w:tcPr>
          <w:p w14:paraId="65BE7C83">
            <w:pPr>
              <w:spacing w:line="276"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rPr>
              <w:t>上海CA/Unitrust Gateway-G V1.0</w:t>
            </w:r>
          </w:p>
        </w:tc>
        <w:tc>
          <w:tcPr>
            <w:tcW w:w="678" w:type="pct"/>
            <w:vAlign w:val="center"/>
          </w:tcPr>
          <w:p w14:paraId="36EC1386">
            <w:pPr>
              <w:spacing w:line="276" w:lineRule="auto"/>
              <w:jc w:val="center"/>
              <w:rPr>
                <w:rFonts w:hint="default" w:ascii="宋体" w:hAnsi="宋体" w:eastAsia="宋体" w:cs="宋体"/>
                <w:color w:val="000000"/>
                <w:kern w:val="0"/>
                <w:sz w:val="24"/>
                <w:szCs w:val="24"/>
                <w:lang w:val="en-US" w:eastAsia="zh-CN"/>
              </w:rPr>
            </w:pPr>
            <w:r>
              <w:rPr>
                <w:rFonts w:hint="eastAsia" w:ascii="宋体" w:hAnsi="宋体" w:cs="宋体"/>
                <w:color w:val="000000"/>
                <w:kern w:val="0"/>
                <w:sz w:val="24"/>
                <w:szCs w:val="24"/>
                <w:lang w:val="en-US" w:eastAsia="zh-CN"/>
              </w:rPr>
              <w:t>99000</w:t>
            </w:r>
          </w:p>
        </w:tc>
        <w:tc>
          <w:tcPr>
            <w:tcW w:w="686" w:type="pct"/>
            <w:vAlign w:val="center"/>
          </w:tcPr>
          <w:p w14:paraId="30DE07FF">
            <w:pPr>
              <w:spacing w:line="276" w:lineRule="auto"/>
              <w:jc w:val="center"/>
              <w:rPr>
                <w:rFonts w:hint="default" w:ascii="宋体" w:hAnsi="宋体" w:eastAsia="宋体" w:cs="宋体"/>
                <w:color w:val="000000"/>
                <w:kern w:val="0"/>
                <w:sz w:val="24"/>
                <w:szCs w:val="24"/>
                <w:lang w:val="en-US" w:eastAsia="zh-CN"/>
              </w:rPr>
            </w:pPr>
            <w:r>
              <w:rPr>
                <w:rFonts w:hint="eastAsia" w:ascii="宋体" w:hAnsi="宋体" w:cs="宋体"/>
                <w:color w:val="000000"/>
                <w:kern w:val="0"/>
                <w:sz w:val="24"/>
                <w:szCs w:val="24"/>
                <w:lang w:val="en-US" w:eastAsia="zh-CN"/>
              </w:rPr>
              <w:t>99000</w:t>
            </w:r>
          </w:p>
        </w:tc>
      </w:tr>
      <w:tr w14:paraId="3B605D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35" w:hRule="atLeast"/>
          <w:jc w:val="center"/>
        </w:trPr>
        <w:tc>
          <w:tcPr>
            <w:tcW w:w="360" w:type="pct"/>
            <w:vAlign w:val="center"/>
          </w:tcPr>
          <w:p w14:paraId="23E48BE9">
            <w:pPr>
              <w:widowControl/>
              <w:jc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rPr>
              <w:t>2</w:t>
            </w:r>
          </w:p>
        </w:tc>
        <w:tc>
          <w:tcPr>
            <w:tcW w:w="1409" w:type="pct"/>
            <w:vAlign w:val="center"/>
          </w:tcPr>
          <w:p w14:paraId="5E7AB910">
            <w:pPr>
              <w:widowControl/>
              <w:jc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rPr>
              <w:t>数据库加密机</w:t>
            </w:r>
          </w:p>
        </w:tc>
        <w:tc>
          <w:tcPr>
            <w:tcW w:w="363" w:type="pct"/>
            <w:vAlign w:val="center"/>
          </w:tcPr>
          <w:p w14:paraId="53A76BB9">
            <w:pPr>
              <w:widowControl/>
              <w:jc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rPr>
              <w:t>2</w:t>
            </w:r>
          </w:p>
        </w:tc>
        <w:tc>
          <w:tcPr>
            <w:tcW w:w="438" w:type="pct"/>
            <w:vAlign w:val="center"/>
          </w:tcPr>
          <w:p w14:paraId="4794D97B">
            <w:pPr>
              <w:spacing w:line="276" w:lineRule="auto"/>
              <w:jc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rPr>
              <w:t>台</w:t>
            </w:r>
          </w:p>
        </w:tc>
        <w:tc>
          <w:tcPr>
            <w:tcW w:w="2114" w:type="dxa"/>
            <w:vAlign w:val="top"/>
          </w:tcPr>
          <w:p w14:paraId="441FE7BB">
            <w:pPr>
              <w:spacing w:line="276"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rPr>
              <w:t>三未/SJJ19127-G</w:t>
            </w:r>
          </w:p>
        </w:tc>
        <w:tc>
          <w:tcPr>
            <w:tcW w:w="678" w:type="pct"/>
            <w:vAlign w:val="center"/>
          </w:tcPr>
          <w:p w14:paraId="5FBB6884">
            <w:pPr>
              <w:spacing w:line="276" w:lineRule="auto"/>
              <w:jc w:val="center"/>
              <w:rPr>
                <w:rFonts w:hint="default" w:ascii="宋体" w:hAnsi="宋体" w:eastAsia="宋体" w:cs="宋体"/>
                <w:color w:val="000000"/>
                <w:kern w:val="0"/>
                <w:sz w:val="24"/>
                <w:szCs w:val="24"/>
                <w:lang w:val="en-US" w:eastAsia="zh-CN"/>
              </w:rPr>
            </w:pPr>
            <w:r>
              <w:rPr>
                <w:rFonts w:hint="eastAsia" w:ascii="宋体" w:hAnsi="宋体" w:cs="宋体"/>
                <w:color w:val="000000"/>
                <w:kern w:val="0"/>
                <w:sz w:val="24"/>
                <w:szCs w:val="24"/>
                <w:lang w:val="en-US" w:eastAsia="zh-CN"/>
              </w:rPr>
              <w:t>150000</w:t>
            </w:r>
          </w:p>
        </w:tc>
        <w:tc>
          <w:tcPr>
            <w:tcW w:w="686" w:type="pct"/>
            <w:vAlign w:val="center"/>
          </w:tcPr>
          <w:p w14:paraId="4B92261D">
            <w:pPr>
              <w:spacing w:line="276" w:lineRule="auto"/>
              <w:jc w:val="center"/>
              <w:rPr>
                <w:rFonts w:hint="default" w:ascii="宋体" w:hAnsi="宋体" w:eastAsia="宋体" w:cs="宋体"/>
                <w:color w:val="000000"/>
                <w:kern w:val="0"/>
                <w:sz w:val="24"/>
                <w:szCs w:val="24"/>
                <w:lang w:val="en-US" w:eastAsia="zh-CN"/>
              </w:rPr>
            </w:pPr>
            <w:r>
              <w:rPr>
                <w:rFonts w:hint="eastAsia" w:ascii="宋体" w:hAnsi="宋体" w:cs="宋体"/>
                <w:color w:val="000000"/>
                <w:kern w:val="0"/>
                <w:sz w:val="24"/>
                <w:szCs w:val="24"/>
                <w:lang w:val="en-US" w:eastAsia="zh-CN"/>
              </w:rPr>
              <w:t>300000</w:t>
            </w:r>
          </w:p>
        </w:tc>
      </w:tr>
      <w:tr w14:paraId="2A3C8D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22" w:hRule="atLeast"/>
          <w:jc w:val="center"/>
        </w:trPr>
        <w:tc>
          <w:tcPr>
            <w:tcW w:w="360" w:type="pct"/>
            <w:vAlign w:val="center"/>
          </w:tcPr>
          <w:p w14:paraId="5730DDBE">
            <w:pPr>
              <w:widowControl/>
              <w:jc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rPr>
              <w:t>3</w:t>
            </w:r>
          </w:p>
        </w:tc>
        <w:tc>
          <w:tcPr>
            <w:tcW w:w="1409" w:type="pct"/>
            <w:vAlign w:val="center"/>
          </w:tcPr>
          <w:p w14:paraId="2A5EFA1A">
            <w:pPr>
              <w:widowControl/>
              <w:jc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rPr>
              <w:t>服务器密码机</w:t>
            </w:r>
          </w:p>
        </w:tc>
        <w:tc>
          <w:tcPr>
            <w:tcW w:w="363" w:type="pct"/>
            <w:vAlign w:val="center"/>
          </w:tcPr>
          <w:p w14:paraId="3AC95B10">
            <w:pPr>
              <w:widowControl/>
              <w:jc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rPr>
              <w:t>2</w:t>
            </w:r>
          </w:p>
        </w:tc>
        <w:tc>
          <w:tcPr>
            <w:tcW w:w="438" w:type="pct"/>
            <w:vAlign w:val="center"/>
          </w:tcPr>
          <w:p w14:paraId="26D56DA3">
            <w:pPr>
              <w:spacing w:line="276" w:lineRule="auto"/>
              <w:jc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rPr>
              <w:t>台</w:t>
            </w:r>
          </w:p>
        </w:tc>
        <w:tc>
          <w:tcPr>
            <w:tcW w:w="2114" w:type="dxa"/>
            <w:vAlign w:val="top"/>
          </w:tcPr>
          <w:p w14:paraId="42A07B62">
            <w:pPr>
              <w:spacing w:line="276"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rPr>
              <w:t>上海CA/Unitrust HSM_Server-G(ZX) V1.0</w:t>
            </w:r>
          </w:p>
        </w:tc>
        <w:tc>
          <w:tcPr>
            <w:tcW w:w="678" w:type="pct"/>
            <w:vAlign w:val="center"/>
          </w:tcPr>
          <w:p w14:paraId="50BE6CEB">
            <w:pPr>
              <w:spacing w:line="276" w:lineRule="auto"/>
              <w:jc w:val="center"/>
              <w:rPr>
                <w:rFonts w:hint="default" w:ascii="宋体" w:hAnsi="宋体" w:eastAsia="宋体" w:cs="宋体"/>
                <w:color w:val="000000"/>
                <w:kern w:val="0"/>
                <w:sz w:val="24"/>
                <w:szCs w:val="24"/>
                <w:lang w:val="en-US" w:eastAsia="zh-CN"/>
              </w:rPr>
            </w:pPr>
            <w:r>
              <w:rPr>
                <w:rFonts w:hint="eastAsia" w:ascii="宋体" w:hAnsi="宋体" w:cs="宋体"/>
                <w:color w:val="000000"/>
                <w:kern w:val="0"/>
                <w:sz w:val="24"/>
                <w:szCs w:val="24"/>
                <w:lang w:val="en-US" w:eastAsia="zh-CN"/>
              </w:rPr>
              <w:t>105000</w:t>
            </w:r>
          </w:p>
        </w:tc>
        <w:tc>
          <w:tcPr>
            <w:tcW w:w="686" w:type="pct"/>
            <w:vAlign w:val="center"/>
          </w:tcPr>
          <w:p w14:paraId="580F2BBC">
            <w:pPr>
              <w:spacing w:line="276" w:lineRule="auto"/>
              <w:jc w:val="center"/>
              <w:rPr>
                <w:rFonts w:hint="default" w:ascii="宋体" w:hAnsi="宋体" w:eastAsia="宋体" w:cs="宋体"/>
                <w:color w:val="000000"/>
                <w:kern w:val="0"/>
                <w:sz w:val="24"/>
                <w:szCs w:val="24"/>
                <w:lang w:val="en-US" w:eastAsia="zh-CN"/>
              </w:rPr>
            </w:pPr>
            <w:r>
              <w:rPr>
                <w:rFonts w:hint="eastAsia" w:ascii="宋体" w:hAnsi="宋体" w:cs="宋体"/>
                <w:color w:val="000000"/>
                <w:kern w:val="0"/>
                <w:sz w:val="24"/>
                <w:szCs w:val="24"/>
                <w:lang w:val="en-US" w:eastAsia="zh-CN"/>
              </w:rPr>
              <w:t>210000</w:t>
            </w:r>
          </w:p>
        </w:tc>
      </w:tr>
      <w:tr w14:paraId="45CC6F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0" w:hRule="atLeast"/>
          <w:jc w:val="center"/>
        </w:trPr>
        <w:tc>
          <w:tcPr>
            <w:tcW w:w="360" w:type="pct"/>
            <w:vAlign w:val="center"/>
          </w:tcPr>
          <w:p w14:paraId="37DF675C">
            <w:pPr>
              <w:widowControl/>
              <w:jc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rPr>
              <w:t>4</w:t>
            </w:r>
          </w:p>
        </w:tc>
        <w:tc>
          <w:tcPr>
            <w:tcW w:w="1409" w:type="pct"/>
            <w:vAlign w:val="center"/>
          </w:tcPr>
          <w:p w14:paraId="6FBBBA05">
            <w:pPr>
              <w:widowControl/>
              <w:jc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eastAsia="zh-Hans"/>
              </w:rPr>
              <w:t>密码服务</w:t>
            </w:r>
            <w:r>
              <w:rPr>
                <w:rFonts w:hint="eastAsia" w:ascii="宋体" w:hAnsi="宋体" w:eastAsia="宋体" w:cs="宋体"/>
                <w:color w:val="000000"/>
                <w:kern w:val="0"/>
                <w:sz w:val="24"/>
                <w:szCs w:val="24"/>
              </w:rPr>
              <w:t>管理</w:t>
            </w:r>
            <w:r>
              <w:rPr>
                <w:rFonts w:hint="eastAsia" w:ascii="宋体" w:hAnsi="宋体" w:eastAsia="宋体" w:cs="宋体"/>
                <w:color w:val="000000"/>
                <w:kern w:val="0"/>
                <w:sz w:val="24"/>
                <w:szCs w:val="24"/>
                <w:lang w:eastAsia="zh-Hans"/>
              </w:rPr>
              <w:t>平台</w:t>
            </w:r>
          </w:p>
        </w:tc>
        <w:tc>
          <w:tcPr>
            <w:tcW w:w="363" w:type="pct"/>
            <w:vAlign w:val="center"/>
          </w:tcPr>
          <w:p w14:paraId="63C9A066">
            <w:pPr>
              <w:widowControl/>
              <w:jc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rPr>
              <w:t>1</w:t>
            </w:r>
          </w:p>
        </w:tc>
        <w:tc>
          <w:tcPr>
            <w:tcW w:w="438" w:type="pct"/>
            <w:vAlign w:val="center"/>
          </w:tcPr>
          <w:p w14:paraId="25152619">
            <w:pPr>
              <w:spacing w:line="276" w:lineRule="auto"/>
              <w:jc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rPr>
              <w:t>套</w:t>
            </w:r>
          </w:p>
        </w:tc>
        <w:tc>
          <w:tcPr>
            <w:tcW w:w="2114" w:type="dxa"/>
            <w:vAlign w:val="top"/>
          </w:tcPr>
          <w:p w14:paraId="6AFF4365">
            <w:pPr>
              <w:spacing w:line="276"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rPr>
              <w:t>上海CA/Unitrust SHCSP V1.0</w:t>
            </w:r>
          </w:p>
        </w:tc>
        <w:tc>
          <w:tcPr>
            <w:tcW w:w="678" w:type="pct"/>
            <w:vAlign w:val="center"/>
          </w:tcPr>
          <w:p w14:paraId="5A802672">
            <w:pPr>
              <w:spacing w:line="276" w:lineRule="auto"/>
              <w:jc w:val="center"/>
              <w:rPr>
                <w:rFonts w:hint="default" w:ascii="宋体" w:hAnsi="宋体" w:eastAsia="宋体" w:cs="宋体"/>
                <w:color w:val="000000"/>
                <w:kern w:val="0"/>
                <w:sz w:val="24"/>
                <w:szCs w:val="24"/>
                <w:lang w:val="en-US" w:eastAsia="zh-CN"/>
              </w:rPr>
            </w:pPr>
            <w:r>
              <w:rPr>
                <w:rFonts w:hint="eastAsia" w:ascii="宋体" w:hAnsi="宋体" w:cs="宋体"/>
                <w:color w:val="000000"/>
                <w:kern w:val="0"/>
                <w:sz w:val="24"/>
                <w:szCs w:val="24"/>
                <w:lang w:val="en-US" w:eastAsia="zh-CN"/>
              </w:rPr>
              <w:t>600000</w:t>
            </w:r>
          </w:p>
        </w:tc>
        <w:tc>
          <w:tcPr>
            <w:tcW w:w="686" w:type="pct"/>
            <w:vAlign w:val="center"/>
          </w:tcPr>
          <w:p w14:paraId="0FC51024">
            <w:pPr>
              <w:spacing w:line="276" w:lineRule="auto"/>
              <w:jc w:val="center"/>
              <w:rPr>
                <w:rFonts w:hint="default" w:ascii="宋体" w:hAnsi="宋体" w:eastAsia="宋体" w:cs="宋体"/>
                <w:color w:val="000000"/>
                <w:kern w:val="0"/>
                <w:sz w:val="24"/>
                <w:szCs w:val="24"/>
                <w:lang w:val="en-US" w:eastAsia="zh-CN"/>
              </w:rPr>
            </w:pPr>
            <w:r>
              <w:rPr>
                <w:rFonts w:hint="eastAsia" w:ascii="宋体" w:hAnsi="宋体" w:cs="宋体"/>
                <w:color w:val="000000"/>
                <w:kern w:val="0"/>
                <w:sz w:val="24"/>
                <w:szCs w:val="24"/>
                <w:lang w:val="en-US" w:eastAsia="zh-CN"/>
              </w:rPr>
              <w:t>600000</w:t>
            </w:r>
          </w:p>
        </w:tc>
      </w:tr>
      <w:tr w14:paraId="0D93C3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22" w:hRule="atLeast"/>
          <w:jc w:val="center"/>
        </w:trPr>
        <w:tc>
          <w:tcPr>
            <w:tcW w:w="360" w:type="pct"/>
            <w:vAlign w:val="center"/>
          </w:tcPr>
          <w:p w14:paraId="5BFC21BB">
            <w:pPr>
              <w:widowControl/>
              <w:jc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rPr>
              <w:t>5</w:t>
            </w:r>
          </w:p>
        </w:tc>
        <w:tc>
          <w:tcPr>
            <w:tcW w:w="1409" w:type="pct"/>
            <w:vAlign w:val="center"/>
          </w:tcPr>
          <w:p w14:paraId="27B52AA4">
            <w:pPr>
              <w:widowControl/>
              <w:jc w:val="center"/>
              <w:rPr>
                <w:rFonts w:hint="eastAsia" w:ascii="宋体" w:hAnsi="宋体" w:eastAsia="宋体" w:cs="宋体"/>
                <w:color w:val="000000"/>
                <w:sz w:val="24"/>
                <w:szCs w:val="24"/>
                <w:lang w:eastAsia="zh-CN"/>
              </w:rPr>
            </w:pPr>
            <w:r>
              <w:rPr>
                <w:rFonts w:hint="eastAsia" w:ascii="宋体" w:hAnsi="宋体" w:eastAsia="宋体" w:cs="宋体"/>
                <w:color w:val="000000"/>
                <w:kern w:val="0"/>
                <w:sz w:val="24"/>
                <w:szCs w:val="24"/>
              </w:rPr>
              <w:t>移动智能终端签名验签系统</w:t>
            </w:r>
            <w:r>
              <w:rPr>
                <w:rFonts w:hint="eastAsia" w:ascii="宋体" w:hAnsi="宋体" w:cs="宋体"/>
                <w:color w:val="000000"/>
                <w:kern w:val="0"/>
                <w:sz w:val="24"/>
                <w:szCs w:val="24"/>
                <w:lang w:eastAsia="zh-CN"/>
              </w:rPr>
              <w:t>系统</w:t>
            </w:r>
          </w:p>
        </w:tc>
        <w:tc>
          <w:tcPr>
            <w:tcW w:w="363" w:type="pct"/>
            <w:vAlign w:val="center"/>
          </w:tcPr>
          <w:p w14:paraId="75DB16A0">
            <w:pPr>
              <w:widowControl/>
              <w:jc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rPr>
              <w:t>1</w:t>
            </w:r>
          </w:p>
        </w:tc>
        <w:tc>
          <w:tcPr>
            <w:tcW w:w="438" w:type="pct"/>
            <w:vAlign w:val="center"/>
          </w:tcPr>
          <w:p w14:paraId="34C7D49E">
            <w:pPr>
              <w:spacing w:line="276" w:lineRule="auto"/>
              <w:jc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rPr>
              <w:t>台</w:t>
            </w:r>
          </w:p>
        </w:tc>
        <w:tc>
          <w:tcPr>
            <w:tcW w:w="2114" w:type="dxa"/>
            <w:vAlign w:val="top"/>
          </w:tcPr>
          <w:p w14:paraId="77A8D5C7">
            <w:pPr>
              <w:spacing w:line="276"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rPr>
              <w:t>上海CA/Unitrust MobileShield V1.0</w:t>
            </w:r>
          </w:p>
        </w:tc>
        <w:tc>
          <w:tcPr>
            <w:tcW w:w="678" w:type="pct"/>
            <w:vAlign w:val="center"/>
          </w:tcPr>
          <w:p w14:paraId="6D2CF5B1">
            <w:pPr>
              <w:spacing w:line="276" w:lineRule="auto"/>
              <w:jc w:val="center"/>
              <w:rPr>
                <w:rFonts w:hint="default" w:ascii="宋体" w:hAnsi="宋体" w:eastAsia="宋体" w:cs="宋体"/>
                <w:color w:val="000000"/>
                <w:kern w:val="0"/>
                <w:sz w:val="24"/>
                <w:szCs w:val="24"/>
                <w:lang w:val="en-US" w:eastAsia="zh-CN"/>
              </w:rPr>
            </w:pPr>
            <w:r>
              <w:rPr>
                <w:rFonts w:hint="eastAsia" w:ascii="宋体" w:hAnsi="宋体" w:cs="宋体"/>
                <w:color w:val="000000"/>
                <w:kern w:val="0"/>
                <w:sz w:val="24"/>
                <w:szCs w:val="24"/>
                <w:lang w:val="en-US" w:eastAsia="zh-CN"/>
              </w:rPr>
              <w:t>180000</w:t>
            </w:r>
          </w:p>
        </w:tc>
        <w:tc>
          <w:tcPr>
            <w:tcW w:w="686" w:type="pct"/>
            <w:vAlign w:val="center"/>
          </w:tcPr>
          <w:p w14:paraId="27E3C342">
            <w:pPr>
              <w:spacing w:line="276" w:lineRule="auto"/>
              <w:jc w:val="center"/>
              <w:rPr>
                <w:rFonts w:hint="default" w:ascii="宋体" w:hAnsi="宋体" w:eastAsia="宋体" w:cs="宋体"/>
                <w:color w:val="000000"/>
                <w:kern w:val="0"/>
                <w:sz w:val="24"/>
                <w:szCs w:val="24"/>
                <w:lang w:val="en-US" w:eastAsia="zh-CN"/>
              </w:rPr>
            </w:pPr>
            <w:r>
              <w:rPr>
                <w:rFonts w:hint="eastAsia" w:ascii="宋体" w:hAnsi="宋体" w:cs="宋体"/>
                <w:color w:val="000000"/>
                <w:kern w:val="0"/>
                <w:sz w:val="24"/>
                <w:szCs w:val="24"/>
                <w:lang w:val="en-US" w:eastAsia="zh-CN"/>
              </w:rPr>
              <w:t>180000</w:t>
            </w:r>
          </w:p>
        </w:tc>
      </w:tr>
      <w:tr w14:paraId="161623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39" w:hRule="atLeast"/>
          <w:jc w:val="center"/>
        </w:trPr>
        <w:tc>
          <w:tcPr>
            <w:tcW w:w="360" w:type="pct"/>
            <w:vAlign w:val="center"/>
          </w:tcPr>
          <w:p w14:paraId="4DC8B2BC">
            <w:pPr>
              <w:widowControl/>
              <w:jc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rPr>
              <w:t>6</w:t>
            </w:r>
          </w:p>
        </w:tc>
        <w:tc>
          <w:tcPr>
            <w:tcW w:w="1409" w:type="pct"/>
            <w:vAlign w:val="center"/>
          </w:tcPr>
          <w:p w14:paraId="3FDCE696">
            <w:pPr>
              <w:widowControl/>
              <w:jc w:val="center"/>
              <w:rPr>
                <w:rFonts w:hint="eastAsia" w:ascii="宋体" w:hAnsi="宋体" w:eastAsia="宋体" w:cs="宋体"/>
                <w:color w:val="000000"/>
                <w:sz w:val="24"/>
                <w:szCs w:val="24"/>
                <w:lang w:eastAsia="zh-CN"/>
              </w:rPr>
            </w:pPr>
            <w:r>
              <w:rPr>
                <w:rFonts w:hint="eastAsia" w:ascii="宋体" w:hAnsi="宋体" w:eastAsia="宋体" w:cs="宋体"/>
                <w:color w:val="000000"/>
                <w:kern w:val="0"/>
                <w:sz w:val="24"/>
                <w:szCs w:val="24"/>
              </w:rPr>
              <w:t>签名验签</w:t>
            </w:r>
            <w:r>
              <w:rPr>
                <w:rFonts w:hint="eastAsia" w:ascii="宋体" w:hAnsi="宋体" w:cs="宋体"/>
                <w:color w:val="000000"/>
                <w:kern w:val="0"/>
                <w:sz w:val="24"/>
                <w:szCs w:val="24"/>
                <w:lang w:eastAsia="zh-CN"/>
              </w:rPr>
              <w:t>系统</w:t>
            </w:r>
          </w:p>
        </w:tc>
        <w:tc>
          <w:tcPr>
            <w:tcW w:w="363" w:type="pct"/>
            <w:vAlign w:val="center"/>
          </w:tcPr>
          <w:p w14:paraId="3ABE1CE5">
            <w:pPr>
              <w:widowControl/>
              <w:jc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rPr>
              <w:t>1</w:t>
            </w:r>
          </w:p>
        </w:tc>
        <w:tc>
          <w:tcPr>
            <w:tcW w:w="438" w:type="pct"/>
            <w:vAlign w:val="center"/>
          </w:tcPr>
          <w:p w14:paraId="7D73A348">
            <w:pPr>
              <w:spacing w:line="276" w:lineRule="auto"/>
              <w:jc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rPr>
              <w:t>台</w:t>
            </w:r>
          </w:p>
        </w:tc>
        <w:tc>
          <w:tcPr>
            <w:tcW w:w="2114" w:type="dxa"/>
            <w:vAlign w:val="top"/>
          </w:tcPr>
          <w:p w14:paraId="02ED4613">
            <w:pPr>
              <w:spacing w:line="276"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rPr>
              <w:t>上海CA/Unitrust SVS-G V1.0</w:t>
            </w:r>
          </w:p>
        </w:tc>
        <w:tc>
          <w:tcPr>
            <w:tcW w:w="678" w:type="pct"/>
            <w:vAlign w:val="center"/>
          </w:tcPr>
          <w:p w14:paraId="3EC1083C">
            <w:pPr>
              <w:spacing w:line="276" w:lineRule="auto"/>
              <w:jc w:val="center"/>
              <w:rPr>
                <w:rFonts w:hint="default" w:ascii="宋体" w:hAnsi="宋体" w:eastAsia="宋体" w:cs="宋体"/>
                <w:color w:val="000000"/>
                <w:kern w:val="0"/>
                <w:sz w:val="24"/>
                <w:szCs w:val="24"/>
                <w:lang w:val="en-US" w:eastAsia="zh-CN"/>
              </w:rPr>
            </w:pPr>
            <w:r>
              <w:rPr>
                <w:rFonts w:hint="eastAsia" w:ascii="宋体" w:hAnsi="宋体" w:cs="宋体"/>
                <w:color w:val="000000"/>
                <w:kern w:val="0"/>
                <w:sz w:val="24"/>
                <w:szCs w:val="24"/>
                <w:lang w:val="en-US" w:eastAsia="zh-CN"/>
              </w:rPr>
              <w:t>105000</w:t>
            </w:r>
          </w:p>
        </w:tc>
        <w:tc>
          <w:tcPr>
            <w:tcW w:w="686" w:type="pct"/>
            <w:vAlign w:val="center"/>
          </w:tcPr>
          <w:p w14:paraId="793949D4">
            <w:pPr>
              <w:spacing w:line="276" w:lineRule="auto"/>
              <w:jc w:val="center"/>
              <w:rPr>
                <w:rFonts w:hint="default" w:ascii="宋体" w:hAnsi="宋体" w:eastAsia="宋体" w:cs="宋体"/>
                <w:color w:val="000000"/>
                <w:kern w:val="0"/>
                <w:sz w:val="24"/>
                <w:szCs w:val="24"/>
                <w:lang w:val="en-US" w:eastAsia="zh-CN"/>
              </w:rPr>
            </w:pPr>
            <w:r>
              <w:rPr>
                <w:rFonts w:hint="eastAsia" w:ascii="宋体" w:hAnsi="宋体" w:cs="宋体"/>
                <w:color w:val="000000"/>
                <w:kern w:val="0"/>
                <w:sz w:val="24"/>
                <w:szCs w:val="24"/>
                <w:lang w:val="en-US" w:eastAsia="zh-CN"/>
              </w:rPr>
              <w:t>105000</w:t>
            </w:r>
          </w:p>
        </w:tc>
      </w:tr>
      <w:tr w14:paraId="2A3F1F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22" w:hRule="atLeast"/>
          <w:jc w:val="center"/>
        </w:trPr>
        <w:tc>
          <w:tcPr>
            <w:tcW w:w="360" w:type="pct"/>
            <w:vAlign w:val="center"/>
          </w:tcPr>
          <w:p w14:paraId="0F9CB683">
            <w:pPr>
              <w:widowControl/>
              <w:jc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rPr>
              <w:t>7</w:t>
            </w:r>
          </w:p>
        </w:tc>
        <w:tc>
          <w:tcPr>
            <w:tcW w:w="1409" w:type="pct"/>
            <w:vAlign w:val="center"/>
          </w:tcPr>
          <w:p w14:paraId="081A407A">
            <w:pPr>
              <w:widowControl/>
              <w:jc w:val="center"/>
              <w:rPr>
                <w:rFonts w:hint="eastAsia" w:ascii="宋体" w:hAnsi="宋体" w:eastAsia="宋体" w:cs="宋体"/>
                <w:color w:val="000000"/>
                <w:sz w:val="24"/>
                <w:szCs w:val="24"/>
                <w:lang w:eastAsia="zh-CN"/>
              </w:rPr>
            </w:pPr>
            <w:r>
              <w:rPr>
                <w:rFonts w:hint="eastAsia" w:ascii="宋体" w:hAnsi="宋体" w:eastAsia="宋体" w:cs="宋体"/>
                <w:color w:val="000000"/>
                <w:kern w:val="0"/>
                <w:sz w:val="24"/>
                <w:szCs w:val="24"/>
              </w:rPr>
              <w:t>时间戳</w:t>
            </w:r>
            <w:r>
              <w:rPr>
                <w:rFonts w:hint="eastAsia" w:ascii="宋体" w:hAnsi="宋体" w:cs="宋体"/>
                <w:color w:val="000000"/>
                <w:kern w:val="0"/>
                <w:sz w:val="24"/>
                <w:szCs w:val="24"/>
                <w:lang w:eastAsia="zh-CN"/>
              </w:rPr>
              <w:t>系统</w:t>
            </w:r>
          </w:p>
        </w:tc>
        <w:tc>
          <w:tcPr>
            <w:tcW w:w="363" w:type="pct"/>
            <w:vAlign w:val="center"/>
          </w:tcPr>
          <w:p w14:paraId="214A806B">
            <w:pPr>
              <w:widowControl/>
              <w:jc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rPr>
              <w:t>1</w:t>
            </w:r>
          </w:p>
        </w:tc>
        <w:tc>
          <w:tcPr>
            <w:tcW w:w="438" w:type="pct"/>
            <w:vAlign w:val="center"/>
          </w:tcPr>
          <w:p w14:paraId="365D552C">
            <w:pPr>
              <w:spacing w:line="276" w:lineRule="auto"/>
              <w:jc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rPr>
              <w:t>台</w:t>
            </w:r>
          </w:p>
        </w:tc>
        <w:tc>
          <w:tcPr>
            <w:tcW w:w="2114" w:type="dxa"/>
            <w:vAlign w:val="center"/>
          </w:tcPr>
          <w:p w14:paraId="253C6438">
            <w:pPr>
              <w:spacing w:line="276"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rPr>
              <w:t>上海CA/Unitrust TSS-G V1.0</w:t>
            </w:r>
          </w:p>
        </w:tc>
        <w:tc>
          <w:tcPr>
            <w:tcW w:w="678" w:type="pct"/>
            <w:vAlign w:val="center"/>
          </w:tcPr>
          <w:p w14:paraId="063724D9">
            <w:pPr>
              <w:spacing w:line="276" w:lineRule="auto"/>
              <w:jc w:val="center"/>
              <w:rPr>
                <w:rFonts w:hint="eastAsia" w:ascii="宋体" w:hAnsi="宋体" w:eastAsia="宋体" w:cs="宋体"/>
                <w:color w:val="000000"/>
                <w:kern w:val="0"/>
                <w:sz w:val="24"/>
                <w:szCs w:val="24"/>
              </w:rPr>
            </w:pPr>
            <w:r>
              <w:rPr>
                <w:rFonts w:hint="eastAsia" w:ascii="宋体" w:hAnsi="宋体" w:cs="宋体"/>
                <w:color w:val="000000"/>
                <w:kern w:val="0"/>
                <w:sz w:val="24"/>
                <w:szCs w:val="24"/>
                <w:lang w:val="en-US" w:eastAsia="zh-CN"/>
              </w:rPr>
              <w:t>105000</w:t>
            </w:r>
          </w:p>
        </w:tc>
        <w:tc>
          <w:tcPr>
            <w:tcW w:w="686" w:type="pct"/>
            <w:vAlign w:val="center"/>
          </w:tcPr>
          <w:p w14:paraId="2267D71C">
            <w:pPr>
              <w:spacing w:line="276" w:lineRule="auto"/>
              <w:jc w:val="center"/>
              <w:rPr>
                <w:rFonts w:hint="eastAsia" w:ascii="宋体" w:hAnsi="宋体" w:eastAsia="宋体" w:cs="宋体"/>
                <w:color w:val="000000"/>
                <w:kern w:val="0"/>
                <w:sz w:val="24"/>
                <w:szCs w:val="24"/>
              </w:rPr>
            </w:pPr>
            <w:r>
              <w:rPr>
                <w:rFonts w:hint="eastAsia" w:ascii="宋体" w:hAnsi="宋体" w:cs="宋体"/>
                <w:color w:val="000000"/>
                <w:kern w:val="0"/>
                <w:sz w:val="24"/>
                <w:szCs w:val="24"/>
                <w:lang w:val="en-US" w:eastAsia="zh-CN"/>
              </w:rPr>
              <w:t>105000</w:t>
            </w:r>
          </w:p>
        </w:tc>
      </w:tr>
      <w:tr w14:paraId="1A5DD3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22" w:hRule="atLeast"/>
          <w:jc w:val="center"/>
        </w:trPr>
        <w:tc>
          <w:tcPr>
            <w:tcW w:w="360" w:type="pct"/>
            <w:vAlign w:val="center"/>
          </w:tcPr>
          <w:p w14:paraId="1EC3B426">
            <w:pPr>
              <w:widowControl/>
              <w:jc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rPr>
              <w:t>8</w:t>
            </w:r>
          </w:p>
        </w:tc>
        <w:tc>
          <w:tcPr>
            <w:tcW w:w="1409" w:type="pct"/>
            <w:vAlign w:val="center"/>
          </w:tcPr>
          <w:p w14:paraId="73AA76CF">
            <w:pPr>
              <w:widowControl/>
              <w:jc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rPr>
              <w:t>堡垒机密码模块升级</w:t>
            </w:r>
          </w:p>
        </w:tc>
        <w:tc>
          <w:tcPr>
            <w:tcW w:w="363" w:type="pct"/>
            <w:vAlign w:val="center"/>
          </w:tcPr>
          <w:p w14:paraId="61149C57">
            <w:pPr>
              <w:widowControl/>
              <w:jc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rPr>
              <w:t>1</w:t>
            </w:r>
          </w:p>
        </w:tc>
        <w:tc>
          <w:tcPr>
            <w:tcW w:w="438" w:type="pct"/>
            <w:vAlign w:val="center"/>
          </w:tcPr>
          <w:p w14:paraId="12E692F0">
            <w:pPr>
              <w:spacing w:line="276" w:lineRule="auto"/>
              <w:jc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rPr>
              <w:t>套</w:t>
            </w:r>
          </w:p>
        </w:tc>
        <w:tc>
          <w:tcPr>
            <w:tcW w:w="2114" w:type="dxa"/>
            <w:vAlign w:val="top"/>
          </w:tcPr>
          <w:p w14:paraId="748B5FE4">
            <w:pPr>
              <w:spacing w:line="276"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rPr>
              <w:t>上海CA/Unitrust V2.0</w:t>
            </w:r>
          </w:p>
        </w:tc>
        <w:tc>
          <w:tcPr>
            <w:tcW w:w="678" w:type="pct"/>
            <w:vAlign w:val="center"/>
          </w:tcPr>
          <w:p w14:paraId="44BD1071">
            <w:pPr>
              <w:spacing w:line="276" w:lineRule="auto"/>
              <w:jc w:val="center"/>
              <w:rPr>
                <w:rFonts w:hint="default" w:ascii="宋体" w:hAnsi="宋体" w:eastAsia="宋体" w:cs="宋体"/>
                <w:color w:val="000000"/>
                <w:kern w:val="0"/>
                <w:sz w:val="24"/>
                <w:szCs w:val="24"/>
                <w:lang w:val="en-US" w:eastAsia="zh-CN"/>
              </w:rPr>
            </w:pPr>
            <w:r>
              <w:rPr>
                <w:rFonts w:hint="eastAsia" w:ascii="宋体" w:hAnsi="宋体" w:cs="宋体"/>
                <w:color w:val="000000"/>
                <w:kern w:val="0"/>
                <w:sz w:val="24"/>
                <w:szCs w:val="24"/>
                <w:lang w:val="en-US" w:eastAsia="zh-CN"/>
              </w:rPr>
              <w:t>50000</w:t>
            </w:r>
          </w:p>
        </w:tc>
        <w:tc>
          <w:tcPr>
            <w:tcW w:w="686" w:type="pct"/>
            <w:vAlign w:val="center"/>
          </w:tcPr>
          <w:p w14:paraId="62753B02">
            <w:pPr>
              <w:spacing w:line="276" w:lineRule="auto"/>
              <w:jc w:val="center"/>
              <w:rPr>
                <w:rFonts w:hint="default" w:ascii="宋体" w:hAnsi="宋体" w:eastAsia="宋体" w:cs="宋体"/>
                <w:color w:val="000000"/>
                <w:kern w:val="0"/>
                <w:sz w:val="24"/>
                <w:szCs w:val="24"/>
                <w:lang w:val="en-US" w:eastAsia="zh-CN"/>
              </w:rPr>
            </w:pPr>
            <w:r>
              <w:rPr>
                <w:rFonts w:hint="eastAsia" w:ascii="宋体" w:hAnsi="宋体" w:cs="宋体"/>
                <w:color w:val="000000"/>
                <w:kern w:val="0"/>
                <w:sz w:val="24"/>
                <w:szCs w:val="24"/>
                <w:lang w:val="en-US" w:eastAsia="zh-CN"/>
              </w:rPr>
              <w:t>50000</w:t>
            </w:r>
          </w:p>
        </w:tc>
      </w:tr>
      <w:tr w14:paraId="2B9ADF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22" w:hRule="atLeast"/>
          <w:jc w:val="center"/>
        </w:trPr>
        <w:tc>
          <w:tcPr>
            <w:tcW w:w="360" w:type="pct"/>
            <w:vAlign w:val="center"/>
          </w:tcPr>
          <w:p w14:paraId="7C3D2CBD">
            <w:pPr>
              <w:widowControl/>
              <w:jc w:val="center"/>
              <w:rPr>
                <w:rFonts w:hint="eastAsia" w:ascii="宋体" w:hAnsi="宋体" w:eastAsia="宋体" w:cs="宋体"/>
                <w:color w:val="000000"/>
                <w:sz w:val="24"/>
                <w:szCs w:val="24"/>
              </w:rPr>
            </w:pPr>
            <w:r>
              <w:rPr>
                <w:rFonts w:hint="eastAsia" w:ascii="宋体" w:hAnsi="宋体" w:cs="宋体"/>
                <w:color w:val="000000"/>
                <w:kern w:val="0"/>
                <w:sz w:val="24"/>
                <w:szCs w:val="24"/>
                <w:lang w:val="en-US" w:eastAsia="zh-CN"/>
              </w:rPr>
              <w:t>9</w:t>
            </w:r>
          </w:p>
        </w:tc>
        <w:tc>
          <w:tcPr>
            <w:tcW w:w="1409" w:type="pct"/>
            <w:vAlign w:val="center"/>
          </w:tcPr>
          <w:p w14:paraId="474E3985">
            <w:pPr>
              <w:widowControl/>
              <w:jc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rPr>
              <w:t xml:space="preserve">OV </w:t>
            </w:r>
            <w:r>
              <w:rPr>
                <w:rFonts w:hint="eastAsia" w:ascii="宋体" w:hAnsi="宋体" w:eastAsia="宋体" w:cs="宋体"/>
                <w:color w:val="000000"/>
                <w:kern w:val="0"/>
                <w:sz w:val="24"/>
                <w:szCs w:val="24"/>
              </w:rPr>
              <w:t>SSL</w:t>
            </w:r>
            <w:r>
              <w:rPr>
                <w:rFonts w:hint="eastAsia" w:ascii="宋体" w:hAnsi="宋体" w:eastAsia="宋体" w:cs="宋体"/>
                <w:color w:val="000000"/>
                <w:kern w:val="0"/>
                <w:sz w:val="24"/>
                <w:szCs w:val="24"/>
                <w:lang w:eastAsia="zh-CN"/>
              </w:rPr>
              <w:t>（</w:t>
            </w:r>
            <w:r>
              <w:rPr>
                <w:rFonts w:hint="eastAsia" w:ascii="宋体" w:hAnsi="宋体" w:eastAsia="宋体" w:cs="宋体"/>
                <w:color w:val="000000"/>
                <w:kern w:val="0"/>
                <w:sz w:val="24"/>
                <w:szCs w:val="24"/>
                <w:lang w:val="en-US" w:eastAsia="zh-CN"/>
              </w:rPr>
              <w:t>通配符</w:t>
            </w:r>
            <w:r>
              <w:rPr>
                <w:rFonts w:hint="eastAsia" w:ascii="宋体" w:hAnsi="宋体" w:eastAsia="宋体" w:cs="宋体"/>
                <w:color w:val="000000"/>
                <w:kern w:val="0"/>
                <w:sz w:val="24"/>
                <w:szCs w:val="24"/>
                <w:lang w:eastAsia="zh-CN"/>
              </w:rPr>
              <w:t>）</w:t>
            </w:r>
            <w:r>
              <w:rPr>
                <w:rFonts w:hint="eastAsia" w:ascii="宋体" w:hAnsi="宋体" w:eastAsia="宋体" w:cs="宋体"/>
                <w:color w:val="000000"/>
                <w:kern w:val="0"/>
                <w:sz w:val="24"/>
                <w:szCs w:val="24"/>
              </w:rPr>
              <w:t>证书</w:t>
            </w:r>
          </w:p>
        </w:tc>
        <w:tc>
          <w:tcPr>
            <w:tcW w:w="363" w:type="pct"/>
            <w:vAlign w:val="center"/>
          </w:tcPr>
          <w:p w14:paraId="01DFF3EF">
            <w:pPr>
              <w:widowControl/>
              <w:jc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rPr>
              <w:t>2</w:t>
            </w:r>
          </w:p>
        </w:tc>
        <w:tc>
          <w:tcPr>
            <w:tcW w:w="438" w:type="pct"/>
            <w:vAlign w:val="center"/>
          </w:tcPr>
          <w:p w14:paraId="759A4452">
            <w:pPr>
              <w:spacing w:line="276" w:lineRule="auto"/>
              <w:jc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rPr>
              <w:t>张</w:t>
            </w:r>
          </w:p>
        </w:tc>
        <w:tc>
          <w:tcPr>
            <w:tcW w:w="2114" w:type="dxa"/>
            <w:vAlign w:val="top"/>
          </w:tcPr>
          <w:p w14:paraId="25363DD1">
            <w:pPr>
              <w:spacing w:line="276"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rPr>
              <w:t>上海CA/SHECA1.3</w:t>
            </w:r>
          </w:p>
        </w:tc>
        <w:tc>
          <w:tcPr>
            <w:tcW w:w="678" w:type="pct"/>
            <w:vAlign w:val="center"/>
          </w:tcPr>
          <w:p w14:paraId="4CC7F15C">
            <w:pPr>
              <w:spacing w:line="276" w:lineRule="auto"/>
              <w:jc w:val="center"/>
              <w:rPr>
                <w:rFonts w:hint="default" w:ascii="宋体" w:hAnsi="宋体" w:eastAsia="宋体" w:cs="宋体"/>
                <w:color w:val="000000"/>
                <w:kern w:val="0"/>
                <w:sz w:val="24"/>
                <w:szCs w:val="24"/>
                <w:lang w:val="en-US" w:eastAsia="zh-CN"/>
              </w:rPr>
            </w:pPr>
            <w:r>
              <w:rPr>
                <w:rFonts w:hint="eastAsia" w:ascii="宋体" w:hAnsi="宋体" w:cs="宋体"/>
                <w:color w:val="000000"/>
                <w:kern w:val="0"/>
                <w:sz w:val="24"/>
                <w:szCs w:val="24"/>
                <w:lang w:val="en-US" w:eastAsia="zh-CN"/>
              </w:rPr>
              <w:t>25000</w:t>
            </w:r>
          </w:p>
        </w:tc>
        <w:tc>
          <w:tcPr>
            <w:tcW w:w="686" w:type="pct"/>
            <w:vAlign w:val="center"/>
          </w:tcPr>
          <w:p w14:paraId="0B20EA6E">
            <w:pPr>
              <w:spacing w:line="276" w:lineRule="auto"/>
              <w:jc w:val="center"/>
              <w:rPr>
                <w:rFonts w:hint="default" w:ascii="宋体" w:hAnsi="宋体" w:eastAsia="宋体" w:cs="宋体"/>
                <w:color w:val="000000"/>
                <w:kern w:val="0"/>
                <w:sz w:val="24"/>
                <w:szCs w:val="24"/>
                <w:lang w:val="en-US" w:eastAsia="zh-CN"/>
              </w:rPr>
            </w:pPr>
            <w:r>
              <w:rPr>
                <w:rFonts w:hint="eastAsia" w:ascii="宋体" w:hAnsi="宋体" w:cs="宋体"/>
                <w:color w:val="000000"/>
                <w:kern w:val="0"/>
                <w:sz w:val="24"/>
                <w:szCs w:val="24"/>
                <w:lang w:val="en-US" w:eastAsia="zh-CN"/>
              </w:rPr>
              <w:t>50000</w:t>
            </w:r>
          </w:p>
        </w:tc>
      </w:tr>
      <w:tr w14:paraId="2CEB65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22" w:hRule="atLeast"/>
          <w:jc w:val="center"/>
        </w:trPr>
        <w:tc>
          <w:tcPr>
            <w:tcW w:w="360" w:type="pct"/>
            <w:vAlign w:val="center"/>
          </w:tcPr>
          <w:p w14:paraId="7BCFA4FB">
            <w:pPr>
              <w:widowControl/>
              <w:jc w:val="center"/>
              <w:rPr>
                <w:rFonts w:hint="eastAsia" w:ascii="宋体" w:hAnsi="宋体" w:eastAsia="宋体" w:cs="宋体"/>
                <w:color w:val="000000"/>
                <w:sz w:val="24"/>
                <w:szCs w:val="24"/>
                <w:lang w:eastAsia="zh-CN"/>
              </w:rPr>
            </w:pPr>
            <w:r>
              <w:rPr>
                <w:rFonts w:hint="eastAsia" w:ascii="宋体" w:hAnsi="宋体" w:eastAsia="宋体" w:cs="宋体"/>
                <w:color w:val="000000"/>
                <w:kern w:val="0"/>
                <w:sz w:val="24"/>
                <w:szCs w:val="24"/>
              </w:rPr>
              <w:t>1</w:t>
            </w:r>
            <w:r>
              <w:rPr>
                <w:rFonts w:hint="eastAsia" w:ascii="宋体" w:hAnsi="宋体" w:cs="宋体"/>
                <w:color w:val="000000"/>
                <w:kern w:val="0"/>
                <w:sz w:val="24"/>
                <w:szCs w:val="24"/>
                <w:lang w:val="en-US" w:eastAsia="zh-CN"/>
              </w:rPr>
              <w:t>0</w:t>
            </w:r>
          </w:p>
        </w:tc>
        <w:tc>
          <w:tcPr>
            <w:tcW w:w="1409" w:type="pct"/>
            <w:vAlign w:val="center"/>
          </w:tcPr>
          <w:p w14:paraId="2229A9C7">
            <w:pPr>
              <w:widowControl/>
              <w:jc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rPr>
              <w:t>商用密码应用安全性评估服务</w:t>
            </w:r>
          </w:p>
        </w:tc>
        <w:tc>
          <w:tcPr>
            <w:tcW w:w="363" w:type="pct"/>
            <w:vAlign w:val="center"/>
          </w:tcPr>
          <w:p w14:paraId="2F966F19">
            <w:pPr>
              <w:widowControl/>
              <w:jc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rPr>
              <w:t>1</w:t>
            </w:r>
          </w:p>
        </w:tc>
        <w:tc>
          <w:tcPr>
            <w:tcW w:w="438" w:type="pct"/>
            <w:vAlign w:val="center"/>
          </w:tcPr>
          <w:p w14:paraId="1308D592">
            <w:pPr>
              <w:spacing w:line="276" w:lineRule="auto"/>
              <w:jc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rPr>
              <w:t>套</w:t>
            </w:r>
          </w:p>
        </w:tc>
        <w:tc>
          <w:tcPr>
            <w:tcW w:w="2114" w:type="dxa"/>
            <w:vAlign w:val="top"/>
          </w:tcPr>
          <w:p w14:paraId="7F0B0C66">
            <w:pPr>
              <w:spacing w:line="276"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rPr>
              <w:t>/</w:t>
            </w:r>
          </w:p>
        </w:tc>
        <w:tc>
          <w:tcPr>
            <w:tcW w:w="678" w:type="pct"/>
            <w:vAlign w:val="center"/>
          </w:tcPr>
          <w:p w14:paraId="587BAA59">
            <w:pPr>
              <w:spacing w:line="276" w:lineRule="auto"/>
              <w:jc w:val="center"/>
              <w:rPr>
                <w:rFonts w:hint="default" w:ascii="宋体" w:hAnsi="宋体" w:eastAsia="宋体" w:cs="宋体"/>
                <w:color w:val="000000"/>
                <w:kern w:val="0"/>
                <w:sz w:val="24"/>
                <w:szCs w:val="24"/>
                <w:lang w:val="en-US" w:eastAsia="zh-CN"/>
              </w:rPr>
            </w:pPr>
            <w:r>
              <w:rPr>
                <w:rFonts w:hint="eastAsia" w:ascii="宋体" w:hAnsi="宋体" w:cs="宋体"/>
                <w:color w:val="000000"/>
                <w:kern w:val="0"/>
                <w:sz w:val="24"/>
                <w:szCs w:val="24"/>
                <w:lang w:val="en-US" w:eastAsia="zh-CN"/>
              </w:rPr>
              <w:t>80000</w:t>
            </w:r>
          </w:p>
        </w:tc>
        <w:tc>
          <w:tcPr>
            <w:tcW w:w="686" w:type="pct"/>
            <w:vAlign w:val="center"/>
          </w:tcPr>
          <w:p w14:paraId="2C05383A">
            <w:pPr>
              <w:spacing w:line="276" w:lineRule="auto"/>
              <w:jc w:val="center"/>
              <w:rPr>
                <w:rFonts w:hint="default" w:ascii="宋体" w:hAnsi="宋体" w:eastAsia="宋体" w:cs="宋体"/>
                <w:color w:val="000000"/>
                <w:kern w:val="0"/>
                <w:sz w:val="24"/>
                <w:szCs w:val="24"/>
                <w:lang w:val="en-US" w:eastAsia="zh-CN"/>
              </w:rPr>
            </w:pPr>
            <w:r>
              <w:rPr>
                <w:rFonts w:hint="eastAsia" w:ascii="宋体" w:hAnsi="宋体" w:cs="宋体"/>
                <w:color w:val="000000"/>
                <w:kern w:val="0"/>
                <w:sz w:val="24"/>
                <w:szCs w:val="24"/>
                <w:lang w:val="en-US" w:eastAsia="zh-CN"/>
              </w:rPr>
              <w:t>80000</w:t>
            </w:r>
          </w:p>
        </w:tc>
      </w:tr>
      <w:tr w14:paraId="6A3455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22" w:hRule="atLeast"/>
          <w:jc w:val="center"/>
        </w:trPr>
        <w:tc>
          <w:tcPr>
            <w:tcW w:w="360" w:type="pct"/>
            <w:vAlign w:val="center"/>
          </w:tcPr>
          <w:p w14:paraId="5C763ABC">
            <w:pPr>
              <w:widowControl/>
              <w:jc w:val="center"/>
              <w:rPr>
                <w:rFonts w:hint="eastAsia" w:ascii="宋体" w:hAnsi="宋体" w:eastAsia="宋体" w:cs="宋体"/>
                <w:color w:val="000000"/>
                <w:kern w:val="0"/>
                <w:sz w:val="24"/>
                <w:szCs w:val="24"/>
                <w:lang w:val="en-US" w:eastAsia="zh-CN"/>
              </w:rPr>
            </w:pPr>
            <w:r>
              <w:rPr>
                <w:rFonts w:hint="eastAsia" w:ascii="宋体" w:hAnsi="宋体" w:cs="宋体"/>
                <w:color w:val="000000"/>
                <w:kern w:val="0"/>
                <w:sz w:val="24"/>
                <w:szCs w:val="24"/>
                <w:lang w:val="en-US" w:eastAsia="zh-CN"/>
              </w:rPr>
              <w:t>合计</w:t>
            </w:r>
          </w:p>
        </w:tc>
        <w:tc>
          <w:tcPr>
            <w:tcW w:w="4639" w:type="pct"/>
            <w:gridSpan w:val="6"/>
            <w:vAlign w:val="center"/>
          </w:tcPr>
          <w:p w14:paraId="7313B736">
            <w:pPr>
              <w:spacing w:line="276" w:lineRule="auto"/>
              <w:jc w:val="center"/>
              <w:rPr>
                <w:rFonts w:hint="default" w:ascii="宋体" w:hAnsi="宋体" w:eastAsia="宋体" w:cs="宋体"/>
                <w:color w:val="000000"/>
                <w:kern w:val="0"/>
                <w:sz w:val="24"/>
                <w:szCs w:val="24"/>
                <w:lang w:val="en-US" w:eastAsia="zh-CN"/>
              </w:rPr>
            </w:pPr>
            <w:r>
              <w:rPr>
                <w:rFonts w:hint="eastAsia" w:ascii="宋体" w:hAnsi="宋体" w:cs="宋体"/>
                <w:color w:val="000000"/>
                <w:kern w:val="0"/>
                <w:sz w:val="24"/>
                <w:szCs w:val="24"/>
                <w:lang w:val="en-US" w:eastAsia="zh-CN"/>
              </w:rPr>
              <w:t>人民币壹佰柒拾柒万玖仟元整（¥1779000.00）</w:t>
            </w:r>
          </w:p>
        </w:tc>
      </w:tr>
    </w:tbl>
    <w:p w14:paraId="0FDB99D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highlight w:val="none"/>
          <w:lang w:val="zh-CN"/>
        </w:rPr>
      </w:pPr>
      <w:r>
        <w:rPr>
          <w:rFonts w:hint="eastAsia" w:ascii="宋体" w:hAnsi="宋体" w:eastAsia="宋体" w:cs="宋体"/>
          <w:color w:val="000000"/>
          <w:kern w:val="0"/>
          <w:sz w:val="24"/>
          <w:szCs w:val="24"/>
          <w:highlight w:val="none"/>
        </w:rPr>
        <w:t>2.2 具体内容详见附件，参见</w:t>
      </w:r>
      <w:r>
        <w:rPr>
          <w:rFonts w:hint="eastAsia" w:ascii="宋体" w:hAnsi="宋体" w:eastAsia="宋体" w:cs="宋体"/>
          <w:color w:val="000000"/>
          <w:kern w:val="0"/>
          <w:sz w:val="24"/>
          <w:szCs w:val="24"/>
          <w:highlight w:val="none"/>
          <w:lang w:eastAsia="zh-CN"/>
        </w:rPr>
        <w:t>招标文件</w:t>
      </w:r>
      <w:r>
        <w:rPr>
          <w:rFonts w:hint="eastAsia" w:ascii="宋体" w:hAnsi="宋体" w:eastAsia="宋体" w:cs="宋体"/>
          <w:color w:val="000000"/>
          <w:kern w:val="0"/>
          <w:sz w:val="24"/>
          <w:szCs w:val="24"/>
          <w:highlight w:val="none"/>
        </w:rPr>
        <w:t>及乙方的响应文件。</w:t>
      </w:r>
    </w:p>
    <w:p w14:paraId="78F2C23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highlight w:val="none"/>
          <w:lang w:val="zh-CN"/>
        </w:rPr>
      </w:pPr>
      <w:r>
        <w:rPr>
          <w:rFonts w:hint="eastAsia" w:ascii="宋体" w:hAnsi="宋体" w:eastAsia="宋体" w:cs="宋体"/>
          <w:color w:val="000000"/>
          <w:kern w:val="0"/>
          <w:sz w:val="24"/>
          <w:szCs w:val="24"/>
          <w:highlight w:val="none"/>
          <w:lang w:val="zh-CN"/>
        </w:rPr>
        <w:t>3、本合同履行期限：</w:t>
      </w:r>
      <w:r>
        <w:rPr>
          <w:rFonts w:hint="eastAsia" w:ascii="宋体" w:hAnsi="宋体" w:eastAsia="宋体" w:cs="宋体"/>
          <w:b w:val="0"/>
          <w:bCs w:val="0"/>
          <w:sz w:val="24"/>
          <w:szCs w:val="24"/>
          <w:highlight w:val="none"/>
          <w:lang w:val="zh-CN" w:eastAsia="zh-CN"/>
        </w:rPr>
        <w:t>合同签订后</w:t>
      </w:r>
      <w:r>
        <w:rPr>
          <w:rFonts w:hint="eastAsia" w:ascii="宋体" w:hAnsi="宋体" w:eastAsia="宋体" w:cs="宋体"/>
          <w:b w:val="0"/>
          <w:bCs w:val="0"/>
          <w:sz w:val="24"/>
          <w:szCs w:val="24"/>
          <w:highlight w:val="none"/>
          <w:lang w:val="en-US" w:eastAsia="zh-CN"/>
        </w:rPr>
        <w:t>3个月</w:t>
      </w:r>
      <w:r>
        <w:rPr>
          <w:rFonts w:hint="eastAsia" w:ascii="宋体" w:hAnsi="宋体" w:eastAsia="宋体" w:cs="宋体"/>
          <w:b w:val="0"/>
          <w:bCs w:val="0"/>
          <w:sz w:val="24"/>
          <w:szCs w:val="24"/>
          <w:highlight w:val="none"/>
          <w:lang w:val="zh-CN" w:eastAsia="zh-CN"/>
        </w:rPr>
        <w:t>内建设完成。</w:t>
      </w:r>
    </w:p>
    <w:p w14:paraId="5BB2A04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highlight w:val="none"/>
          <w:lang w:val="zh-CN"/>
        </w:rPr>
      </w:pPr>
      <w:r>
        <w:rPr>
          <w:rFonts w:hint="eastAsia" w:ascii="宋体" w:hAnsi="宋体" w:eastAsia="宋体" w:cs="宋体"/>
          <w:color w:val="000000"/>
          <w:kern w:val="0"/>
          <w:sz w:val="24"/>
          <w:szCs w:val="24"/>
          <w:highlight w:val="none"/>
          <w:lang w:val="zh-CN"/>
        </w:rPr>
        <w:t>4、服务地点：甲方指定地点。</w:t>
      </w:r>
    </w:p>
    <w:p w14:paraId="71779F4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highlight w:val="none"/>
          <w:lang w:val="zh-CN"/>
        </w:rPr>
      </w:pPr>
      <w:r>
        <w:rPr>
          <w:rFonts w:hint="eastAsia" w:ascii="宋体" w:hAnsi="宋体" w:eastAsia="宋体" w:cs="宋体"/>
          <w:color w:val="000000"/>
          <w:kern w:val="0"/>
          <w:sz w:val="24"/>
          <w:szCs w:val="24"/>
          <w:highlight w:val="none"/>
          <w:lang w:val="zh-CN"/>
        </w:rPr>
        <w:t>5、免费质保期：</w:t>
      </w:r>
    </w:p>
    <w:p w14:paraId="52A924C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highlight w:val="none"/>
          <w:lang w:val="zh-CN"/>
        </w:rPr>
      </w:pPr>
      <w:r>
        <w:rPr>
          <w:rFonts w:hint="eastAsia" w:ascii="宋体" w:hAnsi="宋体" w:eastAsia="宋体" w:cs="宋体"/>
          <w:szCs w:val="24"/>
          <w:highlight w:val="none"/>
          <w:lang w:val="en-US" w:eastAsia="zh-CN"/>
        </w:rPr>
        <w:t>（1）售后服务质保年限：最终验收达到合格</w:t>
      </w:r>
      <w:r>
        <w:rPr>
          <w:rFonts w:hint="eastAsia" w:ascii="宋体" w:hAnsi="宋体" w:eastAsia="宋体" w:cs="宋体"/>
          <w:highlight w:val="none"/>
        </w:rPr>
        <w:t>并交付使用</w:t>
      </w:r>
      <w:r>
        <w:rPr>
          <w:rFonts w:hint="eastAsia" w:ascii="宋体" w:hAnsi="宋体" w:eastAsia="宋体" w:cs="宋体"/>
          <w:szCs w:val="24"/>
          <w:highlight w:val="none"/>
          <w:lang w:val="en-US" w:eastAsia="zh-CN"/>
        </w:rPr>
        <w:t>后免费质保5年，</w:t>
      </w:r>
      <w:r>
        <w:rPr>
          <w:rFonts w:hint="eastAsia" w:ascii="宋体" w:hAnsi="宋体" w:eastAsia="宋体" w:cs="宋体"/>
          <w:b w:val="0"/>
          <w:bCs w:val="0"/>
          <w:sz w:val="24"/>
          <w:szCs w:val="24"/>
          <w:highlight w:val="none"/>
          <w:lang w:val="en-US" w:eastAsia="zh-CN"/>
        </w:rPr>
        <w:t>免费维护期结束后，应保证以优惠价格进行系统技术支持和维护。</w:t>
      </w:r>
    </w:p>
    <w:p w14:paraId="7CAA1057">
      <w:pPr>
        <w:wordWrap w:val="0"/>
        <w:spacing w:line="360" w:lineRule="auto"/>
        <w:ind w:firstLine="480" w:firstLineChars="200"/>
        <w:rPr>
          <w:rFonts w:hint="eastAsia" w:ascii="宋体" w:hAnsi="宋体" w:eastAsia="宋体" w:cs="宋体"/>
          <w:szCs w:val="24"/>
          <w:highlight w:val="none"/>
          <w:lang w:val="en-US" w:eastAsia="zh-CN"/>
        </w:rPr>
      </w:pPr>
      <w:r>
        <w:rPr>
          <w:rFonts w:hint="eastAsia" w:ascii="宋体" w:hAnsi="宋体" w:eastAsia="宋体" w:cs="宋体"/>
          <w:szCs w:val="24"/>
          <w:highlight w:val="none"/>
          <w:lang w:val="en-US" w:eastAsia="zh-CN"/>
        </w:rPr>
        <w:t>（2）售后服务团队：乙方需建立售后服务机构以及提供专业化的技术服务团队，包括不限于售后服务工程师。在项目质保期内提供快速、及时的故障排除、技术咨询等服务。</w:t>
      </w:r>
    </w:p>
    <w:p w14:paraId="64ECF6B0">
      <w:pPr>
        <w:wordWrap w:val="0"/>
        <w:spacing w:line="360" w:lineRule="auto"/>
        <w:ind w:firstLine="480" w:firstLineChars="200"/>
        <w:rPr>
          <w:rFonts w:hint="eastAsia" w:ascii="宋体" w:hAnsi="宋体" w:eastAsia="宋体" w:cs="宋体"/>
          <w:szCs w:val="24"/>
          <w:highlight w:val="none"/>
          <w:lang w:val="en-US" w:eastAsia="zh-CN"/>
        </w:rPr>
      </w:pPr>
      <w:r>
        <w:rPr>
          <w:rFonts w:hint="eastAsia" w:ascii="宋体" w:hAnsi="宋体" w:eastAsia="宋体" w:cs="宋体"/>
          <w:szCs w:val="24"/>
          <w:highlight w:val="none"/>
          <w:lang w:val="en-US" w:eastAsia="zh-CN"/>
        </w:rPr>
        <w:t>（3）售后服务方式：提供包括但不限于电话支持服务、现场支持服务、远程支持服务方式满足甲方服务需求。</w:t>
      </w:r>
    </w:p>
    <w:p w14:paraId="24318B7A">
      <w:pPr>
        <w:wordWrap w:val="0"/>
        <w:spacing w:line="360" w:lineRule="auto"/>
        <w:ind w:firstLine="480" w:firstLineChars="200"/>
        <w:rPr>
          <w:rFonts w:hint="eastAsia" w:ascii="宋体" w:hAnsi="宋体" w:eastAsia="宋体" w:cs="宋体"/>
          <w:szCs w:val="24"/>
          <w:highlight w:val="none"/>
          <w:lang w:val="en-US" w:eastAsia="zh-CN"/>
        </w:rPr>
      </w:pPr>
      <w:r>
        <w:rPr>
          <w:rFonts w:hint="eastAsia" w:ascii="宋体" w:hAnsi="宋体" w:eastAsia="宋体" w:cs="宋体"/>
          <w:szCs w:val="24"/>
          <w:highlight w:val="none"/>
          <w:lang w:val="en-US" w:eastAsia="zh-CN"/>
        </w:rPr>
        <w:t>（4）售后服务时间：售后服务时间不低于如下要求：</w:t>
      </w:r>
    </w:p>
    <w:p w14:paraId="1B0727F8">
      <w:pPr>
        <w:wordWrap w:val="0"/>
        <w:spacing w:line="360" w:lineRule="auto"/>
        <w:ind w:firstLine="480" w:firstLineChars="200"/>
        <w:rPr>
          <w:rFonts w:hint="eastAsia" w:ascii="宋体" w:hAnsi="宋体" w:eastAsia="宋体" w:cs="宋体"/>
          <w:szCs w:val="24"/>
          <w:highlight w:val="none"/>
          <w:lang w:val="en-US" w:eastAsia="zh-CN"/>
        </w:rPr>
      </w:pPr>
      <w:r>
        <w:rPr>
          <w:rFonts w:hint="eastAsia" w:ascii="宋体" w:hAnsi="宋体" w:eastAsia="宋体" w:cs="宋体"/>
          <w:szCs w:val="24"/>
          <w:highlight w:val="none"/>
          <w:lang w:val="en-US" w:eastAsia="zh-CN"/>
        </w:rPr>
        <w:t>电话支持服务：乙方需提供7*24小时电话服务，随时接受客户对系统操作的技术咨询和技术交流，及时解答客户遇到的问题，并定期电话回访客户进行满意度调查。乙方在接到故障报修服务要求时，1小时内做出明确响应和安排。</w:t>
      </w:r>
    </w:p>
    <w:p w14:paraId="4CFE4DDF">
      <w:pPr>
        <w:wordWrap w:val="0"/>
        <w:spacing w:line="360" w:lineRule="auto"/>
        <w:ind w:firstLine="480" w:firstLineChars="200"/>
        <w:rPr>
          <w:rFonts w:hint="eastAsia" w:ascii="宋体" w:hAnsi="宋体" w:eastAsia="宋体" w:cs="宋体"/>
          <w:szCs w:val="24"/>
          <w:highlight w:val="none"/>
          <w:lang w:val="en-US" w:eastAsia="zh-CN"/>
        </w:rPr>
      </w:pPr>
      <w:r>
        <w:rPr>
          <w:rFonts w:hint="eastAsia" w:ascii="宋体" w:hAnsi="宋体" w:eastAsia="宋体" w:cs="宋体"/>
          <w:szCs w:val="24"/>
          <w:highlight w:val="none"/>
          <w:lang w:val="en-US" w:eastAsia="zh-CN"/>
        </w:rPr>
        <w:t>远程支持服务：提供多样化线上服务渠道，包括但不限于邮件、微信；采用远程技术方法在2小时内给予排除，若远程方法无法排除，应派遣技术人员提供上门支持服务。</w:t>
      </w:r>
    </w:p>
    <w:p w14:paraId="5D4BEA5E">
      <w:pPr>
        <w:wordWrap w:val="0"/>
        <w:spacing w:line="360" w:lineRule="auto"/>
        <w:ind w:firstLine="480" w:firstLineChars="200"/>
        <w:rPr>
          <w:rFonts w:hint="eastAsia" w:ascii="宋体" w:hAnsi="宋体" w:eastAsia="宋体" w:cs="宋体"/>
          <w:szCs w:val="24"/>
          <w:highlight w:val="none"/>
          <w:lang w:val="en-US" w:eastAsia="zh-CN"/>
        </w:rPr>
      </w:pPr>
      <w:r>
        <w:rPr>
          <w:rFonts w:hint="eastAsia" w:ascii="宋体" w:hAnsi="宋体" w:eastAsia="宋体" w:cs="宋体"/>
          <w:szCs w:val="24"/>
          <w:highlight w:val="none"/>
          <w:lang w:val="en-US" w:eastAsia="zh-CN"/>
        </w:rPr>
        <w:t>现场支持服务：24小时内赶到现场进行问题处理。</w:t>
      </w:r>
    </w:p>
    <w:p w14:paraId="5518304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6、免费质保期满后年维保价格不超过合同总价的5%；免费质保期满后，甲方可在任意年度或时间段购买、投保，没有连续续签的要求，乙方对此予以认可及接受、并承担设备更新迭代的相关费用。</w:t>
      </w:r>
    </w:p>
    <w:p w14:paraId="3BE07BC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highlight w:val="none"/>
          <w:lang w:val="zh-CN"/>
        </w:rPr>
      </w:pPr>
      <w:r>
        <w:rPr>
          <w:rFonts w:hint="eastAsia" w:ascii="宋体" w:hAnsi="宋体" w:eastAsia="宋体" w:cs="宋体"/>
          <w:color w:val="000000"/>
          <w:kern w:val="0"/>
          <w:sz w:val="24"/>
          <w:szCs w:val="24"/>
          <w:highlight w:val="none"/>
        </w:rPr>
        <w:t>7</w:t>
      </w:r>
      <w:r>
        <w:rPr>
          <w:rFonts w:hint="eastAsia" w:ascii="宋体" w:hAnsi="宋体" w:eastAsia="宋体" w:cs="宋体"/>
          <w:color w:val="000000"/>
          <w:kern w:val="0"/>
          <w:sz w:val="24"/>
          <w:szCs w:val="24"/>
          <w:highlight w:val="none"/>
          <w:lang w:val="zh-CN"/>
        </w:rPr>
        <w:t>、招标文件的售后服务要求或乙方投标文件或其他承诺优于本合同的，按照招标文件和乙方在投标书或其他文件中承诺的服务标准执行。</w:t>
      </w:r>
    </w:p>
    <w:p w14:paraId="5A62372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highlight w:val="none"/>
          <w:lang w:val="zh-CN"/>
        </w:rPr>
      </w:pPr>
      <w:r>
        <w:rPr>
          <w:rFonts w:hint="eastAsia" w:ascii="宋体" w:hAnsi="宋体" w:eastAsia="宋体" w:cs="宋体"/>
          <w:color w:val="000000"/>
          <w:kern w:val="0"/>
          <w:sz w:val="24"/>
          <w:szCs w:val="24"/>
          <w:highlight w:val="none"/>
          <w:lang w:val="en-US" w:eastAsia="zh-CN"/>
        </w:rPr>
        <w:t>8、</w:t>
      </w:r>
      <w:r>
        <w:rPr>
          <w:rFonts w:hint="eastAsia" w:ascii="宋体" w:hAnsi="宋体" w:eastAsia="宋体" w:cs="宋体"/>
          <w:color w:val="000000"/>
          <w:kern w:val="0"/>
          <w:sz w:val="24"/>
          <w:szCs w:val="24"/>
          <w:highlight w:val="none"/>
          <w:lang w:val="zh-CN"/>
        </w:rPr>
        <w:t>其他未尽事宜按乙方所提供的相应承诺执行。如乙方未能按照招标文件和乙方在响应文件中承诺的服务充分履行服务义务的，甲方有权委托第三方履行，由此产生的任何费用或损失均由乙方承担。前述费用或损失，甲方有权从应付款项中直接扣除。</w:t>
      </w:r>
    </w:p>
    <w:p w14:paraId="2F3C99B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highlight w:val="none"/>
          <w:lang w:val="zh-CN"/>
        </w:rPr>
      </w:pPr>
      <w:r>
        <w:rPr>
          <w:rFonts w:hint="eastAsia" w:ascii="宋体" w:hAnsi="宋体" w:eastAsia="宋体" w:cs="宋体"/>
          <w:color w:val="000000"/>
          <w:kern w:val="0"/>
          <w:sz w:val="24"/>
          <w:szCs w:val="24"/>
          <w:highlight w:val="none"/>
          <w:lang w:val="en-US" w:eastAsia="zh-CN"/>
        </w:rPr>
        <w:t>9、</w:t>
      </w:r>
      <w:r>
        <w:rPr>
          <w:rFonts w:hint="eastAsia" w:ascii="宋体" w:hAnsi="宋体" w:eastAsia="宋体" w:cs="宋体"/>
          <w:color w:val="000000"/>
          <w:kern w:val="0"/>
          <w:sz w:val="24"/>
          <w:szCs w:val="24"/>
          <w:highlight w:val="none"/>
          <w:lang w:val="zh-CN"/>
        </w:rPr>
        <w:t>本合同中涉及的参数、要求及服务内容，若甲乙双方存在不同解释或意见，双方应首先通过友好协商解决，若未能达成一致的，甲方的解释和意见应作为最终的合同解释和执行标准。乙方应按照甲方的解释和要求执行合同义务。</w:t>
      </w:r>
    </w:p>
    <w:p w14:paraId="0E4A732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highlight w:val="none"/>
          <w:lang w:val="zh-CN"/>
        </w:rPr>
      </w:pPr>
      <w:r>
        <w:rPr>
          <w:rFonts w:hint="eastAsia" w:ascii="宋体" w:hAnsi="宋体" w:eastAsia="宋体" w:cs="宋体"/>
          <w:color w:val="000000"/>
          <w:kern w:val="0"/>
          <w:sz w:val="24"/>
          <w:szCs w:val="24"/>
          <w:highlight w:val="none"/>
          <w:lang w:val="en-US" w:eastAsia="zh-CN"/>
        </w:rPr>
        <w:t>10</w:t>
      </w:r>
      <w:r>
        <w:rPr>
          <w:rFonts w:hint="eastAsia" w:ascii="宋体" w:hAnsi="宋体" w:eastAsia="宋体" w:cs="宋体"/>
          <w:color w:val="000000"/>
          <w:kern w:val="0"/>
          <w:sz w:val="24"/>
          <w:szCs w:val="24"/>
          <w:highlight w:val="none"/>
          <w:lang w:val="zh-CN"/>
        </w:rPr>
        <w:t>、标的物的所有权自标的物交付时转移。</w:t>
      </w:r>
    </w:p>
    <w:p w14:paraId="477A99C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highlight w:val="none"/>
          <w:lang w:val="en-US" w:eastAsia="zh-CN"/>
        </w:rPr>
      </w:pPr>
      <w:r>
        <w:rPr>
          <w:rFonts w:hint="eastAsia" w:ascii="宋体" w:hAnsi="宋体" w:eastAsia="宋体" w:cs="宋体"/>
          <w:color w:val="000000"/>
          <w:kern w:val="0"/>
          <w:sz w:val="24"/>
          <w:szCs w:val="24"/>
          <w:highlight w:val="none"/>
          <w:lang w:val="en-US" w:eastAsia="zh-CN"/>
        </w:rPr>
        <w:t>11、安全要求：</w:t>
      </w:r>
    </w:p>
    <w:p w14:paraId="0EF1E12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highlight w:val="none"/>
          <w:lang w:val="en-US" w:eastAsia="zh-CN"/>
        </w:rPr>
      </w:pPr>
      <w:r>
        <w:rPr>
          <w:rFonts w:hint="eastAsia" w:ascii="宋体" w:hAnsi="宋体" w:eastAsia="宋体" w:cs="宋体"/>
          <w:color w:val="000000"/>
          <w:kern w:val="0"/>
          <w:sz w:val="24"/>
          <w:szCs w:val="24"/>
          <w:highlight w:val="none"/>
          <w:lang w:val="en-US" w:eastAsia="zh-CN"/>
        </w:rPr>
        <w:t>乙方需在项目建设过程中参照三同步原则，同步规划、同步建设、同步使用。</w:t>
      </w:r>
    </w:p>
    <w:p w14:paraId="784C444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highlight w:val="none"/>
          <w:lang w:val="en-US" w:eastAsia="zh-CN"/>
        </w:rPr>
      </w:pPr>
      <w:r>
        <w:rPr>
          <w:rFonts w:hint="eastAsia" w:ascii="宋体" w:hAnsi="宋体" w:eastAsia="宋体" w:cs="宋体"/>
          <w:color w:val="000000"/>
          <w:kern w:val="0"/>
          <w:sz w:val="24"/>
          <w:szCs w:val="24"/>
          <w:highlight w:val="none"/>
          <w:lang w:val="en-US" w:eastAsia="zh-CN"/>
        </w:rPr>
        <w:t>乙方需参照等级保护的安全要求进行建设，并根据等保评测结果，乙方须协助甲方完成整改。</w:t>
      </w:r>
    </w:p>
    <w:p w14:paraId="1D80D4F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highlight w:val="none"/>
          <w:lang w:val="en-US" w:eastAsia="zh-CN"/>
        </w:rPr>
      </w:pPr>
      <w:r>
        <w:rPr>
          <w:rFonts w:hint="eastAsia" w:ascii="宋体" w:hAnsi="宋体" w:eastAsia="宋体" w:cs="宋体"/>
          <w:color w:val="000000"/>
          <w:kern w:val="0"/>
          <w:sz w:val="24"/>
          <w:szCs w:val="24"/>
          <w:highlight w:val="none"/>
          <w:lang w:val="en-US" w:eastAsia="zh-CN"/>
        </w:rPr>
        <w:t>乙方需提供完整的安全和隐私技术手段，包括数据脱敏加密、审核日志留存回溯、数据调用记录回溯、操作日志回溯等。</w:t>
      </w:r>
    </w:p>
    <w:p w14:paraId="16E0BB2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highlight w:val="none"/>
          <w:lang w:val="en-US" w:eastAsia="zh-CN"/>
        </w:rPr>
      </w:pPr>
      <w:r>
        <w:rPr>
          <w:rFonts w:hint="eastAsia" w:ascii="宋体" w:hAnsi="宋体" w:eastAsia="宋体" w:cs="宋体"/>
          <w:color w:val="000000"/>
          <w:kern w:val="0"/>
          <w:sz w:val="24"/>
          <w:szCs w:val="24"/>
          <w:highlight w:val="none"/>
          <w:lang w:val="en-US" w:eastAsia="zh-CN"/>
        </w:rPr>
        <w:t>乙方需提供完整的对驻场和维护人员所进行背景调查的相关证明材料。</w:t>
      </w:r>
    </w:p>
    <w:p w14:paraId="275A37D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highlight w:val="none"/>
          <w:lang w:val="en-US" w:eastAsia="zh-CN"/>
        </w:rPr>
      </w:pPr>
      <w:r>
        <w:rPr>
          <w:rFonts w:hint="eastAsia" w:ascii="宋体" w:hAnsi="宋体" w:eastAsia="宋体" w:cs="宋体"/>
          <w:color w:val="000000"/>
          <w:kern w:val="0"/>
          <w:sz w:val="24"/>
          <w:szCs w:val="24"/>
          <w:highlight w:val="none"/>
          <w:lang w:val="en-US" w:eastAsia="zh-CN"/>
        </w:rPr>
        <w:t>乙方须签订数据安全保密协议（详见附件一），确保甲方数据不外泄。</w:t>
      </w:r>
    </w:p>
    <w:p w14:paraId="60805794">
      <w:pPr>
        <w:pStyle w:val="48"/>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firstLine="0"/>
        <w:jc w:val="left"/>
        <w:textAlignment w:val="auto"/>
        <w:rPr>
          <w:rFonts w:hint="eastAsia" w:ascii="宋体" w:hAnsi="宋体" w:eastAsia="宋体" w:cs="宋体"/>
          <w:b/>
          <w:bCs/>
          <w:color w:val="000000"/>
          <w:kern w:val="0"/>
          <w:sz w:val="24"/>
          <w:szCs w:val="24"/>
          <w:highlight w:val="none"/>
          <w:lang w:val="zh-CN"/>
        </w:rPr>
      </w:pPr>
      <w:r>
        <w:rPr>
          <w:rFonts w:hint="eastAsia" w:ascii="宋体" w:hAnsi="宋体" w:eastAsia="宋体" w:cs="宋体"/>
          <w:b/>
          <w:bCs/>
          <w:color w:val="000000"/>
          <w:kern w:val="0"/>
          <w:sz w:val="24"/>
          <w:szCs w:val="24"/>
          <w:highlight w:val="none"/>
          <w:lang w:val="zh-CN"/>
        </w:rPr>
        <w:t>付款方式</w:t>
      </w:r>
    </w:p>
    <w:p w14:paraId="45FCC357">
      <w:pPr>
        <w:numPr>
          <w:ilvl w:val="-1"/>
          <w:numId w:val="0"/>
        </w:numPr>
        <w:spacing w:line="360" w:lineRule="auto"/>
        <w:ind w:firstLine="480" w:firstLineChars="200"/>
        <w:rPr>
          <w:rFonts w:hint="eastAsia" w:ascii="宋体" w:hAnsi="宋体" w:eastAsia="宋体" w:cs="宋体"/>
          <w:strike/>
          <w:dstrike w:val="0"/>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1、采购合同签订生效后，完成全部项目建设内容并上线试运行后，乙方向甲方提供下列单据(a、b)后30日内，甲方向乙方支付合同总价的30%；即人民币（大写）</w:t>
      </w:r>
      <w:r>
        <w:rPr>
          <w:rFonts w:hint="eastAsia" w:ascii="宋体" w:hAnsi="宋体" w:cs="宋体"/>
          <w:color w:val="auto"/>
          <w:kern w:val="0"/>
          <w:szCs w:val="21"/>
          <w:highlight w:val="none"/>
          <w:lang w:val="en-US" w:eastAsia="zh-CN"/>
        </w:rPr>
        <w:t>伍拾叁万叁仟柒佰元整</w:t>
      </w:r>
      <w:r>
        <w:rPr>
          <w:rFonts w:hint="eastAsia" w:ascii="宋体" w:hAnsi="宋体" w:eastAsia="宋体" w:cs="宋体"/>
          <w:color w:val="auto"/>
          <w:kern w:val="0"/>
          <w:szCs w:val="21"/>
          <w:highlight w:val="none"/>
          <w:lang w:val="en-US" w:eastAsia="zh-CN"/>
        </w:rPr>
        <w:t>(小写</w:t>
      </w:r>
      <w:r>
        <w:rPr>
          <w:rFonts w:hint="eastAsia" w:ascii="宋体" w:hAnsi="宋体" w:cs="宋体"/>
          <w:color w:val="auto"/>
          <w:kern w:val="0"/>
          <w:szCs w:val="21"/>
          <w:highlight w:val="none"/>
          <w:lang w:val="en-US" w:eastAsia="zh-CN"/>
        </w:rPr>
        <w:t>¥¥533700.00</w:t>
      </w:r>
      <w:r>
        <w:rPr>
          <w:rFonts w:hint="eastAsia" w:ascii="宋体" w:hAnsi="宋体" w:eastAsia="宋体" w:cs="宋体"/>
          <w:color w:val="auto"/>
          <w:kern w:val="0"/>
          <w:szCs w:val="21"/>
          <w:highlight w:val="none"/>
          <w:lang w:val="en-US" w:eastAsia="zh-CN"/>
        </w:rPr>
        <w:t>)；试运行完成，项目通过整体验收合格并交付使用后，乙方向甲方提供下列单据(b、c、d)后30日内，甲方向乙方支付合同总价的60%，即人民币（大写）</w:t>
      </w:r>
      <w:r>
        <w:rPr>
          <w:rFonts w:hint="eastAsia" w:ascii="宋体" w:hAnsi="宋体" w:cs="宋体"/>
          <w:color w:val="auto"/>
          <w:kern w:val="0"/>
          <w:szCs w:val="21"/>
          <w:highlight w:val="none"/>
          <w:lang w:val="en-US" w:eastAsia="zh-CN"/>
        </w:rPr>
        <w:t>壹佰零陆万柒仟肆佰元整</w:t>
      </w:r>
      <w:r>
        <w:rPr>
          <w:rFonts w:hint="eastAsia" w:ascii="宋体" w:hAnsi="宋体" w:eastAsia="宋体" w:cs="宋体"/>
          <w:color w:val="auto"/>
          <w:kern w:val="0"/>
          <w:szCs w:val="21"/>
          <w:highlight w:val="none"/>
          <w:lang w:val="en-US" w:eastAsia="zh-CN"/>
        </w:rPr>
        <w:t>(小写</w:t>
      </w:r>
      <w:r>
        <w:rPr>
          <w:rFonts w:hint="eastAsia" w:ascii="宋体" w:hAnsi="宋体" w:cs="宋体"/>
          <w:color w:val="auto"/>
          <w:kern w:val="0"/>
          <w:szCs w:val="21"/>
          <w:highlight w:val="none"/>
          <w:lang w:val="en-US" w:eastAsia="zh-CN"/>
        </w:rPr>
        <w:t>¥¥1067400.00</w:t>
      </w:r>
      <w:r>
        <w:rPr>
          <w:rFonts w:hint="eastAsia" w:ascii="宋体" w:hAnsi="宋体" w:eastAsia="宋体" w:cs="宋体"/>
          <w:color w:val="auto"/>
          <w:kern w:val="0"/>
          <w:szCs w:val="21"/>
          <w:highlight w:val="none"/>
          <w:lang w:val="en-US" w:eastAsia="zh-CN"/>
        </w:rPr>
        <w:t>)；整个项目验收合格且正常运行12个月后无质量问题，支付本项目合同总价的10%，即人民币（大写）</w:t>
      </w:r>
      <w:r>
        <w:rPr>
          <w:rFonts w:hint="eastAsia" w:ascii="宋体" w:hAnsi="宋体" w:cs="宋体"/>
          <w:color w:val="auto"/>
          <w:kern w:val="0"/>
          <w:szCs w:val="21"/>
          <w:highlight w:val="none"/>
          <w:lang w:val="en-US" w:eastAsia="zh-CN"/>
        </w:rPr>
        <w:t>壹拾柒万柒仟玖佰元整</w:t>
      </w:r>
      <w:r>
        <w:rPr>
          <w:rFonts w:hint="eastAsia" w:ascii="宋体" w:hAnsi="宋体" w:eastAsia="宋体" w:cs="宋体"/>
          <w:color w:val="auto"/>
          <w:kern w:val="0"/>
          <w:szCs w:val="21"/>
          <w:highlight w:val="none"/>
          <w:lang w:val="en-US" w:eastAsia="zh-CN"/>
        </w:rPr>
        <w:t>(小写</w:t>
      </w:r>
      <w:r>
        <w:rPr>
          <w:rFonts w:hint="eastAsia" w:ascii="宋体" w:hAnsi="宋体" w:cs="宋体"/>
          <w:color w:val="auto"/>
          <w:kern w:val="0"/>
          <w:szCs w:val="21"/>
          <w:highlight w:val="none"/>
          <w:lang w:val="en-US" w:eastAsia="zh-CN"/>
        </w:rPr>
        <w:t>¥</w:t>
      </w:r>
      <w:r>
        <w:rPr>
          <w:rFonts w:hint="eastAsia" w:ascii="宋体" w:hAnsi="宋体" w:cs="宋体"/>
          <w:strike w:val="0"/>
          <w:dstrike w:val="0"/>
          <w:color w:val="auto"/>
          <w:kern w:val="0"/>
          <w:szCs w:val="21"/>
          <w:highlight w:val="none"/>
          <w:lang w:val="en-US" w:eastAsia="zh-CN"/>
        </w:rPr>
        <w:t>177900.00</w:t>
      </w:r>
      <w:r>
        <w:rPr>
          <w:rFonts w:hint="eastAsia" w:ascii="宋体" w:hAnsi="宋体" w:eastAsia="宋体" w:cs="宋体"/>
          <w:strike w:val="0"/>
          <w:dstrike w:val="0"/>
          <w:color w:val="auto"/>
          <w:kern w:val="0"/>
          <w:szCs w:val="21"/>
          <w:highlight w:val="none"/>
          <w:lang w:val="en-US" w:eastAsia="zh-CN"/>
        </w:rPr>
        <w:t>)。</w:t>
      </w:r>
    </w:p>
    <w:p w14:paraId="3E58965A">
      <w:pPr>
        <w:numPr>
          <w:ilvl w:val="-1"/>
          <w:numId w:val="0"/>
        </w:numPr>
        <w:spacing w:line="360" w:lineRule="auto"/>
        <w:ind w:firstLine="480" w:firstLineChars="200"/>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2、乙方在申请付款时向甲方提供以下凭据：</w:t>
      </w:r>
    </w:p>
    <w:p w14:paraId="3DB98D35">
      <w:pPr>
        <w:spacing w:line="360" w:lineRule="auto"/>
        <w:ind w:firstLine="480" w:firstLineChars="200"/>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a、《初验报告》；</w:t>
      </w:r>
    </w:p>
    <w:p w14:paraId="61E6EAA9">
      <w:pPr>
        <w:spacing w:line="360" w:lineRule="auto"/>
        <w:ind w:firstLine="480" w:firstLineChars="200"/>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b、符合甲方财务要求开具的合法正规的增值税普通发票；</w:t>
      </w:r>
    </w:p>
    <w:p w14:paraId="3793BDCF">
      <w:pPr>
        <w:spacing w:line="360" w:lineRule="auto"/>
        <w:ind w:firstLine="480" w:firstLineChars="200"/>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c、《项目验收报告》；</w:t>
      </w:r>
    </w:p>
    <w:p w14:paraId="084CCFA4">
      <w:pPr>
        <w:spacing w:line="360" w:lineRule="auto"/>
        <w:ind w:firstLine="480" w:firstLineChars="200"/>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d、其他(若有)。</w:t>
      </w:r>
    </w:p>
    <w:p w14:paraId="771DB0FC">
      <w:pPr>
        <w:spacing w:line="360" w:lineRule="auto"/>
        <w:ind w:firstLine="480" w:firstLineChars="200"/>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3、付款方式:银行汇票或银行转账。</w:t>
      </w:r>
    </w:p>
    <w:p w14:paraId="77789DCB">
      <w:pPr>
        <w:pStyle w:val="48"/>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firstLine="0"/>
        <w:jc w:val="left"/>
        <w:textAlignment w:val="auto"/>
        <w:rPr>
          <w:rFonts w:hint="eastAsia" w:ascii="宋体" w:hAnsi="宋体" w:eastAsia="宋体" w:cs="宋体"/>
          <w:b/>
          <w:bCs/>
          <w:color w:val="000000"/>
          <w:kern w:val="0"/>
          <w:sz w:val="24"/>
          <w:szCs w:val="24"/>
          <w:highlight w:val="none"/>
          <w:lang w:val="zh-CN"/>
        </w:rPr>
      </w:pPr>
      <w:r>
        <w:rPr>
          <w:rFonts w:hint="eastAsia" w:ascii="宋体" w:hAnsi="宋体" w:eastAsia="宋体" w:cs="宋体"/>
          <w:b/>
          <w:bCs/>
          <w:color w:val="000000"/>
          <w:kern w:val="0"/>
          <w:sz w:val="24"/>
          <w:szCs w:val="24"/>
          <w:highlight w:val="none"/>
          <w:lang w:val="zh-CN"/>
        </w:rPr>
        <w:t>双方权利与义务</w:t>
      </w:r>
    </w:p>
    <w:p w14:paraId="565840F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lang w:val="zh-CN"/>
        </w:rPr>
        <w:t>1、</w:t>
      </w:r>
      <w:r>
        <w:rPr>
          <w:rFonts w:hint="eastAsia" w:ascii="宋体" w:hAnsi="宋体" w:eastAsia="宋体" w:cs="宋体"/>
          <w:color w:val="000000"/>
          <w:kern w:val="0"/>
          <w:sz w:val="24"/>
          <w:szCs w:val="24"/>
          <w:highlight w:val="none"/>
        </w:rPr>
        <w:t>甲方权利与义务</w:t>
      </w:r>
    </w:p>
    <w:p w14:paraId="4B68EA1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r>
        <w:rPr>
          <w:rFonts w:hint="eastAsia" w:ascii="宋体" w:hAnsi="宋体" w:eastAsia="宋体" w:cs="宋体"/>
          <w:color w:val="000000"/>
          <w:kern w:val="0"/>
          <w:sz w:val="24"/>
          <w:szCs w:val="24"/>
          <w:highlight w:val="none"/>
          <w:lang w:val="en-US" w:eastAsia="zh-CN"/>
        </w:rPr>
        <w:t>1</w:t>
      </w:r>
      <w:r>
        <w:rPr>
          <w:rFonts w:hint="eastAsia" w:ascii="宋体" w:hAnsi="宋体" w:eastAsia="宋体" w:cs="宋体"/>
          <w:color w:val="000000"/>
          <w:kern w:val="0"/>
          <w:sz w:val="24"/>
          <w:szCs w:val="24"/>
          <w:highlight w:val="none"/>
        </w:rPr>
        <w:t xml:space="preserve"> 负责项目实施工作的计划与组织，并指定专人组织项目实施，甲方参与项目实施人员应该熟悉本院信息管理及相关基础管理工作；</w:t>
      </w:r>
    </w:p>
    <w:p w14:paraId="09F914A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r>
        <w:rPr>
          <w:rFonts w:hint="eastAsia" w:ascii="宋体" w:hAnsi="宋体" w:eastAsia="宋体" w:cs="宋体"/>
          <w:color w:val="000000"/>
          <w:kern w:val="0"/>
          <w:sz w:val="24"/>
          <w:szCs w:val="24"/>
          <w:highlight w:val="none"/>
          <w:lang w:val="en-US" w:eastAsia="zh-CN"/>
        </w:rPr>
        <w:t>2</w:t>
      </w:r>
      <w:r>
        <w:rPr>
          <w:rFonts w:hint="eastAsia" w:ascii="宋体" w:hAnsi="宋体" w:eastAsia="宋体" w:cs="宋体"/>
          <w:color w:val="000000"/>
          <w:kern w:val="0"/>
          <w:sz w:val="24"/>
          <w:szCs w:val="24"/>
          <w:highlight w:val="none"/>
        </w:rPr>
        <w:t xml:space="preserve"> 项目实施过程中，甲方负责相关职能部门的沟通与协调，根据项目实施计划，督促检查各职能部门基础工作的完善和基础数据的准备；</w:t>
      </w:r>
    </w:p>
    <w:p w14:paraId="7B04BD6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r>
        <w:rPr>
          <w:rFonts w:hint="eastAsia" w:ascii="宋体" w:hAnsi="宋体" w:eastAsia="宋体" w:cs="宋体"/>
          <w:color w:val="000000"/>
          <w:kern w:val="0"/>
          <w:sz w:val="24"/>
          <w:szCs w:val="24"/>
          <w:highlight w:val="none"/>
          <w:lang w:val="en-US" w:eastAsia="zh-CN"/>
        </w:rPr>
        <w:t>3</w:t>
      </w:r>
      <w:r>
        <w:rPr>
          <w:rFonts w:hint="eastAsia" w:ascii="宋体" w:hAnsi="宋体" w:eastAsia="宋体" w:cs="宋体"/>
          <w:color w:val="000000"/>
          <w:kern w:val="0"/>
          <w:sz w:val="24"/>
          <w:szCs w:val="24"/>
          <w:highlight w:val="none"/>
        </w:rPr>
        <w:t xml:space="preserve"> 负责项目实施的场地安排、硬件网络等设施准备、数据提供、数据录入、调试配全，按实施进度组织项目验收；</w:t>
      </w:r>
    </w:p>
    <w:p w14:paraId="0FD2579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r>
        <w:rPr>
          <w:rFonts w:hint="eastAsia" w:ascii="宋体" w:hAnsi="宋体" w:eastAsia="宋体" w:cs="宋体"/>
          <w:color w:val="000000"/>
          <w:kern w:val="0"/>
          <w:sz w:val="24"/>
          <w:szCs w:val="24"/>
          <w:highlight w:val="none"/>
          <w:lang w:val="en-US" w:eastAsia="zh-CN"/>
        </w:rPr>
        <w:t>4</w:t>
      </w:r>
      <w:r>
        <w:rPr>
          <w:rFonts w:hint="eastAsia" w:ascii="宋体" w:hAnsi="宋体" w:eastAsia="宋体" w:cs="宋体"/>
          <w:color w:val="000000"/>
          <w:kern w:val="0"/>
          <w:sz w:val="24"/>
          <w:szCs w:val="24"/>
          <w:highlight w:val="none"/>
        </w:rPr>
        <w:t xml:space="preserve"> 甲方负责配合乙方的业务数据集成（接口）开发，提供技术支持与相关咨询；</w:t>
      </w:r>
    </w:p>
    <w:p w14:paraId="12CF95E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r>
        <w:rPr>
          <w:rFonts w:hint="eastAsia" w:ascii="宋体" w:hAnsi="宋体" w:eastAsia="宋体" w:cs="宋体"/>
          <w:color w:val="000000"/>
          <w:kern w:val="0"/>
          <w:sz w:val="24"/>
          <w:szCs w:val="24"/>
          <w:highlight w:val="none"/>
          <w:lang w:val="en-US" w:eastAsia="zh-CN"/>
        </w:rPr>
        <w:t>5</w:t>
      </w:r>
      <w:r>
        <w:rPr>
          <w:rFonts w:hint="eastAsia" w:ascii="宋体" w:hAnsi="宋体" w:eastAsia="宋体" w:cs="宋体"/>
          <w:color w:val="000000"/>
          <w:kern w:val="0"/>
          <w:sz w:val="24"/>
          <w:szCs w:val="24"/>
          <w:highlight w:val="none"/>
        </w:rPr>
        <w:t xml:space="preserve"> 接受乙方的技术指导和培训；</w:t>
      </w:r>
    </w:p>
    <w:p w14:paraId="0B42D03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r>
        <w:rPr>
          <w:rFonts w:hint="eastAsia" w:ascii="宋体" w:hAnsi="宋体" w:eastAsia="宋体" w:cs="宋体"/>
          <w:color w:val="000000"/>
          <w:kern w:val="0"/>
          <w:sz w:val="24"/>
          <w:szCs w:val="24"/>
          <w:highlight w:val="none"/>
          <w:lang w:val="en-US" w:eastAsia="zh-CN"/>
        </w:rPr>
        <w:t>6</w:t>
      </w:r>
      <w:r>
        <w:rPr>
          <w:rFonts w:hint="eastAsia" w:ascii="宋体" w:hAnsi="宋体" w:eastAsia="宋体" w:cs="宋体"/>
          <w:color w:val="000000"/>
          <w:kern w:val="0"/>
          <w:sz w:val="24"/>
          <w:szCs w:val="24"/>
          <w:highlight w:val="none"/>
        </w:rPr>
        <w:t xml:space="preserve"> 随时了解系统运行情况及系统后台运行记录。</w:t>
      </w:r>
    </w:p>
    <w:p w14:paraId="24BE3CB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r>
        <w:rPr>
          <w:rFonts w:hint="eastAsia" w:ascii="宋体" w:hAnsi="宋体" w:eastAsia="宋体" w:cs="宋体"/>
          <w:color w:val="000000"/>
          <w:kern w:val="0"/>
          <w:sz w:val="24"/>
          <w:szCs w:val="24"/>
          <w:highlight w:val="none"/>
          <w:lang w:val="zh-CN"/>
        </w:rPr>
        <w:t>、</w:t>
      </w:r>
      <w:r>
        <w:rPr>
          <w:rFonts w:hint="eastAsia" w:ascii="宋体" w:hAnsi="宋体" w:eastAsia="宋体" w:cs="宋体"/>
          <w:color w:val="000000"/>
          <w:kern w:val="0"/>
          <w:sz w:val="24"/>
          <w:szCs w:val="24"/>
          <w:highlight w:val="none"/>
        </w:rPr>
        <w:t>乙方权利与义务</w:t>
      </w:r>
    </w:p>
    <w:p w14:paraId="36928C5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2.1 乙方提供合同约定的合格的软件产品并应符合国家有关法律、法规、制度、规范；</w:t>
      </w:r>
    </w:p>
    <w:p w14:paraId="6F32D44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2.2 乙方成立专业项目组，指定专人负责项目各环节的实施和服务；</w:t>
      </w:r>
    </w:p>
    <w:p w14:paraId="37A3B09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2.3 乙方应按照双方确认的项目实施计划组织项目实施，并根据不同实施阶段，对项目实施计划进行细化、补充和修改；</w:t>
      </w:r>
    </w:p>
    <w:p w14:paraId="4B2C909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2.4 乙方应对甲方指定的系统管理员进行专门培训，内容包括系统维护、系统安全等；</w:t>
      </w:r>
    </w:p>
    <w:p w14:paraId="6F03DA9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2.5 乙方所派人员应严格服从甲方项目组的管理及相关规章制度，乙方所派人员应按时完成甲方项目组所安排的任务；乙方所派人员保证不得泄露相关项目信息，项目经理及其项目团队不得出现无故旷工、缺席、迟到现象；</w:t>
      </w:r>
    </w:p>
    <w:p w14:paraId="65420B2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2.6 乙方所派人员具有履行服务必要的资质、专业技术、资源、许可、准许和授权，并且在履行服务的整个过程中保持其有效；</w:t>
      </w:r>
    </w:p>
    <w:p w14:paraId="4AF5A93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2.7</w:t>
      </w:r>
      <w:r>
        <w:rPr>
          <w:rFonts w:hint="eastAsia" w:ascii="宋体" w:hAnsi="宋体" w:eastAsia="宋体" w:cs="宋体"/>
          <w:kern w:val="0"/>
          <w:sz w:val="24"/>
          <w:szCs w:val="24"/>
          <w:highlight w:val="none"/>
          <w:lang w:val="en-US" w:eastAsia="zh-CN"/>
        </w:rPr>
        <w:t xml:space="preserve"> </w:t>
      </w:r>
      <w:r>
        <w:rPr>
          <w:rFonts w:hint="eastAsia" w:ascii="宋体" w:hAnsi="宋体" w:eastAsia="宋体" w:cs="宋体"/>
          <w:kern w:val="0"/>
          <w:sz w:val="24"/>
          <w:szCs w:val="24"/>
          <w:highlight w:val="none"/>
        </w:rPr>
        <w:t>乙方</w:t>
      </w:r>
      <w:r>
        <w:rPr>
          <w:rFonts w:hint="eastAsia" w:ascii="宋体" w:hAnsi="宋体" w:cs="宋体"/>
          <w:kern w:val="0"/>
          <w:sz w:val="24"/>
          <w:szCs w:val="24"/>
          <w:highlight w:val="none"/>
          <w:lang w:val="en-US" w:eastAsia="zh-CN"/>
        </w:rPr>
        <w:t>进</w:t>
      </w:r>
      <w:r>
        <w:rPr>
          <w:rFonts w:hint="eastAsia" w:ascii="宋体" w:hAnsi="宋体" w:eastAsia="宋体" w:cs="宋体"/>
          <w:kern w:val="0"/>
          <w:sz w:val="24"/>
          <w:szCs w:val="24"/>
          <w:highlight w:val="none"/>
        </w:rPr>
        <w:t>入甲方施工现场的人员信息详见附件，项目人员的身份信息乙方应当提前5日向甲方书面报备。</w:t>
      </w:r>
    </w:p>
    <w:p w14:paraId="216CCE0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kern w:val="0"/>
          <w:sz w:val="24"/>
          <w:szCs w:val="24"/>
          <w:highlight w:val="none"/>
          <w:lang w:val="zh-CN"/>
        </w:rPr>
      </w:pPr>
      <w:r>
        <w:rPr>
          <w:rFonts w:hint="eastAsia" w:ascii="宋体" w:hAnsi="宋体" w:eastAsia="宋体" w:cs="宋体"/>
          <w:kern w:val="0"/>
          <w:sz w:val="24"/>
          <w:szCs w:val="24"/>
          <w:highlight w:val="none"/>
        </w:rPr>
        <w:t>2.8 乙方应安全施工，并避免和防止乙方出现安全事故发生，乙方负责对乙方的施工人员进行人身意外险投保，若发生安全事故均由乙方负责处理和承担责任，包括但不限于经济赔偿和行政处理。该等责任与甲方无涉。</w:t>
      </w:r>
    </w:p>
    <w:p w14:paraId="7AEC131A">
      <w:pPr>
        <w:pStyle w:val="48"/>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firstLine="0"/>
        <w:jc w:val="left"/>
        <w:textAlignment w:val="auto"/>
        <w:rPr>
          <w:rFonts w:hint="eastAsia" w:ascii="宋体" w:hAnsi="宋体" w:eastAsia="宋体" w:cs="宋体"/>
          <w:b/>
          <w:bCs/>
          <w:color w:val="000000"/>
          <w:kern w:val="0"/>
          <w:sz w:val="24"/>
          <w:szCs w:val="24"/>
          <w:highlight w:val="none"/>
          <w:lang w:val="zh-CN"/>
        </w:rPr>
      </w:pPr>
      <w:r>
        <w:rPr>
          <w:rFonts w:hint="eastAsia" w:ascii="宋体" w:hAnsi="宋体" w:eastAsia="宋体" w:cs="宋体"/>
          <w:b/>
          <w:bCs/>
          <w:color w:val="000000"/>
          <w:kern w:val="0"/>
          <w:sz w:val="24"/>
          <w:szCs w:val="24"/>
          <w:highlight w:val="none"/>
          <w:lang w:val="zh-CN"/>
        </w:rPr>
        <w:t>知识产权及保密义务</w:t>
      </w:r>
    </w:p>
    <w:p w14:paraId="56C423F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highlight w:val="none"/>
          <w:lang w:val="zh-CN"/>
        </w:rPr>
      </w:pPr>
      <w:r>
        <w:rPr>
          <w:rFonts w:hint="eastAsia" w:ascii="宋体" w:hAnsi="宋体" w:eastAsia="宋体" w:cs="宋体"/>
          <w:color w:val="000000"/>
          <w:kern w:val="0"/>
          <w:sz w:val="24"/>
          <w:szCs w:val="24"/>
          <w:highlight w:val="none"/>
          <w:lang w:val="zh-CN"/>
        </w:rPr>
        <w:t>1、双方同意：在合同履行期内及合同履行终止后，对本合同项目内容及双方相关资料包括但不限于各类数据、检测报告、价格、商业信息均予以保密，除非保密信息已通过正当途径为公众所知，或披露方事先书面授权披露，一方未经另一方事先的书面许可，不得向任何第三方披露，也不得将保密信息用于与本合同条款不相符合的任何目的。</w:t>
      </w:r>
    </w:p>
    <w:p w14:paraId="3A1C7F5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highlight w:val="none"/>
          <w:lang w:val="zh-CN"/>
        </w:rPr>
      </w:pPr>
      <w:r>
        <w:rPr>
          <w:rFonts w:hint="eastAsia" w:ascii="宋体" w:hAnsi="宋体" w:eastAsia="宋体" w:cs="宋体"/>
          <w:color w:val="000000"/>
          <w:kern w:val="0"/>
          <w:sz w:val="24"/>
          <w:szCs w:val="24"/>
          <w:highlight w:val="none"/>
          <w:lang w:val="zh-CN"/>
        </w:rPr>
        <w:t>2、各方仅向因职责所需而需要了解上述保密信息的工作人员披露保密信息，且该工作人员经双方协商授权确定，并应采取所有合理的防范措施防止不经授权的披露。</w:t>
      </w:r>
    </w:p>
    <w:p w14:paraId="35D1FE8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highlight w:val="none"/>
          <w:lang w:val="zh-CN"/>
        </w:rPr>
      </w:pPr>
      <w:r>
        <w:rPr>
          <w:rFonts w:hint="eastAsia" w:ascii="宋体" w:hAnsi="宋体" w:eastAsia="宋体" w:cs="宋体"/>
          <w:color w:val="000000"/>
          <w:kern w:val="0"/>
          <w:sz w:val="24"/>
          <w:szCs w:val="24"/>
          <w:highlight w:val="none"/>
          <w:lang w:val="zh-CN"/>
        </w:rPr>
        <w:t>3、双方保证，如相关信息涉及患者的个人信息的，应当严格遵守保密义务及《中华人民共和国个人信息保护法》等相关法律法规。</w:t>
      </w:r>
    </w:p>
    <w:p w14:paraId="7D19B404">
      <w:pPr>
        <w:pStyle w:val="2"/>
        <w:spacing w:line="360" w:lineRule="auto"/>
        <w:rPr>
          <w:rFonts w:hint="eastAsia" w:ascii="宋体" w:hAnsi="宋体" w:eastAsia="宋体" w:cs="宋体"/>
          <w:lang w:val="en-US" w:eastAsia="zh-CN"/>
        </w:rPr>
      </w:pPr>
      <w:r>
        <w:rPr>
          <w:rFonts w:hint="eastAsia" w:ascii="宋体" w:hAnsi="宋体" w:eastAsia="宋体" w:cs="宋体"/>
          <w:color w:val="000000"/>
          <w:kern w:val="0"/>
          <w:sz w:val="24"/>
          <w:szCs w:val="24"/>
          <w:highlight w:val="none"/>
          <w:lang w:val="en-US" w:eastAsia="zh-CN"/>
        </w:rPr>
        <w:t>4、权利瑕疵担保及侵权处理。</w:t>
      </w:r>
    </w:p>
    <w:p w14:paraId="15211A53">
      <w:pPr>
        <w:pStyle w:val="48"/>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firstLine="0"/>
        <w:jc w:val="left"/>
        <w:textAlignment w:val="auto"/>
        <w:rPr>
          <w:rFonts w:hint="eastAsia" w:ascii="宋体" w:hAnsi="宋体" w:eastAsia="宋体" w:cs="宋体"/>
          <w:b/>
          <w:bCs/>
          <w:color w:val="000000"/>
          <w:kern w:val="0"/>
          <w:sz w:val="24"/>
          <w:szCs w:val="24"/>
          <w:highlight w:val="none"/>
          <w:lang w:val="zh-CN"/>
        </w:rPr>
      </w:pPr>
      <w:r>
        <w:rPr>
          <w:rFonts w:hint="eastAsia" w:ascii="宋体" w:hAnsi="宋体" w:eastAsia="宋体" w:cs="宋体"/>
          <w:b/>
          <w:bCs/>
          <w:color w:val="000000"/>
          <w:kern w:val="0"/>
          <w:sz w:val="24"/>
          <w:szCs w:val="24"/>
          <w:highlight w:val="none"/>
          <w:lang w:val="zh-CN"/>
        </w:rPr>
        <w:t>采购项目的验收</w:t>
      </w:r>
    </w:p>
    <w:p w14:paraId="34C9E4C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color w:val="000000"/>
          <w:kern w:val="0"/>
          <w:sz w:val="24"/>
          <w:szCs w:val="24"/>
          <w:highlight w:val="yellow"/>
          <w:lang w:val="zh-CN"/>
        </w:rPr>
      </w:pPr>
      <w:r>
        <w:rPr>
          <w:rFonts w:hint="eastAsia" w:ascii="宋体" w:hAnsi="宋体" w:eastAsia="宋体" w:cs="宋体"/>
          <w:color w:val="000000"/>
          <w:kern w:val="0"/>
          <w:sz w:val="24"/>
          <w:szCs w:val="24"/>
          <w:lang w:val="zh-CN" w:eastAsia="zh-CN" w:bidi="ar-SA"/>
        </w:rPr>
        <w:t>1</w:t>
      </w:r>
      <w:r>
        <w:rPr>
          <w:rFonts w:hint="eastAsia" w:ascii="宋体" w:hAnsi="宋体" w:eastAsia="宋体" w:cs="宋体"/>
          <w:color w:val="000000"/>
          <w:kern w:val="0"/>
          <w:sz w:val="24"/>
          <w:szCs w:val="24"/>
          <w:highlight w:val="none"/>
          <w:lang w:val="zh-CN" w:eastAsia="zh-CN" w:bidi="ar-SA"/>
        </w:rPr>
        <w:t>、</w:t>
      </w:r>
      <w:r>
        <w:rPr>
          <w:rFonts w:hint="eastAsia" w:ascii="宋体" w:hAnsi="宋体" w:eastAsia="宋体" w:cs="宋体"/>
          <w:color w:val="000000"/>
          <w:kern w:val="0"/>
          <w:sz w:val="24"/>
          <w:szCs w:val="24"/>
          <w:highlight w:val="none"/>
          <w:lang w:val="zh-CN"/>
        </w:rPr>
        <w:t>验收时间：</w:t>
      </w:r>
      <w:r>
        <w:rPr>
          <w:rFonts w:hint="eastAsia" w:ascii="宋体" w:hAnsi="宋体" w:eastAsia="宋体" w:cs="宋体"/>
          <w:highlight w:val="none"/>
        </w:rPr>
        <w:t>系统全部上线并正常运行</w:t>
      </w:r>
      <w:r>
        <w:rPr>
          <w:rFonts w:hint="eastAsia" w:ascii="宋体" w:hAnsi="宋体" w:eastAsia="宋体" w:cs="宋体"/>
          <w:highlight w:val="none"/>
          <w:lang w:val="en-US" w:eastAsia="zh-CN"/>
        </w:rPr>
        <w:t>3</w:t>
      </w:r>
      <w:r>
        <w:rPr>
          <w:rFonts w:hint="eastAsia" w:ascii="宋体" w:hAnsi="宋体" w:eastAsia="宋体" w:cs="宋体"/>
          <w:highlight w:val="none"/>
        </w:rPr>
        <w:t>个月后（不包括由操作错误、数据准备错误引起的问题），</w:t>
      </w:r>
      <w:r>
        <w:rPr>
          <w:rFonts w:hint="eastAsia" w:ascii="宋体" w:hAnsi="宋体" w:cs="宋体"/>
          <w:highlight w:val="none"/>
          <w:lang w:val="en-US" w:eastAsia="zh-CN"/>
        </w:rPr>
        <w:t>30天内组织</w:t>
      </w:r>
      <w:r>
        <w:rPr>
          <w:rFonts w:hint="eastAsia" w:ascii="宋体" w:hAnsi="宋体" w:eastAsia="宋体" w:cs="宋体"/>
          <w:highlight w:val="none"/>
        </w:rPr>
        <w:t>项目验收，对各项应用进行逐项验收，最后由医院项目负责人员和其他相关人员签字认可，确定工程完成，系统工作转入免费维护阶段。</w:t>
      </w:r>
    </w:p>
    <w:p w14:paraId="4BDA8ED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highlight w:val="none"/>
          <w:lang w:val="zh-CN"/>
        </w:rPr>
      </w:pPr>
      <w:r>
        <w:rPr>
          <w:rFonts w:hint="eastAsia" w:ascii="宋体" w:hAnsi="宋体" w:eastAsia="宋体" w:cs="宋体"/>
          <w:color w:val="000000"/>
          <w:kern w:val="0"/>
          <w:sz w:val="24"/>
          <w:szCs w:val="24"/>
          <w:highlight w:val="none"/>
          <w:lang w:val="zh-CN"/>
        </w:rPr>
        <w:t>2、验收标准：</w:t>
      </w:r>
    </w:p>
    <w:p w14:paraId="35C3451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highlight w:val="none"/>
          <w:lang w:val="zh-CN"/>
        </w:rPr>
      </w:pPr>
      <w:r>
        <w:rPr>
          <w:rFonts w:hint="eastAsia" w:ascii="宋体" w:hAnsi="宋体" w:eastAsia="宋体" w:cs="宋体"/>
          <w:color w:val="000000"/>
          <w:kern w:val="0"/>
          <w:sz w:val="24"/>
          <w:szCs w:val="24"/>
          <w:highlight w:val="none"/>
          <w:lang w:val="zh-CN"/>
        </w:rPr>
        <w:t>（1）乙方应向甲方提供符合合同约定的各项服务和交付物。如合同未约定质量标准的，应按照强制性国家标准履行；没有强制性国家标准的,按照推荐性国家标准履行；没有推荐性国家标准的，按照行业标准履行；没有国家标准、行业标准的，按照通常标准或者符合合同目的的特定标准履行；甲方及相关部门将根据招标文件、乙方的响应文件、双方签订的合同文件及其附件到场进行验收。</w:t>
      </w:r>
    </w:p>
    <w:p w14:paraId="79A95D9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highlight w:val="none"/>
          <w:lang w:val="zh-CN"/>
        </w:rPr>
      </w:pPr>
      <w:r>
        <w:rPr>
          <w:rFonts w:hint="eastAsia" w:ascii="宋体" w:hAnsi="宋体" w:eastAsia="宋体" w:cs="宋体"/>
          <w:color w:val="000000"/>
          <w:kern w:val="0"/>
          <w:sz w:val="24"/>
          <w:szCs w:val="24"/>
          <w:highlight w:val="none"/>
          <w:lang w:val="zh-CN"/>
        </w:rPr>
        <w:t>（2）乙方应保证按招标文件、乙方的响应文件、乙方作出的承诺以及本合同的约定提供合格的标的物及服务，并保证所提供的标的物及服务等完全符合招标文件要求。</w:t>
      </w:r>
    </w:p>
    <w:p w14:paraId="44FF8D7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highlight w:val="none"/>
          <w:lang w:val="zh-CN"/>
        </w:rPr>
      </w:pPr>
      <w:r>
        <w:rPr>
          <w:rFonts w:hint="eastAsia" w:ascii="宋体" w:hAnsi="宋体" w:eastAsia="宋体" w:cs="宋体"/>
          <w:color w:val="000000"/>
          <w:kern w:val="0"/>
          <w:sz w:val="24"/>
          <w:szCs w:val="24"/>
          <w:highlight w:val="none"/>
          <w:lang w:val="zh-CN"/>
        </w:rPr>
        <w:t>因乙方提供的标的物及服务等不合格导致的质量问题或引起的知识产权纠纷等，</w:t>
      </w:r>
      <w:r>
        <w:rPr>
          <w:rFonts w:hint="eastAsia" w:ascii="宋体" w:hAnsi="宋体" w:eastAsia="宋体" w:cs="宋体"/>
          <w:color w:val="000000"/>
          <w:kern w:val="0"/>
          <w:sz w:val="24"/>
          <w:szCs w:val="24"/>
          <w:highlight w:val="none"/>
          <w:lang w:val="en-US" w:eastAsia="zh-CN"/>
        </w:rPr>
        <w:t>甲</w:t>
      </w:r>
      <w:r>
        <w:rPr>
          <w:rFonts w:hint="eastAsia" w:ascii="宋体" w:hAnsi="宋体" w:eastAsia="宋体" w:cs="宋体"/>
          <w:color w:val="000000"/>
          <w:kern w:val="0"/>
          <w:sz w:val="24"/>
          <w:szCs w:val="24"/>
          <w:highlight w:val="none"/>
          <w:lang w:val="zh-CN"/>
        </w:rPr>
        <w:t>方有权退货或责成乙方解决并整改到位，由此产生的一切费用由乙方自行承担。若给甲方造成损失的，还应按照本合同第八条约定承担相应的违约责任。</w:t>
      </w:r>
    </w:p>
    <w:p w14:paraId="7E7C042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highlight w:val="none"/>
          <w:lang w:val="zh-CN"/>
        </w:rPr>
      </w:pPr>
      <w:r>
        <w:rPr>
          <w:rFonts w:hint="eastAsia" w:ascii="宋体" w:hAnsi="宋体" w:eastAsia="宋体" w:cs="宋体"/>
          <w:color w:val="000000"/>
          <w:kern w:val="0"/>
          <w:sz w:val="24"/>
          <w:szCs w:val="24"/>
          <w:highlight w:val="none"/>
          <w:lang w:val="zh-CN"/>
        </w:rPr>
        <w:t>（3）乙方应对软件质量负责，应保证提供有经验的工程师，并保证甲方在培训后能够独立地完成软件安装、维护和使用。</w:t>
      </w:r>
    </w:p>
    <w:p w14:paraId="5B513FC2">
      <w:pPr>
        <w:pStyle w:val="48"/>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firstLine="0"/>
        <w:jc w:val="left"/>
        <w:textAlignment w:val="auto"/>
        <w:rPr>
          <w:rFonts w:hint="eastAsia" w:ascii="宋体" w:hAnsi="宋体" w:eastAsia="宋体" w:cs="宋体"/>
          <w:b/>
          <w:bCs/>
          <w:color w:val="000000"/>
          <w:kern w:val="0"/>
          <w:sz w:val="24"/>
          <w:szCs w:val="24"/>
          <w:highlight w:val="none"/>
          <w:lang w:val="zh-CN"/>
        </w:rPr>
      </w:pPr>
      <w:r>
        <w:rPr>
          <w:rFonts w:hint="eastAsia" w:ascii="宋体" w:hAnsi="宋体" w:eastAsia="宋体" w:cs="宋体"/>
          <w:b/>
          <w:bCs/>
          <w:color w:val="000000"/>
          <w:kern w:val="0"/>
          <w:sz w:val="24"/>
          <w:szCs w:val="24"/>
          <w:highlight w:val="none"/>
          <w:lang w:val="zh-CN"/>
        </w:rPr>
        <w:t>对采购项目的验货物提出异议的时间和办法</w:t>
      </w:r>
    </w:p>
    <w:p w14:paraId="0282C0B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highlight w:val="none"/>
          <w:lang w:val="zh-CN"/>
        </w:rPr>
      </w:pPr>
      <w:r>
        <w:rPr>
          <w:rFonts w:hint="eastAsia" w:ascii="宋体" w:hAnsi="宋体" w:eastAsia="宋体" w:cs="宋体"/>
          <w:color w:val="000000"/>
          <w:kern w:val="0"/>
          <w:sz w:val="24"/>
          <w:szCs w:val="24"/>
          <w:highlight w:val="none"/>
          <w:lang w:val="zh-CN"/>
        </w:rPr>
        <w:t>1、甲方在验收过程中，应当于双方约定的检验期间内将标的物的质量不符合约定的情况及处理方式以书面方式通知乙方。</w:t>
      </w:r>
    </w:p>
    <w:p w14:paraId="2230C17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highlight w:val="none"/>
          <w:lang w:val="zh-CN"/>
        </w:rPr>
      </w:pPr>
      <w:r>
        <w:rPr>
          <w:rFonts w:hint="eastAsia" w:ascii="宋体" w:hAnsi="宋体" w:eastAsia="宋体" w:cs="宋体"/>
          <w:color w:val="000000"/>
          <w:kern w:val="0"/>
          <w:sz w:val="24"/>
          <w:szCs w:val="24"/>
          <w:highlight w:val="none"/>
          <w:lang w:val="zh-CN"/>
        </w:rPr>
        <w:t>2、如果甲方在验收期满后既不出具验收合格证明又未提出书面异议的视为乙方所交付标的物符合合同规定。</w:t>
      </w:r>
    </w:p>
    <w:p w14:paraId="28A9A2A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highlight w:val="none"/>
          <w:lang w:val="zh-CN"/>
        </w:rPr>
      </w:pPr>
      <w:r>
        <w:rPr>
          <w:rFonts w:hint="eastAsia" w:ascii="宋体" w:hAnsi="宋体" w:eastAsia="宋体" w:cs="宋体"/>
          <w:color w:val="000000"/>
          <w:kern w:val="0"/>
          <w:sz w:val="24"/>
          <w:szCs w:val="24"/>
          <w:highlight w:val="none"/>
          <w:lang w:val="zh-CN"/>
        </w:rPr>
        <w:t>3、乙方应在收到甲方书面异议后七天内负责解决问题，否则将视为默认甲方提出的异议和处理意见。</w:t>
      </w:r>
    </w:p>
    <w:p w14:paraId="7EC59977">
      <w:pPr>
        <w:pStyle w:val="48"/>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firstLine="0"/>
        <w:jc w:val="left"/>
        <w:textAlignment w:val="auto"/>
        <w:rPr>
          <w:rFonts w:hint="eastAsia" w:ascii="宋体" w:hAnsi="宋体" w:eastAsia="宋体" w:cs="宋体"/>
          <w:b/>
          <w:bCs/>
          <w:color w:val="000000"/>
          <w:kern w:val="0"/>
          <w:sz w:val="24"/>
          <w:szCs w:val="24"/>
          <w:highlight w:val="none"/>
          <w:lang w:val="zh-CN"/>
        </w:rPr>
      </w:pPr>
      <w:r>
        <w:rPr>
          <w:rFonts w:hint="eastAsia" w:ascii="宋体" w:hAnsi="宋体" w:eastAsia="宋体" w:cs="宋体"/>
          <w:b/>
          <w:bCs/>
          <w:color w:val="000000"/>
          <w:kern w:val="0"/>
          <w:sz w:val="24"/>
          <w:szCs w:val="24"/>
          <w:highlight w:val="none"/>
          <w:lang w:val="zh-CN"/>
        </w:rPr>
        <w:t>违约责任</w:t>
      </w:r>
    </w:p>
    <w:p w14:paraId="75E66A1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highlight w:val="none"/>
          <w:lang w:val="zh-CN"/>
        </w:rPr>
      </w:pPr>
      <w:r>
        <w:rPr>
          <w:rFonts w:hint="eastAsia" w:ascii="宋体" w:hAnsi="宋体" w:eastAsia="宋体" w:cs="宋体"/>
          <w:color w:val="000000"/>
          <w:kern w:val="0"/>
          <w:sz w:val="24"/>
          <w:szCs w:val="24"/>
          <w:highlight w:val="none"/>
          <w:lang w:val="zh-CN"/>
        </w:rPr>
        <w:t>1、甲方违约责任及违约金支付：</w:t>
      </w:r>
    </w:p>
    <w:p w14:paraId="6BC3A46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highlight w:val="none"/>
          <w:lang w:val="zh-CN"/>
        </w:rPr>
      </w:pPr>
      <w:r>
        <w:rPr>
          <w:rFonts w:hint="eastAsia" w:ascii="宋体" w:hAnsi="宋体" w:eastAsia="宋体" w:cs="宋体"/>
          <w:color w:val="000000"/>
          <w:kern w:val="0"/>
          <w:sz w:val="24"/>
          <w:szCs w:val="24"/>
          <w:highlight w:val="none"/>
          <w:lang w:val="zh-CN"/>
        </w:rPr>
        <w:t>1.1在合同生效后，甲方无故要求解除合同的，应向乙方偿付合同总价款5%的违约金，违约金不足以补偿损失的，乙方有权要求甲方补足。</w:t>
      </w:r>
    </w:p>
    <w:p w14:paraId="631D3B7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highlight w:val="none"/>
          <w:lang w:val="zh-CN"/>
        </w:rPr>
      </w:pPr>
      <w:r>
        <w:rPr>
          <w:rFonts w:hint="eastAsia" w:ascii="宋体" w:hAnsi="宋体" w:eastAsia="宋体" w:cs="宋体"/>
          <w:color w:val="000000"/>
          <w:kern w:val="0"/>
          <w:sz w:val="24"/>
          <w:szCs w:val="24"/>
          <w:highlight w:val="none"/>
          <w:lang w:val="zh-CN"/>
        </w:rPr>
        <w:t>1.2甲方逾期付款的应按照逾期付款金额的每天万分之四支付逾期付款违约金，总额不超过合同总价款的5%。</w:t>
      </w:r>
    </w:p>
    <w:p w14:paraId="07E18C3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highlight w:val="none"/>
          <w:lang w:val="zh-CN"/>
        </w:rPr>
      </w:pPr>
      <w:r>
        <w:rPr>
          <w:rFonts w:hint="eastAsia" w:ascii="宋体" w:hAnsi="宋体" w:eastAsia="宋体" w:cs="宋体"/>
          <w:color w:val="000000"/>
          <w:kern w:val="0"/>
          <w:sz w:val="24"/>
          <w:szCs w:val="24"/>
          <w:highlight w:val="none"/>
          <w:lang w:val="zh-CN"/>
        </w:rPr>
        <w:t>1.3甲方违反合同规定，拒绝接受乙方交付的合格标的物，应当承担乙方由此造成的损失。</w:t>
      </w:r>
    </w:p>
    <w:p w14:paraId="694E415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highlight w:val="none"/>
          <w:lang w:val="zh-CN"/>
        </w:rPr>
      </w:pPr>
      <w:r>
        <w:rPr>
          <w:rFonts w:hint="eastAsia" w:ascii="宋体" w:hAnsi="宋体" w:eastAsia="宋体" w:cs="宋体"/>
          <w:color w:val="000000"/>
          <w:kern w:val="0"/>
          <w:sz w:val="24"/>
          <w:szCs w:val="24"/>
          <w:highlight w:val="none"/>
          <w:lang w:val="zh-CN"/>
        </w:rPr>
        <w:t>2、乙方违约责任及违约金支付：</w:t>
      </w:r>
    </w:p>
    <w:p w14:paraId="08B449C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highlight w:val="none"/>
          <w:lang w:val="zh-CN"/>
        </w:rPr>
      </w:pPr>
      <w:r>
        <w:rPr>
          <w:rFonts w:hint="eastAsia" w:ascii="宋体" w:hAnsi="宋体" w:eastAsia="宋体" w:cs="宋体"/>
          <w:color w:val="000000"/>
          <w:kern w:val="0"/>
          <w:sz w:val="24"/>
          <w:szCs w:val="24"/>
          <w:highlight w:val="none"/>
          <w:lang w:val="zh-CN"/>
        </w:rPr>
        <w:t>2.1在合同生效后，乙方无故要求解除合同的，应向甲方偿付合同总价款5%的违约金，违约金不足以补偿损失的，甲方有权要求乙方补足。</w:t>
      </w:r>
    </w:p>
    <w:p w14:paraId="5F8FA4F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lang w:val="zh-CN"/>
        </w:rPr>
        <w:t>2.</w:t>
      </w:r>
      <w:r>
        <w:rPr>
          <w:rFonts w:hint="eastAsia" w:ascii="宋体" w:hAnsi="宋体" w:eastAsia="宋体" w:cs="宋体"/>
          <w:color w:val="000000"/>
          <w:kern w:val="0"/>
          <w:sz w:val="24"/>
          <w:szCs w:val="24"/>
          <w:highlight w:val="none"/>
        </w:rPr>
        <w:t>2 乙方不能按时交付技术成果或提供服务的，每逾期一日应向甲方支付合同总额的1%，如违约金不足以弥补给甲方造成的损失，甲方有权要求乙方全额补足。</w:t>
      </w:r>
    </w:p>
    <w:p w14:paraId="61D8DCF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highlight w:val="none"/>
          <w:lang w:val="zh-CN"/>
        </w:rPr>
      </w:pPr>
      <w:r>
        <w:rPr>
          <w:rFonts w:hint="eastAsia" w:ascii="宋体" w:hAnsi="宋体" w:eastAsia="宋体" w:cs="宋体"/>
          <w:color w:val="000000"/>
          <w:kern w:val="0"/>
          <w:sz w:val="24"/>
          <w:szCs w:val="24"/>
          <w:highlight w:val="none"/>
          <w:lang w:val="zh-CN"/>
        </w:rPr>
        <w:t>2.3 如乙方未能按照本合同约定提供质保售后服务的，乙方应承担相当于本合同总价款15%的违约金，如违约金不足以弥补给甲方造成的损失，甲方有权要求乙方全额补足。</w:t>
      </w:r>
    </w:p>
    <w:p w14:paraId="50087B5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highlight w:val="none"/>
          <w:lang w:val="zh-CN"/>
        </w:rPr>
      </w:pPr>
      <w:r>
        <w:rPr>
          <w:rFonts w:hint="eastAsia" w:ascii="宋体" w:hAnsi="宋体" w:eastAsia="宋体" w:cs="宋体"/>
          <w:color w:val="000000"/>
          <w:kern w:val="0"/>
          <w:sz w:val="24"/>
          <w:szCs w:val="24"/>
          <w:highlight w:val="none"/>
          <w:lang w:val="zh-CN"/>
        </w:rPr>
        <w:t>2.</w:t>
      </w:r>
      <w:r>
        <w:rPr>
          <w:rFonts w:hint="eastAsia" w:ascii="宋体" w:hAnsi="宋体" w:eastAsia="宋体" w:cs="宋体"/>
          <w:color w:val="000000"/>
          <w:kern w:val="0"/>
          <w:sz w:val="24"/>
          <w:szCs w:val="24"/>
          <w:highlight w:val="none"/>
        </w:rPr>
        <w:t>4未经甲方事先的书面同意，</w:t>
      </w:r>
      <w:r>
        <w:rPr>
          <w:rFonts w:hint="eastAsia" w:ascii="宋体" w:hAnsi="宋体" w:eastAsia="宋体" w:cs="宋体"/>
          <w:color w:val="000000"/>
          <w:kern w:val="0"/>
          <w:sz w:val="24"/>
          <w:szCs w:val="24"/>
          <w:highlight w:val="none"/>
          <w:lang w:val="zh-CN"/>
        </w:rPr>
        <w:t>乙方不得将本项目自行分包，否则，甲方有权立即解除合同。</w:t>
      </w:r>
      <w:r>
        <w:rPr>
          <w:rFonts w:hint="eastAsia" w:ascii="宋体" w:hAnsi="宋体" w:eastAsia="宋体" w:cs="宋体"/>
          <w:color w:val="000000"/>
          <w:kern w:val="0"/>
          <w:sz w:val="24"/>
          <w:szCs w:val="24"/>
          <w:highlight w:val="none"/>
        </w:rPr>
        <w:t>乙方应承担相当于本合同总价款15%的违约金，如违约金不足以弥补给甲方造成的损失，甲方有权要求乙方全额补足。</w:t>
      </w:r>
    </w:p>
    <w:p w14:paraId="2279864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highlight w:val="none"/>
          <w:lang w:val="zh-CN"/>
        </w:rPr>
      </w:pPr>
      <w:r>
        <w:rPr>
          <w:rFonts w:hint="eastAsia" w:ascii="宋体" w:hAnsi="宋体" w:eastAsia="宋体" w:cs="宋体"/>
          <w:color w:val="000000"/>
          <w:kern w:val="0"/>
          <w:sz w:val="24"/>
          <w:szCs w:val="24"/>
          <w:highlight w:val="none"/>
          <w:lang w:val="zh-CN"/>
        </w:rPr>
        <w:t>2.</w:t>
      </w:r>
      <w:r>
        <w:rPr>
          <w:rFonts w:hint="eastAsia" w:ascii="宋体" w:hAnsi="宋体" w:eastAsia="宋体" w:cs="宋体"/>
          <w:color w:val="000000"/>
          <w:kern w:val="0"/>
          <w:sz w:val="24"/>
          <w:szCs w:val="24"/>
          <w:highlight w:val="none"/>
        </w:rPr>
        <w:t>5</w:t>
      </w:r>
      <w:r>
        <w:rPr>
          <w:rFonts w:hint="eastAsia" w:ascii="宋体" w:hAnsi="宋体" w:eastAsia="宋体" w:cs="宋体"/>
          <w:color w:val="000000"/>
          <w:kern w:val="0"/>
          <w:sz w:val="24"/>
          <w:szCs w:val="24"/>
          <w:highlight w:val="none"/>
          <w:lang w:val="zh-CN"/>
        </w:rPr>
        <w:t>乙方应安全施工，并避免和防止乙方出现安全事故发生，乙方负责对乙方的施工人员进行人身意外险投保，若发生安全事故均由乙方负责处理和承担责任，包括但不限于经济赔偿和行政处理。该等责任与甲方无涉。</w:t>
      </w:r>
    </w:p>
    <w:p w14:paraId="0E77EF6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highlight w:val="none"/>
          <w:lang w:val="zh-CN"/>
        </w:rPr>
      </w:pPr>
      <w:r>
        <w:rPr>
          <w:rFonts w:hint="eastAsia" w:ascii="宋体" w:hAnsi="宋体" w:eastAsia="宋体" w:cs="宋体"/>
          <w:color w:val="000000"/>
          <w:kern w:val="0"/>
          <w:sz w:val="24"/>
          <w:szCs w:val="24"/>
          <w:highlight w:val="none"/>
          <w:lang w:val="zh-CN"/>
        </w:rPr>
        <w:t>2.6如乙方违反本合同其他义务的，且在收到甲方书面通知指定的合理时间未能纠正或怠于更正的，乙方应承担相当于本合同总价款15%的违约金，如违约金不足以弥补给甲方造成的损失，甲方有权要求乙方全额补足。</w:t>
      </w:r>
    </w:p>
    <w:p w14:paraId="0D467BE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highlight w:val="none"/>
          <w:lang w:val="zh-CN"/>
        </w:rPr>
      </w:pPr>
      <w:r>
        <w:rPr>
          <w:rFonts w:hint="eastAsia" w:ascii="宋体" w:hAnsi="宋体" w:eastAsia="宋体" w:cs="宋体"/>
          <w:kern w:val="0"/>
          <w:sz w:val="24"/>
          <w:szCs w:val="24"/>
          <w:highlight w:val="none"/>
          <w:lang w:val="zh-CN"/>
        </w:rPr>
        <w:t>3.</w:t>
      </w:r>
      <w:r>
        <w:rPr>
          <w:rFonts w:hint="eastAsia" w:ascii="宋体" w:hAnsi="宋体" w:eastAsia="宋体" w:cs="宋体"/>
          <w:color w:val="000000"/>
          <w:kern w:val="0"/>
          <w:sz w:val="24"/>
          <w:szCs w:val="24"/>
          <w:highlight w:val="none"/>
          <w:lang w:val="zh-CN"/>
        </w:rPr>
        <w:t>本合同生效后，任何一方不履行或不完全履行本合同约定义务的，即构成违约。守约方</w:t>
      </w:r>
      <w:bookmarkStart w:id="2" w:name="_Hlk155620639"/>
      <w:r>
        <w:rPr>
          <w:rFonts w:hint="eastAsia" w:ascii="宋体" w:hAnsi="宋体" w:eastAsia="宋体" w:cs="宋体"/>
          <w:color w:val="000000"/>
          <w:kern w:val="0"/>
          <w:sz w:val="24"/>
          <w:szCs w:val="24"/>
          <w:highlight w:val="none"/>
          <w:lang w:val="zh-CN"/>
        </w:rPr>
        <w:t>有权要求违约方承担违约金，若实际损失超过违约金的应按照实际损失承担赔偿责任，损失赔偿范围包括但不限于守约方的直接损失、间接损失及维权支出的各项费用（诉讼费、律师费、鉴定费、调查费和保全费等）。</w:t>
      </w:r>
      <w:bookmarkEnd w:id="2"/>
    </w:p>
    <w:p w14:paraId="128EFE3C">
      <w:pPr>
        <w:pStyle w:val="48"/>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firstLine="0"/>
        <w:jc w:val="left"/>
        <w:textAlignment w:val="auto"/>
        <w:rPr>
          <w:rFonts w:hint="eastAsia" w:ascii="宋体" w:hAnsi="宋体" w:eastAsia="宋体" w:cs="宋体"/>
          <w:b/>
          <w:bCs/>
          <w:color w:val="000000"/>
          <w:kern w:val="0"/>
          <w:sz w:val="24"/>
          <w:szCs w:val="24"/>
          <w:highlight w:val="none"/>
          <w:lang w:val="zh-CN"/>
        </w:rPr>
      </w:pPr>
      <w:r>
        <w:rPr>
          <w:rFonts w:hint="eastAsia" w:ascii="宋体" w:hAnsi="宋体" w:eastAsia="宋体" w:cs="宋体"/>
          <w:b/>
          <w:bCs/>
          <w:color w:val="000000"/>
          <w:kern w:val="0"/>
          <w:sz w:val="24"/>
          <w:szCs w:val="24"/>
          <w:highlight w:val="none"/>
          <w:lang w:val="zh-CN"/>
        </w:rPr>
        <w:t>不可抗力</w:t>
      </w:r>
    </w:p>
    <w:p w14:paraId="33742FAD">
      <w:pPr>
        <w:spacing w:line="360" w:lineRule="auto"/>
        <w:ind w:firstLine="480" w:firstLineChars="200"/>
        <w:jc w:val="left"/>
        <w:rPr>
          <w:rFonts w:hint="eastAsia" w:ascii="宋体" w:hAnsi="宋体" w:eastAsia="宋体" w:cs="宋体"/>
          <w:color w:val="000000"/>
          <w:szCs w:val="24"/>
          <w:lang w:val="zh-CN"/>
        </w:rPr>
      </w:pPr>
      <w:r>
        <w:rPr>
          <w:rFonts w:hint="eastAsia" w:ascii="宋体" w:hAnsi="宋体" w:eastAsia="宋体" w:cs="宋体"/>
          <w:color w:val="000000"/>
          <w:szCs w:val="24"/>
          <w:lang w:val="zh-CN"/>
        </w:rPr>
        <w:t>1、因不可抗力不能履行合同的，根据不可抗力的影响，</w:t>
      </w:r>
      <w:r>
        <w:rPr>
          <w:rFonts w:hint="eastAsia" w:ascii="宋体" w:hAnsi="宋体" w:eastAsia="宋体" w:cs="宋体"/>
          <w:color w:val="000000"/>
          <w:szCs w:val="24"/>
        </w:rPr>
        <w:t>经双方协商一致并书面确定，</w:t>
      </w:r>
      <w:r>
        <w:rPr>
          <w:rFonts w:hint="eastAsia" w:ascii="宋体" w:hAnsi="宋体" w:eastAsia="宋体" w:cs="宋体"/>
          <w:color w:val="000000"/>
          <w:szCs w:val="24"/>
          <w:lang w:val="zh-CN"/>
        </w:rPr>
        <w:t>部分或者全部免除责任。但合同一方延迟履行后发生不可抗力的，不能免除责任。</w:t>
      </w:r>
    </w:p>
    <w:p w14:paraId="106E6724">
      <w:pPr>
        <w:spacing w:line="360" w:lineRule="auto"/>
        <w:ind w:firstLine="480" w:firstLineChars="200"/>
        <w:jc w:val="left"/>
        <w:rPr>
          <w:rFonts w:hint="eastAsia" w:ascii="宋体" w:hAnsi="宋体" w:eastAsia="宋体" w:cs="宋体"/>
          <w:color w:val="000000"/>
          <w:szCs w:val="24"/>
          <w:lang w:bidi="en-US"/>
        </w:rPr>
      </w:pPr>
      <w:r>
        <w:rPr>
          <w:rFonts w:hint="eastAsia" w:ascii="宋体" w:hAnsi="宋体" w:eastAsia="宋体" w:cs="宋体"/>
          <w:color w:val="000000"/>
          <w:szCs w:val="24"/>
          <w:lang w:val="zh-CN"/>
        </w:rPr>
        <w:t>2、合同一方因不可抗力不能履行合同的，应当</w:t>
      </w:r>
      <w:r>
        <w:rPr>
          <w:rFonts w:hint="eastAsia" w:ascii="宋体" w:hAnsi="宋体" w:eastAsia="宋体" w:cs="宋体"/>
          <w:color w:val="000000"/>
          <w:szCs w:val="24"/>
        </w:rPr>
        <w:t>在不可抗力事由发生之日起三日内</w:t>
      </w:r>
      <w:r>
        <w:rPr>
          <w:rFonts w:hint="eastAsia" w:ascii="宋体" w:hAnsi="宋体" w:eastAsia="宋体" w:cs="宋体"/>
          <w:color w:val="000000"/>
          <w:szCs w:val="24"/>
          <w:lang w:val="zh-CN"/>
        </w:rPr>
        <w:t>及时</w:t>
      </w:r>
      <w:r>
        <w:rPr>
          <w:rFonts w:hint="eastAsia" w:ascii="宋体" w:hAnsi="宋体" w:eastAsia="宋体" w:cs="宋体"/>
          <w:color w:val="000000"/>
          <w:szCs w:val="24"/>
        </w:rPr>
        <w:t>书面</w:t>
      </w:r>
      <w:r>
        <w:rPr>
          <w:rFonts w:hint="eastAsia" w:ascii="宋体" w:hAnsi="宋体" w:eastAsia="宋体" w:cs="宋体"/>
          <w:color w:val="000000"/>
          <w:szCs w:val="24"/>
          <w:lang w:val="zh-CN"/>
        </w:rPr>
        <w:t>通知对方，以减轻可能给对方造成的损失，并应当在合理期限内提供证明。</w:t>
      </w:r>
    </w:p>
    <w:p w14:paraId="0C2E9A78">
      <w:pPr>
        <w:pStyle w:val="48"/>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firstLine="0"/>
        <w:jc w:val="left"/>
        <w:textAlignment w:val="auto"/>
        <w:rPr>
          <w:rFonts w:hint="eastAsia" w:ascii="宋体" w:hAnsi="宋体" w:eastAsia="宋体" w:cs="宋体"/>
          <w:b/>
          <w:bCs/>
          <w:color w:val="000000"/>
          <w:kern w:val="0"/>
          <w:sz w:val="24"/>
          <w:szCs w:val="24"/>
          <w:highlight w:val="none"/>
          <w:lang w:val="zh-CN"/>
        </w:rPr>
      </w:pPr>
      <w:r>
        <w:rPr>
          <w:rFonts w:hint="eastAsia" w:ascii="宋体" w:hAnsi="宋体" w:eastAsia="宋体" w:cs="宋体"/>
          <w:b/>
          <w:bCs/>
          <w:color w:val="000000"/>
          <w:kern w:val="0"/>
          <w:sz w:val="24"/>
          <w:szCs w:val="24"/>
          <w:highlight w:val="none"/>
          <w:lang w:val="zh-CN"/>
        </w:rPr>
        <w:t>合同的修改</w:t>
      </w:r>
    </w:p>
    <w:p w14:paraId="095DA81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highlight w:val="none"/>
          <w:lang w:val="zh-CN"/>
        </w:rPr>
      </w:pPr>
      <w:r>
        <w:rPr>
          <w:rFonts w:hint="eastAsia" w:ascii="宋体" w:hAnsi="宋体" w:eastAsia="宋体" w:cs="宋体"/>
          <w:color w:val="000000"/>
          <w:kern w:val="0"/>
          <w:sz w:val="24"/>
          <w:szCs w:val="24"/>
          <w:highlight w:val="none"/>
          <w:lang w:val="zh-CN"/>
        </w:rPr>
        <w:t>任何一方，未经另一方书面同意，均不得擅自变更本合同。</w:t>
      </w:r>
    </w:p>
    <w:p w14:paraId="46D96710">
      <w:pPr>
        <w:pStyle w:val="48"/>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firstLine="0"/>
        <w:jc w:val="left"/>
        <w:textAlignment w:val="auto"/>
        <w:rPr>
          <w:rFonts w:hint="eastAsia" w:ascii="宋体" w:hAnsi="宋体" w:eastAsia="宋体" w:cs="宋体"/>
          <w:b/>
          <w:bCs/>
          <w:color w:val="000000"/>
          <w:kern w:val="0"/>
          <w:sz w:val="24"/>
          <w:szCs w:val="24"/>
          <w:highlight w:val="none"/>
          <w:lang w:val="zh-CN"/>
        </w:rPr>
      </w:pPr>
      <w:r>
        <w:rPr>
          <w:rFonts w:hint="eastAsia" w:ascii="宋体" w:hAnsi="宋体" w:eastAsia="宋体" w:cs="宋体"/>
          <w:b/>
          <w:bCs/>
          <w:color w:val="000000"/>
          <w:kern w:val="0"/>
          <w:sz w:val="24"/>
          <w:szCs w:val="24"/>
          <w:highlight w:val="none"/>
          <w:lang w:val="zh-CN"/>
        </w:rPr>
        <w:t>转让和分包</w:t>
      </w:r>
    </w:p>
    <w:p w14:paraId="0186136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highlight w:val="none"/>
          <w:lang w:val="zh-CN"/>
        </w:rPr>
      </w:pPr>
      <w:r>
        <w:rPr>
          <w:rFonts w:hint="eastAsia" w:ascii="宋体" w:hAnsi="宋体" w:eastAsia="宋体" w:cs="宋体"/>
          <w:color w:val="000000"/>
          <w:kern w:val="0"/>
          <w:sz w:val="24"/>
          <w:szCs w:val="24"/>
          <w:highlight w:val="none"/>
          <w:lang w:val="zh-CN"/>
        </w:rPr>
        <w:t>本合同的部分和全部，未经另一方书面同意，均不得擅自转让。</w:t>
      </w:r>
    </w:p>
    <w:p w14:paraId="2340CA1D">
      <w:pPr>
        <w:pStyle w:val="48"/>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firstLine="0"/>
        <w:jc w:val="left"/>
        <w:textAlignment w:val="auto"/>
        <w:rPr>
          <w:rFonts w:hint="eastAsia" w:ascii="宋体" w:hAnsi="宋体" w:eastAsia="宋体" w:cs="宋体"/>
          <w:b/>
          <w:bCs/>
          <w:color w:val="000000"/>
          <w:kern w:val="0"/>
          <w:sz w:val="24"/>
          <w:szCs w:val="24"/>
          <w:highlight w:val="none"/>
          <w:lang w:val="zh-CN"/>
        </w:rPr>
      </w:pPr>
      <w:r>
        <w:rPr>
          <w:rFonts w:hint="eastAsia" w:ascii="宋体" w:hAnsi="宋体" w:eastAsia="宋体" w:cs="宋体"/>
          <w:b/>
          <w:bCs/>
          <w:color w:val="000000"/>
          <w:kern w:val="0"/>
          <w:sz w:val="24"/>
          <w:szCs w:val="24"/>
          <w:highlight w:val="none"/>
          <w:lang w:val="zh-CN"/>
        </w:rPr>
        <w:t>合同的解除</w:t>
      </w:r>
    </w:p>
    <w:p w14:paraId="3A2C814E">
      <w:pPr>
        <w:spacing w:line="360" w:lineRule="auto"/>
        <w:ind w:firstLine="480" w:firstLineChars="200"/>
        <w:jc w:val="left"/>
        <w:rPr>
          <w:rFonts w:hint="eastAsia" w:ascii="宋体" w:hAnsi="宋体" w:eastAsia="宋体" w:cs="宋体"/>
          <w:color w:val="000000"/>
          <w:szCs w:val="24"/>
          <w:lang w:val="zh-CN"/>
        </w:rPr>
      </w:pPr>
      <w:r>
        <w:rPr>
          <w:rFonts w:hint="eastAsia" w:ascii="宋体" w:hAnsi="宋体" w:eastAsia="宋体" w:cs="宋体"/>
          <w:color w:val="000000"/>
          <w:szCs w:val="24"/>
          <w:lang w:val="zh-CN"/>
        </w:rPr>
        <w:t>1、甲方和乙方协商一致</w:t>
      </w:r>
      <w:r>
        <w:rPr>
          <w:rFonts w:hint="eastAsia" w:ascii="宋体" w:hAnsi="宋体" w:eastAsia="宋体" w:cs="宋体"/>
          <w:color w:val="000000"/>
          <w:szCs w:val="24"/>
        </w:rPr>
        <w:t>并书面确认</w:t>
      </w:r>
      <w:r>
        <w:rPr>
          <w:rFonts w:hint="eastAsia" w:ascii="宋体" w:hAnsi="宋体" w:eastAsia="宋体" w:cs="宋体"/>
          <w:color w:val="000000"/>
          <w:szCs w:val="24"/>
          <w:lang w:val="zh-CN"/>
        </w:rPr>
        <w:t>，可以解除合同。</w:t>
      </w:r>
    </w:p>
    <w:p w14:paraId="3E3E9372">
      <w:pPr>
        <w:spacing w:line="360" w:lineRule="auto"/>
        <w:ind w:firstLine="480" w:firstLineChars="200"/>
        <w:jc w:val="left"/>
        <w:rPr>
          <w:rFonts w:hint="eastAsia" w:ascii="宋体" w:hAnsi="宋体" w:eastAsia="宋体" w:cs="宋体"/>
          <w:color w:val="000000"/>
          <w:szCs w:val="24"/>
          <w:lang w:val="zh-CN"/>
        </w:rPr>
      </w:pPr>
      <w:r>
        <w:rPr>
          <w:rFonts w:hint="eastAsia" w:ascii="宋体" w:hAnsi="宋体" w:eastAsia="宋体" w:cs="宋体"/>
          <w:color w:val="000000"/>
          <w:szCs w:val="24"/>
          <w:lang w:val="zh-CN"/>
        </w:rPr>
        <w:t>2、有下列情形之一，合同一方可以解除合同：</w:t>
      </w:r>
    </w:p>
    <w:p w14:paraId="1EF93504">
      <w:pPr>
        <w:spacing w:line="360" w:lineRule="auto"/>
        <w:ind w:firstLine="480" w:firstLineChars="200"/>
        <w:jc w:val="left"/>
        <w:rPr>
          <w:rFonts w:hint="eastAsia" w:ascii="宋体" w:hAnsi="宋体" w:eastAsia="宋体" w:cs="宋体"/>
          <w:color w:val="000000"/>
          <w:szCs w:val="24"/>
          <w:lang w:val="zh-CN"/>
        </w:rPr>
      </w:pPr>
      <w:r>
        <w:rPr>
          <w:rFonts w:hint="eastAsia" w:ascii="宋体" w:hAnsi="宋体" w:eastAsia="宋体" w:cs="宋体"/>
          <w:color w:val="000000"/>
          <w:szCs w:val="24"/>
          <w:lang w:val="zh-CN"/>
        </w:rPr>
        <w:t>2.1因不可抗力致使不能实现合同目的，未受不可抗力影响的一方有权解除合同；</w:t>
      </w:r>
    </w:p>
    <w:p w14:paraId="636F1279">
      <w:pPr>
        <w:spacing w:line="360" w:lineRule="auto"/>
        <w:ind w:firstLine="480" w:firstLineChars="200"/>
        <w:jc w:val="left"/>
        <w:rPr>
          <w:rFonts w:hint="eastAsia" w:ascii="宋体" w:hAnsi="宋体" w:eastAsia="宋体" w:cs="宋体"/>
          <w:color w:val="000000"/>
          <w:szCs w:val="24"/>
          <w:lang w:val="zh-CN"/>
        </w:rPr>
      </w:pPr>
      <w:r>
        <w:rPr>
          <w:rFonts w:hint="eastAsia" w:ascii="宋体" w:hAnsi="宋体" w:eastAsia="宋体" w:cs="宋体"/>
          <w:color w:val="000000"/>
          <w:szCs w:val="24"/>
          <w:lang w:val="zh-CN"/>
        </w:rPr>
        <w:t>2.2因合同一方违约导致合同不能履行，另一方有权解除合同。</w:t>
      </w:r>
    </w:p>
    <w:p w14:paraId="63DEC8BC">
      <w:pPr>
        <w:spacing w:line="360" w:lineRule="auto"/>
        <w:ind w:firstLine="480" w:firstLineChars="200"/>
        <w:jc w:val="left"/>
        <w:rPr>
          <w:rFonts w:hint="eastAsia" w:ascii="宋体" w:hAnsi="宋体" w:eastAsia="宋体" w:cs="宋体"/>
          <w:color w:val="000000"/>
          <w:szCs w:val="24"/>
          <w:lang w:val="zh-CN"/>
        </w:rPr>
      </w:pPr>
      <w:r>
        <w:rPr>
          <w:rFonts w:hint="eastAsia" w:ascii="宋体" w:hAnsi="宋体" w:eastAsia="宋体" w:cs="宋体"/>
          <w:color w:val="000000"/>
          <w:szCs w:val="24"/>
          <w:lang w:val="zh-CN"/>
        </w:rPr>
        <w:t>3、</w:t>
      </w:r>
      <w:r>
        <w:rPr>
          <w:rFonts w:hint="eastAsia" w:ascii="宋体" w:hAnsi="宋体" w:eastAsia="宋体" w:cs="宋体"/>
          <w:color w:val="000000"/>
          <w:szCs w:val="24"/>
        </w:rPr>
        <w:t>在本条1、2款的情形下，</w:t>
      </w:r>
      <w:r>
        <w:rPr>
          <w:rFonts w:hint="eastAsia" w:ascii="宋体" w:hAnsi="宋体" w:eastAsia="宋体" w:cs="宋体"/>
          <w:color w:val="000000"/>
          <w:szCs w:val="24"/>
          <w:lang w:val="zh-CN"/>
        </w:rPr>
        <w:t>有权解除合同的一方，应当在违约事实或不可抗力发生之后三十天内书面通知对方以主张解除合同，合同在书面通知到达对方时解除。</w:t>
      </w:r>
    </w:p>
    <w:p w14:paraId="17754DE7">
      <w:pPr>
        <w:pStyle w:val="48"/>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firstLine="0"/>
        <w:jc w:val="left"/>
        <w:textAlignment w:val="auto"/>
        <w:rPr>
          <w:rFonts w:hint="eastAsia" w:ascii="宋体" w:hAnsi="宋体" w:eastAsia="宋体" w:cs="宋体"/>
          <w:b/>
          <w:bCs/>
          <w:color w:val="000000"/>
          <w:kern w:val="0"/>
          <w:sz w:val="24"/>
          <w:szCs w:val="24"/>
          <w:highlight w:val="none"/>
          <w:lang w:val="zh-CN"/>
        </w:rPr>
      </w:pPr>
      <w:r>
        <w:rPr>
          <w:rFonts w:hint="eastAsia" w:ascii="宋体" w:hAnsi="宋体" w:eastAsia="宋体" w:cs="宋体"/>
          <w:b/>
          <w:bCs/>
          <w:color w:val="000000"/>
          <w:kern w:val="0"/>
          <w:sz w:val="24"/>
          <w:szCs w:val="24"/>
          <w:highlight w:val="none"/>
          <w:lang w:val="zh-CN"/>
        </w:rPr>
        <w:t>争议解决</w:t>
      </w:r>
    </w:p>
    <w:p w14:paraId="5E9DCEA6">
      <w:pPr>
        <w:spacing w:line="360" w:lineRule="auto"/>
        <w:ind w:firstLine="480" w:firstLineChars="200"/>
        <w:jc w:val="left"/>
        <w:rPr>
          <w:rFonts w:hint="eastAsia" w:ascii="宋体" w:hAnsi="宋体" w:eastAsia="宋体" w:cs="宋体"/>
          <w:color w:val="000000"/>
          <w:szCs w:val="24"/>
          <w:lang w:val="zh-CN"/>
        </w:rPr>
      </w:pPr>
      <w:r>
        <w:rPr>
          <w:rFonts w:hint="eastAsia" w:ascii="宋体" w:hAnsi="宋体" w:eastAsia="宋体" w:cs="宋体"/>
          <w:color w:val="000000"/>
          <w:szCs w:val="24"/>
          <w:lang w:val="zh-CN"/>
        </w:rPr>
        <w:t>若因本合同或与本合同有关的一切事项发生争议，首先由双方友好协商解决。如协商不成的，任何一方均可向甲方所在地的人民法院起诉。败诉方应承担因诉讼而产生的相关费用，包括但不限于诉讼费、胜诉方合理律师费、保全费、鉴定费等。</w:t>
      </w:r>
    </w:p>
    <w:p w14:paraId="590DFB0C">
      <w:pPr>
        <w:pStyle w:val="48"/>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firstLine="0"/>
        <w:jc w:val="left"/>
        <w:textAlignment w:val="auto"/>
        <w:rPr>
          <w:rFonts w:hint="eastAsia" w:ascii="宋体" w:hAnsi="宋体" w:eastAsia="宋体" w:cs="宋体"/>
          <w:b/>
          <w:bCs/>
          <w:color w:val="000000"/>
          <w:kern w:val="0"/>
          <w:sz w:val="24"/>
          <w:szCs w:val="24"/>
          <w:highlight w:val="none"/>
          <w:lang w:val="zh-CN"/>
        </w:rPr>
      </w:pPr>
      <w:r>
        <w:rPr>
          <w:rFonts w:hint="eastAsia" w:ascii="宋体" w:hAnsi="宋体" w:eastAsia="宋体" w:cs="宋体"/>
          <w:b/>
          <w:bCs/>
          <w:color w:val="000000"/>
          <w:kern w:val="0"/>
          <w:sz w:val="24"/>
          <w:szCs w:val="24"/>
          <w:highlight w:val="none"/>
          <w:lang w:val="zh-CN"/>
        </w:rPr>
        <w:t>合同生效及其他</w:t>
      </w:r>
    </w:p>
    <w:p w14:paraId="23FA482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highlight w:val="none"/>
          <w:lang w:val="zh-CN"/>
        </w:rPr>
      </w:pPr>
      <w:r>
        <w:rPr>
          <w:rFonts w:hint="eastAsia" w:ascii="宋体" w:hAnsi="宋体" w:eastAsia="宋体" w:cs="宋体"/>
          <w:color w:val="000000"/>
          <w:kern w:val="0"/>
          <w:sz w:val="24"/>
          <w:szCs w:val="24"/>
          <w:highlight w:val="none"/>
          <w:lang w:val="zh-CN"/>
        </w:rPr>
        <w:t>1、本合同经双方法定（授权）代表人签字（或盖章）并加盖单位公章（或合同章）后生效。</w:t>
      </w:r>
    </w:p>
    <w:p w14:paraId="10FD179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highlight w:val="none"/>
          <w:lang w:val="zh-CN"/>
        </w:rPr>
      </w:pPr>
      <w:r>
        <w:rPr>
          <w:rFonts w:hint="eastAsia" w:ascii="宋体" w:hAnsi="宋体" w:eastAsia="宋体" w:cs="宋体"/>
          <w:color w:val="000000"/>
          <w:kern w:val="0"/>
          <w:sz w:val="24"/>
          <w:szCs w:val="24"/>
          <w:highlight w:val="none"/>
          <w:lang w:val="zh-CN"/>
        </w:rPr>
        <w:t>2、本合同一式</w:t>
      </w:r>
      <w:r>
        <w:rPr>
          <w:rFonts w:hint="eastAsia" w:ascii="宋体" w:hAnsi="宋体" w:eastAsia="宋体" w:cs="宋体"/>
          <w:color w:val="000000"/>
          <w:kern w:val="0"/>
          <w:sz w:val="24"/>
          <w:szCs w:val="24"/>
          <w:highlight w:val="none"/>
          <w:u w:val="single"/>
          <w:lang w:val="zh-CN"/>
        </w:rPr>
        <w:t xml:space="preserve"> </w:t>
      </w:r>
      <w:r>
        <w:rPr>
          <w:rFonts w:hint="eastAsia" w:ascii="宋体" w:hAnsi="宋体" w:eastAsia="宋体" w:cs="宋体"/>
          <w:color w:val="000000"/>
          <w:kern w:val="0"/>
          <w:sz w:val="24"/>
          <w:szCs w:val="24"/>
          <w:highlight w:val="none"/>
          <w:u w:val="single"/>
          <w:lang w:val="en-US" w:eastAsia="zh-CN"/>
        </w:rPr>
        <w:t>陆</w:t>
      </w:r>
      <w:r>
        <w:rPr>
          <w:rFonts w:hint="eastAsia" w:ascii="宋体" w:hAnsi="宋体" w:eastAsia="宋体" w:cs="宋体"/>
          <w:color w:val="000000"/>
          <w:kern w:val="0"/>
          <w:sz w:val="24"/>
          <w:szCs w:val="24"/>
          <w:highlight w:val="none"/>
          <w:u w:val="single"/>
          <w:lang w:val="zh-CN"/>
        </w:rPr>
        <w:t xml:space="preserve"> </w:t>
      </w:r>
      <w:r>
        <w:rPr>
          <w:rFonts w:hint="eastAsia" w:ascii="宋体" w:hAnsi="宋体" w:eastAsia="宋体" w:cs="宋体"/>
          <w:color w:val="000000"/>
          <w:kern w:val="0"/>
          <w:sz w:val="24"/>
          <w:szCs w:val="24"/>
          <w:highlight w:val="none"/>
          <w:lang w:val="zh-CN"/>
        </w:rPr>
        <w:t>份，甲方</w:t>
      </w:r>
      <w:r>
        <w:rPr>
          <w:rFonts w:hint="eastAsia" w:ascii="宋体" w:hAnsi="宋体" w:eastAsia="宋体" w:cs="宋体"/>
          <w:color w:val="000000"/>
          <w:kern w:val="0"/>
          <w:sz w:val="24"/>
          <w:szCs w:val="24"/>
          <w:highlight w:val="none"/>
          <w:u w:val="single"/>
          <w:lang w:val="zh-CN"/>
        </w:rPr>
        <w:t xml:space="preserve"> </w:t>
      </w:r>
      <w:r>
        <w:rPr>
          <w:rFonts w:hint="eastAsia" w:ascii="宋体" w:hAnsi="宋体" w:eastAsia="宋体" w:cs="宋体"/>
          <w:color w:val="000000"/>
          <w:kern w:val="0"/>
          <w:sz w:val="24"/>
          <w:szCs w:val="24"/>
          <w:highlight w:val="none"/>
          <w:u w:val="single"/>
          <w:lang w:val="en-US" w:eastAsia="zh-CN"/>
        </w:rPr>
        <w:t>肆</w:t>
      </w:r>
      <w:r>
        <w:rPr>
          <w:rFonts w:hint="eastAsia" w:ascii="宋体" w:hAnsi="宋体" w:eastAsia="宋体" w:cs="宋体"/>
          <w:color w:val="000000"/>
          <w:kern w:val="0"/>
          <w:sz w:val="24"/>
          <w:szCs w:val="24"/>
          <w:highlight w:val="none"/>
          <w:u w:val="single"/>
          <w:lang w:val="zh-CN"/>
        </w:rPr>
        <w:t xml:space="preserve"> </w:t>
      </w:r>
      <w:r>
        <w:rPr>
          <w:rFonts w:hint="eastAsia" w:ascii="宋体" w:hAnsi="宋体" w:eastAsia="宋体" w:cs="宋体"/>
          <w:color w:val="000000"/>
          <w:kern w:val="0"/>
          <w:sz w:val="24"/>
          <w:szCs w:val="24"/>
          <w:highlight w:val="none"/>
          <w:lang w:val="zh-CN"/>
        </w:rPr>
        <w:t>份，乙方</w:t>
      </w:r>
      <w:r>
        <w:rPr>
          <w:rFonts w:hint="eastAsia" w:ascii="宋体" w:hAnsi="宋体" w:eastAsia="宋体" w:cs="宋体"/>
          <w:color w:val="000000"/>
          <w:kern w:val="0"/>
          <w:sz w:val="24"/>
          <w:szCs w:val="24"/>
          <w:highlight w:val="none"/>
          <w:u w:val="single"/>
          <w:lang w:val="zh-CN"/>
        </w:rPr>
        <w:t xml:space="preserve"> 壹 </w:t>
      </w:r>
      <w:r>
        <w:rPr>
          <w:rFonts w:hint="eastAsia" w:ascii="宋体" w:hAnsi="宋体" w:eastAsia="宋体" w:cs="宋体"/>
          <w:color w:val="000000"/>
          <w:kern w:val="0"/>
          <w:sz w:val="24"/>
          <w:szCs w:val="24"/>
          <w:highlight w:val="none"/>
          <w:lang w:val="zh-CN"/>
        </w:rPr>
        <w:t>份，招标代理机构</w:t>
      </w:r>
      <w:r>
        <w:rPr>
          <w:rFonts w:hint="eastAsia" w:ascii="宋体" w:hAnsi="宋体" w:eastAsia="宋体" w:cs="宋体"/>
          <w:color w:val="000000"/>
          <w:kern w:val="0"/>
          <w:sz w:val="24"/>
          <w:szCs w:val="24"/>
          <w:highlight w:val="none"/>
          <w:u w:val="single"/>
          <w:lang w:val="zh-CN"/>
        </w:rPr>
        <w:t xml:space="preserve"> 壹 </w:t>
      </w:r>
      <w:r>
        <w:rPr>
          <w:rFonts w:hint="eastAsia" w:ascii="宋体" w:hAnsi="宋体" w:eastAsia="宋体" w:cs="宋体"/>
          <w:color w:val="000000"/>
          <w:kern w:val="0"/>
          <w:sz w:val="24"/>
          <w:szCs w:val="24"/>
          <w:highlight w:val="none"/>
          <w:lang w:val="zh-CN"/>
        </w:rPr>
        <w:t>份；具备同等法律效力。</w:t>
      </w:r>
    </w:p>
    <w:p w14:paraId="30967CE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highlight w:val="none"/>
          <w:lang w:val="zh-CN"/>
        </w:rPr>
      </w:pPr>
      <w:r>
        <w:rPr>
          <w:rFonts w:hint="eastAsia" w:ascii="宋体" w:hAnsi="宋体" w:eastAsia="宋体" w:cs="宋体"/>
          <w:color w:val="000000"/>
          <w:kern w:val="0"/>
          <w:sz w:val="24"/>
          <w:szCs w:val="24"/>
          <w:highlight w:val="none"/>
          <w:lang w:val="zh-CN"/>
        </w:rPr>
        <w:t>3、下列文件为本合同不可分割部分（与本合同具有同等法律效力）：</w:t>
      </w:r>
    </w:p>
    <w:p w14:paraId="4E34EB8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highlight w:val="none"/>
          <w:lang w:val="zh-CN"/>
        </w:rPr>
      </w:pPr>
      <w:r>
        <w:rPr>
          <w:rFonts w:hint="eastAsia" w:ascii="宋体" w:hAnsi="宋体" w:eastAsia="宋体" w:cs="宋体"/>
          <w:color w:val="000000"/>
          <w:kern w:val="0"/>
          <w:sz w:val="24"/>
          <w:szCs w:val="24"/>
          <w:highlight w:val="none"/>
          <w:lang w:val="zh-CN"/>
        </w:rPr>
        <w:t>3.1 招投标文件及中标通知书；</w:t>
      </w:r>
    </w:p>
    <w:p w14:paraId="2F1D2EE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highlight w:val="none"/>
          <w:lang w:val="zh-CN"/>
        </w:rPr>
      </w:pPr>
      <w:r>
        <w:rPr>
          <w:rFonts w:hint="eastAsia" w:ascii="宋体" w:hAnsi="宋体" w:eastAsia="宋体" w:cs="宋体"/>
          <w:color w:val="000000"/>
          <w:kern w:val="0"/>
          <w:sz w:val="24"/>
          <w:szCs w:val="24"/>
          <w:highlight w:val="none"/>
          <w:lang w:val="zh-CN"/>
        </w:rPr>
        <w:t>3.2 软件开发详细参数；</w:t>
      </w:r>
    </w:p>
    <w:p w14:paraId="3B0C995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highlight w:val="none"/>
          <w:lang w:val="zh-CN"/>
        </w:rPr>
      </w:pPr>
      <w:r>
        <w:rPr>
          <w:rFonts w:hint="eastAsia" w:ascii="宋体" w:hAnsi="宋体" w:eastAsia="宋体" w:cs="宋体"/>
          <w:color w:val="000000"/>
          <w:kern w:val="0"/>
          <w:sz w:val="24"/>
          <w:szCs w:val="24"/>
          <w:highlight w:val="none"/>
          <w:lang w:val="zh-CN"/>
        </w:rPr>
        <w:t>3.3 软件项目服务人员名单；</w:t>
      </w:r>
    </w:p>
    <w:p w14:paraId="13EC489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highlight w:val="none"/>
          <w:lang w:val="zh-CN"/>
        </w:rPr>
      </w:pPr>
      <w:r>
        <w:rPr>
          <w:rFonts w:hint="eastAsia" w:ascii="宋体" w:hAnsi="宋体" w:eastAsia="宋体" w:cs="宋体"/>
          <w:color w:val="000000"/>
          <w:kern w:val="0"/>
          <w:sz w:val="24"/>
          <w:szCs w:val="24"/>
          <w:highlight w:val="none"/>
          <w:lang w:val="zh-CN"/>
        </w:rPr>
        <w:t>3.4 合同其他附件。</w:t>
      </w:r>
    </w:p>
    <w:p w14:paraId="11687B3F">
      <w:pPr>
        <w:spacing w:line="360" w:lineRule="auto"/>
        <w:ind w:firstLine="480" w:firstLineChars="200"/>
        <w:jc w:val="left"/>
        <w:rPr>
          <w:rFonts w:hint="eastAsia" w:ascii="宋体" w:hAnsi="宋体" w:eastAsia="宋体" w:cs="宋体"/>
          <w:color w:val="000000"/>
          <w:sz w:val="24"/>
          <w:szCs w:val="24"/>
          <w:highlight w:val="none"/>
          <w:lang w:val="zh-CN"/>
        </w:rPr>
      </w:pPr>
      <w:r>
        <w:rPr>
          <w:rFonts w:hint="eastAsia" w:ascii="宋体" w:hAnsi="宋体" w:eastAsia="宋体" w:cs="宋体"/>
          <w:color w:val="000000"/>
          <w:sz w:val="24"/>
          <w:szCs w:val="24"/>
          <w:highlight w:val="none"/>
          <w:lang w:val="zh-CN" w:eastAsia="zh-CN"/>
        </w:rPr>
        <w:t>附件一：</w:t>
      </w:r>
      <w:r>
        <w:rPr>
          <w:rFonts w:hint="eastAsia" w:ascii="宋体" w:hAnsi="宋体" w:eastAsia="宋体" w:cs="宋体"/>
          <w:color w:val="000000"/>
          <w:sz w:val="24"/>
          <w:szCs w:val="24"/>
          <w:highlight w:val="none"/>
          <w:lang w:val="zh-CN"/>
        </w:rPr>
        <w:t>保密协议</w:t>
      </w:r>
    </w:p>
    <w:p w14:paraId="340FC293">
      <w:pPr>
        <w:spacing w:line="360" w:lineRule="auto"/>
        <w:ind w:firstLine="480" w:firstLineChars="200"/>
        <w:jc w:val="left"/>
        <w:rPr>
          <w:rFonts w:hint="eastAsia" w:ascii="宋体" w:hAnsi="宋体" w:eastAsia="宋体" w:cs="宋体"/>
          <w:color w:val="000000"/>
          <w:sz w:val="24"/>
          <w:szCs w:val="24"/>
          <w:highlight w:val="none"/>
          <w:lang w:val="zh-CN"/>
        </w:rPr>
      </w:pPr>
      <w:r>
        <w:rPr>
          <w:rFonts w:hint="eastAsia" w:ascii="宋体" w:hAnsi="宋体" w:eastAsia="宋体" w:cs="宋体"/>
          <w:color w:val="000000"/>
          <w:sz w:val="24"/>
          <w:szCs w:val="24"/>
          <w:highlight w:val="none"/>
          <w:lang w:val="zh-CN"/>
        </w:rPr>
        <w:t>附件二：详细参数</w:t>
      </w:r>
    </w:p>
    <w:p w14:paraId="3488D7EA">
      <w:pPr>
        <w:spacing w:line="360" w:lineRule="auto"/>
        <w:ind w:firstLine="480" w:firstLineChars="200"/>
        <w:jc w:val="left"/>
        <w:rPr>
          <w:rFonts w:hint="eastAsia" w:ascii="宋体" w:hAnsi="宋体" w:eastAsia="宋体" w:cs="宋体"/>
          <w:color w:val="000000"/>
          <w:sz w:val="24"/>
          <w:szCs w:val="24"/>
          <w:highlight w:val="none"/>
          <w:lang w:val="zh-CN"/>
        </w:rPr>
      </w:pPr>
      <w:r>
        <w:rPr>
          <w:rFonts w:hint="eastAsia" w:ascii="宋体" w:hAnsi="宋体" w:eastAsia="宋体" w:cs="宋体"/>
          <w:color w:val="000000"/>
          <w:sz w:val="24"/>
          <w:szCs w:val="24"/>
          <w:highlight w:val="none"/>
          <w:lang w:val="zh-CN"/>
        </w:rPr>
        <w:t>附件三：项目服务人员名单</w:t>
      </w:r>
    </w:p>
    <w:p w14:paraId="2B336F01">
      <w:pPr>
        <w:pStyle w:val="48"/>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firstLine="0"/>
        <w:jc w:val="left"/>
        <w:textAlignment w:val="auto"/>
        <w:rPr>
          <w:rFonts w:hint="eastAsia" w:ascii="宋体" w:hAnsi="宋体" w:eastAsia="宋体" w:cs="宋体"/>
          <w:b/>
          <w:bCs/>
          <w:color w:val="000000"/>
          <w:kern w:val="0"/>
          <w:sz w:val="24"/>
          <w:szCs w:val="24"/>
          <w:highlight w:val="none"/>
          <w:lang w:val="zh-CN"/>
        </w:rPr>
      </w:pPr>
      <w:r>
        <w:rPr>
          <w:rFonts w:hint="eastAsia" w:ascii="宋体" w:hAnsi="宋体" w:eastAsia="宋体" w:cs="宋体"/>
          <w:b/>
          <w:bCs/>
          <w:color w:val="000000"/>
          <w:kern w:val="0"/>
          <w:sz w:val="24"/>
          <w:szCs w:val="24"/>
          <w:highlight w:val="none"/>
          <w:lang w:val="zh-CN"/>
        </w:rPr>
        <w:t>未尽事宜</w:t>
      </w:r>
    </w:p>
    <w:p w14:paraId="0A2124E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highlight w:val="none"/>
          <w:lang w:val="zh-CN"/>
        </w:rPr>
      </w:pPr>
      <w:r>
        <w:rPr>
          <w:rFonts w:hint="eastAsia" w:ascii="宋体" w:hAnsi="宋体" w:eastAsia="宋体" w:cs="宋体"/>
          <w:color w:val="000000"/>
          <w:kern w:val="0"/>
          <w:sz w:val="24"/>
          <w:szCs w:val="24"/>
          <w:highlight w:val="none"/>
          <w:lang w:val="zh-CN"/>
        </w:rPr>
        <w:t>本合同未尽事宜，应由双方协商一致后，订立补充协议。</w:t>
      </w:r>
    </w:p>
    <w:p w14:paraId="2E3AC04C">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center"/>
        <w:textAlignment w:val="auto"/>
        <w:rPr>
          <w:rFonts w:hint="eastAsia" w:ascii="宋体" w:hAnsi="宋体" w:eastAsia="宋体" w:cs="宋体"/>
          <w:b/>
          <w:bCs/>
          <w:kern w:val="0"/>
          <w:sz w:val="24"/>
          <w:szCs w:val="24"/>
          <w:lang w:val="zh-CN"/>
        </w:rPr>
      </w:pPr>
      <w:r>
        <w:rPr>
          <w:rFonts w:hint="eastAsia" w:ascii="宋体" w:hAnsi="宋体" w:eastAsia="宋体" w:cs="宋体"/>
          <w:b/>
          <w:bCs/>
          <w:kern w:val="0"/>
          <w:sz w:val="24"/>
          <w:szCs w:val="24"/>
          <w:lang w:val="zh-CN"/>
        </w:rPr>
        <w:t>【以下无正文】</w:t>
      </w:r>
    </w:p>
    <w:p w14:paraId="6EE96467">
      <w:pPr>
        <w:pStyle w:val="2"/>
        <w:rPr>
          <w:rFonts w:hint="default" w:asciiTheme="minorEastAsia" w:hAnsiTheme="minorEastAsia" w:eastAsiaTheme="minorEastAsia" w:cstheme="minorEastAsia"/>
          <w:b/>
          <w:bCs/>
          <w:sz w:val="21"/>
          <w:szCs w:val="21"/>
          <w:lang w:val="en-US" w:eastAsia="zh-CN"/>
        </w:rPr>
      </w:pPr>
      <w:bookmarkStart w:id="3" w:name="_GoBack"/>
      <w:bookmarkEnd w:id="3"/>
    </w:p>
    <w:sectPr>
      <w:headerReference r:id="rId3" w:type="default"/>
      <w:footerReference r:id="rId4" w:type="default"/>
      <w:pgSz w:w="11906" w:h="16838"/>
      <w:pgMar w:top="1440" w:right="1080" w:bottom="1440" w:left="1080" w:header="851" w:footer="992" w:gutter="0"/>
      <w:pgBorders>
        <w:top w:val="none" w:sz="0" w:space="0"/>
        <w:left w:val="none" w:sz="0" w:space="0"/>
        <w:bottom w:val="none" w:sz="0" w:space="0"/>
        <w:right w:val="none" w:sz="0" w:space="0"/>
      </w:pgBorders>
      <w:pgNumType w:fmt="decimal" w:start="13"/>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02"/>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ACF3C50" w:usb2="00000016" w:usb3="00000000" w:csb0="0004001F" w:csb1="00000000"/>
  </w:font>
  <w:font w:name="Calibri Light">
    <w:panose1 w:val="020F0302020204030204"/>
    <w:charset w:val="00"/>
    <w:family w:val="swiss"/>
    <w:pitch w:val="default"/>
    <w:sig w:usb0="E4002EFF" w:usb1="C000247B" w:usb2="00000009" w:usb3="00000000" w:csb0="200001FF" w:csb1="00000000"/>
  </w:font>
  <w:font w:name="楷体_GB2312">
    <w:altName w:val="微软雅黑"/>
    <w:panose1 w:val="00000000000000000000"/>
    <w:charset w:val="86"/>
    <w:family w:val="modern"/>
    <w:pitch w:val="default"/>
    <w:sig w:usb0="00000000" w:usb1="00000000" w:usb2="00000010" w:usb3="00000000" w:csb0="00040000" w:csb1="00000000"/>
  </w:font>
  <w:font w:name="仿宋_GB2312">
    <w:altName w:val="微软雅黑"/>
    <w:panose1 w:val="02010609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CA7B77">
    <w:pPr>
      <w:pStyle w:val="1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D3950E">
                          <w:pPr>
                            <w:pStyle w:val="12"/>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3AD3950E">
                    <w:pPr>
                      <w:pStyle w:val="12"/>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4DAE5">
    <w:pPr>
      <w:pStyle w:val="14"/>
      <w:jc w:val="left"/>
      <w:rPr>
        <w:rFonts w:hint="default" w:eastAsia="宋体"/>
        <w:u w:val="single"/>
        <w:lang w:val="en-US" w:eastAsia="zh-CN"/>
      </w:rPr>
    </w:pPr>
    <w:r>
      <w:rPr>
        <w:rFonts w:hint="eastAsia" w:ascii="宋体" w:hAnsi="宋体" w:cs="宋体"/>
        <w:b/>
        <w:sz w:val="84"/>
        <w:szCs w:val="84"/>
      </w:rPr>
      <w:drawing>
        <wp:inline distT="0" distB="0" distL="114300" distR="114300">
          <wp:extent cx="524510" cy="463550"/>
          <wp:effectExtent l="0" t="0" r="8890" b="12700"/>
          <wp:docPr id="4" name="图片 4" descr="采购文件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采购文件LOGO"/>
                  <pic:cNvPicPr>
                    <a:picLocks noChangeAspect="1"/>
                  </pic:cNvPicPr>
                </pic:nvPicPr>
                <pic:blipFill>
                  <a:blip r:embed="rId1"/>
                  <a:stretch>
                    <a:fillRect/>
                  </a:stretch>
                </pic:blipFill>
                <pic:spPr>
                  <a:xfrm>
                    <a:off x="0" y="0"/>
                    <a:ext cx="524510" cy="463550"/>
                  </a:xfrm>
                  <a:prstGeom prst="rect">
                    <a:avLst/>
                  </a:prstGeom>
                  <a:noFill/>
                  <a:ln>
                    <a:noFill/>
                  </a:ln>
                </pic:spPr>
              </pic:pic>
            </a:graphicData>
          </a:graphic>
        </wp:inline>
      </w:drawing>
    </w:r>
    <w:r>
      <w:rPr>
        <w:rFonts w:hint="eastAsia" w:ascii="宋体" w:hAnsi="宋体"/>
        <w:sz w:val="21"/>
        <w:szCs w:val="21"/>
        <w:u w:val="single"/>
      </w:rPr>
      <w:t xml:space="preserve">政府采购合同                                           </w:t>
    </w:r>
    <w:r>
      <w:rPr>
        <w:rFonts w:hint="eastAsia" w:ascii="宋体" w:hAnsi="宋体"/>
        <w:sz w:val="21"/>
        <w:szCs w:val="21"/>
        <w:u w:val="single"/>
        <w:lang w:eastAsia="zh-CN"/>
      </w:rPr>
      <w:t>JSZC-320000-JZCZ-G2025-00</w:t>
    </w:r>
    <w:r>
      <w:rPr>
        <w:rFonts w:hint="eastAsia" w:ascii="宋体" w:hAnsi="宋体"/>
        <w:sz w:val="21"/>
        <w:szCs w:val="21"/>
        <w:u w:val="single"/>
        <w:lang w:val="en-US" w:eastAsia="zh-CN"/>
      </w:rPr>
      <w:t>28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4D73021"/>
    <w:multiLevelType w:val="multilevel"/>
    <w:tmpl w:val="14D73021"/>
    <w:lvl w:ilvl="0" w:tentative="0">
      <w:start w:val="1"/>
      <w:numFmt w:val="decimal"/>
      <w:lvlText w:val="%1"/>
      <w:lvlJc w:val="left"/>
      <w:pPr>
        <w:ind w:left="0" w:firstLine="0"/>
      </w:pPr>
      <w:rPr>
        <w:rFonts w:hint="eastAsia" w:ascii="等线" w:hAnsi="等线" w:eastAsia="等线"/>
        <w:b/>
        <w:i w:val="0"/>
        <w:sz w:val="32"/>
      </w:rPr>
    </w:lvl>
    <w:lvl w:ilvl="1" w:tentative="0">
      <w:start w:val="1"/>
      <w:numFmt w:val="decimal"/>
      <w:pStyle w:val="4"/>
      <w:lvlText w:val="%1.%2"/>
      <w:lvlJc w:val="left"/>
      <w:pPr>
        <w:ind w:left="0" w:firstLine="0"/>
      </w:pPr>
      <w:rPr>
        <w:rFonts w:hint="eastAsia" w:ascii="等线" w:hAnsi="等线" w:eastAsia="等线"/>
        <w:b/>
        <w:i w:val="0"/>
        <w:sz w:val="30"/>
      </w:rPr>
    </w:lvl>
    <w:lvl w:ilvl="2" w:tentative="0">
      <w:start w:val="1"/>
      <w:numFmt w:val="decimal"/>
      <w:pStyle w:val="5"/>
      <w:lvlText w:val="%1.%2.%3"/>
      <w:lvlJc w:val="left"/>
      <w:pPr>
        <w:ind w:left="0" w:firstLine="0"/>
      </w:pPr>
      <w:rPr>
        <w:rFonts w:hint="eastAsia" w:ascii="等线" w:hAnsi="等线" w:eastAsia="等线"/>
        <w:b/>
        <w:i w:val="0"/>
        <w:sz w:val="28"/>
      </w:rPr>
    </w:lvl>
    <w:lvl w:ilvl="3" w:tentative="0">
      <w:start w:val="1"/>
      <w:numFmt w:val="decimal"/>
      <w:pStyle w:val="6"/>
      <w:lvlText w:val="%1.%2.%3.%4"/>
      <w:lvlJc w:val="left"/>
      <w:pPr>
        <w:ind w:left="0" w:firstLine="0"/>
      </w:pPr>
      <w:rPr>
        <w:rFonts w:hint="eastAsia" w:ascii="等线" w:hAnsi="等线" w:eastAsia="等线"/>
        <w:b/>
        <w:i w:val="0"/>
        <w:sz w:val="24"/>
      </w:rPr>
    </w:lvl>
    <w:lvl w:ilvl="4" w:tentative="0">
      <w:start w:val="1"/>
      <w:numFmt w:val="decimal"/>
      <w:lvlText w:val="%1.%2.%3.%4.%5"/>
      <w:lvlJc w:val="left"/>
      <w:pPr>
        <w:ind w:left="0" w:firstLine="0"/>
      </w:pPr>
      <w:rPr>
        <w:rFonts w:hint="eastAsia" w:ascii="等线" w:hAnsi="等线" w:eastAsia="等线"/>
        <w:b/>
        <w:i w:val="0"/>
        <w:sz w:val="24"/>
      </w:rPr>
    </w:lvl>
    <w:lvl w:ilvl="5" w:tentative="0">
      <w:start w:val="1"/>
      <w:numFmt w:val="decimal"/>
      <w:lvlText w:val="%1.%2.%3.%4.%5.%6"/>
      <w:lvlJc w:val="left"/>
      <w:pPr>
        <w:ind w:left="0" w:firstLine="0"/>
      </w:pPr>
      <w:rPr>
        <w:rFonts w:hint="eastAsia" w:ascii="等线" w:hAnsi="等线" w:eastAsia="等线"/>
        <w:b/>
        <w:i w:val="0"/>
        <w:sz w:val="24"/>
      </w:rPr>
    </w:lvl>
    <w:lvl w:ilvl="6" w:tentative="0">
      <w:start w:val="1"/>
      <w:numFmt w:val="decimal"/>
      <w:lvlText w:val="%1.%2.%3.%4.%5.%6.%7"/>
      <w:lvlJc w:val="left"/>
      <w:pPr>
        <w:ind w:left="0" w:firstLine="0"/>
      </w:pPr>
      <w:rPr>
        <w:rFonts w:hint="eastAsia" w:ascii="等线" w:hAnsi="等线" w:eastAsia="等线"/>
        <w:b/>
        <w:i w:val="0"/>
        <w:sz w:val="24"/>
      </w:rPr>
    </w:lvl>
    <w:lvl w:ilvl="7" w:tentative="0">
      <w:start w:val="1"/>
      <w:numFmt w:val="decimal"/>
      <w:lvlText w:val="%1.%2.%3.%4.%5.%6.%7.%8"/>
      <w:lvlJc w:val="left"/>
      <w:pPr>
        <w:ind w:left="0" w:firstLine="0"/>
      </w:pPr>
      <w:rPr>
        <w:rFonts w:hint="eastAsia" w:ascii="等线" w:hAnsi="等线" w:eastAsia="等线"/>
        <w:b/>
        <w:i w:val="0"/>
        <w:sz w:val="24"/>
      </w:rPr>
    </w:lvl>
    <w:lvl w:ilvl="8" w:tentative="0">
      <w:start w:val="1"/>
      <w:numFmt w:val="decimal"/>
      <w:lvlText w:val="%1.%2.%3.%4.%5.%6.%7.%8.%9"/>
      <w:lvlJc w:val="left"/>
      <w:pPr>
        <w:ind w:left="0" w:firstLine="0"/>
      </w:pPr>
      <w:rPr>
        <w:rFonts w:hint="eastAsia" w:ascii="等线" w:hAnsi="等线" w:eastAsia="等线"/>
        <w:b/>
        <w:i w:val="0"/>
        <w:sz w:val="24"/>
      </w:rPr>
    </w:lvl>
  </w:abstractNum>
  <w:abstractNum w:abstractNumId="1">
    <w:nsid w:val="59AC0A28"/>
    <w:multiLevelType w:val="multilevel"/>
    <w:tmpl w:val="59AC0A28"/>
    <w:lvl w:ilvl="0" w:tentative="0">
      <w:start w:val="1"/>
      <w:numFmt w:val="chineseCountingThousand"/>
      <w:suff w:val="nothing"/>
      <w:lvlText w:val="%1、"/>
      <w:lvlJc w:val="left"/>
      <w:pPr>
        <w:ind w:left="865" w:hanging="440"/>
      </w:pPr>
      <w:rPr>
        <w:rFonts w:hint="eastAsia"/>
      </w:rPr>
    </w:lvl>
    <w:lvl w:ilvl="1" w:tentative="0">
      <w:start w:val="1"/>
      <w:numFmt w:val="lowerLetter"/>
      <w:lvlText w:val="%2)"/>
      <w:lvlJc w:val="left"/>
      <w:pPr>
        <w:ind w:left="1300" w:hanging="440"/>
      </w:pPr>
      <w:rPr>
        <w:rFonts w:hint="eastAsia"/>
      </w:rPr>
    </w:lvl>
    <w:lvl w:ilvl="2" w:tentative="0">
      <w:start w:val="1"/>
      <w:numFmt w:val="lowerRoman"/>
      <w:lvlText w:val="%3."/>
      <w:lvlJc w:val="right"/>
      <w:pPr>
        <w:ind w:left="1740" w:hanging="440"/>
      </w:pPr>
      <w:rPr>
        <w:rFonts w:hint="eastAsia"/>
      </w:rPr>
    </w:lvl>
    <w:lvl w:ilvl="3" w:tentative="0">
      <w:start w:val="1"/>
      <w:numFmt w:val="decimal"/>
      <w:lvlText w:val="%4."/>
      <w:lvlJc w:val="left"/>
      <w:pPr>
        <w:ind w:left="2180" w:hanging="440"/>
      </w:pPr>
      <w:rPr>
        <w:rFonts w:hint="eastAsia"/>
      </w:rPr>
    </w:lvl>
    <w:lvl w:ilvl="4" w:tentative="0">
      <w:start w:val="1"/>
      <w:numFmt w:val="lowerLetter"/>
      <w:lvlText w:val="%5)"/>
      <w:lvlJc w:val="left"/>
      <w:pPr>
        <w:ind w:left="2620" w:hanging="440"/>
      </w:pPr>
      <w:rPr>
        <w:rFonts w:hint="eastAsia"/>
      </w:rPr>
    </w:lvl>
    <w:lvl w:ilvl="5" w:tentative="0">
      <w:start w:val="1"/>
      <w:numFmt w:val="lowerRoman"/>
      <w:lvlText w:val="%6."/>
      <w:lvlJc w:val="right"/>
      <w:pPr>
        <w:ind w:left="3060" w:hanging="440"/>
      </w:pPr>
      <w:rPr>
        <w:rFonts w:hint="eastAsia"/>
      </w:rPr>
    </w:lvl>
    <w:lvl w:ilvl="6" w:tentative="0">
      <w:start w:val="1"/>
      <w:numFmt w:val="decimal"/>
      <w:lvlText w:val="%7."/>
      <w:lvlJc w:val="left"/>
      <w:pPr>
        <w:ind w:left="3500" w:hanging="440"/>
      </w:pPr>
      <w:rPr>
        <w:rFonts w:hint="eastAsia"/>
      </w:rPr>
    </w:lvl>
    <w:lvl w:ilvl="7" w:tentative="0">
      <w:start w:val="1"/>
      <w:numFmt w:val="lowerLetter"/>
      <w:lvlText w:val="%8)"/>
      <w:lvlJc w:val="left"/>
      <w:pPr>
        <w:ind w:left="3940" w:hanging="440"/>
      </w:pPr>
      <w:rPr>
        <w:rFonts w:hint="eastAsia"/>
      </w:rPr>
    </w:lvl>
    <w:lvl w:ilvl="8" w:tentative="0">
      <w:start w:val="1"/>
      <w:numFmt w:val="lowerRoman"/>
      <w:lvlText w:val="%9."/>
      <w:lvlJc w:val="right"/>
      <w:pPr>
        <w:ind w:left="4380" w:hanging="44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A0ZTBjNjIwODM2YmVmYTE0ZTE3ZGE1MWE1YTU0YzkifQ=="/>
  </w:docVars>
  <w:rsids>
    <w:rsidRoot w:val="12474A95"/>
    <w:rsid w:val="00003C1E"/>
    <w:rsid w:val="00037A30"/>
    <w:rsid w:val="00044EF2"/>
    <w:rsid w:val="00050DDE"/>
    <w:rsid w:val="000A14E6"/>
    <w:rsid w:val="000A4578"/>
    <w:rsid w:val="000A79C8"/>
    <w:rsid w:val="000E5FA1"/>
    <w:rsid w:val="00222F14"/>
    <w:rsid w:val="002B3092"/>
    <w:rsid w:val="00325D52"/>
    <w:rsid w:val="00413BB9"/>
    <w:rsid w:val="004146DA"/>
    <w:rsid w:val="004461A9"/>
    <w:rsid w:val="004A7F8D"/>
    <w:rsid w:val="005612DF"/>
    <w:rsid w:val="00562FB3"/>
    <w:rsid w:val="005722EF"/>
    <w:rsid w:val="005D6515"/>
    <w:rsid w:val="0060398F"/>
    <w:rsid w:val="00631C1B"/>
    <w:rsid w:val="00636937"/>
    <w:rsid w:val="006D0D06"/>
    <w:rsid w:val="0071209D"/>
    <w:rsid w:val="0074188F"/>
    <w:rsid w:val="00802AFA"/>
    <w:rsid w:val="00862B84"/>
    <w:rsid w:val="008E6F6B"/>
    <w:rsid w:val="009129D2"/>
    <w:rsid w:val="00A01A06"/>
    <w:rsid w:val="00A4190E"/>
    <w:rsid w:val="00A9723F"/>
    <w:rsid w:val="00AD54D4"/>
    <w:rsid w:val="00B825B7"/>
    <w:rsid w:val="00BC3B79"/>
    <w:rsid w:val="00CC23C6"/>
    <w:rsid w:val="00D80B94"/>
    <w:rsid w:val="00DB57FC"/>
    <w:rsid w:val="00DB654F"/>
    <w:rsid w:val="00F3780D"/>
    <w:rsid w:val="00F62DCD"/>
    <w:rsid w:val="00FD4A58"/>
    <w:rsid w:val="00FE53A6"/>
    <w:rsid w:val="015D36C0"/>
    <w:rsid w:val="019C2893"/>
    <w:rsid w:val="0208396B"/>
    <w:rsid w:val="02151639"/>
    <w:rsid w:val="02737766"/>
    <w:rsid w:val="02BA7A6C"/>
    <w:rsid w:val="02CC4F2C"/>
    <w:rsid w:val="02EA7B79"/>
    <w:rsid w:val="02F23728"/>
    <w:rsid w:val="03244896"/>
    <w:rsid w:val="03A11052"/>
    <w:rsid w:val="03B31109"/>
    <w:rsid w:val="042B080D"/>
    <w:rsid w:val="04466A5A"/>
    <w:rsid w:val="0449381C"/>
    <w:rsid w:val="044D6C0B"/>
    <w:rsid w:val="0473187F"/>
    <w:rsid w:val="05453CFA"/>
    <w:rsid w:val="05AB7BBE"/>
    <w:rsid w:val="0648081E"/>
    <w:rsid w:val="0650547A"/>
    <w:rsid w:val="06A42F8B"/>
    <w:rsid w:val="06C3094B"/>
    <w:rsid w:val="06CB59EB"/>
    <w:rsid w:val="07A11279"/>
    <w:rsid w:val="07CD358E"/>
    <w:rsid w:val="09687854"/>
    <w:rsid w:val="097E324C"/>
    <w:rsid w:val="09BE5E69"/>
    <w:rsid w:val="09D41D2D"/>
    <w:rsid w:val="0A3D797F"/>
    <w:rsid w:val="0A6863CF"/>
    <w:rsid w:val="0ACB31DC"/>
    <w:rsid w:val="0B3837A8"/>
    <w:rsid w:val="0B5628E3"/>
    <w:rsid w:val="0B910885"/>
    <w:rsid w:val="0BA224A5"/>
    <w:rsid w:val="0C0A7D34"/>
    <w:rsid w:val="0C822093"/>
    <w:rsid w:val="0D26294C"/>
    <w:rsid w:val="0D757C5F"/>
    <w:rsid w:val="0D896813"/>
    <w:rsid w:val="0D975744"/>
    <w:rsid w:val="0D9B43EC"/>
    <w:rsid w:val="0DBB027E"/>
    <w:rsid w:val="0DC348F3"/>
    <w:rsid w:val="0E48771C"/>
    <w:rsid w:val="0F2A0FAF"/>
    <w:rsid w:val="0FBC7598"/>
    <w:rsid w:val="105C6685"/>
    <w:rsid w:val="10611E62"/>
    <w:rsid w:val="10836F4D"/>
    <w:rsid w:val="10973689"/>
    <w:rsid w:val="11AE07AF"/>
    <w:rsid w:val="11B52C8E"/>
    <w:rsid w:val="12474A95"/>
    <w:rsid w:val="1272086D"/>
    <w:rsid w:val="12CD395F"/>
    <w:rsid w:val="12D736B9"/>
    <w:rsid w:val="13370CE3"/>
    <w:rsid w:val="137D73E1"/>
    <w:rsid w:val="13D777CD"/>
    <w:rsid w:val="13E05F2D"/>
    <w:rsid w:val="14686756"/>
    <w:rsid w:val="15316332"/>
    <w:rsid w:val="15415E49"/>
    <w:rsid w:val="156E30E2"/>
    <w:rsid w:val="162E7FBD"/>
    <w:rsid w:val="165A18B8"/>
    <w:rsid w:val="16601ED9"/>
    <w:rsid w:val="16EC10B1"/>
    <w:rsid w:val="170F4451"/>
    <w:rsid w:val="171657DF"/>
    <w:rsid w:val="172B0284"/>
    <w:rsid w:val="179535B9"/>
    <w:rsid w:val="17E91017"/>
    <w:rsid w:val="18410FF6"/>
    <w:rsid w:val="18904E70"/>
    <w:rsid w:val="18FB4E0B"/>
    <w:rsid w:val="191C20A3"/>
    <w:rsid w:val="192D1343"/>
    <w:rsid w:val="19C91428"/>
    <w:rsid w:val="1A5A6ED8"/>
    <w:rsid w:val="1A824F3A"/>
    <w:rsid w:val="1A8573C1"/>
    <w:rsid w:val="1AC90007"/>
    <w:rsid w:val="1AD52E32"/>
    <w:rsid w:val="1B09565B"/>
    <w:rsid w:val="1B097409"/>
    <w:rsid w:val="1B0F4F24"/>
    <w:rsid w:val="1B9C027D"/>
    <w:rsid w:val="1BEA0FE8"/>
    <w:rsid w:val="1C357BE9"/>
    <w:rsid w:val="1CA613B3"/>
    <w:rsid w:val="1CCA1ADF"/>
    <w:rsid w:val="1CCE4466"/>
    <w:rsid w:val="1D5A3D79"/>
    <w:rsid w:val="1DB650CF"/>
    <w:rsid w:val="1DB7139E"/>
    <w:rsid w:val="1DFE6FCD"/>
    <w:rsid w:val="1E596034"/>
    <w:rsid w:val="1E9B1183"/>
    <w:rsid w:val="1F14722D"/>
    <w:rsid w:val="1F38645C"/>
    <w:rsid w:val="1FB2006F"/>
    <w:rsid w:val="1FC23CA6"/>
    <w:rsid w:val="1FF04823"/>
    <w:rsid w:val="201C198C"/>
    <w:rsid w:val="202D1DEC"/>
    <w:rsid w:val="2082367E"/>
    <w:rsid w:val="20846D3D"/>
    <w:rsid w:val="20C22534"/>
    <w:rsid w:val="20CC1F4A"/>
    <w:rsid w:val="20DA787E"/>
    <w:rsid w:val="211F7A59"/>
    <w:rsid w:val="214E201A"/>
    <w:rsid w:val="21C115B0"/>
    <w:rsid w:val="21F7620D"/>
    <w:rsid w:val="22123047"/>
    <w:rsid w:val="221C02AB"/>
    <w:rsid w:val="22284619"/>
    <w:rsid w:val="22346C69"/>
    <w:rsid w:val="223E1DFC"/>
    <w:rsid w:val="224F1EEE"/>
    <w:rsid w:val="22812EA5"/>
    <w:rsid w:val="22FE66B4"/>
    <w:rsid w:val="231322F5"/>
    <w:rsid w:val="231D1CA3"/>
    <w:rsid w:val="23333275"/>
    <w:rsid w:val="23446EF2"/>
    <w:rsid w:val="238748E8"/>
    <w:rsid w:val="239B0E1A"/>
    <w:rsid w:val="23A076DF"/>
    <w:rsid w:val="23B4085A"/>
    <w:rsid w:val="23BF4B92"/>
    <w:rsid w:val="23C323E6"/>
    <w:rsid w:val="23CA033F"/>
    <w:rsid w:val="23D41D4B"/>
    <w:rsid w:val="23DE2C20"/>
    <w:rsid w:val="23F6223D"/>
    <w:rsid w:val="248C70E1"/>
    <w:rsid w:val="24923C3D"/>
    <w:rsid w:val="24CD76F9"/>
    <w:rsid w:val="24D9609E"/>
    <w:rsid w:val="24F42F9F"/>
    <w:rsid w:val="25436039"/>
    <w:rsid w:val="25826736"/>
    <w:rsid w:val="26527EC1"/>
    <w:rsid w:val="26575077"/>
    <w:rsid w:val="269674D6"/>
    <w:rsid w:val="26BC560B"/>
    <w:rsid w:val="26DE46A1"/>
    <w:rsid w:val="26FC7E22"/>
    <w:rsid w:val="273D2D56"/>
    <w:rsid w:val="27B150B0"/>
    <w:rsid w:val="27DB3FEA"/>
    <w:rsid w:val="282B7BD2"/>
    <w:rsid w:val="28C02710"/>
    <w:rsid w:val="28E30E37"/>
    <w:rsid w:val="28EE6DC7"/>
    <w:rsid w:val="2949407C"/>
    <w:rsid w:val="2959155B"/>
    <w:rsid w:val="29FE5C10"/>
    <w:rsid w:val="2A05171C"/>
    <w:rsid w:val="2A1C1189"/>
    <w:rsid w:val="2A5D11BB"/>
    <w:rsid w:val="2A81195B"/>
    <w:rsid w:val="2A827B9E"/>
    <w:rsid w:val="2AD31FB6"/>
    <w:rsid w:val="2B585F6F"/>
    <w:rsid w:val="2B6C5576"/>
    <w:rsid w:val="2B827A30"/>
    <w:rsid w:val="2BC7760D"/>
    <w:rsid w:val="2BD045C6"/>
    <w:rsid w:val="2C112457"/>
    <w:rsid w:val="2C2440A3"/>
    <w:rsid w:val="2C293467"/>
    <w:rsid w:val="2CDE06F5"/>
    <w:rsid w:val="2D244C0A"/>
    <w:rsid w:val="2D423DA5"/>
    <w:rsid w:val="2D777155"/>
    <w:rsid w:val="2D8366BB"/>
    <w:rsid w:val="2DCB368B"/>
    <w:rsid w:val="2DE75388"/>
    <w:rsid w:val="2E165C6D"/>
    <w:rsid w:val="2E1D349F"/>
    <w:rsid w:val="2EE43B2B"/>
    <w:rsid w:val="2F154177"/>
    <w:rsid w:val="2F337E9A"/>
    <w:rsid w:val="2F3F7896"/>
    <w:rsid w:val="303845C1"/>
    <w:rsid w:val="304701E7"/>
    <w:rsid w:val="31656C3D"/>
    <w:rsid w:val="31AA7143"/>
    <w:rsid w:val="31AF738A"/>
    <w:rsid w:val="31E80CC4"/>
    <w:rsid w:val="321C0DAD"/>
    <w:rsid w:val="323E39E3"/>
    <w:rsid w:val="3260395B"/>
    <w:rsid w:val="32996261"/>
    <w:rsid w:val="34421188"/>
    <w:rsid w:val="344A003F"/>
    <w:rsid w:val="347E0A97"/>
    <w:rsid w:val="347F6931"/>
    <w:rsid w:val="34872CF7"/>
    <w:rsid w:val="34891F6B"/>
    <w:rsid w:val="348A1163"/>
    <w:rsid w:val="34943D90"/>
    <w:rsid w:val="355718E2"/>
    <w:rsid w:val="35822C5E"/>
    <w:rsid w:val="35BC359E"/>
    <w:rsid w:val="361337C7"/>
    <w:rsid w:val="361C453F"/>
    <w:rsid w:val="36590B5D"/>
    <w:rsid w:val="366E1586"/>
    <w:rsid w:val="36707534"/>
    <w:rsid w:val="3690539D"/>
    <w:rsid w:val="36AC2B1C"/>
    <w:rsid w:val="36F269B1"/>
    <w:rsid w:val="370E607B"/>
    <w:rsid w:val="375A2E2B"/>
    <w:rsid w:val="37744822"/>
    <w:rsid w:val="37DF7C38"/>
    <w:rsid w:val="38637D01"/>
    <w:rsid w:val="38D633DF"/>
    <w:rsid w:val="395D2BAD"/>
    <w:rsid w:val="3A4361F4"/>
    <w:rsid w:val="3ABE55D5"/>
    <w:rsid w:val="3AFB03C1"/>
    <w:rsid w:val="3B4402BD"/>
    <w:rsid w:val="3B455DE4"/>
    <w:rsid w:val="3B4E4C98"/>
    <w:rsid w:val="3B65379A"/>
    <w:rsid w:val="3B96391E"/>
    <w:rsid w:val="3BC177E2"/>
    <w:rsid w:val="3C374FB4"/>
    <w:rsid w:val="3C65652D"/>
    <w:rsid w:val="3CBC20D5"/>
    <w:rsid w:val="3CF4186F"/>
    <w:rsid w:val="3D1141CF"/>
    <w:rsid w:val="3D3C7122"/>
    <w:rsid w:val="3D69400B"/>
    <w:rsid w:val="3DD50036"/>
    <w:rsid w:val="3E0E6961"/>
    <w:rsid w:val="3E682515"/>
    <w:rsid w:val="3E7F1532"/>
    <w:rsid w:val="3E8D5655"/>
    <w:rsid w:val="3E992FDC"/>
    <w:rsid w:val="3EEB5F48"/>
    <w:rsid w:val="3EF4759A"/>
    <w:rsid w:val="3F1B5F42"/>
    <w:rsid w:val="3F4F6697"/>
    <w:rsid w:val="3FA5333A"/>
    <w:rsid w:val="3FB3540A"/>
    <w:rsid w:val="3FDA11F0"/>
    <w:rsid w:val="3FE45BCB"/>
    <w:rsid w:val="40421EF0"/>
    <w:rsid w:val="4063042F"/>
    <w:rsid w:val="407D1B7C"/>
    <w:rsid w:val="40D61063"/>
    <w:rsid w:val="41254DD7"/>
    <w:rsid w:val="41260298"/>
    <w:rsid w:val="422C4C64"/>
    <w:rsid w:val="424F741B"/>
    <w:rsid w:val="42672AE3"/>
    <w:rsid w:val="426D00FA"/>
    <w:rsid w:val="42B87C47"/>
    <w:rsid w:val="42DC5DB5"/>
    <w:rsid w:val="43012B66"/>
    <w:rsid w:val="43CC2BFE"/>
    <w:rsid w:val="43E90B65"/>
    <w:rsid w:val="43F2211B"/>
    <w:rsid w:val="4447497A"/>
    <w:rsid w:val="44A84435"/>
    <w:rsid w:val="44CA7756"/>
    <w:rsid w:val="450D5B3D"/>
    <w:rsid w:val="45481436"/>
    <w:rsid w:val="458E5EE1"/>
    <w:rsid w:val="45EF7078"/>
    <w:rsid w:val="45F96AC8"/>
    <w:rsid w:val="4651388E"/>
    <w:rsid w:val="465810C1"/>
    <w:rsid w:val="46FE3A16"/>
    <w:rsid w:val="47797541"/>
    <w:rsid w:val="47FE3E1C"/>
    <w:rsid w:val="48031B26"/>
    <w:rsid w:val="48060A29"/>
    <w:rsid w:val="488372E3"/>
    <w:rsid w:val="48B620CF"/>
    <w:rsid w:val="48DC298A"/>
    <w:rsid w:val="48E64762"/>
    <w:rsid w:val="48F36E7F"/>
    <w:rsid w:val="49212BA8"/>
    <w:rsid w:val="492B7268"/>
    <w:rsid w:val="492F6BDC"/>
    <w:rsid w:val="4971313E"/>
    <w:rsid w:val="49890219"/>
    <w:rsid w:val="4A470126"/>
    <w:rsid w:val="4A9E6406"/>
    <w:rsid w:val="4B040C90"/>
    <w:rsid w:val="4B111850"/>
    <w:rsid w:val="4B483800"/>
    <w:rsid w:val="4B7A3887"/>
    <w:rsid w:val="4B887D52"/>
    <w:rsid w:val="4B8E01C4"/>
    <w:rsid w:val="4B8E776B"/>
    <w:rsid w:val="4B977F95"/>
    <w:rsid w:val="4BAD3775"/>
    <w:rsid w:val="4BFE7762"/>
    <w:rsid w:val="4C72305B"/>
    <w:rsid w:val="4CA26BF2"/>
    <w:rsid w:val="4CB71819"/>
    <w:rsid w:val="4CE23C0B"/>
    <w:rsid w:val="4D5819A6"/>
    <w:rsid w:val="4D5831FF"/>
    <w:rsid w:val="4D8865FA"/>
    <w:rsid w:val="4D950505"/>
    <w:rsid w:val="4DCC2424"/>
    <w:rsid w:val="4E002205"/>
    <w:rsid w:val="4E084017"/>
    <w:rsid w:val="4E7740AE"/>
    <w:rsid w:val="4E9C79BD"/>
    <w:rsid w:val="4F3E7FC5"/>
    <w:rsid w:val="4FFC2ABD"/>
    <w:rsid w:val="50495ECF"/>
    <w:rsid w:val="505A492D"/>
    <w:rsid w:val="507C775A"/>
    <w:rsid w:val="50926F7D"/>
    <w:rsid w:val="514C655D"/>
    <w:rsid w:val="515661B0"/>
    <w:rsid w:val="51962865"/>
    <w:rsid w:val="51CA7E4A"/>
    <w:rsid w:val="52374280"/>
    <w:rsid w:val="523742AD"/>
    <w:rsid w:val="52426781"/>
    <w:rsid w:val="52561B18"/>
    <w:rsid w:val="527A5743"/>
    <w:rsid w:val="52DD1244"/>
    <w:rsid w:val="52EF6615"/>
    <w:rsid w:val="546535D1"/>
    <w:rsid w:val="54BE47E5"/>
    <w:rsid w:val="54CC6A3E"/>
    <w:rsid w:val="550134ED"/>
    <w:rsid w:val="551F0D2D"/>
    <w:rsid w:val="55306D65"/>
    <w:rsid w:val="55B11291"/>
    <w:rsid w:val="560D3927"/>
    <w:rsid w:val="56400F5B"/>
    <w:rsid w:val="565133FF"/>
    <w:rsid w:val="565C1AFE"/>
    <w:rsid w:val="57390153"/>
    <w:rsid w:val="576D09D7"/>
    <w:rsid w:val="579F3F56"/>
    <w:rsid w:val="57AC6B77"/>
    <w:rsid w:val="58023B15"/>
    <w:rsid w:val="581761E1"/>
    <w:rsid w:val="58785CC8"/>
    <w:rsid w:val="58A92390"/>
    <w:rsid w:val="58B43CAD"/>
    <w:rsid w:val="58B51F91"/>
    <w:rsid w:val="595C43A4"/>
    <w:rsid w:val="59947BF8"/>
    <w:rsid w:val="5A0368F7"/>
    <w:rsid w:val="5A850AC5"/>
    <w:rsid w:val="5ABF3065"/>
    <w:rsid w:val="5ADA34F9"/>
    <w:rsid w:val="5AF95B09"/>
    <w:rsid w:val="5B2F7149"/>
    <w:rsid w:val="5B5343C3"/>
    <w:rsid w:val="5C0A6562"/>
    <w:rsid w:val="5C493570"/>
    <w:rsid w:val="5CE62E55"/>
    <w:rsid w:val="5D3B78F6"/>
    <w:rsid w:val="5D446039"/>
    <w:rsid w:val="5D836B4D"/>
    <w:rsid w:val="5DB06C95"/>
    <w:rsid w:val="5DEF3C61"/>
    <w:rsid w:val="5E1355D9"/>
    <w:rsid w:val="5E2D1587"/>
    <w:rsid w:val="5E524F12"/>
    <w:rsid w:val="5E5B2985"/>
    <w:rsid w:val="5E5C0B73"/>
    <w:rsid w:val="5E6115B7"/>
    <w:rsid w:val="5E760453"/>
    <w:rsid w:val="5EA2446F"/>
    <w:rsid w:val="5EB83504"/>
    <w:rsid w:val="5FB54A36"/>
    <w:rsid w:val="5FC353A5"/>
    <w:rsid w:val="5FC807B7"/>
    <w:rsid w:val="5FF76DFD"/>
    <w:rsid w:val="60352A61"/>
    <w:rsid w:val="60432042"/>
    <w:rsid w:val="60A11D1A"/>
    <w:rsid w:val="60BF6810"/>
    <w:rsid w:val="60FE61A3"/>
    <w:rsid w:val="611B2BA6"/>
    <w:rsid w:val="61FE187A"/>
    <w:rsid w:val="628F5A13"/>
    <w:rsid w:val="629372B1"/>
    <w:rsid w:val="62D71CE3"/>
    <w:rsid w:val="62FF4669"/>
    <w:rsid w:val="630F140E"/>
    <w:rsid w:val="63700E1D"/>
    <w:rsid w:val="63D07FE0"/>
    <w:rsid w:val="646F777C"/>
    <w:rsid w:val="652B6BAE"/>
    <w:rsid w:val="653C3F28"/>
    <w:rsid w:val="65FE7137"/>
    <w:rsid w:val="66750509"/>
    <w:rsid w:val="66911D59"/>
    <w:rsid w:val="66C76451"/>
    <w:rsid w:val="67B4679E"/>
    <w:rsid w:val="67D51A17"/>
    <w:rsid w:val="6896491A"/>
    <w:rsid w:val="68FD7DFE"/>
    <w:rsid w:val="698F7877"/>
    <w:rsid w:val="69CF0886"/>
    <w:rsid w:val="6A366B2D"/>
    <w:rsid w:val="6A776DBB"/>
    <w:rsid w:val="6A8353C1"/>
    <w:rsid w:val="6A94006A"/>
    <w:rsid w:val="6B3453A9"/>
    <w:rsid w:val="6B741C4A"/>
    <w:rsid w:val="6B7E5E0A"/>
    <w:rsid w:val="6C0B610A"/>
    <w:rsid w:val="6C1A062A"/>
    <w:rsid w:val="6C2C7143"/>
    <w:rsid w:val="6D1E78B0"/>
    <w:rsid w:val="6D863A49"/>
    <w:rsid w:val="6DFE6BFE"/>
    <w:rsid w:val="6E05302D"/>
    <w:rsid w:val="6E591E49"/>
    <w:rsid w:val="6ED549B5"/>
    <w:rsid w:val="6F105EF0"/>
    <w:rsid w:val="6F235519"/>
    <w:rsid w:val="6F640BAB"/>
    <w:rsid w:val="6F6C0C22"/>
    <w:rsid w:val="6FF4449F"/>
    <w:rsid w:val="70932B72"/>
    <w:rsid w:val="70AE3CF2"/>
    <w:rsid w:val="710F64BE"/>
    <w:rsid w:val="715A543E"/>
    <w:rsid w:val="71926986"/>
    <w:rsid w:val="71B354E5"/>
    <w:rsid w:val="71D66B8A"/>
    <w:rsid w:val="72094566"/>
    <w:rsid w:val="727D2AF0"/>
    <w:rsid w:val="72872858"/>
    <w:rsid w:val="72C5165F"/>
    <w:rsid w:val="72EB47D9"/>
    <w:rsid w:val="72F0605A"/>
    <w:rsid w:val="73183AE6"/>
    <w:rsid w:val="738D7E42"/>
    <w:rsid w:val="73BD0A2D"/>
    <w:rsid w:val="73D634A1"/>
    <w:rsid w:val="74324450"/>
    <w:rsid w:val="74386192"/>
    <w:rsid w:val="746826A0"/>
    <w:rsid w:val="74944165"/>
    <w:rsid w:val="749668CA"/>
    <w:rsid w:val="74A7130C"/>
    <w:rsid w:val="754371F9"/>
    <w:rsid w:val="761D41D0"/>
    <w:rsid w:val="766A5A18"/>
    <w:rsid w:val="76A27B43"/>
    <w:rsid w:val="775546DD"/>
    <w:rsid w:val="778F1F68"/>
    <w:rsid w:val="77A31324"/>
    <w:rsid w:val="77C3350C"/>
    <w:rsid w:val="77F4079E"/>
    <w:rsid w:val="784109E2"/>
    <w:rsid w:val="787F2BEC"/>
    <w:rsid w:val="78AC43BC"/>
    <w:rsid w:val="796404F6"/>
    <w:rsid w:val="79CD7139"/>
    <w:rsid w:val="79CF6E07"/>
    <w:rsid w:val="7A356A48"/>
    <w:rsid w:val="7A381000"/>
    <w:rsid w:val="7B126AD1"/>
    <w:rsid w:val="7B435D03"/>
    <w:rsid w:val="7B8824F9"/>
    <w:rsid w:val="7C70045A"/>
    <w:rsid w:val="7C7A4F49"/>
    <w:rsid w:val="7D124186"/>
    <w:rsid w:val="7D1F2501"/>
    <w:rsid w:val="7D263AA8"/>
    <w:rsid w:val="7D487626"/>
    <w:rsid w:val="7D515755"/>
    <w:rsid w:val="7D554BE8"/>
    <w:rsid w:val="7D5E37B8"/>
    <w:rsid w:val="7DBB1012"/>
    <w:rsid w:val="7E775881"/>
    <w:rsid w:val="7EBD6571"/>
    <w:rsid w:val="7ED258B3"/>
    <w:rsid w:val="7EED4BDD"/>
    <w:rsid w:val="7F2A2400"/>
    <w:rsid w:val="7F6C2F0C"/>
    <w:rsid w:val="7FAE4F87"/>
    <w:rsid w:val="7FBA5A25"/>
    <w:rsid w:val="7FBE4DEA"/>
    <w:rsid w:val="7FCB7B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sz w:val="24"/>
      <w:lang w:val="en-US" w:eastAsia="zh-CN" w:bidi="ar-SA"/>
    </w:rPr>
  </w:style>
  <w:style w:type="paragraph" w:styleId="3">
    <w:name w:val="heading 1"/>
    <w:basedOn w:val="1"/>
    <w:next w:val="1"/>
    <w:link w:val="30"/>
    <w:qFormat/>
    <w:uiPriority w:val="0"/>
    <w:pPr>
      <w:keepNext/>
      <w:keepLines/>
      <w:jc w:val="center"/>
      <w:outlineLvl w:val="0"/>
    </w:pPr>
    <w:rPr>
      <w:rFonts w:ascii="Times New Roman" w:hAnsi="Times New Roman"/>
      <w:b/>
      <w:kern w:val="44"/>
      <w:sz w:val="48"/>
    </w:rPr>
  </w:style>
  <w:style w:type="paragraph" w:styleId="4">
    <w:name w:val="heading 2"/>
    <w:basedOn w:val="1"/>
    <w:next w:val="1"/>
    <w:unhideWhenUsed/>
    <w:qFormat/>
    <w:uiPriority w:val="9"/>
    <w:pPr>
      <w:keepNext/>
      <w:keepLines/>
      <w:numPr>
        <w:ilvl w:val="1"/>
        <w:numId w:val="1"/>
      </w:numPr>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unhideWhenUsed/>
    <w:qFormat/>
    <w:uiPriority w:val="9"/>
    <w:pPr>
      <w:keepNext/>
      <w:keepLines/>
      <w:numPr>
        <w:ilvl w:val="2"/>
        <w:numId w:val="1"/>
      </w:numPr>
      <w:spacing w:before="260" w:after="260" w:line="416" w:lineRule="auto"/>
      <w:outlineLvl w:val="2"/>
    </w:pPr>
    <w:rPr>
      <w:b/>
      <w:bCs/>
      <w:sz w:val="32"/>
      <w:szCs w:val="32"/>
    </w:rPr>
  </w:style>
  <w:style w:type="paragraph" w:styleId="6">
    <w:name w:val="heading 4"/>
    <w:basedOn w:val="1"/>
    <w:next w:val="1"/>
    <w:unhideWhenUsed/>
    <w:qFormat/>
    <w:uiPriority w:val="9"/>
    <w:pPr>
      <w:keepNext/>
      <w:keepLines/>
      <w:numPr>
        <w:ilvl w:val="3"/>
        <w:numId w:val="1"/>
      </w:numPr>
      <w:spacing w:before="280" w:after="290" w:line="376" w:lineRule="auto"/>
      <w:outlineLvl w:val="3"/>
    </w:pPr>
    <w:rPr>
      <w:rFonts w:asciiTheme="majorHAnsi" w:hAnsiTheme="majorHAnsi" w:eastAsiaTheme="majorEastAsia" w:cstheme="majorBidi"/>
      <w:b/>
      <w:bCs/>
      <w:sz w:val="28"/>
      <w:szCs w:val="28"/>
    </w:rPr>
  </w:style>
  <w:style w:type="character" w:default="1" w:styleId="23">
    <w:name w:val="Default Paragraph Font"/>
    <w:semiHidden/>
    <w:unhideWhenUsed/>
    <w:qFormat/>
    <w:uiPriority w:val="1"/>
  </w:style>
  <w:style w:type="table" w:default="1" w:styleId="21">
    <w:name w:val="Normal Table"/>
    <w:autoRedefine/>
    <w:semiHidden/>
    <w:unhideWhenUsed/>
    <w:qFormat/>
    <w:uiPriority w:val="99"/>
    <w:tblPr>
      <w:tblCellMar>
        <w:top w:w="0" w:type="dxa"/>
        <w:left w:w="108" w:type="dxa"/>
        <w:bottom w:w="0" w:type="dxa"/>
        <w:right w:w="108" w:type="dxa"/>
      </w:tblCellMar>
    </w:tblPr>
  </w:style>
  <w:style w:type="paragraph" w:styleId="2">
    <w:name w:val="Normal Indent"/>
    <w:basedOn w:val="1"/>
    <w:unhideWhenUsed/>
    <w:qFormat/>
    <w:uiPriority w:val="0"/>
    <w:pPr>
      <w:adjustRightInd w:val="0"/>
      <w:ind w:firstLine="420"/>
      <w:jc w:val="left"/>
      <w:textAlignment w:val="baseline"/>
    </w:pPr>
  </w:style>
  <w:style w:type="paragraph" w:styleId="7">
    <w:name w:val="annotation text"/>
    <w:basedOn w:val="1"/>
    <w:link w:val="41"/>
    <w:autoRedefine/>
    <w:qFormat/>
    <w:uiPriority w:val="0"/>
    <w:pPr>
      <w:jc w:val="left"/>
    </w:pPr>
  </w:style>
  <w:style w:type="paragraph" w:styleId="8">
    <w:name w:val="Body Text"/>
    <w:basedOn w:val="1"/>
    <w:autoRedefine/>
    <w:unhideWhenUsed/>
    <w:qFormat/>
    <w:uiPriority w:val="0"/>
    <w:rPr>
      <w:rFonts w:ascii="楷体_GB2312" w:eastAsia="楷体_GB2312"/>
      <w:b/>
      <w:bCs/>
      <w:kern w:val="2"/>
      <w:sz w:val="28"/>
    </w:rPr>
  </w:style>
  <w:style w:type="paragraph" w:styleId="9">
    <w:name w:val="Body Text Indent"/>
    <w:basedOn w:val="1"/>
    <w:next w:val="1"/>
    <w:autoRedefine/>
    <w:unhideWhenUsed/>
    <w:qFormat/>
    <w:uiPriority w:val="0"/>
    <w:pPr>
      <w:ind w:firstLine="570"/>
    </w:pPr>
    <w:rPr>
      <w:rFonts w:ascii="宋体"/>
      <w:sz w:val="28"/>
    </w:rPr>
  </w:style>
  <w:style w:type="paragraph" w:styleId="10">
    <w:name w:val="Plain Text"/>
    <w:autoRedefine/>
    <w:unhideWhenUsed/>
    <w:qFormat/>
    <w:uiPriority w:val="0"/>
    <w:pPr>
      <w:widowControl w:val="0"/>
      <w:jc w:val="both"/>
    </w:pPr>
    <w:rPr>
      <w:rFonts w:ascii="宋体" w:hAnsi="Courier New" w:eastAsia="宋体" w:cs="Times New Roman"/>
      <w:sz w:val="24"/>
      <w:lang w:val="en-US" w:eastAsia="zh-CN" w:bidi="ar-SA"/>
    </w:rPr>
  </w:style>
  <w:style w:type="paragraph" w:styleId="11">
    <w:name w:val="Balloon Text"/>
    <w:basedOn w:val="1"/>
    <w:qFormat/>
    <w:uiPriority w:val="0"/>
    <w:rPr>
      <w:rFonts w:ascii="Times New Roman" w:hAnsi="Times New Roman" w:eastAsia="宋体" w:cs="Times New Roman"/>
      <w:kern w:val="0"/>
      <w:sz w:val="18"/>
      <w:szCs w:val="18"/>
      <w14:ligatures w14:val="none"/>
    </w:rPr>
  </w:style>
  <w:style w:type="paragraph" w:styleId="12">
    <w:name w:val="footer"/>
    <w:basedOn w:val="1"/>
    <w:autoRedefine/>
    <w:qFormat/>
    <w:uiPriority w:val="0"/>
    <w:pPr>
      <w:tabs>
        <w:tab w:val="center" w:pos="4153"/>
        <w:tab w:val="right" w:pos="8306"/>
      </w:tabs>
      <w:snapToGrid w:val="0"/>
      <w:jc w:val="left"/>
    </w:pPr>
    <w:rPr>
      <w:sz w:val="18"/>
    </w:rPr>
  </w:style>
  <w:style w:type="paragraph" w:styleId="13">
    <w:name w:val="envelope return"/>
    <w:basedOn w:val="1"/>
    <w:autoRedefine/>
    <w:qFormat/>
    <w:uiPriority w:val="0"/>
    <w:pPr>
      <w:snapToGrid w:val="0"/>
    </w:pPr>
    <w:rPr>
      <w:rFonts w:ascii="Arial" w:hAnsi="Arial"/>
    </w:rPr>
  </w:style>
  <w:style w:type="paragraph" w:styleId="14">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5">
    <w:name w:val="Subtitle"/>
    <w:basedOn w:val="1"/>
    <w:next w:val="1"/>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6">
    <w:name w:val="toc 2"/>
    <w:basedOn w:val="1"/>
    <w:next w:val="1"/>
    <w:unhideWhenUsed/>
    <w:qFormat/>
    <w:uiPriority w:val="39"/>
    <w:pPr>
      <w:ind w:left="420" w:leftChars="200"/>
    </w:pPr>
  </w:style>
  <w:style w:type="paragraph" w:styleId="17">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jc w:val="left"/>
    </w:pPr>
    <w:rPr>
      <w:rFonts w:ascii="Arial" w:hAnsi="Arial"/>
      <w:szCs w:val="21"/>
    </w:rPr>
  </w:style>
  <w:style w:type="paragraph" w:styleId="18">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14:ligatures w14:val="none"/>
    </w:rPr>
  </w:style>
  <w:style w:type="paragraph" w:styleId="19">
    <w:name w:val="annotation subject"/>
    <w:basedOn w:val="7"/>
    <w:next w:val="7"/>
    <w:link w:val="42"/>
    <w:autoRedefine/>
    <w:qFormat/>
    <w:uiPriority w:val="0"/>
    <w:rPr>
      <w:b/>
      <w:bCs/>
    </w:rPr>
  </w:style>
  <w:style w:type="paragraph" w:styleId="20">
    <w:name w:val="Body Text First Indent 2"/>
    <w:basedOn w:val="9"/>
    <w:autoRedefine/>
    <w:qFormat/>
    <w:uiPriority w:val="0"/>
    <w:pPr>
      <w:spacing w:after="120"/>
      <w:ind w:left="420" w:leftChars="200" w:firstLine="420" w:firstLineChars="200"/>
    </w:pPr>
    <w:rPr>
      <w:rFonts w:ascii="Times New Roman"/>
      <w:sz w:val="21"/>
      <w:szCs w:val="24"/>
    </w:rPr>
  </w:style>
  <w:style w:type="table" w:styleId="22">
    <w:name w:val="Table Grid"/>
    <w:basedOn w:val="21"/>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Hyperlink"/>
    <w:basedOn w:val="23"/>
    <w:qFormat/>
    <w:uiPriority w:val="0"/>
    <w:rPr>
      <w:color w:val="333333"/>
      <w:u w:val="none"/>
    </w:rPr>
  </w:style>
  <w:style w:type="character" w:styleId="25">
    <w:name w:val="annotation reference"/>
    <w:basedOn w:val="23"/>
    <w:autoRedefine/>
    <w:qFormat/>
    <w:uiPriority w:val="0"/>
    <w:rPr>
      <w:sz w:val="21"/>
      <w:szCs w:val="21"/>
    </w:rPr>
  </w:style>
  <w:style w:type="paragraph" w:customStyle="1" w:styleId="26">
    <w:name w:val="正文缩进1"/>
    <w:next w:val="1"/>
    <w:qFormat/>
    <w:uiPriority w:val="0"/>
    <w:pPr>
      <w:wordWrap w:val="0"/>
      <w:ind w:left="3400"/>
      <w:jc w:val="both"/>
    </w:pPr>
    <w:rPr>
      <w:rFonts w:ascii="Times New Roman" w:hAnsi="Times New Roman" w:eastAsia="宋体" w:cs="Times New Roman"/>
      <w:sz w:val="21"/>
      <w:lang w:val="en-US" w:eastAsia="zh-CN" w:bidi="ar-SA"/>
    </w:rPr>
  </w:style>
  <w:style w:type="paragraph" w:customStyle="1" w:styleId="27">
    <w:name w:val="段"/>
    <w:next w:val="1"/>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8">
    <w:name w:val="首行缩进"/>
    <w:basedOn w:val="1"/>
    <w:autoRedefine/>
    <w:qFormat/>
    <w:uiPriority w:val="0"/>
    <w:pPr>
      <w:ind w:firstLine="480" w:firstLineChars="200"/>
    </w:pPr>
    <w:rPr>
      <w:sz w:val="21"/>
      <w:lang w:val="zh-CN"/>
    </w:rPr>
  </w:style>
  <w:style w:type="character" w:customStyle="1" w:styleId="29">
    <w:name w:val="标题 1 Char"/>
    <w:autoRedefine/>
    <w:qFormat/>
    <w:uiPriority w:val="0"/>
    <w:rPr>
      <w:rFonts w:ascii="Times New Roman" w:hAnsi="Times New Roman" w:eastAsia="宋体"/>
      <w:b/>
      <w:kern w:val="44"/>
      <w:sz w:val="48"/>
    </w:rPr>
  </w:style>
  <w:style w:type="character" w:customStyle="1" w:styleId="30">
    <w:name w:val="标题 1 字符"/>
    <w:link w:val="3"/>
    <w:autoRedefine/>
    <w:qFormat/>
    <w:uiPriority w:val="0"/>
    <w:rPr>
      <w:rFonts w:eastAsia="楷体_GB2312"/>
      <w:b/>
      <w:kern w:val="44"/>
      <w:sz w:val="44"/>
      <w:lang w:val="en-US" w:eastAsia="zh-CN" w:bidi="ar-SA"/>
    </w:rPr>
  </w:style>
  <w:style w:type="character" w:customStyle="1" w:styleId="31">
    <w:name w:val="font21"/>
    <w:basedOn w:val="23"/>
    <w:autoRedefine/>
    <w:qFormat/>
    <w:uiPriority w:val="0"/>
    <w:rPr>
      <w:rFonts w:hint="eastAsia" w:ascii="宋体" w:hAnsi="宋体" w:eastAsia="宋体" w:cs="宋体"/>
      <w:color w:val="000000"/>
      <w:sz w:val="24"/>
      <w:szCs w:val="24"/>
      <w:u w:val="none"/>
    </w:rPr>
  </w:style>
  <w:style w:type="character" w:customStyle="1" w:styleId="32">
    <w:name w:val="font11"/>
    <w:basedOn w:val="23"/>
    <w:autoRedefine/>
    <w:qFormat/>
    <w:uiPriority w:val="0"/>
    <w:rPr>
      <w:rFonts w:hint="default" w:ascii="Calibri" w:hAnsi="Calibri" w:cs="Calibri"/>
      <w:color w:val="000000"/>
      <w:sz w:val="24"/>
      <w:szCs w:val="24"/>
      <w:u w:val="none"/>
    </w:rPr>
  </w:style>
  <w:style w:type="character" w:customStyle="1" w:styleId="33">
    <w:name w:val="font01"/>
    <w:basedOn w:val="23"/>
    <w:autoRedefine/>
    <w:qFormat/>
    <w:uiPriority w:val="0"/>
    <w:rPr>
      <w:rFonts w:hint="eastAsia" w:ascii="宋体" w:hAnsi="宋体" w:eastAsia="宋体" w:cs="宋体"/>
      <w:color w:val="000000"/>
      <w:sz w:val="24"/>
      <w:szCs w:val="24"/>
      <w:u w:val="single"/>
    </w:rPr>
  </w:style>
  <w:style w:type="character" w:customStyle="1" w:styleId="34">
    <w:name w:val="font51"/>
    <w:basedOn w:val="23"/>
    <w:autoRedefine/>
    <w:qFormat/>
    <w:uiPriority w:val="0"/>
    <w:rPr>
      <w:rFonts w:hint="eastAsia" w:ascii="宋体" w:hAnsi="宋体" w:eastAsia="宋体" w:cs="宋体"/>
      <w:color w:val="000000"/>
      <w:sz w:val="22"/>
      <w:szCs w:val="22"/>
      <w:u w:val="none"/>
    </w:rPr>
  </w:style>
  <w:style w:type="character" w:customStyle="1" w:styleId="35">
    <w:name w:val="font31"/>
    <w:basedOn w:val="23"/>
    <w:autoRedefine/>
    <w:qFormat/>
    <w:uiPriority w:val="0"/>
    <w:rPr>
      <w:rFonts w:hint="eastAsia" w:ascii="宋体" w:hAnsi="宋体" w:eastAsia="宋体" w:cs="宋体"/>
      <w:color w:val="000000"/>
      <w:sz w:val="22"/>
      <w:szCs w:val="22"/>
      <w:u w:val="none"/>
      <w:vertAlign w:val="superscript"/>
    </w:rPr>
  </w:style>
  <w:style w:type="character" w:customStyle="1" w:styleId="36">
    <w:name w:val="font111"/>
    <w:basedOn w:val="23"/>
    <w:autoRedefine/>
    <w:qFormat/>
    <w:uiPriority w:val="0"/>
    <w:rPr>
      <w:rFonts w:hint="default" w:ascii="Times New Roman" w:hAnsi="Times New Roman" w:cs="Times New Roman"/>
      <w:b/>
      <w:bCs/>
      <w:color w:val="000000"/>
      <w:sz w:val="16"/>
      <w:szCs w:val="16"/>
      <w:u w:val="none"/>
    </w:rPr>
  </w:style>
  <w:style w:type="character" w:customStyle="1" w:styleId="37">
    <w:name w:val="font122"/>
    <w:basedOn w:val="23"/>
    <w:autoRedefine/>
    <w:qFormat/>
    <w:uiPriority w:val="0"/>
    <w:rPr>
      <w:rFonts w:hint="eastAsia" w:ascii="宋体" w:hAnsi="宋体" w:eastAsia="宋体" w:cs="宋体"/>
      <w:b/>
      <w:bCs/>
      <w:color w:val="000000"/>
      <w:sz w:val="16"/>
      <w:szCs w:val="16"/>
      <w:u w:val="none"/>
    </w:rPr>
  </w:style>
  <w:style w:type="character" w:customStyle="1" w:styleId="38">
    <w:name w:val="font91"/>
    <w:basedOn w:val="23"/>
    <w:autoRedefine/>
    <w:qFormat/>
    <w:uiPriority w:val="0"/>
    <w:rPr>
      <w:rFonts w:hint="eastAsia" w:ascii="宋体" w:hAnsi="宋体" w:eastAsia="宋体" w:cs="宋体"/>
      <w:color w:val="000000"/>
      <w:sz w:val="16"/>
      <w:szCs w:val="16"/>
      <w:u w:val="none"/>
    </w:rPr>
  </w:style>
  <w:style w:type="character" w:customStyle="1" w:styleId="39">
    <w:name w:val="font131"/>
    <w:basedOn w:val="23"/>
    <w:autoRedefine/>
    <w:qFormat/>
    <w:uiPriority w:val="0"/>
    <w:rPr>
      <w:rFonts w:hint="eastAsia" w:ascii="宋体" w:hAnsi="宋体" w:eastAsia="宋体" w:cs="宋体"/>
      <w:color w:val="000000"/>
      <w:sz w:val="16"/>
      <w:szCs w:val="16"/>
      <w:u w:val="none"/>
    </w:rPr>
  </w:style>
  <w:style w:type="paragraph" w:customStyle="1" w:styleId="40">
    <w:name w:val="Revision"/>
    <w:autoRedefine/>
    <w:hidden/>
    <w:unhideWhenUsed/>
    <w:qFormat/>
    <w:uiPriority w:val="99"/>
    <w:rPr>
      <w:rFonts w:ascii="Calibri" w:hAnsi="Calibri" w:eastAsia="宋体" w:cs="Times New Roman"/>
      <w:sz w:val="24"/>
      <w:lang w:val="en-US" w:eastAsia="zh-CN" w:bidi="ar-SA"/>
    </w:rPr>
  </w:style>
  <w:style w:type="character" w:customStyle="1" w:styleId="41">
    <w:name w:val="批注文字 字符"/>
    <w:basedOn w:val="23"/>
    <w:link w:val="7"/>
    <w:autoRedefine/>
    <w:qFormat/>
    <w:uiPriority w:val="0"/>
    <w:rPr>
      <w:rFonts w:ascii="Calibri" w:hAnsi="Calibri"/>
      <w:sz w:val="24"/>
    </w:rPr>
  </w:style>
  <w:style w:type="character" w:customStyle="1" w:styleId="42">
    <w:name w:val="批注主题 字符"/>
    <w:basedOn w:val="41"/>
    <w:link w:val="19"/>
    <w:autoRedefine/>
    <w:qFormat/>
    <w:uiPriority w:val="0"/>
    <w:rPr>
      <w:rFonts w:ascii="Calibri" w:hAnsi="Calibri"/>
      <w:b/>
      <w:bCs/>
      <w:sz w:val="24"/>
    </w:rPr>
  </w:style>
  <w:style w:type="character" w:customStyle="1" w:styleId="43">
    <w:name w:val="font151"/>
    <w:basedOn w:val="23"/>
    <w:autoRedefine/>
    <w:qFormat/>
    <w:uiPriority w:val="0"/>
    <w:rPr>
      <w:rFonts w:hint="default" w:ascii="Times New Roman" w:hAnsi="Times New Roman" w:cs="Times New Roman"/>
      <w:b/>
      <w:bCs/>
      <w:color w:val="000000"/>
      <w:sz w:val="22"/>
      <w:szCs w:val="22"/>
      <w:u w:val="none"/>
    </w:rPr>
  </w:style>
  <w:style w:type="character" w:customStyle="1" w:styleId="44">
    <w:name w:val="font161"/>
    <w:basedOn w:val="23"/>
    <w:autoRedefine/>
    <w:qFormat/>
    <w:uiPriority w:val="0"/>
    <w:rPr>
      <w:rFonts w:hint="eastAsia" w:ascii="宋体" w:hAnsi="宋体" w:eastAsia="宋体" w:cs="宋体"/>
      <w:b/>
      <w:bCs/>
      <w:color w:val="000000"/>
      <w:sz w:val="22"/>
      <w:szCs w:val="22"/>
      <w:u w:val="none"/>
    </w:rPr>
  </w:style>
  <w:style w:type="character" w:customStyle="1" w:styleId="45">
    <w:name w:val="font171"/>
    <w:basedOn w:val="23"/>
    <w:autoRedefine/>
    <w:qFormat/>
    <w:uiPriority w:val="0"/>
    <w:rPr>
      <w:rFonts w:hint="eastAsia" w:ascii="宋体" w:hAnsi="宋体" w:eastAsia="宋体" w:cs="宋体"/>
      <w:color w:val="333300"/>
      <w:sz w:val="20"/>
      <w:szCs w:val="20"/>
      <w:u w:val="none"/>
    </w:rPr>
  </w:style>
  <w:style w:type="character" w:customStyle="1" w:styleId="46">
    <w:name w:val="font181"/>
    <w:basedOn w:val="23"/>
    <w:autoRedefine/>
    <w:qFormat/>
    <w:uiPriority w:val="0"/>
    <w:rPr>
      <w:rFonts w:hint="default" w:ascii="Times New Roman" w:hAnsi="Times New Roman" w:cs="Times New Roman"/>
      <w:b/>
      <w:bCs/>
      <w:color w:val="000000"/>
      <w:sz w:val="20"/>
      <w:szCs w:val="20"/>
      <w:u w:val="none"/>
    </w:rPr>
  </w:style>
  <w:style w:type="character" w:customStyle="1" w:styleId="47">
    <w:name w:val="font191"/>
    <w:basedOn w:val="23"/>
    <w:autoRedefine/>
    <w:qFormat/>
    <w:uiPriority w:val="0"/>
    <w:rPr>
      <w:rFonts w:hint="eastAsia" w:ascii="宋体" w:hAnsi="宋体" w:eastAsia="宋体" w:cs="宋体"/>
      <w:b/>
      <w:bCs/>
      <w:color w:val="000000"/>
      <w:sz w:val="20"/>
      <w:szCs w:val="20"/>
      <w:u w:val="none"/>
    </w:rPr>
  </w:style>
  <w:style w:type="paragraph" w:styleId="48">
    <w:name w:val="List Paragraph"/>
    <w:basedOn w:val="1"/>
    <w:autoRedefine/>
    <w:qFormat/>
    <w:uiPriority w:val="34"/>
    <w:pPr>
      <w:ind w:left="720"/>
      <w:contextualSpacing/>
    </w:pPr>
  </w:style>
  <w:style w:type="paragraph" w:customStyle="1" w:styleId="49">
    <w:name w:val="正文1"/>
    <w:next w:val="1"/>
    <w:autoRedefine/>
    <w:qFormat/>
    <w:uiPriority w:val="0"/>
    <w:pPr>
      <w:widowControl w:val="0"/>
      <w:jc w:val="both"/>
    </w:pPr>
    <w:rPr>
      <w:rFonts w:ascii="Times New Roman" w:hAnsi="Times New Roman" w:eastAsia="仿宋_GB2312" w:cs="Times New Roman"/>
      <w:sz w:val="24"/>
      <w:lang w:val="en-US" w:eastAsia="zh-CN" w:bidi="ar-SA"/>
    </w:rPr>
  </w:style>
  <w:style w:type="paragraph" w:customStyle="1" w:styleId="50">
    <w:name w:val="M正文"/>
    <w:basedOn w:val="1"/>
    <w:qFormat/>
    <w:uiPriority w:val="0"/>
    <w:pPr>
      <w:spacing w:line="360" w:lineRule="auto"/>
      <w:ind w:firstLine="480" w:firstLineChars="200"/>
    </w:pPr>
    <w:rPr>
      <w:sz w:val="24"/>
      <w:szCs w:val="24"/>
      <w14:ligatures w14:val="none"/>
    </w:rPr>
  </w:style>
  <w:style w:type="paragraph" w:customStyle="1" w:styleId="51">
    <w:name w:val="纯文本4"/>
    <w:basedOn w:val="1"/>
    <w:autoRedefine/>
    <w:qFormat/>
    <w:uiPriority w:val="0"/>
    <w:pPr>
      <w:adjustRightInd w:val="0"/>
      <w:textAlignment w:val="baseline"/>
    </w:pPr>
    <w:rPr>
      <w:rFonts w:ascii="宋体" w:hAnsi="Courier New" w:eastAsia="楷体_GB2312" w:cs="Times New Roman"/>
      <w:kern w:val="0"/>
      <w:sz w:val="26"/>
      <w:szCs w:val="20"/>
    </w:rPr>
  </w:style>
  <w:style w:type="paragraph" w:customStyle="1" w:styleId="52">
    <w:name w:val="表正文"/>
    <w:basedOn w:val="1"/>
    <w:qFormat/>
    <w:uiPriority w:val="0"/>
    <w:pPr>
      <w:jc w:val="left"/>
    </w:pPr>
    <w:rPr>
      <w:rFonts w:ascii="Arial" w:hAnsi="Arial" w:eastAsia="宋体"/>
      <w:sz w:val="18"/>
      <w:szCs w:val="21"/>
    </w:rPr>
  </w:style>
  <w:style w:type="character" w:customStyle="1" w:styleId="53">
    <w:name w:val="font41"/>
    <w:basedOn w:val="23"/>
    <w:qFormat/>
    <w:uiPriority w:val="0"/>
    <w:rPr>
      <w:rFonts w:hint="eastAsia" w:ascii="宋体" w:hAnsi="宋体" w:eastAsia="宋体" w:cs="宋体"/>
      <w:color w:val="000000"/>
      <w:sz w:val="24"/>
      <w:szCs w:val="24"/>
      <w:u w:val="none"/>
    </w:rPr>
  </w:style>
  <w:style w:type="paragraph" w:customStyle="1" w:styleId="54">
    <w:name w:val="纯文本1"/>
    <w:basedOn w:val="1"/>
    <w:next w:val="1"/>
    <w:qFormat/>
    <w:uiPriority w:val="0"/>
    <w:pPr>
      <w:adjustRightInd w:val="0"/>
      <w:snapToGrid/>
      <w:spacing w:line="240" w:lineRule="auto"/>
      <w:jc w:val="both"/>
      <w:textAlignment w:val="baseline"/>
    </w:pPr>
    <w:rPr>
      <w:rFonts w:ascii="宋体" w:hAnsi="Courier New" w:eastAsia="楷体_GB2312" w:cs="Times New Roman"/>
      <w:sz w:val="26"/>
      <w:szCs w:val="20"/>
      <w14:ligatures w14:val="none"/>
    </w:rPr>
  </w:style>
  <w:style w:type="table" w:customStyle="1" w:styleId="5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16218</Words>
  <Characters>17498</Characters>
  <Lines>62</Lines>
  <Paragraphs>17</Paragraphs>
  <TotalTime>92</TotalTime>
  <ScaleCrop>false</ScaleCrop>
  <LinksUpToDate>false</LinksUpToDate>
  <CharactersWithSpaces>17694</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2023-08-14T01:49:00Z</dcterms:created>
  <dc:creator>-</dc:creator>
  <cp:lastModifiedBy>YFY</cp:lastModifiedBy>
  <dcterms:modified xsi:type="dcterms:W3CDTF">2025-12-16T05:35:02Z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E1ED1F34485D49FC8E10B95DB0507642_13</vt:lpwstr>
  </property>
  <property fmtid="{D5CDD505-2E9C-101B-9397-08002B2CF9AE}" pid="4" name="KSOTemplateDocerSaveRecord">
    <vt:lpwstr>eyJoZGlkIjoiNjcxMjRkMjZkNjA4MTc1MDExZGUzNTQ0NmM3YjFmOTUiLCJ1c2VySWQiOiI0MTgyNzg2NjIifQ==</vt:lpwstr>
  </property>
</Properties>
</file>