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822"/>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822"/>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t xml:space="preserve">（暗标）</w:t>
      </w:r>
      <w:r>
        <w:rPr>
          <w:rFonts w:ascii="黑体" w:hAnsi="华文中宋" w:eastAsia="黑体"/>
          <w:bCs/>
          <w:color w:val="000000"/>
          <w:spacing w:val="20"/>
          <w:sz w:val="52"/>
          <w:szCs w:val="52"/>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22"/>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34"/>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JSZC-320200-JZCG-G2024-0178</w:t>
      </w:r>
      <w:r>
        <w:rPr>
          <w:rFonts w:ascii="黑体" w:hAnsi="华文中宋" w:eastAsia="黑体"/>
          <w:bCs/>
          <w:color w:val="000000"/>
          <w:sz w:val="32"/>
          <w:szCs w:val="32"/>
        </w:rPr>
      </w:r>
      <w:r/>
    </w:p>
    <w:p>
      <w:pPr>
        <w:pStyle w:val="73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太湖治理数字化平台项目（软件平台建设）</w:t>
      </w:r>
      <w:r>
        <w:rPr>
          <w:rFonts w:hint="eastAsia" w:ascii="黑体" w:hAnsi="华文中宋" w:eastAsia="黑体"/>
          <w:bCs/>
          <w:color w:val="000000"/>
          <w:sz w:val="32"/>
          <w:szCs w:val="32"/>
        </w:rPr>
      </w:r>
      <w:r/>
    </w:p>
    <w:p>
      <w:pPr>
        <w:pStyle w:val="734"/>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无锡市生态环境局</w:t>
      </w:r>
      <w:r>
        <w:rPr>
          <w:rFonts w:hint="eastAsia" w:ascii="黑体" w:hAnsi="华文中宋" w:eastAsia="黑体"/>
          <w:bCs/>
          <w:color w:val="000000"/>
          <w:sz w:val="32"/>
          <w:szCs w:val="32"/>
        </w:rPr>
      </w:r>
      <w:r/>
    </w:p>
    <w:p>
      <w:pPr>
        <w:pStyle w:val="734"/>
        <w:jc w:val="center"/>
        <w:rPr>
          <w:rFonts w:ascii="黑体" w:hAnsi="华文中宋" w:eastAsia="黑体"/>
          <w:bCs/>
          <w:color w:val="000000"/>
          <w:sz w:val="30"/>
          <w:szCs w:val="30"/>
        </w:rPr>
      </w:pPr>
      <w:r>
        <w:rPr>
          <w:rFonts w:ascii="黑体" w:hAnsi="华文中宋" w:eastAsia="黑体"/>
          <w:bCs/>
          <w:color w:val="000000"/>
          <w:sz w:val="30"/>
          <w:szCs w:val="30"/>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822"/>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82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 </w:t>
      </w:r>
      <w:r>
        <w:rPr>
          <w:rFonts w:hint="eastAsia" w:ascii="黑体" w:hAnsi="华文中宋" w:eastAsia="黑体"/>
          <w:bCs/>
          <w:color w:val="000000"/>
          <w:sz w:val="32"/>
          <w:szCs w:val="32"/>
        </w:rPr>
        <w:t xml:space="preserve">八</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822"/>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734"/>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73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734"/>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734"/>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无锡市生态环境局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太湖治理数字化平台项目（软件平台建设）</w:t>
      </w:r>
      <w:r>
        <w:rPr>
          <w:rFonts w:hint="eastAsia" w:ascii="宋体" w:hAnsi="宋体"/>
          <w:color w:val="000000"/>
          <w:sz w:val="24"/>
          <w:szCs w:val="24"/>
        </w:rPr>
        <w:t xml:space="preserve">（</w:t>
      </w:r>
      <w:r>
        <w:rPr>
          <w:rFonts w:hint="eastAsia" w:ascii="宋体" w:hAnsi="宋体"/>
          <w:color w:val="000000"/>
          <w:sz w:val="24"/>
          <w:szCs w:val="24"/>
        </w:rPr>
        <w:t xml:space="preserve">JSZC-320200-JZCG-G2024-0178</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73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73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太湖治理数字化平台项目（软件平台建设）</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9</w:t>
      </w:r>
      <w:r>
        <w:rPr>
          <w:rFonts w:hint="eastAsia" w:ascii="宋体" w:hAnsi="宋体"/>
          <w:color w:val="000000"/>
          <w:sz w:val="24"/>
          <w:szCs w:val="24"/>
        </w:rPr>
        <w:t xml:space="preserve">月</w:t>
      </w:r>
      <w:r>
        <w:rPr>
          <w:rFonts w:hint="eastAsia" w:ascii="宋体" w:hAnsi="宋体"/>
          <w:color w:val="000000"/>
          <w:sz w:val="24"/>
          <w:szCs w:val="24"/>
        </w:rPr>
        <w:t xml:space="preserve">10</w:t>
      </w:r>
      <w:r>
        <w:rPr>
          <w:rFonts w:hint="eastAsia" w:ascii="宋体" w:hAnsi="宋体"/>
          <w:color w:val="000000"/>
          <w:sz w:val="24"/>
          <w:szCs w:val="24"/>
        </w:rPr>
        <w:t xml:space="preserve">日</w:t>
      </w:r>
      <w:r>
        <w:rPr>
          <w:rFonts w:hint="eastAsia" w:ascii="宋体" w:hAnsi="宋体"/>
          <w:color w:val="000000"/>
          <w:sz w:val="24"/>
          <w:szCs w:val="24"/>
        </w:rPr>
        <w:t xml:space="preserve">09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737"/>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JSZC-320200-JZCG-G2024-0178</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太湖治理数字化平台项目（软件平台建设）</w:t>
      </w:r>
      <w:r>
        <w:rPr>
          <w:rFonts w:ascii="宋体" w:hAnsi="宋体"/>
          <w:color w:val="000000"/>
          <w:sz w:val="24"/>
          <w:szCs w:val="24"/>
        </w:rPr>
      </w:r>
      <w:r/>
    </w:p>
    <w:p>
      <w:pPr>
        <w:pStyle w:val="734"/>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rPr>
        <w:t xml:space="preserve">1500.8</w:t>
      </w:r>
      <w:r>
        <w:rPr>
          <w:rFonts w:hint="eastAsia" w:ascii="宋体" w:hAnsi="宋体"/>
          <w:color w:val="000000"/>
          <w:sz w:val="24"/>
          <w:szCs w:val="24"/>
        </w:rPr>
        <w:t xml:space="preserve">万元</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1500.8</w:t>
      </w:r>
      <w:r>
        <w:rPr>
          <w:rFonts w:hint="eastAsia" w:ascii="宋体" w:hAnsi="宋体"/>
          <w:color w:val="000000"/>
          <w:sz w:val="24"/>
          <w:szCs w:val="24"/>
        </w:rPr>
        <w:t xml:space="preserve">万元</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采购方式：公开招标（暗标）</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734"/>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w:t>
      </w:r>
      <w:r>
        <w:rPr>
          <w:rFonts w:hint="eastAsia" w:ascii="宋体" w:hAnsi="宋体"/>
          <w:color w:val="000000"/>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34"/>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734"/>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s="宋体"/>
          <w:color w:val="000000"/>
          <w:sz w:val="24"/>
          <w:szCs w:val="24"/>
        </w:rPr>
      </w:r>
      <w:r/>
    </w:p>
    <w:p>
      <w:pPr>
        <w:pStyle w:val="734"/>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734"/>
        <w:ind w:firstLine="540"/>
        <w:spacing w:line="500" w:lineRule="exact"/>
        <w:rPr>
          <w:rStyle w:val="811"/>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811"/>
          <w:color w:val="000000"/>
        </w:rPr>
      </w:r>
      <w:r/>
    </w:p>
    <w:p>
      <w:pPr>
        <w:pStyle w:val="734"/>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9</w:t>
      </w:r>
      <w:r>
        <w:rPr>
          <w:rFonts w:hint="eastAsia" w:ascii="宋体" w:hAnsi="宋体"/>
          <w:bCs/>
          <w:color w:val="000000"/>
          <w:sz w:val="24"/>
          <w:szCs w:val="24"/>
        </w:rPr>
        <w:t xml:space="preserve">月10日09点30分（北京时间）</w:t>
      </w:r>
      <w:r/>
    </w:p>
    <w:p>
      <w:pPr>
        <w:pStyle w:val="734"/>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737"/>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734"/>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无锡市生态环境局</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无锡市观山路199号市民中心11号楼325</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73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张小坷</w:t>
      </w:r>
      <w:r>
        <w:rPr>
          <w:rFonts w:hint="eastAsia" w:ascii="宋体" w:hAnsi="宋体" w:cs="宋体"/>
          <w:color w:val="000000"/>
          <w:sz w:val="24"/>
          <w:szCs w:val="24"/>
        </w:rPr>
        <w:t xml:space="preserve">；电话：0510-</w:t>
      </w:r>
      <w:r>
        <w:rPr>
          <w:rFonts w:ascii="宋体" w:hAnsi="宋体" w:cs="宋体"/>
          <w:color w:val="000000"/>
          <w:sz w:val="24"/>
          <w:szCs w:val="24"/>
        </w:rPr>
        <w:t xml:space="preserve">81823480</w:t>
        <w:tab/>
      </w:r>
      <w:r>
        <w:rPr>
          <w:rFonts w:hint="eastAsia"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张小坷</w:t>
      </w:r>
      <w:r>
        <w:rPr>
          <w:rFonts w:hint="eastAsia" w:ascii="宋体" w:hAnsi="宋体" w:cs="宋体"/>
          <w:color w:val="000000"/>
          <w:sz w:val="24"/>
          <w:szCs w:val="24"/>
        </w:rPr>
        <w:t xml:space="preserve">；电话：0510-</w:t>
      </w:r>
      <w:r>
        <w:rPr>
          <w:rFonts w:ascii="宋体" w:hAnsi="宋体" w:cs="宋体"/>
          <w:color w:val="000000"/>
          <w:sz w:val="24"/>
          <w:szCs w:val="24"/>
        </w:rPr>
        <w:t xml:space="preserve">81823480</w:t>
        <w:tab/>
      </w:r>
      <w:r>
        <w:rPr>
          <w:rFonts w:hint="eastAsia" w:ascii="宋体" w:hAnsi="宋体" w:cs="宋体"/>
          <w:color w:val="000000"/>
          <w:sz w:val="24"/>
          <w:szCs w:val="24"/>
        </w:rPr>
      </w:r>
      <w:r/>
    </w:p>
    <w:p>
      <w:pPr>
        <w:pStyle w:val="73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ascii="宋体" w:hAnsi="宋体" w:cs="宋体"/>
          <w:color w:val="000000"/>
          <w:sz w:val="24"/>
          <w:szCs w:val="24"/>
        </w:rPr>
        <w:t xml:space="preserve">8182</w:t>
      </w:r>
      <w:r>
        <w:rPr>
          <w:rFonts w:hint="eastAsia" w:ascii="宋体" w:hAnsi="宋体" w:cs="宋体"/>
          <w:color w:val="000000"/>
          <w:sz w:val="24"/>
          <w:szCs w:val="24"/>
        </w:rPr>
        <w:t xml:space="preserve">7754</w:t>
      </w:r>
      <w:r>
        <w:rPr>
          <w:rFonts w:hint="eastAsia" w:ascii="宋体" w:hAnsi="宋体" w:cs="宋体"/>
          <w:color w:val="000000"/>
          <w:sz w:val="24"/>
          <w:szCs w:val="24"/>
        </w:rPr>
      </w:r>
      <w:r/>
    </w:p>
    <w:p>
      <w:pPr>
        <w:pStyle w:val="737"/>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73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3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734"/>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73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34"/>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734"/>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734"/>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737"/>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38"/>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8"/>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37"/>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34"/>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737"/>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738"/>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734"/>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734"/>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w:t>
      </w:r>
      <w:r>
        <w:rPr>
          <w:rFonts w:hint="eastAsia" w:ascii="宋体" w:hAnsi="宋体"/>
          <w:b/>
          <w:color w:val="000000"/>
          <w:sz w:val="24"/>
          <w:u w:val="single"/>
        </w:rPr>
        <w:t xml:space="preserve">相关</w:t>
      </w:r>
      <w:r>
        <w:rPr>
          <w:rFonts w:hint="eastAsia" w:ascii="宋体" w:hAnsi="宋体"/>
          <w:b/>
          <w:color w:val="000000"/>
          <w:sz w:val="24"/>
          <w:u w:val="single"/>
        </w:rPr>
        <w:t xml:space="preserve">要求对商务</w:t>
      </w:r>
      <w:r>
        <w:rPr>
          <w:rFonts w:hint="eastAsia" w:ascii="宋体" w:hAnsi="宋体"/>
          <w:b/>
          <w:color w:val="000000"/>
          <w:sz w:val="24"/>
          <w:u w:val="single"/>
        </w:rPr>
        <w:t xml:space="preserve">部</w:t>
      </w:r>
      <w:r>
        <w:rPr>
          <w:rFonts w:hint="eastAsia" w:ascii="宋体" w:hAnsi="宋体"/>
          <w:b/>
          <w:color w:val="000000"/>
          <w:sz w:val="24"/>
          <w:u w:val="single"/>
        </w:rPr>
        <w:t xml:space="preserve">分</w:t>
      </w:r>
      <w:r>
        <w:rPr>
          <w:rFonts w:hint="eastAsia" w:ascii="宋体" w:hAnsi="宋体"/>
          <w:b/>
          <w:color w:val="000000"/>
          <w:sz w:val="24"/>
          <w:u w:val="single"/>
        </w:rPr>
        <w:t xml:space="preserve">和技术</w:t>
      </w:r>
      <w:r>
        <w:rPr>
          <w:rFonts w:hint="eastAsia" w:ascii="宋体" w:hAnsi="宋体"/>
          <w:b/>
          <w:color w:val="000000"/>
          <w:sz w:val="24"/>
          <w:u w:val="single"/>
        </w:rPr>
        <w:t xml:space="preserve">部分</w:t>
      </w:r>
      <w:r>
        <w:rPr>
          <w:rFonts w:hint="eastAsia" w:ascii="宋体" w:hAnsi="宋体"/>
          <w:b/>
          <w:color w:val="000000"/>
          <w:sz w:val="24"/>
          <w:u w:val="single"/>
        </w:rPr>
        <w:t xml:space="preserve">分别进行制作。其中</w:t>
      </w:r>
      <w:r>
        <w:rPr>
          <w:rFonts w:hint="eastAsia" w:ascii="宋体" w:hAnsi="宋体"/>
          <w:b/>
          <w:color w:val="000000"/>
          <w:sz w:val="24"/>
          <w:u w:val="single"/>
        </w:rPr>
        <w:t xml:space="preserve">技术部分</w:t>
      </w:r>
      <w:r>
        <w:rPr>
          <w:rFonts w:hint="eastAsia" w:ascii="宋体" w:hAnsi="宋体"/>
          <w:b/>
          <w:color w:val="000000"/>
          <w:sz w:val="24"/>
          <w:u w:val="single"/>
        </w:rPr>
        <w:t xml:space="preserve">属于暗标，</w:t>
      </w:r>
      <w:r>
        <w:rPr>
          <w:rFonts w:hint="eastAsia" w:ascii="宋体" w:hAnsi="宋体"/>
          <w:b/>
          <w:color w:val="000000"/>
          <w:sz w:val="24"/>
          <w:u w:val="single"/>
        </w:rPr>
        <w:t xml:space="preserve">投标人在制作</w:t>
      </w:r>
      <w:r>
        <w:rPr>
          <w:rFonts w:hint="eastAsia" w:ascii="宋体" w:hAnsi="宋体"/>
          <w:b/>
          <w:color w:val="000000"/>
          <w:sz w:val="24"/>
          <w:u w:val="single"/>
        </w:rPr>
        <w:t xml:space="preserve">技术部分</w:t>
      </w:r>
      <w:r>
        <w:rPr>
          <w:rFonts w:hint="eastAsia" w:ascii="宋体" w:hAnsi="宋体"/>
          <w:b/>
          <w:color w:val="000000"/>
          <w:sz w:val="24"/>
          <w:u w:val="single"/>
        </w:rPr>
        <w:t xml:space="preserve">相关内容时</w:t>
      </w:r>
      <w:r>
        <w:rPr>
          <w:rFonts w:hint="eastAsia" w:ascii="宋体" w:hAnsi="宋体"/>
          <w:b/>
          <w:color w:val="000000"/>
          <w:sz w:val="24"/>
          <w:u w:val="single"/>
        </w:rPr>
        <w:t xml:space="preserve">不得有体现投标人身份的内容，否则投标无效。</w:t>
      </w:r>
      <w:r>
        <w:rPr>
          <w:rFonts w:hint="eastAsia" w:ascii="宋体" w:hAnsi="宋体"/>
          <w:b/>
          <w:color w:val="000000"/>
          <w:sz w:val="24"/>
          <w:u w:val="single"/>
        </w:rPr>
      </w:r>
      <w:r/>
    </w:p>
    <w:p>
      <w:pPr>
        <w:pStyle w:val="734"/>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w:t>
      </w:r>
      <w:r>
        <w:rPr>
          <w:rFonts w:hint="eastAsia" w:ascii="宋体" w:hAnsi="宋体"/>
          <w:b/>
          <w:color w:val="000000"/>
          <w:sz w:val="24"/>
        </w:rPr>
        <w:t xml:space="preserve">不得有体现投标人身份的内容是指：</w:t>
      </w:r>
      <w:r>
        <w:rPr>
          <w:rFonts w:hint="eastAsia" w:ascii="宋体" w:hAnsi="宋体"/>
          <w:b/>
          <w:color w:val="000000"/>
          <w:sz w:val="24"/>
          <w:u w:val="single"/>
        </w:rPr>
      </w:r>
      <w:r/>
    </w:p>
    <w:p>
      <w:pPr>
        <w:pStyle w:val="734"/>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734"/>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p>
    <w:p>
      <w:pPr>
        <w:pStyle w:val="734"/>
        <w:ind w:firstLine="482"/>
        <w:spacing w:line="500" w:lineRule="exact"/>
        <w:rPr>
          <w:rFonts w:hint="eastAsia" w:ascii="宋体" w:hAnsi="宋体"/>
          <w:b/>
          <w:color w:val="000000"/>
          <w:sz w:val="24"/>
        </w:rPr>
      </w:pPr>
      <w:r>
        <w:rPr>
          <w:rFonts w:hint="eastAsia" w:ascii="宋体" w:hAnsi="宋体"/>
          <w:b/>
          <w:color w:val="000000"/>
          <w:sz w:val="24"/>
        </w:rPr>
        <w:t xml:space="preserve">10.4.3</w:t>
      </w:r>
      <w:r>
        <w:rPr>
          <w:rFonts w:hint="eastAsia" w:ascii="宋体" w:hAnsi="宋体"/>
          <w:b/>
          <w:color w:val="000000"/>
          <w:sz w:val="24"/>
        </w:rPr>
        <w:t xml:space="preserve">技术部分应当</w:t>
      </w:r>
      <w:r>
        <w:rPr>
          <w:rFonts w:hint="eastAsia" w:ascii="宋体" w:hAnsi="宋体"/>
          <w:b/>
          <w:color w:val="000000"/>
          <w:sz w:val="24"/>
        </w:rPr>
        <w:t xml:space="preserve">版面整洁、字迹清楚、不许批注</w:t>
      </w:r>
      <w:r>
        <w:rPr>
          <w:rFonts w:hint="eastAsia" w:ascii="宋体" w:hAnsi="宋体"/>
          <w:b/>
          <w:color w:val="000000"/>
          <w:sz w:val="24"/>
        </w:rPr>
        <w:t xml:space="preserve">或进行底纹、阴影、水印等特殊设置</w:t>
      </w:r>
      <w:r>
        <w:rPr>
          <w:rFonts w:hint="eastAsia" w:ascii="宋体" w:hAnsi="宋体"/>
          <w:b/>
          <w:color w:val="000000"/>
          <w:sz w:val="24"/>
        </w:rPr>
        <w:t xml:space="preserve">，不得采用任何不符合常规、有别于其他投标人的特殊做法；</w:t>
      </w:r>
      <w:r/>
    </w:p>
    <w:p>
      <w:pPr>
        <w:pStyle w:val="734"/>
        <w:ind w:firstLine="482"/>
        <w:spacing w:line="500" w:lineRule="exact"/>
        <w:rPr>
          <w:rFonts w:hint="eastAsia" w:ascii="宋体" w:hAnsi="宋体"/>
          <w:b/>
          <w:color w:val="000000"/>
          <w:sz w:val="24"/>
        </w:rPr>
      </w:pPr>
      <w:r>
        <w:rPr>
          <w:rFonts w:hint="eastAsia" w:ascii="宋体" w:hAnsi="宋体"/>
          <w:b/>
          <w:color w:val="000000"/>
          <w:sz w:val="24"/>
        </w:rPr>
        <w:t xml:space="preserve">10.4.4</w:t>
      </w:r>
      <w:r>
        <w:rPr>
          <w:rFonts w:hint="eastAsia" w:ascii="宋体" w:hAnsi="宋体"/>
          <w:b/>
          <w:color w:val="000000"/>
          <w:sz w:val="24"/>
        </w:rPr>
        <w:t xml:space="preserve">不得有</w:t>
      </w:r>
      <w:r>
        <w:rPr>
          <w:rFonts w:hint="eastAsia" w:ascii="宋体" w:hAnsi="宋体"/>
          <w:b/>
          <w:color w:val="000000"/>
          <w:sz w:val="24"/>
        </w:rPr>
        <w:t xml:space="preserve">其他体现投标人身份的内容。</w:t>
      </w:r>
      <w:r/>
    </w:p>
    <w:p>
      <w:pPr>
        <w:pStyle w:val="738"/>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38"/>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734"/>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734"/>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738"/>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7"/>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47"/>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738"/>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738"/>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37"/>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734"/>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734"/>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738"/>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734"/>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734"/>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734"/>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38"/>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734"/>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738"/>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734"/>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不良信用记录</w:t>
      </w:r>
      <w:r>
        <w:rPr>
          <w:rFonts w:hint="eastAsia" w:ascii="宋体" w:hAnsi="宋体"/>
          <w:bCs/>
          <w:color w:val="000000"/>
          <w:sz w:val="24"/>
        </w:rPr>
        <w:t xml:space="preserve">。</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4"/>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734"/>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734"/>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734"/>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734"/>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734"/>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w:t>
      </w:r>
      <w:r>
        <w:rPr>
          <w:rFonts w:hint="eastAsia" w:ascii="宋体" w:hAnsi="宋体"/>
          <w:bCs/>
          <w:color w:val="000000"/>
          <w:sz w:val="24"/>
          <w:szCs w:val="24"/>
        </w:rPr>
        <w:t xml:space="preserve">）投标总价超过本项目（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73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734"/>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734"/>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734"/>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734"/>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734"/>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37"/>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734"/>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34"/>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34"/>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734"/>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734"/>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7"/>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738"/>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734"/>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734"/>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38"/>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9"/>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734"/>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734"/>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73"/>
        <w:spacing w:line="400" w:lineRule="exact"/>
        <w:rPr>
          <w:rFonts w:hAnsi="宋体"/>
          <w:color w:val="000000"/>
          <w:sz w:val="24"/>
          <w:szCs w:val="24"/>
        </w:rPr>
      </w:pPr>
      <w:r>
        <w:rPr>
          <w:rFonts w:hAnsi="宋体"/>
          <w:color w:val="000000"/>
          <w:sz w:val="24"/>
          <w:szCs w:val="24"/>
        </w:rPr>
        <w:t xml:space="preserve">项目名称：                                       项目编号：</w:t>
      </w:r>
      <w:r/>
    </w:p>
    <w:p>
      <w:pPr>
        <w:pStyle w:val="773"/>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73"/>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73"/>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73"/>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73"/>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73"/>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73"/>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73"/>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73"/>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73"/>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73"/>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73"/>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3"/>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73"/>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73"/>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73"/>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73"/>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73"/>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73"/>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73"/>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73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7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73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734"/>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73"/>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73"/>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73"/>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73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34"/>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73"/>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773"/>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73"/>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73"/>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73"/>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73"/>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773"/>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73"/>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73"/>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73"/>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73"/>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34"/>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734"/>
        <w:ind w:firstLine="480"/>
        <w:jc w:val="center"/>
        <w:spacing w:line="400" w:lineRule="exact"/>
        <w:rPr>
          <w:rFonts w:ascii="黑体" w:eastAsia="黑体"/>
          <w:bCs/>
          <w:color w:val="000000"/>
          <w:sz w:val="36"/>
          <w:szCs w:val="36"/>
        </w:rPr>
      </w:pPr>
      <w:r>
        <w:rPr>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734"/>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734"/>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73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734"/>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734"/>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740"/>
        <w:numPr>
          <w:ilvl w:val="1"/>
          <w:numId w:val="32"/>
        </w:numPr>
        <w:spacing w:before="320" w:after="200" w:line="240" w:lineRule="auto"/>
        <w:rPr>
          <w:rFonts w:ascii="宋体" w:hAnsi="宋体" w:eastAsia="宋体" w:cs="宋体"/>
          <w:color w:val="000000"/>
        </w:rPr>
      </w:pPr>
      <w:r>
        <w:rPr>
          <w:rFonts w:hint="eastAsia" w:ascii="宋体" w:hAnsi="宋体" w:eastAsia="宋体" w:cs="宋体"/>
          <w:color w:val="000000"/>
        </w:rPr>
        <w:t xml:space="preserve">项目概述</w:t>
      </w:r>
      <w:r>
        <w:rPr>
          <w:rFonts w:ascii="宋体" w:hAnsi="宋体" w:eastAsia="宋体" w:cs="宋体"/>
          <w:color w:val="000000"/>
        </w:rPr>
      </w:r>
      <w:r/>
    </w:p>
    <w:p>
      <w:pPr>
        <w:pStyle w:val="734"/>
        <w:ind w:firstLine="420"/>
        <w:spacing w:line="360" w:lineRule="auto"/>
        <w:rPr>
          <w:color w:val="000000"/>
        </w:rPr>
      </w:pPr>
      <w:r>
        <w:rPr>
          <w:rFonts w:hint="eastAsia"/>
          <w:color w:val="000000"/>
        </w:rPr>
        <w:t xml:space="preserve">太湖是我国第三大淡水湖和长三角地区最重要的饮用水源地，是水质型缺水城市无锡的重要补给源头，对无锡市社会、经济、文化发展至关重要。要深入学习贯彻习近平总书记关于太湖治理重要指示精神，坚决扛起省委书记信长星赋予无锡“唱响新时代人水和谐共生‘太湖美’”的重责重任，按照省长许昆林在无锡调研太湖治理工作时提出的“推动太湖水质持续改善”要求，坚持把太湖治理作为无锡生态文明建设的标志性工程，更好兼顾治标与治本、统筹水中与岸上，以扎扎实实、踏踏实实的工作，确保实现更高水平的“两保两提”，努力为太湖增添更多美丽色彩。</w:t>
      </w:r>
      <w:r>
        <w:rPr>
          <w:color w:val="000000"/>
        </w:rPr>
      </w:r>
      <w:r/>
    </w:p>
    <w:p>
      <w:pPr>
        <w:pStyle w:val="734"/>
        <w:ind w:firstLine="420"/>
        <w:spacing w:line="360" w:lineRule="auto"/>
        <w:rPr>
          <w:color w:val="000000"/>
        </w:rPr>
      </w:pPr>
      <w:r>
        <w:rPr>
          <w:color w:val="000000"/>
        </w:rPr>
        <w:t xml:space="preserve">依托数字资源</w:t>
      </w:r>
      <w:r>
        <w:rPr>
          <w:color w:val="000000"/>
        </w:rPr>
        <w:t xml:space="preserve">共享交换与跨部门协同处置能力，汇聚各类现有环境监测监管系统数据，接入水利、水务、气象、自规等跨部门数据，加强卫星遥感、物联感知等监测手段，构建天空地一体的太湖无锡流域生态环境立体多源实时动态感知体系，采用物联网、人工智能、数字孪生等技术，建设太湖无锡流域自然地理的数字孪生体，实现物理流域与数字流域之间的动态、实时信息交互和深度融合，满足不同场景下多目标调度决策需求，实现蓝藻水华的短期预警预报以及蓝藻水华暴发时的跨部门可视化协调指挥。推动太湖无锡水域水质不断向好，提高动态监测、风险感知能力，推进应急防控工作。</w:t>
      </w:r>
      <w:r/>
    </w:p>
    <w:p>
      <w:pPr>
        <w:pStyle w:val="734"/>
        <w:ind w:firstLine="420"/>
        <w:spacing w:line="360" w:lineRule="auto"/>
        <w:rPr>
          <w:color w:val="000000"/>
        </w:rPr>
      </w:pPr>
      <w:r>
        <w:rPr>
          <w:color w:val="000000"/>
        </w:rPr>
        <w:t xml:space="preserve">重点基于数字</w:t>
      </w:r>
      <w:r>
        <w:rPr>
          <w:color w:val="000000"/>
        </w:rPr>
        <w:t xml:space="preserve">孪生智能中枢，建设太湖无锡流域自然地理的数字孪生体，实现物理流域与数字流域之间的动态、实时信息交互和深度融合，满足不同场景下多目标调度决策需求。全面汇聚各类现有环境监测监管系统数据，接入水利、水务、气象、自规等跨部门数据，打破孤岛，建立实时信息流；补充感知手段，加强卫星遥感、无人机、物联感知等监测手段，建设天空地一体的太湖无锡流域生态环境立体多源实时动态感知体系，构建生态环境态势一张图，实现“数字一张网、管理一张图、调度一指令、安全一平台”，为太湖安全度夏及环境质量提升提供有力支撑和强力驱动，守护太湖安澜。</w:t>
      </w:r>
      <w:r/>
    </w:p>
    <w:p>
      <w:pPr>
        <w:pStyle w:val="740"/>
        <w:numPr>
          <w:ilvl w:val="1"/>
          <w:numId w:val="32"/>
        </w:numPr>
        <w:spacing w:before="320" w:after="200" w:line="240" w:lineRule="auto"/>
        <w:rPr>
          <w:rFonts w:ascii="宋体" w:hAnsi="宋体" w:eastAsia="宋体" w:cs="宋体"/>
          <w:color w:val="000000"/>
        </w:rPr>
      </w:pPr>
      <w:r>
        <w:rPr>
          <w:rFonts w:hint="eastAsia" w:ascii="宋体" w:hAnsi="宋体" w:eastAsia="宋体" w:cs="宋体"/>
          <w:color w:val="000000"/>
        </w:rPr>
        <w:t xml:space="preserve">建设内容</w:t>
      </w:r>
      <w:r>
        <w:rPr>
          <w:rFonts w:ascii="宋体" w:hAnsi="宋体" w:eastAsia="宋体" w:cs="宋体"/>
          <w:color w:val="000000"/>
        </w:rPr>
      </w:r>
      <w:r/>
    </w:p>
    <w:p>
      <w:pPr>
        <w:pStyle w:val="734"/>
        <w:ind w:firstLine="420"/>
        <w:spacing w:line="360" w:lineRule="auto"/>
        <w:rPr>
          <w:color w:val="000000"/>
        </w:rPr>
      </w:pPr>
      <w:r>
        <w:rPr>
          <w:color w:val="000000"/>
        </w:rPr>
        <w:t xml:space="preserve">运用BIM+GIS+IOT等技术，基于太湖无锡流域本底数据、各类历史数据、实时监测数据、业务数据等，建设太湖无锡流域数字孪生智能中枢，把太湖无锡流域的物理空间信息数字化，并实时、同步地映射到数字孪生空间，在“数据+模型”的驱动下实现基于数字孪生的管理与服务能力，对物理流域进行实时态势监测、问题发现预警、科学决策和指挥调度等。为水环境、水生态监测预警、水资源优化配置等业务应用提供决策支撑。通过虚拟仿真技术与数字流域业务应用场景的结合，实现业务应用成果在数字孪生平台上的全景呈现。</w:t>
      </w:r>
      <w:r/>
    </w:p>
    <w:p>
      <w:pPr>
        <w:pStyle w:val="734"/>
        <w:ind w:firstLine="420"/>
        <w:spacing w:line="360" w:lineRule="auto"/>
        <w:rPr>
          <w:color w:val="000000"/>
        </w:rPr>
      </w:pPr>
      <w:r>
        <w:rPr>
          <w:rFonts w:hint="eastAsia"/>
          <w:color w:val="000000"/>
        </w:rPr>
        <w:t xml:space="preserve">同时，太湖治理数字化</w:t>
      </w:r>
      <w:r>
        <w:rPr>
          <w:color w:val="000000"/>
        </w:rPr>
        <w:t xml:space="preserve">平台是一个涉及不同的应用系统、客户对象、数据敏感程度等的复杂信息系统，基于现代信息系统安全保障理论，采用现代信息安全保护技术，在政务云资源安全防护的基础上，部署数据库安全运维、数据防勒索、安全态势感知、API安全网关等软硬件安全设备，按照一定规则和体系化的信息安全防护策略进行的整体安全加固建设，并结合专业的网络安全服务，构建以安全管理体系和安全技术体系为支撑的信息安全体系，实现安全建设的预期目标。</w:t>
      </w:r>
      <w:r/>
    </w:p>
    <w:p>
      <w:pPr>
        <w:pStyle w:val="734"/>
        <w:ind w:firstLine="420"/>
        <w:spacing w:line="360" w:lineRule="auto"/>
        <w:rPr>
          <w:color w:val="000000"/>
        </w:rPr>
      </w:pPr>
      <w:r>
        <w:rPr>
          <w:rFonts w:hint="eastAsia"/>
          <w:color w:val="000000"/>
        </w:rPr>
        <w:t xml:space="preserve">该项目</w:t>
      </w:r>
      <w:r>
        <w:rPr>
          <w:color w:val="000000"/>
        </w:rPr>
        <w:t xml:space="preserve">主要包括以下几个方面建设内容：</w:t>
      </w:r>
      <w:r>
        <w:rPr>
          <w:rFonts w:hint="eastAsia"/>
          <w:color w:val="000000"/>
        </w:rPr>
        <w:t xml:space="preserve">数字孪生智能中枢</w:t>
      </w:r>
      <w:r>
        <w:rPr>
          <w:color w:val="000000"/>
        </w:rPr>
        <w:t xml:space="preserve">建设、</w:t>
      </w:r>
      <w:r>
        <w:rPr>
          <w:rFonts w:hint="eastAsia"/>
          <w:color w:val="000000"/>
        </w:rPr>
        <w:t xml:space="preserve">水环境综合监测监管系统建设、太湖监测预警管理系统建设、太湖安全度夏指挥管理系统建设、太湖治理重点项目管理系统建设、移动应用开发</w:t>
      </w:r>
      <w:r>
        <w:rPr>
          <w:color w:val="000000"/>
        </w:rPr>
        <w:t xml:space="preserve">、网络安全系统建设</w:t>
      </w:r>
      <w:r>
        <w:rPr>
          <w:rFonts w:hint="eastAsia"/>
          <w:color w:val="000000"/>
        </w:rPr>
        <w:t xml:space="preserve">、卫星遥感服务以及系统集成服务</w:t>
      </w:r>
      <w:r>
        <w:rPr>
          <w:color w:val="000000"/>
        </w:rPr>
        <w:t xml:space="preserve">。</w:t>
      </w:r>
      <w:r/>
    </w:p>
    <w:p>
      <w:pPr>
        <w:pStyle w:val="741"/>
        <w:rPr>
          <w:rFonts w:ascii="宋体" w:hAnsi="宋体" w:cs="宋体"/>
          <w:i/>
          <w:iCs/>
          <w:color w:val="000000"/>
        </w:rPr>
      </w:pPr>
      <w:r>
        <w:rPr>
          <w:rFonts w:hint="eastAsia" w:ascii="宋体" w:hAnsi="宋体" w:cs="宋体"/>
          <w:color w:val="000000"/>
        </w:rPr>
        <w:t xml:space="preserve">1.2.1 项目采购清单</w:t>
      </w:r>
      <w:r>
        <w:rPr>
          <w:rFonts w:ascii="宋体" w:hAnsi="宋体" w:cs="宋体"/>
          <w:i/>
          <w:iCs/>
          <w:color w:val="000000"/>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979"/>
        <w:gridCol w:w="3331"/>
        <w:gridCol w:w="937"/>
        <w:gridCol w:w="975"/>
      </w:tblGrid>
      <w:tr>
        <w:trPr>
          <w:trHeight w:val="600"/>
        </w:trPr>
        <w:tc>
          <w:tcPr>
            <w:tcW w:w="515" w:type="pct"/>
            <w:vAlign w:val="center"/>
            <w:textDirection w:val="lrTb"/>
            <w:noWrap w:val="false"/>
          </w:tcPr>
          <w:p>
            <w:pPr>
              <w:pStyle w:val="852"/>
              <w:jc w:val="center"/>
              <w:rPr>
                <w:color w:val="000000"/>
              </w:rPr>
            </w:pPr>
            <w:r>
              <w:rPr>
                <w:rFonts w:hint="eastAsia"/>
                <w:color w:val="000000"/>
              </w:rPr>
              <w:t xml:space="preserve">序号</w:t>
            </w:r>
            <w:r>
              <w:rPr>
                <w:color w:val="000000"/>
              </w:rPr>
            </w:r>
            <w:r/>
          </w:p>
        </w:tc>
        <w:tc>
          <w:tcPr>
            <w:tcW w:w="1625" w:type="pct"/>
            <w:vAlign w:val="center"/>
            <w:textDirection w:val="lrTb"/>
            <w:noWrap w:val="false"/>
          </w:tcPr>
          <w:p>
            <w:pPr>
              <w:pStyle w:val="852"/>
              <w:jc w:val="center"/>
              <w:rPr>
                <w:color w:val="000000"/>
              </w:rPr>
            </w:pPr>
            <w:r>
              <w:rPr>
                <w:rFonts w:hint="eastAsia"/>
                <w:color w:val="000000"/>
              </w:rPr>
              <w:t xml:space="preserve">名称</w:t>
            </w:r>
            <w:r>
              <w:rPr>
                <w:color w:val="000000"/>
              </w:rPr>
            </w:r>
            <w:r/>
          </w:p>
        </w:tc>
        <w:tc>
          <w:tcPr>
            <w:tcW w:w="1817" w:type="pct"/>
            <w:vAlign w:val="center"/>
            <w:textDirection w:val="lrTb"/>
            <w:noWrap w:val="false"/>
          </w:tcPr>
          <w:p>
            <w:pPr>
              <w:pStyle w:val="852"/>
              <w:jc w:val="center"/>
              <w:rPr>
                <w:color w:val="000000"/>
              </w:rPr>
            </w:pPr>
            <w:r>
              <w:rPr>
                <w:rFonts w:hint="eastAsia"/>
                <w:color w:val="000000"/>
              </w:rPr>
              <w:t xml:space="preserve">性能指标</w:t>
            </w:r>
            <w:r>
              <w:rPr>
                <w:color w:val="000000"/>
              </w:rPr>
            </w:r>
            <w:r/>
          </w:p>
        </w:tc>
        <w:tc>
          <w:tcPr>
            <w:tcW w:w="511" w:type="pct"/>
            <w:vAlign w:val="center"/>
            <w:textDirection w:val="lrTb"/>
            <w:noWrap w:val="false"/>
          </w:tcPr>
          <w:p>
            <w:pPr>
              <w:pStyle w:val="852"/>
              <w:jc w:val="center"/>
              <w:rPr>
                <w:color w:val="000000"/>
              </w:rPr>
            </w:pPr>
            <w:r>
              <w:rPr>
                <w:rFonts w:hint="eastAsia"/>
                <w:color w:val="000000"/>
              </w:rPr>
              <w:t xml:space="preserve">数量</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单位</w:t>
            </w:r>
            <w:r>
              <w:rPr>
                <w:color w:val="000000"/>
              </w:rPr>
            </w:r>
            <w:r/>
          </w:p>
        </w:tc>
      </w:tr>
      <w:tr>
        <w:trPr>
          <w:trHeight w:val="480"/>
        </w:trPr>
        <w:tc>
          <w:tcPr>
            <w:gridSpan w:val="5"/>
            <w:tcW w:w="5000" w:type="pct"/>
            <w:vAlign w:val="center"/>
            <w:textDirection w:val="lrTb"/>
            <w:noWrap w:val="false"/>
          </w:tcPr>
          <w:p>
            <w:pPr>
              <w:pStyle w:val="852"/>
              <w:rPr>
                <w:color w:val="000000"/>
              </w:rPr>
            </w:pPr>
            <w:r>
              <w:rPr>
                <w:rFonts w:hint="eastAsia"/>
                <w:b/>
                <w:bCs/>
                <w:color w:val="000000"/>
              </w:rPr>
              <w:t xml:space="preserve">一、服务类</w:t>
            </w:r>
            <w:r>
              <w:rPr>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1</w:t>
            </w:r>
            <w:r>
              <w:rPr>
                <w:b/>
                <w:bCs/>
                <w:color w:val="000000"/>
              </w:rPr>
            </w:r>
            <w:r/>
          </w:p>
        </w:tc>
        <w:tc>
          <w:tcPr>
            <w:gridSpan w:val="4"/>
            <w:tcW w:w="4484" w:type="pct"/>
            <w:vAlign w:val="center"/>
            <w:textDirection w:val="lrTb"/>
            <w:noWrap w:val="false"/>
          </w:tcPr>
          <w:p>
            <w:pPr>
              <w:pStyle w:val="852"/>
              <w:rPr>
                <w:b/>
                <w:bCs/>
                <w:color w:val="000000"/>
              </w:rPr>
            </w:pPr>
            <w:r>
              <w:rPr>
                <w:rFonts w:hint="eastAsia"/>
                <w:b/>
                <w:bCs/>
                <w:color w:val="000000"/>
              </w:rPr>
              <w:t xml:space="preserve">数字孪生智能中枢</w:t>
            </w:r>
            <w:r>
              <w:rPr>
                <w:b/>
                <w:bCs/>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.1</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大数据资源中心</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.2</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物联网感知管理</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color w:val="000000"/>
              </w:rPr>
              <w:t xml:space="preserve">1.3</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业务模型管理</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.4</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智库调度引擎</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.5</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数字孪生引擎</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.6</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基础信息管理</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.7</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采运测管理</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t xml:space="preserve">.8</w:t>
            </w:r>
            <w:r/>
          </w:p>
        </w:tc>
        <w:tc>
          <w:tcPr>
            <w:tcW w:w="1625" w:type="pct"/>
            <w:vAlign w:val="center"/>
            <w:textDirection w:val="lrTb"/>
            <w:noWrap w:val="false"/>
          </w:tcPr>
          <w:p>
            <w:pPr>
              <w:pStyle w:val="734"/>
              <w:jc w:val="left"/>
              <w:widowControl/>
              <w:rPr>
                <w:rFonts w:ascii="宋体" w:hAnsi="宋体" w:cs="宋体"/>
                <w:color w:val="000000"/>
              </w:rPr>
            </w:pPr>
            <w:r>
              <w:rPr>
                <w:rFonts w:hint="eastAsia" w:ascii="宋体" w:hAnsi="宋体" w:cs="宋体"/>
                <w:color w:val="000000"/>
              </w:rPr>
              <w:t xml:space="preserve">数字孪生可视化系统</w:t>
            </w:r>
            <w:r>
              <w:rPr>
                <w:rFonts w:ascii="宋体" w:hAnsi="宋体" w:cs="宋体"/>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2</w:t>
            </w:r>
            <w:r>
              <w:rPr>
                <w:b/>
                <w:bCs/>
                <w:color w:val="000000"/>
              </w:rPr>
            </w:r>
            <w:r/>
          </w:p>
        </w:tc>
        <w:tc>
          <w:tcPr>
            <w:gridSpan w:val="4"/>
            <w:tcW w:w="4484" w:type="pct"/>
            <w:vAlign w:val="center"/>
            <w:textDirection w:val="lrTb"/>
            <w:noWrap w:val="false"/>
          </w:tcPr>
          <w:p>
            <w:pPr>
              <w:pStyle w:val="852"/>
              <w:rPr>
                <w:b/>
                <w:bCs/>
                <w:color w:val="000000"/>
              </w:rPr>
            </w:pPr>
            <w:r>
              <w:rPr>
                <w:rFonts w:hint="eastAsia"/>
                <w:b/>
                <w:bCs/>
                <w:color w:val="000000"/>
              </w:rPr>
              <w:t xml:space="preserve">水环境综合监测监管系统</w:t>
            </w:r>
            <w:r>
              <w:rPr>
                <w:b/>
                <w:bCs/>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t xml:space="preserve">.1</w:t>
            </w:r>
            <w:r/>
          </w:p>
        </w:tc>
        <w:tc>
          <w:tcPr>
            <w:tcW w:w="1625" w:type="pct"/>
            <w:vAlign w:val="center"/>
            <w:textDirection w:val="lrTb"/>
            <w:noWrap w:val="false"/>
          </w:tcPr>
          <w:p>
            <w:pPr>
              <w:pStyle w:val="852"/>
              <w:rPr>
                <w:color w:val="000000"/>
              </w:rPr>
            </w:pPr>
            <w:r>
              <w:rPr>
                <w:rFonts w:hint="eastAsia"/>
                <w:color w:val="000000"/>
              </w:rPr>
              <w:t xml:space="preserve">水环境监测管理系统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t xml:space="preserve">.2</w:t>
            </w:r>
            <w:r/>
          </w:p>
        </w:tc>
        <w:tc>
          <w:tcPr>
            <w:tcW w:w="1625" w:type="pct"/>
            <w:vAlign w:val="center"/>
            <w:textDirection w:val="lrTb"/>
            <w:noWrap w:val="false"/>
          </w:tcPr>
          <w:p>
            <w:pPr>
              <w:pStyle w:val="852"/>
              <w:rPr>
                <w:color w:val="000000"/>
              </w:rPr>
            </w:pPr>
            <w:r>
              <w:rPr>
                <w:rFonts w:hint="eastAsia"/>
                <w:color w:val="000000"/>
              </w:rPr>
              <w:t xml:space="preserve">水生态监测系统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t xml:space="preserve">.3</w:t>
            </w:r>
            <w:r/>
          </w:p>
        </w:tc>
        <w:tc>
          <w:tcPr>
            <w:tcW w:w="1625" w:type="pct"/>
            <w:vAlign w:val="center"/>
            <w:textDirection w:val="lrTb"/>
            <w:noWrap w:val="false"/>
          </w:tcPr>
          <w:p>
            <w:pPr>
              <w:pStyle w:val="852"/>
              <w:rPr>
                <w:color w:val="000000"/>
              </w:rPr>
            </w:pPr>
            <w:r>
              <w:rPr>
                <w:rFonts w:hint="eastAsia"/>
                <w:color w:val="000000"/>
              </w:rPr>
              <w:t xml:space="preserve">水资源综合监管系统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t xml:space="preserve">.4</w:t>
            </w:r>
            <w:r/>
          </w:p>
        </w:tc>
        <w:tc>
          <w:tcPr>
            <w:tcW w:w="1625" w:type="pct"/>
            <w:vAlign w:val="center"/>
            <w:textDirection w:val="lrTb"/>
            <w:noWrap w:val="false"/>
          </w:tcPr>
          <w:p>
            <w:pPr>
              <w:pStyle w:val="852"/>
              <w:rPr>
                <w:color w:val="000000"/>
              </w:rPr>
            </w:pPr>
            <w:r>
              <w:rPr>
                <w:rFonts w:hint="eastAsia"/>
                <w:color w:val="000000"/>
              </w:rPr>
              <w:t xml:space="preserve">水安全保障系统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t xml:space="preserve">.5</w:t>
            </w:r>
            <w:r/>
          </w:p>
        </w:tc>
        <w:tc>
          <w:tcPr>
            <w:tcW w:w="1625" w:type="pct"/>
            <w:vAlign w:val="center"/>
            <w:textDirection w:val="lrTb"/>
            <w:noWrap w:val="false"/>
          </w:tcPr>
          <w:p>
            <w:pPr>
              <w:pStyle w:val="852"/>
              <w:rPr>
                <w:color w:val="000000"/>
              </w:rPr>
            </w:pPr>
            <w:r>
              <w:rPr>
                <w:rFonts w:hint="eastAsia"/>
                <w:color w:val="000000"/>
              </w:rPr>
              <w:t xml:space="preserve">水文化保护与传承系统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3</w:t>
            </w:r>
            <w:r>
              <w:rPr>
                <w:b/>
                <w:bCs/>
                <w:color w:val="000000"/>
              </w:rPr>
            </w:r>
            <w:r/>
          </w:p>
        </w:tc>
        <w:tc>
          <w:tcPr>
            <w:tcW w:w="1625" w:type="pct"/>
            <w:vAlign w:val="center"/>
            <w:textDirection w:val="lrTb"/>
            <w:noWrap w:val="false"/>
          </w:tcPr>
          <w:p>
            <w:pPr>
              <w:pStyle w:val="852"/>
              <w:rPr>
                <w:b/>
                <w:bCs/>
                <w:color w:val="000000"/>
              </w:rPr>
            </w:pPr>
            <w:r>
              <w:rPr>
                <w:rFonts w:hint="eastAsia"/>
                <w:b/>
                <w:bCs/>
                <w:color w:val="000000"/>
              </w:rPr>
              <w:t xml:space="preserve">太湖监测预警管理系统</w:t>
            </w:r>
            <w:r>
              <w:rPr>
                <w:b/>
                <w:bCs/>
                <w:color w:val="000000"/>
              </w:rPr>
            </w:r>
            <w:r/>
          </w:p>
        </w:tc>
        <w:tc>
          <w:tcPr>
            <w:tcW w:w="1817" w:type="pct"/>
            <w:vAlign w:val="center"/>
            <w:textDirection w:val="lrTb"/>
            <w:noWrap w:val="false"/>
          </w:tcPr>
          <w:p>
            <w:pPr>
              <w:pStyle w:val="852"/>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852"/>
              <w:jc w:val="center"/>
              <w:rPr>
                <w:b/>
                <w:bCs/>
                <w:color w:val="000000"/>
              </w:rPr>
            </w:pPr>
            <w:r>
              <w:rPr>
                <w:rFonts w:hint="eastAsia"/>
                <w:b/>
                <w:bCs/>
                <w:color w:val="000000"/>
              </w:rPr>
              <w:t xml:space="preserve">1</w:t>
            </w:r>
            <w:r>
              <w:rPr>
                <w:b/>
                <w:bCs/>
                <w:color w:val="000000"/>
              </w:rPr>
            </w:r>
            <w:r/>
          </w:p>
        </w:tc>
        <w:tc>
          <w:tcPr>
            <w:tcW w:w="531" w:type="pct"/>
            <w:vAlign w:val="center"/>
            <w:textDirection w:val="lrTb"/>
            <w:noWrap w:val="false"/>
          </w:tcPr>
          <w:p>
            <w:pPr>
              <w:pStyle w:val="852"/>
              <w:jc w:val="center"/>
              <w:rPr>
                <w:b/>
                <w:bCs/>
                <w:color w:val="000000"/>
              </w:rPr>
            </w:pPr>
            <w:r>
              <w:rPr>
                <w:rFonts w:hint="eastAsia"/>
                <w:b/>
                <w:bCs/>
                <w:color w:val="000000"/>
              </w:rPr>
              <w:t xml:space="preserve">套</w:t>
            </w:r>
            <w:r>
              <w:rPr>
                <w:b/>
                <w:bCs/>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4</w:t>
            </w:r>
            <w:r>
              <w:rPr>
                <w:b/>
                <w:bCs/>
                <w:color w:val="000000"/>
              </w:rPr>
            </w:r>
            <w:r/>
          </w:p>
        </w:tc>
        <w:tc>
          <w:tcPr>
            <w:gridSpan w:val="4"/>
            <w:tcW w:w="4484" w:type="pct"/>
            <w:vAlign w:val="center"/>
            <w:textDirection w:val="lrTb"/>
            <w:noWrap w:val="false"/>
          </w:tcPr>
          <w:p>
            <w:pPr>
              <w:pStyle w:val="852"/>
              <w:rPr>
                <w:b/>
                <w:bCs/>
                <w:color w:val="000000"/>
              </w:rPr>
            </w:pPr>
            <w:r>
              <w:rPr>
                <w:rFonts w:hint="eastAsia"/>
                <w:b/>
                <w:bCs/>
                <w:color w:val="000000"/>
              </w:rPr>
              <w:t xml:space="preserve">太湖安全度夏指挥管理系统</w:t>
            </w:r>
            <w:r>
              <w:rPr>
                <w:b/>
                <w:bCs/>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4</w:t>
            </w:r>
            <w:r>
              <w:rPr>
                <w:color w:val="000000"/>
              </w:rPr>
              <w:t xml:space="preserve">.1</w:t>
            </w:r>
            <w:r/>
          </w:p>
        </w:tc>
        <w:tc>
          <w:tcPr>
            <w:tcW w:w="1625" w:type="pct"/>
            <w:vAlign w:val="center"/>
            <w:textDirection w:val="lrTb"/>
            <w:noWrap w:val="false"/>
          </w:tcPr>
          <w:p>
            <w:pPr>
              <w:pStyle w:val="852"/>
              <w:rPr>
                <w:color w:val="000000"/>
              </w:rPr>
            </w:pPr>
            <w:r>
              <w:rPr>
                <w:rFonts w:hint="eastAsia"/>
                <w:color w:val="000000"/>
              </w:rPr>
              <w:t xml:space="preserve">太湖安全度夏指挥调度系统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4</w:t>
            </w:r>
            <w:r>
              <w:rPr>
                <w:color w:val="000000"/>
              </w:rPr>
              <w:t xml:space="preserve">.2</w:t>
            </w:r>
            <w:r/>
          </w:p>
        </w:tc>
        <w:tc>
          <w:tcPr>
            <w:tcW w:w="1625" w:type="pct"/>
            <w:vAlign w:val="center"/>
            <w:textDirection w:val="lrTb"/>
            <w:noWrap w:val="false"/>
          </w:tcPr>
          <w:p>
            <w:pPr>
              <w:pStyle w:val="852"/>
              <w:rPr>
                <w:color w:val="000000"/>
              </w:rPr>
            </w:pPr>
            <w:r>
              <w:rPr>
                <w:rFonts w:hint="eastAsia"/>
                <w:color w:val="000000"/>
              </w:rPr>
              <w:t xml:space="preserve">蓝藻全流程管理系统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5</w:t>
            </w:r>
            <w:r>
              <w:rPr>
                <w:b/>
                <w:bCs/>
                <w:color w:val="000000"/>
              </w:rPr>
            </w:r>
            <w:r/>
          </w:p>
        </w:tc>
        <w:tc>
          <w:tcPr>
            <w:tcW w:w="1625" w:type="pct"/>
            <w:vAlign w:val="center"/>
            <w:textDirection w:val="lrTb"/>
            <w:noWrap w:val="false"/>
          </w:tcPr>
          <w:p>
            <w:pPr>
              <w:pStyle w:val="852"/>
              <w:rPr>
                <w:b/>
                <w:bCs/>
                <w:color w:val="000000"/>
              </w:rPr>
            </w:pPr>
            <w:r>
              <w:rPr>
                <w:rFonts w:hint="eastAsia"/>
                <w:b/>
                <w:bCs/>
                <w:color w:val="000000"/>
              </w:rPr>
              <w:t xml:space="preserve">太湖治理重点项目管理系统</w:t>
            </w:r>
            <w:r>
              <w:rPr>
                <w:b/>
                <w:bCs/>
                <w:color w:val="000000"/>
              </w:rPr>
            </w:r>
            <w:r/>
          </w:p>
        </w:tc>
        <w:tc>
          <w:tcPr>
            <w:tcW w:w="1817" w:type="pct"/>
            <w:vAlign w:val="center"/>
            <w:textDirection w:val="lrTb"/>
            <w:noWrap w:val="false"/>
          </w:tcPr>
          <w:p>
            <w:pPr>
              <w:pStyle w:val="852"/>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852"/>
              <w:jc w:val="center"/>
              <w:rPr>
                <w:b/>
                <w:bCs/>
                <w:color w:val="000000"/>
              </w:rPr>
            </w:pPr>
            <w:r>
              <w:rPr>
                <w:rFonts w:hint="eastAsia"/>
                <w:b/>
                <w:bCs/>
                <w:color w:val="000000"/>
              </w:rPr>
              <w:t xml:space="preserve">1</w:t>
            </w:r>
            <w:r>
              <w:rPr>
                <w:b/>
                <w:bCs/>
                <w:color w:val="000000"/>
              </w:rPr>
            </w:r>
            <w:r/>
          </w:p>
        </w:tc>
        <w:tc>
          <w:tcPr>
            <w:tcW w:w="531" w:type="pct"/>
            <w:vAlign w:val="center"/>
            <w:textDirection w:val="lrTb"/>
            <w:noWrap w:val="false"/>
          </w:tcPr>
          <w:p>
            <w:pPr>
              <w:pStyle w:val="852"/>
              <w:jc w:val="center"/>
              <w:rPr>
                <w:b/>
                <w:bCs/>
                <w:color w:val="000000"/>
              </w:rPr>
            </w:pPr>
            <w:r>
              <w:rPr>
                <w:rFonts w:hint="eastAsia"/>
                <w:b/>
                <w:bCs/>
                <w:color w:val="000000"/>
              </w:rPr>
              <w:t xml:space="preserve">套</w:t>
            </w:r>
            <w:r>
              <w:rPr>
                <w:b/>
                <w:bCs/>
                <w:color w:val="000000"/>
              </w:rPr>
            </w:r>
            <w:r/>
          </w:p>
        </w:tc>
      </w:tr>
      <w:tr>
        <w:trPr>
          <w:trHeight w:val="480"/>
        </w:trPr>
        <w:tc>
          <w:tcPr>
            <w:tcW w:w="515" w:type="pct"/>
            <w:vAlign w:val="center"/>
            <w:textDirection w:val="lrTb"/>
            <w:noWrap w:val="false"/>
          </w:tcPr>
          <w:p>
            <w:pPr>
              <w:pStyle w:val="852"/>
              <w:jc w:val="center"/>
              <w:rPr>
                <w:b/>
                <w:bCs/>
                <w:color w:val="000000"/>
              </w:rPr>
            </w:pPr>
            <w:r>
              <w:rPr>
                <w:b/>
                <w:bCs/>
                <w:color w:val="000000"/>
              </w:rPr>
              <w:t xml:space="preserve">6</w:t>
            </w:r>
            <w:r/>
          </w:p>
        </w:tc>
        <w:tc>
          <w:tcPr>
            <w:gridSpan w:val="4"/>
            <w:tcW w:w="4484" w:type="pct"/>
            <w:vAlign w:val="center"/>
            <w:textDirection w:val="lrTb"/>
            <w:noWrap w:val="false"/>
          </w:tcPr>
          <w:p>
            <w:pPr>
              <w:pStyle w:val="852"/>
              <w:rPr>
                <w:b/>
                <w:bCs/>
                <w:color w:val="000000"/>
              </w:rPr>
            </w:pPr>
            <w:r>
              <w:rPr>
                <w:rFonts w:hint="eastAsia"/>
                <w:b/>
                <w:bCs/>
                <w:color w:val="000000"/>
              </w:rPr>
              <w:t xml:space="preserve">移动应用开发</w:t>
            </w:r>
            <w:r>
              <w:rPr>
                <w:b/>
                <w:bCs/>
                <w:color w:val="000000"/>
              </w:rPr>
            </w:r>
            <w:r/>
          </w:p>
        </w:tc>
      </w:tr>
      <w:tr>
        <w:trPr>
          <w:trHeight w:val="480"/>
        </w:trPr>
        <w:tc>
          <w:tcPr>
            <w:tcW w:w="515" w:type="pct"/>
            <w:vAlign w:val="center"/>
            <w:textDirection w:val="lrTb"/>
            <w:noWrap w:val="false"/>
          </w:tcPr>
          <w:p>
            <w:pPr>
              <w:pStyle w:val="852"/>
              <w:jc w:val="center"/>
              <w:rPr>
                <w:color w:val="000000"/>
              </w:rPr>
            </w:pPr>
            <w:r>
              <w:rPr>
                <w:color w:val="000000"/>
              </w:rPr>
              <w:t xml:space="preserve">6.1</w:t>
            </w:r>
            <w:r/>
          </w:p>
        </w:tc>
        <w:tc>
          <w:tcPr>
            <w:tcW w:w="1625" w:type="pct"/>
            <w:vAlign w:val="center"/>
            <w:textDirection w:val="lrTb"/>
            <w:noWrap w:val="false"/>
          </w:tcPr>
          <w:p>
            <w:pPr>
              <w:pStyle w:val="852"/>
              <w:rPr>
                <w:color w:val="000000"/>
              </w:rPr>
            </w:pPr>
            <w:r>
              <w:rPr>
                <w:rFonts w:hint="eastAsia"/>
                <w:color w:val="000000"/>
              </w:rPr>
              <w:t xml:space="preserve">消息通知</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6</w:t>
            </w:r>
            <w:r>
              <w:rPr>
                <w:color w:val="000000"/>
              </w:rPr>
              <w:t xml:space="preserve">.2</w:t>
            </w:r>
            <w:r/>
          </w:p>
        </w:tc>
        <w:tc>
          <w:tcPr>
            <w:tcW w:w="1625" w:type="pct"/>
            <w:vAlign w:val="center"/>
            <w:textDirection w:val="lrTb"/>
            <w:noWrap w:val="false"/>
          </w:tcPr>
          <w:p>
            <w:pPr>
              <w:pStyle w:val="852"/>
              <w:rPr>
                <w:color w:val="000000"/>
              </w:rPr>
            </w:pPr>
            <w:r>
              <w:rPr>
                <w:rFonts w:hint="eastAsia"/>
                <w:color w:val="000000"/>
              </w:rPr>
              <w:t xml:space="preserve">任务管理</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6</w:t>
            </w:r>
            <w:r>
              <w:rPr>
                <w:color w:val="000000"/>
              </w:rPr>
              <w:t xml:space="preserve">.3</w:t>
            </w:r>
            <w:r/>
          </w:p>
        </w:tc>
        <w:tc>
          <w:tcPr>
            <w:tcW w:w="1625" w:type="pct"/>
            <w:vAlign w:val="center"/>
            <w:textDirection w:val="lrTb"/>
            <w:noWrap w:val="false"/>
          </w:tcPr>
          <w:p>
            <w:pPr>
              <w:pStyle w:val="852"/>
              <w:rPr>
                <w:color w:val="000000"/>
              </w:rPr>
            </w:pPr>
            <w:r>
              <w:rPr>
                <w:rFonts w:hint="eastAsia"/>
                <w:color w:val="000000"/>
              </w:rPr>
              <w:t xml:space="preserve">业务应用</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6</w:t>
            </w:r>
            <w:r>
              <w:rPr>
                <w:color w:val="000000"/>
              </w:rPr>
              <w:t xml:space="preserve">.4</w:t>
            </w:r>
            <w:r/>
          </w:p>
        </w:tc>
        <w:tc>
          <w:tcPr>
            <w:tcW w:w="1625" w:type="pct"/>
            <w:vAlign w:val="center"/>
            <w:textDirection w:val="lrTb"/>
            <w:noWrap w:val="false"/>
          </w:tcPr>
          <w:p>
            <w:pPr>
              <w:pStyle w:val="852"/>
              <w:rPr>
                <w:color w:val="000000"/>
              </w:rPr>
            </w:pPr>
            <w:r>
              <w:rPr>
                <w:rFonts w:hint="eastAsia"/>
                <w:color w:val="000000"/>
              </w:rPr>
              <w:t xml:space="preserve">移动知识库</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6</w:t>
            </w:r>
            <w:r>
              <w:rPr>
                <w:color w:val="000000"/>
              </w:rPr>
              <w:t xml:space="preserve">.5</w:t>
            </w:r>
            <w:r/>
          </w:p>
        </w:tc>
        <w:tc>
          <w:tcPr>
            <w:tcW w:w="1625" w:type="pct"/>
            <w:vAlign w:val="center"/>
            <w:textDirection w:val="lrTb"/>
            <w:noWrap w:val="false"/>
          </w:tcPr>
          <w:p>
            <w:pPr>
              <w:pStyle w:val="852"/>
              <w:rPr>
                <w:color w:val="000000"/>
              </w:rPr>
            </w:pPr>
            <w:r>
              <w:rPr>
                <w:rFonts w:hint="eastAsia"/>
                <w:color w:val="000000"/>
              </w:rPr>
              <w:t xml:space="preserve">个人中心</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color w:val="000000"/>
              </w:rPr>
            </w:pPr>
            <w:r>
              <w:rPr>
                <w:rFonts w:hint="eastAsia"/>
                <w:color w:val="000000"/>
              </w:rPr>
              <w:t xml:space="preserve">6</w:t>
            </w:r>
            <w:r>
              <w:rPr>
                <w:color w:val="000000"/>
              </w:rPr>
              <w:t xml:space="preserve">.6</w:t>
            </w:r>
            <w:r/>
          </w:p>
        </w:tc>
        <w:tc>
          <w:tcPr>
            <w:tcW w:w="1625" w:type="pct"/>
            <w:vAlign w:val="center"/>
            <w:textDirection w:val="lrTb"/>
            <w:noWrap w:val="false"/>
          </w:tcPr>
          <w:p>
            <w:pPr>
              <w:pStyle w:val="852"/>
              <w:rPr>
                <w:color w:val="000000"/>
              </w:rPr>
            </w:pPr>
            <w:r>
              <w:rPr>
                <w:rFonts w:hint="eastAsia"/>
                <w:color w:val="000000"/>
              </w:rPr>
              <w:t xml:space="preserve">系统管理</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7</w:t>
            </w:r>
            <w:r>
              <w:rPr>
                <w:b/>
                <w:bCs/>
                <w:color w:val="000000"/>
              </w:rPr>
            </w:r>
            <w:r/>
          </w:p>
        </w:tc>
        <w:tc>
          <w:tcPr>
            <w:tcW w:w="1625" w:type="pct"/>
            <w:vAlign w:val="center"/>
            <w:textDirection w:val="lrTb"/>
            <w:noWrap w:val="false"/>
          </w:tcPr>
          <w:p>
            <w:pPr>
              <w:pStyle w:val="852"/>
              <w:rPr>
                <w:b/>
                <w:bCs/>
                <w:color w:val="000000"/>
              </w:rPr>
            </w:pPr>
            <w:r>
              <w:rPr>
                <w:rFonts w:hint="eastAsia"/>
                <w:b/>
                <w:bCs/>
                <w:color w:val="000000"/>
              </w:rPr>
              <w:t xml:space="preserve">软件集成</w:t>
            </w:r>
            <w:r>
              <w:rPr>
                <w:b/>
                <w:bCs/>
                <w:color w:val="000000"/>
              </w:rPr>
            </w:r>
            <w:r/>
          </w:p>
        </w:tc>
        <w:tc>
          <w:tcPr>
            <w:tcW w:w="1817" w:type="pct"/>
            <w:vAlign w:val="center"/>
            <w:textDirection w:val="lrTb"/>
            <w:noWrap w:val="false"/>
          </w:tcPr>
          <w:p>
            <w:pPr>
              <w:pStyle w:val="852"/>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852"/>
              <w:jc w:val="center"/>
              <w:rPr>
                <w:b/>
                <w:bCs/>
                <w:color w:val="000000"/>
              </w:rPr>
            </w:pPr>
            <w:r>
              <w:rPr>
                <w:rFonts w:hint="eastAsia"/>
                <w:b/>
                <w:bCs/>
                <w:color w:val="000000"/>
              </w:rPr>
              <w:t xml:space="preserve">1</w:t>
            </w:r>
            <w:r>
              <w:rPr>
                <w:b/>
                <w:bCs/>
                <w:color w:val="000000"/>
              </w:rPr>
            </w:r>
            <w:r/>
          </w:p>
        </w:tc>
        <w:tc>
          <w:tcPr>
            <w:tcW w:w="531" w:type="pct"/>
            <w:vAlign w:val="center"/>
            <w:textDirection w:val="lrTb"/>
            <w:noWrap w:val="false"/>
          </w:tcPr>
          <w:p>
            <w:pPr>
              <w:pStyle w:val="852"/>
              <w:jc w:val="center"/>
              <w:rPr>
                <w:b/>
                <w:bCs/>
                <w:color w:val="000000"/>
              </w:rPr>
            </w:pPr>
            <w:r>
              <w:rPr>
                <w:rFonts w:hint="eastAsia"/>
                <w:b/>
                <w:bCs/>
                <w:color w:val="000000"/>
              </w:rPr>
              <w:t xml:space="preserve">套</w:t>
            </w:r>
            <w:r>
              <w:rPr>
                <w:b/>
                <w:bCs/>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8</w:t>
            </w:r>
            <w:r>
              <w:rPr>
                <w:b/>
                <w:bCs/>
                <w:color w:val="000000"/>
              </w:rPr>
            </w:r>
            <w:r/>
          </w:p>
        </w:tc>
        <w:tc>
          <w:tcPr>
            <w:tcW w:w="1625" w:type="pct"/>
            <w:vAlign w:val="center"/>
            <w:textDirection w:val="lrTb"/>
            <w:noWrap w:val="false"/>
          </w:tcPr>
          <w:p>
            <w:pPr>
              <w:pStyle w:val="852"/>
              <w:rPr>
                <w:b/>
                <w:bCs/>
                <w:color w:val="000000"/>
              </w:rPr>
            </w:pPr>
            <w:r>
              <w:rPr>
                <w:rFonts w:hint="eastAsia"/>
                <w:b/>
                <w:bCs/>
                <w:color w:val="000000"/>
              </w:rPr>
              <w:t xml:space="preserve">卫星遥感服务</w:t>
            </w:r>
            <w:r>
              <w:rPr>
                <w:b/>
                <w:bCs/>
                <w:color w:val="000000"/>
              </w:rPr>
            </w:r>
            <w:r/>
          </w:p>
        </w:tc>
        <w:tc>
          <w:tcPr>
            <w:tcW w:w="1817" w:type="pct"/>
            <w:vAlign w:val="center"/>
            <w:textDirection w:val="lrTb"/>
            <w:noWrap w:val="false"/>
          </w:tcPr>
          <w:p>
            <w:pPr>
              <w:pStyle w:val="852"/>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852"/>
              <w:jc w:val="center"/>
              <w:rPr>
                <w:b/>
                <w:bCs/>
                <w:color w:val="000000"/>
              </w:rPr>
            </w:pPr>
            <w:r>
              <w:rPr>
                <w:rFonts w:hint="eastAsia"/>
                <w:b/>
                <w:bCs/>
                <w:color w:val="000000"/>
              </w:rPr>
              <w:t xml:space="preserve">1</w:t>
            </w:r>
            <w:r>
              <w:rPr>
                <w:b/>
                <w:bCs/>
                <w:color w:val="000000"/>
              </w:rPr>
            </w:r>
            <w:r/>
          </w:p>
        </w:tc>
        <w:tc>
          <w:tcPr>
            <w:tcW w:w="531" w:type="pct"/>
            <w:vAlign w:val="center"/>
            <w:textDirection w:val="lrTb"/>
            <w:noWrap w:val="false"/>
          </w:tcPr>
          <w:p>
            <w:pPr>
              <w:pStyle w:val="852"/>
              <w:jc w:val="center"/>
              <w:rPr>
                <w:b/>
                <w:bCs/>
                <w:color w:val="000000"/>
              </w:rPr>
            </w:pPr>
            <w:r>
              <w:rPr>
                <w:rFonts w:hint="eastAsia"/>
                <w:b/>
                <w:bCs/>
                <w:color w:val="000000"/>
              </w:rPr>
              <w:t xml:space="preserve">年</w:t>
            </w:r>
            <w:r>
              <w:rPr>
                <w:b/>
                <w:bCs/>
                <w:color w:val="000000"/>
              </w:rPr>
            </w:r>
            <w:r/>
          </w:p>
        </w:tc>
      </w:tr>
      <w:tr>
        <w:trPr>
          <w:trHeight w:val="480"/>
        </w:trPr>
        <w:tc>
          <w:tcPr>
            <w:tcW w:w="515" w:type="pct"/>
            <w:vAlign w:val="center"/>
            <w:textDirection w:val="lrTb"/>
            <w:noWrap w:val="false"/>
          </w:tcPr>
          <w:p>
            <w:pPr>
              <w:pStyle w:val="852"/>
              <w:jc w:val="center"/>
              <w:rPr>
                <w:b/>
                <w:bCs/>
                <w:color w:val="000000"/>
              </w:rPr>
            </w:pPr>
            <w:r>
              <w:rPr>
                <w:rFonts w:hint="eastAsia"/>
                <w:b/>
                <w:bCs/>
                <w:color w:val="000000"/>
              </w:rPr>
              <w:t xml:space="preserve">9</w:t>
            </w:r>
            <w:r>
              <w:rPr>
                <w:b/>
                <w:bCs/>
                <w:color w:val="000000"/>
              </w:rPr>
            </w:r>
            <w:r/>
          </w:p>
        </w:tc>
        <w:tc>
          <w:tcPr>
            <w:tcW w:w="1625" w:type="pct"/>
            <w:vAlign w:val="center"/>
            <w:textDirection w:val="lrTb"/>
            <w:noWrap w:val="false"/>
          </w:tcPr>
          <w:p>
            <w:pPr>
              <w:pStyle w:val="852"/>
              <w:rPr>
                <w:b/>
                <w:bCs/>
                <w:color w:val="000000"/>
              </w:rPr>
            </w:pPr>
            <w:r>
              <w:rPr>
                <w:rFonts w:hint="eastAsia"/>
                <w:b/>
                <w:bCs/>
                <w:color w:val="000000"/>
              </w:rPr>
              <w:t xml:space="preserve">网络安全服务</w:t>
            </w:r>
            <w:r>
              <w:rPr>
                <w:b/>
                <w:bCs/>
                <w:color w:val="000000"/>
              </w:rPr>
            </w:r>
            <w:r/>
          </w:p>
        </w:tc>
        <w:tc>
          <w:tcPr>
            <w:tcW w:w="1817" w:type="pct"/>
            <w:vAlign w:val="center"/>
            <w:textDirection w:val="lrTb"/>
            <w:noWrap w:val="false"/>
          </w:tcPr>
          <w:p>
            <w:pPr>
              <w:pStyle w:val="852"/>
              <w:rPr>
                <w:b/>
                <w:bCs/>
                <w:color w:val="000000"/>
              </w:rPr>
            </w:pPr>
            <w:r>
              <w:rPr>
                <w:rFonts w:hint="eastAsia"/>
                <w:b/>
                <w:bCs/>
                <w:color w:val="000000"/>
              </w:rPr>
              <w:t xml:space="preserve">详见如下技术参数要求</w:t>
            </w:r>
            <w:r>
              <w:rPr>
                <w:b/>
                <w:bCs/>
                <w:color w:val="000000"/>
              </w:rPr>
            </w:r>
            <w:r/>
          </w:p>
        </w:tc>
        <w:tc>
          <w:tcPr>
            <w:tcW w:w="511" w:type="pct"/>
            <w:vAlign w:val="center"/>
            <w:textDirection w:val="lrTb"/>
            <w:noWrap/>
          </w:tcPr>
          <w:p>
            <w:pPr>
              <w:pStyle w:val="852"/>
              <w:jc w:val="center"/>
              <w:rPr>
                <w:b/>
                <w:bCs/>
                <w:color w:val="000000"/>
              </w:rPr>
            </w:pPr>
            <w:r>
              <w:rPr>
                <w:rFonts w:hint="eastAsia"/>
                <w:b/>
                <w:bCs/>
                <w:color w:val="000000"/>
              </w:rPr>
              <w:t xml:space="preserve">3</w:t>
            </w:r>
            <w:r>
              <w:rPr>
                <w:b/>
                <w:bCs/>
                <w:color w:val="000000"/>
              </w:rPr>
            </w:r>
            <w:r/>
          </w:p>
        </w:tc>
        <w:tc>
          <w:tcPr>
            <w:tcW w:w="531" w:type="pct"/>
            <w:vAlign w:val="center"/>
            <w:textDirection w:val="lrTb"/>
            <w:noWrap w:val="false"/>
          </w:tcPr>
          <w:p>
            <w:pPr>
              <w:pStyle w:val="852"/>
              <w:jc w:val="center"/>
              <w:rPr>
                <w:b/>
                <w:bCs/>
                <w:color w:val="000000"/>
              </w:rPr>
            </w:pPr>
            <w:r>
              <w:rPr>
                <w:rFonts w:hint="eastAsia"/>
                <w:b/>
                <w:bCs/>
                <w:color w:val="000000"/>
              </w:rPr>
              <w:t xml:space="preserve">年</w:t>
            </w:r>
            <w:r>
              <w:rPr>
                <w:b/>
                <w:bCs/>
                <w:color w:val="000000"/>
              </w:rPr>
            </w:r>
            <w:r/>
          </w:p>
        </w:tc>
      </w:tr>
      <w:tr>
        <w:trPr>
          <w:trHeight w:val="600"/>
        </w:trPr>
        <w:tc>
          <w:tcPr>
            <w:gridSpan w:val="5"/>
            <w:tcW w:w="5000" w:type="pct"/>
            <w:vAlign w:val="center"/>
            <w:textDirection w:val="lrTb"/>
            <w:noWrap w:val="false"/>
          </w:tcPr>
          <w:p>
            <w:pPr>
              <w:pStyle w:val="852"/>
              <w:rPr>
                <w:color w:val="000000"/>
              </w:rPr>
            </w:pPr>
            <w:r>
              <w:rPr>
                <w:rFonts w:hint="eastAsia"/>
                <w:b/>
                <w:bCs/>
                <w:color w:val="000000"/>
              </w:rPr>
              <w:t xml:space="preserve">二、货物</w:t>
            </w:r>
            <w:r>
              <w:rPr>
                <w:color w:val="000000"/>
              </w:rPr>
            </w:r>
            <w:r/>
          </w:p>
        </w:tc>
      </w:tr>
      <w:tr>
        <w:trPr>
          <w:trHeight w:val="600"/>
        </w:trPr>
        <w:tc>
          <w:tcPr>
            <w:tcW w:w="515" w:type="pct"/>
            <w:vAlign w:val="center"/>
            <w:textDirection w:val="lrTb"/>
            <w:noWrap w:val="false"/>
          </w:tcPr>
          <w:p>
            <w:pPr>
              <w:pStyle w:val="852"/>
              <w:jc w:val="center"/>
              <w:rPr>
                <w:color w:val="000000"/>
              </w:rPr>
            </w:pPr>
            <w:r>
              <w:rPr>
                <w:rFonts w:hint="eastAsia"/>
                <w:color w:val="000000"/>
              </w:rPr>
              <w:t xml:space="preserve">1</w:t>
            </w:r>
            <w:r>
              <w:rPr>
                <w:color w:val="000000"/>
              </w:rPr>
            </w:r>
            <w:r/>
          </w:p>
        </w:tc>
        <w:tc>
          <w:tcPr>
            <w:tcW w:w="1625" w:type="pct"/>
            <w:vAlign w:val="center"/>
            <w:textDirection w:val="lrTb"/>
            <w:noWrap w:val="false"/>
          </w:tcPr>
          <w:p>
            <w:pPr>
              <w:pStyle w:val="852"/>
              <w:rPr>
                <w:color w:val="000000"/>
              </w:rPr>
            </w:pPr>
            <w:r>
              <w:rPr>
                <w:rFonts w:hint="eastAsia"/>
                <w:color w:val="000000"/>
              </w:rPr>
              <w:t xml:space="preserve">数据库安全运维系统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台</w:t>
            </w:r>
            <w:r>
              <w:rPr>
                <w:color w:val="000000"/>
              </w:rPr>
            </w:r>
            <w:r/>
          </w:p>
        </w:tc>
      </w:tr>
      <w:tr>
        <w:trPr>
          <w:trHeight w:val="600"/>
        </w:trPr>
        <w:tc>
          <w:tcPr>
            <w:tcW w:w="515" w:type="pct"/>
            <w:vAlign w:val="center"/>
            <w:textDirection w:val="lrTb"/>
            <w:noWrap w:val="false"/>
          </w:tcPr>
          <w:p>
            <w:pPr>
              <w:pStyle w:val="852"/>
              <w:jc w:val="center"/>
              <w:rPr>
                <w:color w:val="000000"/>
              </w:rPr>
            </w:pPr>
            <w:r>
              <w:rPr>
                <w:rFonts w:hint="eastAsia"/>
                <w:color w:val="000000"/>
              </w:rPr>
              <w:t xml:space="preserve">2</w:t>
            </w:r>
            <w:r>
              <w:rPr>
                <w:color w:val="000000"/>
              </w:rPr>
            </w:r>
            <w:r/>
          </w:p>
        </w:tc>
        <w:tc>
          <w:tcPr>
            <w:tcW w:w="1625" w:type="pct"/>
            <w:vAlign w:val="center"/>
            <w:textDirection w:val="lrTb"/>
            <w:noWrap w:val="false"/>
          </w:tcPr>
          <w:p>
            <w:pPr>
              <w:pStyle w:val="852"/>
              <w:rPr>
                <w:color w:val="000000"/>
              </w:rPr>
            </w:pPr>
            <w:r>
              <w:rPr>
                <w:rFonts w:hint="eastAsia"/>
                <w:color w:val="000000"/>
              </w:rPr>
              <w:t xml:space="preserve">数据防勒索系统</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台</w:t>
            </w:r>
            <w:r>
              <w:rPr>
                <w:color w:val="000000"/>
              </w:rPr>
            </w:r>
            <w:r/>
          </w:p>
        </w:tc>
      </w:tr>
      <w:tr>
        <w:trPr>
          <w:trHeight w:val="600"/>
        </w:trPr>
        <w:tc>
          <w:tcPr>
            <w:tcW w:w="515" w:type="pct"/>
            <w:vAlign w:val="center"/>
            <w:textDirection w:val="lrTb"/>
            <w:noWrap w:val="false"/>
          </w:tcPr>
          <w:p>
            <w:pPr>
              <w:pStyle w:val="852"/>
              <w:jc w:val="center"/>
              <w:rPr>
                <w:color w:val="000000"/>
              </w:rPr>
            </w:pPr>
            <w:r>
              <w:rPr>
                <w:rFonts w:hint="eastAsia"/>
                <w:color w:val="000000"/>
              </w:rPr>
              <w:t xml:space="preserve">3</w:t>
            </w:r>
            <w:r>
              <w:rPr>
                <w:color w:val="000000"/>
              </w:rPr>
            </w:r>
            <w:r/>
          </w:p>
        </w:tc>
        <w:tc>
          <w:tcPr>
            <w:tcW w:w="1625" w:type="pct"/>
            <w:vAlign w:val="center"/>
            <w:textDirection w:val="lrTb"/>
            <w:noWrap w:val="false"/>
          </w:tcPr>
          <w:p>
            <w:pPr>
              <w:pStyle w:val="852"/>
              <w:rPr>
                <w:color w:val="000000"/>
              </w:rPr>
            </w:pPr>
            <w:r>
              <w:rPr>
                <w:rFonts w:hint="eastAsia"/>
                <w:color w:val="000000"/>
              </w:rPr>
              <w:t xml:space="preserve">安全态势感知设备</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台</w:t>
            </w:r>
            <w:r>
              <w:rPr>
                <w:color w:val="000000"/>
              </w:rPr>
            </w:r>
            <w:r/>
          </w:p>
        </w:tc>
      </w:tr>
      <w:tr>
        <w:trPr>
          <w:trHeight w:val="600"/>
        </w:trPr>
        <w:tc>
          <w:tcPr>
            <w:tcW w:w="515" w:type="pct"/>
            <w:vAlign w:val="center"/>
            <w:textDirection w:val="lrTb"/>
            <w:noWrap w:val="false"/>
          </w:tcPr>
          <w:p>
            <w:pPr>
              <w:pStyle w:val="852"/>
              <w:jc w:val="center"/>
              <w:rPr>
                <w:color w:val="000000"/>
              </w:rPr>
            </w:pPr>
            <w:r>
              <w:rPr>
                <w:rFonts w:hint="eastAsia"/>
                <w:color w:val="000000"/>
              </w:rPr>
              <w:t xml:space="preserve">4</w:t>
            </w:r>
            <w:r>
              <w:rPr>
                <w:color w:val="000000"/>
              </w:rPr>
            </w:r>
            <w:r/>
          </w:p>
        </w:tc>
        <w:tc>
          <w:tcPr>
            <w:tcW w:w="1625" w:type="pct"/>
            <w:vAlign w:val="center"/>
            <w:textDirection w:val="lrTb"/>
            <w:noWrap w:val="false"/>
          </w:tcPr>
          <w:p>
            <w:pPr>
              <w:pStyle w:val="852"/>
              <w:rPr>
                <w:color w:val="000000"/>
              </w:rPr>
            </w:pPr>
            <w:r>
              <w:rPr>
                <w:rFonts w:hint="eastAsia"/>
                <w:color w:val="000000"/>
              </w:rPr>
              <w:t xml:space="preserve">安全态势感知探针</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台</w:t>
            </w:r>
            <w:r>
              <w:rPr>
                <w:color w:val="000000"/>
              </w:rPr>
            </w:r>
            <w:r/>
          </w:p>
        </w:tc>
      </w:tr>
      <w:tr>
        <w:trPr>
          <w:trHeight w:val="600"/>
        </w:trPr>
        <w:tc>
          <w:tcPr>
            <w:tcW w:w="515" w:type="pct"/>
            <w:vAlign w:val="center"/>
            <w:textDirection w:val="lrTb"/>
            <w:noWrap w:val="false"/>
          </w:tcPr>
          <w:p>
            <w:pPr>
              <w:pStyle w:val="852"/>
              <w:jc w:val="center"/>
              <w:rPr>
                <w:color w:val="000000"/>
              </w:rPr>
            </w:pPr>
            <w:r>
              <w:rPr>
                <w:rFonts w:hint="eastAsia"/>
                <w:color w:val="000000"/>
              </w:rPr>
              <w:t xml:space="preserve">5</w:t>
            </w:r>
            <w:r>
              <w:rPr>
                <w:color w:val="000000"/>
              </w:rPr>
            </w:r>
            <w:r/>
          </w:p>
        </w:tc>
        <w:tc>
          <w:tcPr>
            <w:tcW w:w="1625" w:type="pct"/>
            <w:vAlign w:val="center"/>
            <w:textDirection w:val="lrTb"/>
            <w:noWrap w:val="false"/>
          </w:tcPr>
          <w:p>
            <w:pPr>
              <w:pStyle w:val="852"/>
              <w:rPr>
                <w:color w:val="000000"/>
              </w:rPr>
            </w:pPr>
            <w:r>
              <w:rPr>
                <w:rFonts w:hint="eastAsia"/>
                <w:color w:val="000000"/>
              </w:rPr>
              <w:t xml:space="preserve">API安全网关</w:t>
            </w:r>
            <w:r>
              <w:rPr>
                <w:color w:val="000000"/>
              </w:rPr>
            </w:r>
            <w:r/>
          </w:p>
        </w:tc>
        <w:tc>
          <w:tcPr>
            <w:tcW w:w="1817" w:type="pct"/>
            <w:vAlign w:val="center"/>
            <w:textDirection w:val="lrTb"/>
            <w:noWrap w:val="false"/>
          </w:tcPr>
          <w:p>
            <w:pPr>
              <w:pStyle w:val="852"/>
              <w:rPr>
                <w:color w:val="000000"/>
              </w:rPr>
            </w:pPr>
            <w:r>
              <w:rPr>
                <w:rFonts w:hint="eastAsia"/>
                <w:color w:val="000000"/>
              </w:rPr>
              <w:t xml:space="preserve">详见如下技术参数要求</w:t>
            </w:r>
            <w:r>
              <w:rPr>
                <w:color w:val="000000"/>
              </w:rPr>
            </w:r>
            <w:r/>
          </w:p>
        </w:tc>
        <w:tc>
          <w:tcPr>
            <w:tcW w:w="511" w:type="pct"/>
            <w:vAlign w:val="center"/>
            <w:textDirection w:val="lrTb"/>
            <w:noWrap/>
          </w:tcPr>
          <w:p>
            <w:pPr>
              <w:pStyle w:val="852"/>
              <w:jc w:val="center"/>
              <w:rPr>
                <w:color w:val="000000"/>
              </w:rPr>
            </w:pPr>
            <w:r>
              <w:rPr>
                <w:rFonts w:hint="eastAsia"/>
                <w:color w:val="000000"/>
              </w:rPr>
              <w:t xml:space="preserve">1</w:t>
            </w:r>
            <w:r>
              <w:rPr>
                <w:color w:val="000000"/>
              </w:rPr>
            </w:r>
            <w:r/>
          </w:p>
        </w:tc>
        <w:tc>
          <w:tcPr>
            <w:tcW w:w="531" w:type="pct"/>
            <w:vAlign w:val="center"/>
            <w:textDirection w:val="lrTb"/>
            <w:noWrap w:val="false"/>
          </w:tcPr>
          <w:p>
            <w:pPr>
              <w:pStyle w:val="852"/>
              <w:jc w:val="center"/>
              <w:rPr>
                <w:color w:val="000000"/>
              </w:rPr>
            </w:pPr>
            <w:r>
              <w:rPr>
                <w:rFonts w:hint="eastAsia"/>
                <w:color w:val="000000"/>
              </w:rPr>
              <w:t xml:space="preserve">套</w:t>
            </w:r>
            <w:r>
              <w:rPr>
                <w:color w:val="000000"/>
              </w:rPr>
            </w:r>
            <w:r/>
          </w:p>
        </w:tc>
      </w:tr>
    </w:tbl>
    <w:p>
      <w:pPr>
        <w:pStyle w:val="741"/>
        <w:rPr>
          <w:i/>
          <w:iCs/>
          <w:color w:val="000000"/>
        </w:rPr>
      </w:pPr>
      <w:r>
        <w:rPr>
          <w:rFonts w:hint="eastAsia"/>
          <w:color w:val="000000"/>
        </w:rPr>
        <w:t xml:space="preserve">1.2.2 技术参数要求</w:t>
      </w:r>
      <w:r>
        <w:rPr>
          <w:i/>
          <w:iCs/>
          <w:color w:val="000000"/>
        </w:rPr>
      </w:r>
      <w:r/>
    </w:p>
    <w:p>
      <w:pPr>
        <w:pStyle w:val="742"/>
        <w:rPr>
          <w:rFonts w:ascii="宋体" w:hAnsi="宋体" w:eastAsia="宋体" w:cs="宋体"/>
          <w:i/>
          <w:iCs/>
          <w:color w:val="000000"/>
        </w:rPr>
      </w:pPr>
      <w:r>
        <w:rPr>
          <w:rFonts w:hint="eastAsia" w:ascii="宋体" w:hAnsi="宋体" w:eastAsia="宋体" w:cs="宋体"/>
          <w:color w:val="000000"/>
        </w:rPr>
        <w:t xml:space="preserve">1.2.2.1 </w:t>
      </w:r>
      <w:r>
        <w:rPr>
          <w:rFonts w:hint="eastAsia" w:ascii="宋体" w:hAnsi="宋体" w:eastAsia="宋体" w:cs="宋体"/>
          <w:color w:val="000000"/>
          <w:lang w:val="en-US" w:eastAsia="zh-CN"/>
        </w:rPr>
        <w:t xml:space="preserve">服务类</w:t>
      </w:r>
      <w:r>
        <w:rPr>
          <w:rFonts w:ascii="宋体" w:hAnsi="宋体" w:eastAsia="宋体" w:cs="宋体"/>
          <w:i/>
          <w:iCs/>
          <w:color w:val="000000"/>
        </w:rPr>
      </w:r>
      <w:r/>
    </w:p>
    <w:p>
      <w:pPr>
        <w:pStyle w:val="743"/>
        <w:rPr>
          <w:rFonts w:ascii="宋体" w:hAnsi="宋体" w:eastAsia="宋体" w:cs="宋体"/>
          <w:i/>
          <w:iCs/>
          <w:color w:val="000000"/>
        </w:rPr>
      </w:pPr>
      <w:r>
        <w:rPr>
          <w:rFonts w:hint="eastAsia" w:ascii="宋体" w:hAnsi="宋体" w:eastAsia="宋体" w:cs="宋体"/>
          <w:color w:val="000000"/>
        </w:rPr>
        <w:t xml:space="preserve">1、数字孪生智能中枢</w:t>
      </w:r>
      <w:r>
        <w:rPr>
          <w:rFonts w:ascii="宋体" w:hAnsi="宋体" w:eastAsia="宋体" w:cs="宋体"/>
          <w:i/>
          <w:iCs/>
          <w:color w:val="000000"/>
        </w:rPr>
      </w:r>
      <w:r/>
    </w:p>
    <w:p>
      <w:pPr>
        <w:pStyle w:val="734"/>
        <w:ind w:firstLine="420"/>
        <w:rPr>
          <w:color w:val="000000"/>
        </w:rPr>
      </w:pPr>
      <w:r>
        <w:rPr>
          <w:rFonts w:hint="eastAsia"/>
          <w:color w:val="000000"/>
        </w:rPr>
        <w:t xml:space="preserve">数字孪生智能中枢包含大数据资源中心、物联网感知模型、业务模型管理、智库调度引擎、数字孪生引擎、基础信息管理、采运测管理等模块。</w:t>
      </w:r>
      <w:r>
        <w:rPr>
          <w:color w:val="000000"/>
        </w:rPr>
      </w:r>
      <w:r/>
    </w:p>
    <w:p>
      <w:pPr>
        <w:pStyle w:val="734"/>
        <w:numPr>
          <w:ilvl w:val="1"/>
          <w:numId w:val="33"/>
        </w:numPr>
        <w:ind w:firstLine="422"/>
        <w:rPr>
          <w:b/>
          <w:bCs/>
          <w:color w:val="000000"/>
        </w:rPr>
      </w:pPr>
      <w:r>
        <w:rPr>
          <w:rFonts w:hint="eastAsia"/>
          <w:b/>
          <w:bCs/>
          <w:color w:val="000000"/>
        </w:rPr>
        <w:t xml:space="preserve">大数据资源中心</w:t>
      </w:r>
      <w:r>
        <w:rPr>
          <w:b/>
          <w:bCs/>
          <w:color w:val="000000"/>
        </w:rPr>
      </w:r>
      <w:r/>
    </w:p>
    <w:p>
      <w:pPr>
        <w:pStyle w:val="734"/>
        <w:ind w:firstLine="420"/>
        <w:rPr>
          <w:color w:val="000000"/>
        </w:rPr>
      </w:pPr>
      <w:r>
        <w:rPr>
          <w:color w:val="000000"/>
        </w:rPr>
        <w:t xml:space="preserve">大数据资源中心应对业务架构、应用架构、数据策略、高通量数据传输、数据接入、数据存储、数据监控、数据处理、数据挖掘、数据监控、数据处理、数据挖掘、数据更新、数据共享服务、运维管理等模块进行设计。</w:t>
      </w:r>
      <w:r/>
    </w:p>
    <w:p>
      <w:pPr>
        <w:pStyle w:val="734"/>
        <w:ind w:firstLine="422"/>
        <w:rPr>
          <w:b/>
          <w:bCs/>
          <w:color w:val="000000"/>
        </w:rPr>
      </w:pPr>
      <w:r>
        <w:rPr>
          <w:rFonts w:hint="eastAsia"/>
          <w:b/>
          <w:bCs/>
          <w:color w:val="000000"/>
        </w:rPr>
        <w:t xml:space="preserve">其中数据接入需求：</w:t>
      </w:r>
      <w:r>
        <w:rPr>
          <w:b/>
          <w:bCs/>
          <w:color w:val="000000"/>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565"/>
        <w:gridCol w:w="4003"/>
        <w:gridCol w:w="1455"/>
        <w:gridCol w:w="920"/>
        <w:gridCol w:w="1195"/>
      </w:tblGrid>
      <w:tr>
        <w:trPr>
          <w:trHeight w:val="9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b/>
                <w:bCs/>
                <w:color w:val="000000"/>
              </w:rPr>
            </w:pPr>
            <w:r>
              <w:rPr>
                <w:b/>
                <w:bCs/>
                <w:color w:val="000000"/>
              </w:rPr>
              <w:t xml:space="preserve">数据对象</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jc w:val="center"/>
              <w:widowControl/>
              <w:rPr>
                <w:b/>
                <w:bCs/>
                <w:color w:val="000000"/>
              </w:rPr>
            </w:pPr>
            <w:r>
              <w:rPr>
                <w:b/>
                <w:bCs/>
                <w:color w:val="000000"/>
              </w:rPr>
              <w:t xml:space="preserve">数据类型</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34"/>
              <w:jc w:val="center"/>
              <w:widowControl/>
              <w:rPr>
                <w:b/>
                <w:bCs/>
                <w:color w:val="000000"/>
              </w:rPr>
            </w:pPr>
            <w:r>
              <w:rPr>
                <w:b/>
                <w:bCs/>
                <w:color w:val="000000"/>
              </w:rPr>
              <w:t xml:space="preserve">部门</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734"/>
              <w:jc w:val="center"/>
              <w:widowControl/>
              <w:rPr>
                <w:b/>
                <w:bCs/>
                <w:color w:val="000000"/>
              </w:rPr>
            </w:pPr>
            <w:r>
              <w:rPr>
                <w:b/>
                <w:bCs/>
                <w:color w:val="000000"/>
              </w:rPr>
              <w:t xml:space="preserve">接入方式</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34"/>
              <w:jc w:val="center"/>
              <w:widowControl/>
              <w:rPr>
                <w:b/>
                <w:bCs/>
                <w:color w:val="000000"/>
              </w:rPr>
            </w:pPr>
            <w:r>
              <w:rPr>
                <w:b/>
                <w:bCs/>
                <w:color w:val="000000"/>
              </w:rPr>
              <w:t xml:space="preserve">更新频次</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水系图</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无锡太湖流域最新水系图，包括水库、闸坝、水源地、支流支浜等。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数字高程数据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无锡太湖流域DEM数字高程数据。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行政区划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无锡全市最新行政区划图，精确到乡镇的最新行政区划。</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土地利用</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无锡太湖流域最新的土地利用类型分布。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土壤类型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无锡太湖流域最新的土壤类型分布。</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水体功能区划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无锡太湖流域最新水体功能区划，包括功能区范围、类别等数据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地图功能区划</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地图功能区划图层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控制单元</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无锡太湖流域最新的控制单元、控制断面，位置范围以及属性</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遥感</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无锡太湖流域历次遥感数据，尤其是高精度遥感影像数据。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水下地形</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无锡太湖流域最新的水下地形数据。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雨污管网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市政雨污管网分布图。</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每半年更新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安全度夏相关卫星图</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水华，蓝藻图片，面积等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生物多样性</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全市生物多样性调查数据包括鸟类、植物、水生生物等。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自然资源与规划局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生态环境局自动站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国控、省控、市控、区县控地表水自动监测点位信息、原始监测数据、质控数据、历史数据等（包括监测站的视频数据）。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生态环境局断面</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国控、省控、市控、区县控地表水自动监测点位信息、原始监测数据、质控数据、历史数据等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太湖20个国考自动站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点位和监测数据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4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藻类监测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太湖湖体藻类组成及占比情况、藻类监测数据、藻密度数据、太湖蓝藻周报（一周2次）、叶绿素反衍图片、</w:t>
            </w:r>
            <w:r/>
          </w:p>
          <w:p>
            <w:pPr>
              <w:pStyle w:val="734"/>
              <w:widowControl/>
              <w:rPr>
                <w:color w:val="000000"/>
              </w:rPr>
            </w:pPr>
            <w:r>
              <w:rPr>
                <w:color w:val="000000"/>
              </w:rPr>
              <w:t xml:space="preserve">驻市中心与监控中心提供的藻类分析（藻种、藻群占比）藻类监测历史数据包括藻类组成及占比情况、藻密度数据等。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821"/>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蓝藻巡查，巡飞，</w:t>
            </w:r>
            <w:r/>
          </w:p>
          <w:p>
            <w:pPr>
              <w:pStyle w:val="734"/>
              <w:jc w:val="center"/>
              <w:widowControl/>
              <w:rPr>
                <w:color w:val="000000"/>
              </w:rPr>
            </w:pPr>
            <w:r>
              <w:rPr>
                <w:color w:val="000000"/>
              </w:rPr>
              <w:t xml:space="preserve">巡测，观测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点位和对应数据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rFonts w:hint="eastAsia"/>
                <w:color w:val="000000"/>
              </w:rPr>
              <w:t xml:space="preserve">定期</w:t>
            </w:r>
            <w:r>
              <w:rPr>
                <w:color w:val="000000"/>
              </w:rPr>
              <w:t xml:space="preserve">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黑臭水体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黑臭水体基础信息，水质监测数据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污染源企业</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企业信息（二污普）、企业排口水质、流量监测数据、企业污染设施工况（包括生产用电，治污用电，开关量等）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污水管网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管网网格分布基础信息、管网水质、水量、流向等监测数据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污水处理厂</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污水处理厂基础信息、进出口水质水量、工艺流程等数据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90"/>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4"/>
              <w:jc w:val="center"/>
              <w:widowControl/>
              <w:rPr>
                <w:color w:val="000000"/>
              </w:rPr>
            </w:pPr>
            <w:r>
              <w:rPr>
                <w:color w:val="000000"/>
              </w:rPr>
              <w:t xml:space="preserve">入河（湖）排口</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包括排污口基础信息、水质、流量等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浮船数据、湖体、入湖通道</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水产养殖</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水产养殖尾水排口基础信息、水质、水量监测数据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农田退水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农田退水基础信息、水质、水量监测数据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农村生活污水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分布式污水处理设施基础信息、水质、水量监测数据、收集率、处理率等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应急监测车</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应急车监测数据、轨迹、视频</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实验室</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应急手工监测数据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风险源</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风险源基础信息、应急预案等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环境敏感点</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环境敏感点信息：水源地、学校、生活区、保护区、开发区等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内部数据库共享</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湖畔报告数据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湖畔报告数据，日，周，月，年数据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调水数据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引江济太出入湖水量、沿湖水闸启闭状态。</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水利自建站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39座水利自建站基础信息、监测数据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4"/>
              <w:jc w:val="center"/>
              <w:widowControl/>
              <w:rPr>
                <w:color w:val="000000"/>
              </w:rPr>
            </w:pPr>
            <w:r>
              <w:rPr>
                <w:color w:val="000000"/>
              </w:rPr>
              <w:t xml:space="preserve">视频监控</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地表水、污染源、船舶、污水厂、污水管网、入河（湖）排口、重点闸泵站等监测点位的视频数据（实时/回放）</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藻类打捞点视频监控、处置视频、无锡水域沿湖各打捞点蓝藻集聚情况。</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无人机直播视频</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清淤船实时作业视频监控</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应急监测车视频监控</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各种农作物种植面积、大规模畜禽养殖种类与数量、各区域人口数量、区域经济等</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每月更新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无人机监测，防汛仓库，抢险队伍，避灾产所，专家，基层防汛责任人，抢险车辆，应急通讯</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34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4"/>
              <w:jc w:val="center"/>
              <w:widowControl/>
              <w:rPr>
                <w:color w:val="000000"/>
              </w:rPr>
            </w:pPr>
            <w:r>
              <w:rPr>
                <w:color w:val="000000"/>
              </w:rPr>
              <w:t xml:space="preserve">无人机巡飞数据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①</w:t>
            </w:r>
            <w:r>
              <w:rPr>
                <w:color w:val="000000"/>
              </w:rPr>
              <w:t xml:space="preserve">每季度的市级28条河道巡检图片、视频及报告；</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每季度更新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②</w:t>
            </w:r>
            <w:r>
              <w:rPr>
                <w:color w:val="000000"/>
              </w:rPr>
              <w:t xml:space="preserve">每年汛期太湖沿岸堤坝巡检图片、视频及报告；</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每年更新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③</w:t>
            </w:r>
            <w:r>
              <w:rPr>
                <w:color w:val="000000"/>
              </w:rPr>
              <w:t xml:space="preserve">太湖蓝藻巡检图片、视频及报告；</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④</w:t>
            </w:r>
            <w:r>
              <w:rPr>
                <w:color w:val="000000"/>
              </w:rPr>
              <w:t xml:space="preserve">应急场景下巡检直播视频。</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水利工情信息</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水库、堤防、塘坝、泵站、圩区、闸站等的分布监控数据（包括启停状态、水质数据、视频数据等）。</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水利工程数据</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沿太湖水利工程数据。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330"/>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4"/>
              <w:jc w:val="center"/>
              <w:widowControl/>
              <w:rPr>
                <w:color w:val="000000"/>
              </w:rPr>
            </w:pPr>
            <w:r>
              <w:rPr>
                <w:color w:val="000000"/>
              </w:rPr>
              <w:t xml:space="preserve">藻类与水草打捞</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①</w:t>
            </w:r>
            <w:r>
              <w:rPr>
                <w:color w:val="000000"/>
              </w:rPr>
              <w:t xml:space="preserve">藻水分离站的分布情况、设计处理规模、日处理量、累积处理量等；</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②</w:t>
            </w:r>
            <w:r>
              <w:rPr>
                <w:color w:val="000000"/>
              </w:rPr>
              <w:t xml:space="preserve">蓝藻打捞点的分布数据。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每月更新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③</w:t>
            </w:r>
            <w:r>
              <w:rPr>
                <w:color w:val="000000"/>
              </w:rPr>
              <w:t xml:space="preserve">藻泥干化、处理、产泥数据；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④</w:t>
            </w:r>
            <w:r>
              <w:rPr>
                <w:color w:val="000000"/>
              </w:rPr>
              <w:t xml:space="preserve">水草打捞数据；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rFonts w:hint="eastAsia" w:ascii="宋体" w:hAnsi="宋体" w:cs="宋体"/>
                <w:color w:val="000000"/>
              </w:rPr>
              <w:t xml:space="preserve">⑤</w:t>
            </w:r>
            <w:r>
              <w:rPr>
                <w:color w:val="000000"/>
              </w:rPr>
              <w:t xml:space="preserve">无锡水域沿湖水利局/水文局各打捞点蓝藻集聚情况。</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水文站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水文站分布数据，水位、流量、流向数据等</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51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水华、湖泛数据、日报</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水华、湖泛历史数据、日报。</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太湖湖体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太湖湖体、水位、水深、出</w:t>
            </w:r>
            <w:r>
              <w:rPr>
                <w:rFonts w:hint="eastAsia"/>
                <w:color w:val="000000"/>
              </w:rPr>
              <w:t xml:space="preserve">/</w:t>
            </w:r>
            <w:r>
              <w:rPr>
                <w:color w:val="000000"/>
              </w:rPr>
              <w:t xml:space="preserve">入湖水量等、换水周期数据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出入湖支流、支浜</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出入湖支流、支浜基础信息、水位、流量、流速、流向等数据。</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水利局/水文局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restart"/>
            <w:textDirection w:val="lrTb"/>
            <w:noWrap/>
          </w:tcPr>
          <w:p>
            <w:pPr>
              <w:pStyle w:val="734"/>
              <w:jc w:val="center"/>
              <w:widowControl/>
              <w:rPr>
                <w:color w:val="000000"/>
              </w:rPr>
            </w:pPr>
            <w:r>
              <w:rPr>
                <w:color w:val="000000"/>
              </w:rPr>
              <w:t xml:space="preserve">卫星遥感（水利）</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卫星微片解码数据图片，依据蓝藻、水温等反演的藻类数据；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cantSplit/>
          <w:trHeight w:val="255"/>
        </w:trPr>
        <w:tc>
          <w:tcPr>
            <w:tcBorders>
              <w:top w:val="single" w:color="000000" w:sz="4" w:space="0"/>
              <w:left w:val="single" w:color="000000" w:sz="4" w:space="0"/>
              <w:bottom w:val="single" w:color="000000" w:sz="4" w:space="0"/>
              <w:right w:val="single" w:color="000000" w:sz="4" w:space="0"/>
            </w:tcBorders>
            <w:tcW w:w="1565" w:type="dxa"/>
            <w:vAlign w:val="center"/>
            <w:vMerge w:val="continue"/>
            <w:textDirection w:val="lrTb"/>
            <w:noWrap/>
          </w:tcPr>
          <w:p>
            <w:pPr>
              <w:pStyle w:val="734"/>
              <w:jc w:val="center"/>
              <w:widowControl/>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根据蓝藻、叶绿素、溶解氧来预测水华演变情况</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水利局/生态环境局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42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补水调水工程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引水工程等基础信息，沿湖及重要支流、支浜水库、闸坝相关等</w:t>
            </w:r>
            <w:r/>
          </w:p>
          <w:p>
            <w:pPr>
              <w:pStyle w:val="734"/>
              <w:widowControl/>
              <w:rPr>
                <w:color w:val="000000"/>
              </w:rPr>
            </w:pPr>
            <w:r>
              <w:rPr>
                <w:color w:val="000000"/>
              </w:rPr>
              <w:t xml:space="preserve">水利工程的开、关闸、水位、流量流速、流向、调度运行等数据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水利自建自动站</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点位和对应数据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水利实时监测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实时舆情，实时水情，实时工程，实时内涝，视频监控，视频汇聚</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水利局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38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船舶（移动源）</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船舶、码头等基础信息和实时数据、岸上装卸站运转数据、船流量等。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34"/>
              <w:jc w:val="center"/>
              <w:widowControl/>
              <w:rPr>
                <w:color w:val="000000"/>
              </w:rPr>
            </w:pPr>
            <w:r>
              <w:rPr>
                <w:color w:val="000000"/>
              </w:rPr>
              <w:t xml:space="preserve">市交通运输局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38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农业基础情况</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水产养殖、农业种植、畜禽养殖等在全市的分布与规模；</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34"/>
              <w:jc w:val="center"/>
              <w:widowControl/>
              <w:rPr>
                <w:color w:val="000000"/>
              </w:rPr>
            </w:pPr>
            <w:r>
              <w:rPr>
                <w:color w:val="000000"/>
              </w:rPr>
              <w:t xml:space="preserve">农业农村局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每月更新</w:t>
            </w:r>
            <w:r/>
          </w:p>
        </w:tc>
      </w:tr>
      <w:tr>
        <w:trPr>
          <w:trHeight w:val="60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水源地</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水源地基础信息、水质等数据</w:t>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备用水源地</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备用水源地的基础数据及每月水质数据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取水点</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点位基础信息、水质等数据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水库</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水库的水库水位、水质数据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自来水厂</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自来水厂基础信息、水质等数据、供水水量，工艺流程</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自来水管网</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自来水管网基础信息、水质等数据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自来水厂末梢水</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末梢水基础信息、水质等数据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市政园林局/卫健委</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330"/>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气象监测</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太湖每日气象信息及未来三天天气预报。</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气象局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每日更新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气象预报</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云图，雷达图，网格预报，短时预报，风场预报，副高预报，台风路径。</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气象局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外部数据接口</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pStyle w:val="734"/>
              <w:jc w:val="center"/>
              <w:widowControl/>
              <w:rPr>
                <w:color w:val="000000"/>
              </w:rPr>
            </w:pPr>
            <w:r>
              <w:rPr>
                <w:color w:val="000000"/>
              </w:rPr>
              <w:t xml:space="preserve">卫星遥感（气象）</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tcPr>
          <w:p>
            <w:pPr>
              <w:pStyle w:val="734"/>
              <w:widowControl/>
              <w:rPr>
                <w:color w:val="000000"/>
              </w:rPr>
            </w:pPr>
            <w:r>
              <w:rPr>
                <w:color w:val="000000"/>
              </w:rPr>
              <w:t xml:space="preserve">气象卫星遥感监测蓝藻水华解译信息及强度示意图。</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pStyle w:val="734"/>
              <w:jc w:val="center"/>
              <w:widowControl/>
              <w:rPr>
                <w:color w:val="000000"/>
              </w:rPr>
            </w:pPr>
            <w:r>
              <w:rPr>
                <w:color w:val="000000"/>
              </w:rPr>
              <w:t xml:space="preserve">气象局</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实时更新</w:t>
            </w:r>
            <w:r/>
          </w:p>
        </w:tc>
      </w:tr>
      <w:tr>
        <w:trPr>
          <w:trHeight w:val="255"/>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pStyle w:val="734"/>
              <w:jc w:val="center"/>
              <w:widowControl/>
              <w:rPr>
                <w:color w:val="000000"/>
              </w:rPr>
            </w:pPr>
            <w:r>
              <w:rPr>
                <w:color w:val="000000"/>
              </w:rPr>
              <w:t xml:space="preserve">治太文件</w:t>
            </w:r>
            <w:r/>
          </w:p>
        </w:tc>
        <w:tc>
          <w:tcPr>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734"/>
              <w:widowControl/>
              <w:rPr>
                <w:color w:val="000000"/>
              </w:rPr>
            </w:pPr>
            <w:r>
              <w:rPr>
                <w:color w:val="000000"/>
              </w:rPr>
              <w:t xml:space="preserve">治太项目基础信息、整治类型、工程进度等数据。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734"/>
              <w:jc w:val="center"/>
              <w:widowControl/>
              <w:rPr>
                <w:color w:val="000000"/>
              </w:rPr>
            </w:pPr>
            <w:r>
              <w:rPr>
                <w:color w:val="000000"/>
              </w:rPr>
              <w:t xml:space="preserve">各版块各部门</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tcPr>
          <w:p>
            <w:pPr>
              <w:pStyle w:val="734"/>
              <w:jc w:val="center"/>
              <w:widowControl/>
              <w:rPr>
                <w:color w:val="000000"/>
              </w:rPr>
            </w:pPr>
            <w:r>
              <w:rPr>
                <w:color w:val="000000"/>
              </w:rPr>
              <w:t xml:space="preserve">数据文件导入</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734"/>
              <w:jc w:val="center"/>
              <w:widowControl/>
              <w:rPr>
                <w:color w:val="000000"/>
              </w:rPr>
            </w:pPr>
            <w:r>
              <w:rPr>
                <w:color w:val="000000"/>
              </w:rPr>
              <w:t xml:space="preserve">每月更新</w:t>
            </w:r>
            <w:r/>
          </w:p>
        </w:tc>
      </w:tr>
    </w:tbl>
    <w:p>
      <w:pPr>
        <w:pStyle w:val="734"/>
        <w:ind w:firstLine="422"/>
        <w:rPr>
          <w:b/>
          <w:bCs/>
          <w:color w:val="000000"/>
        </w:rPr>
      </w:pPr>
      <w:r>
        <w:rPr>
          <w:rFonts w:hint="eastAsia"/>
          <w:b/>
          <w:bCs/>
          <w:color w:val="000000"/>
        </w:rPr>
        <w:t xml:space="preserve">1.2 物联网感知管理</w:t>
      </w:r>
      <w:r>
        <w:rPr>
          <w:b/>
          <w:bCs/>
          <w:color w:val="000000"/>
        </w:rPr>
      </w:r>
      <w:r/>
    </w:p>
    <w:p>
      <w:pPr>
        <w:pStyle w:val="853"/>
        <w:ind w:firstLine="420"/>
        <w:rPr>
          <w:color w:val="000000"/>
        </w:rPr>
      </w:pPr>
      <w:r>
        <w:rPr>
          <w:color w:val="000000"/>
        </w:rPr>
        <w:t xml:space="preserve">现场端集成仪器设备，满足HJ/T 212传输协议、地表水传输协议等标准，实现包括地表水、污染源、地下水、污水管网、入河排口等各类站点数据互联互通。</w:t>
      </w:r>
      <w:r/>
    </w:p>
    <w:p>
      <w:pPr>
        <w:pStyle w:val="853"/>
        <w:ind w:firstLine="420"/>
        <w:rPr>
          <w:color w:val="000000"/>
        </w:rPr>
      </w:pPr>
      <w:r>
        <w:rPr>
          <w:color w:val="000000"/>
        </w:rPr>
        <w:t xml:space="preserve">物联网感知管理功能</w:t>
      </w:r>
      <w:r>
        <w:rPr>
          <w:rFonts w:hint="eastAsia"/>
          <w:color w:val="000000"/>
        </w:rPr>
        <w:t xml:space="preserve">应</w:t>
      </w:r>
      <w:r>
        <w:rPr>
          <w:color w:val="000000"/>
        </w:rPr>
        <w:t xml:space="preserve">包括设备管理、数据转发、远程控制、连接管理、数据保存、异常检测、数据回补等功能。</w:t>
      </w:r>
      <w:r/>
    </w:p>
    <w:p>
      <w:pPr>
        <w:pStyle w:val="734"/>
        <w:ind w:firstLine="422"/>
        <w:rPr>
          <w:b/>
          <w:bCs/>
          <w:color w:val="000000"/>
        </w:rPr>
      </w:pPr>
      <w:r>
        <w:rPr>
          <w:rFonts w:hint="eastAsia"/>
          <w:b/>
          <w:bCs/>
          <w:color w:val="000000"/>
        </w:rPr>
        <w:t xml:space="preserve">1.3 业务模型管理</w:t>
      </w:r>
      <w:r>
        <w:rPr>
          <w:b/>
          <w:bCs/>
          <w:color w:val="000000"/>
        </w:rPr>
      </w:r>
      <w:r/>
    </w:p>
    <w:p>
      <w:pPr>
        <w:pStyle w:val="734"/>
        <w:ind w:firstLine="420"/>
        <w:rPr>
          <w:color w:val="000000"/>
        </w:rPr>
      </w:pPr>
      <w:r>
        <w:rPr>
          <w:color w:val="000000"/>
        </w:rPr>
        <w:t xml:space="preserve">构建适合无锡太湖流域实际状况的水环境预测预警模型，主要包含水动力水质耦合模型、数据统计分析模型、水华预测预警模型、水污染溯源扩散模型等，实现重点断面水质水量预测预警。基于模型开展水华预测预警、水质断面污染溯源、突发水污染事故应急模拟，支撑水环境管理决策，提升对无锡太湖流域突发事件提前预判、提前处置和协同指挥决策能力。</w:t>
      </w:r>
      <w:r/>
    </w:p>
    <w:p>
      <w:pPr>
        <w:pStyle w:val="734"/>
        <w:ind w:firstLine="420"/>
        <w:rPr>
          <w:color w:val="000000"/>
        </w:rPr>
      </w:pPr>
      <w:r>
        <w:rPr>
          <w:rFonts w:hint="eastAsia"/>
          <w:color w:val="000000"/>
        </w:rPr>
        <w:t xml:space="preserve">模型的相关技术指标要求如下：</w:t>
      </w:r>
      <w:r>
        <w:rPr>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82"/>
        <w:gridCol w:w="6587"/>
      </w:tblGrid>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54"/>
              <w:rPr>
                <w:color w:val="000000"/>
              </w:rPr>
            </w:pPr>
            <w:r>
              <w:rPr>
                <w:color w:val="000000"/>
              </w:rPr>
              <w:t xml:space="preserve">模型技术指标</w:t>
            </w:r>
            <w:r/>
          </w:p>
        </w:tc>
        <w:tc>
          <w:tcPr>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pStyle w:val="854"/>
              <w:rPr>
                <w:color w:val="000000"/>
              </w:rPr>
            </w:pPr>
            <w:r>
              <w:rPr>
                <w:color w:val="000000"/>
              </w:rPr>
              <w:t xml:space="preserve">要求</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54"/>
              <w:rPr>
                <w:color w:val="000000"/>
              </w:rPr>
            </w:pPr>
            <w:r>
              <w:rPr>
                <w:color w:val="000000"/>
              </w:rPr>
              <w:t xml:space="preserve">预测能力要求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4"/>
              <w:rPr>
                <w:color w:val="000000"/>
              </w:rPr>
            </w:pPr>
            <w:r>
              <w:rPr>
                <w:color w:val="000000"/>
              </w:rPr>
              <w:t xml:space="preserve">水华、水量水质的模拟预测，能根据业务需求开展未来1-7天的预测模拟</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54"/>
              <w:rPr>
                <w:color w:val="000000"/>
              </w:rPr>
            </w:pPr>
            <w:r>
              <w:rPr>
                <w:color w:val="000000"/>
              </w:rPr>
              <w:t xml:space="preserve">模拟准确率要求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4"/>
              <w:rPr>
                <w:color w:val="000000"/>
              </w:rPr>
            </w:pPr>
            <w:r>
              <w:rPr>
                <w:color w:val="000000"/>
              </w:rPr>
              <w:t xml:space="preserve">本项目使用的各类模型与方法均需使用本地历史资料进行充分的本地化参数率定、校准、水质浓度预测准确度不低于60%（相对误差在±30%为预测准确）</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54"/>
              <w:rPr>
                <w:color w:val="000000"/>
              </w:rPr>
            </w:pPr>
            <w:r>
              <w:rPr>
                <w:color w:val="000000"/>
              </w:rPr>
              <w:t xml:space="preserve">模型计算时间要求</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4"/>
              <w:rPr>
                <w:color w:val="000000"/>
              </w:rPr>
            </w:pPr>
            <w:r>
              <w:rPr>
                <w:color w:val="000000"/>
              </w:rPr>
              <w:t xml:space="preserve">模型构建完成后，应对模型进行长时间的率定，提高模型运行的效率以及准确度，需能够达到每次流域数值预报的计算时间不超过4小时，重点河段多维预报的计算时间不超过12小时的要求，水华预测预警的计算时间不超过12小时的要求，保证模型可高效率运行</w:t>
            </w:r>
            <w:r/>
          </w:p>
        </w:tc>
      </w:tr>
      <w:tr>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54"/>
              <w:rPr>
                <w:color w:val="000000"/>
              </w:rPr>
            </w:pPr>
            <w:r>
              <w:rPr>
                <w:color w:val="000000"/>
              </w:rPr>
              <w:t xml:space="preserve">模型输出结果的时间间隔</w:t>
            </w:r>
            <w:r/>
          </w:p>
        </w:tc>
        <w:tc>
          <w:tcPr>
            <w:tcBorders>
              <w:top w:val="single" w:color="000000" w:sz="4" w:space="0"/>
              <w:left w:val="single" w:color="000000" w:sz="4" w:space="0"/>
              <w:bottom w:val="single" w:color="000000" w:sz="4" w:space="0"/>
              <w:right w:val="single" w:color="000000" w:sz="4" w:space="0"/>
            </w:tcBorders>
            <w:tcW w:w="3592" w:type="pct"/>
            <w:vAlign w:val="top"/>
            <w:textDirection w:val="lrTb"/>
            <w:noWrap w:val="false"/>
          </w:tcPr>
          <w:p>
            <w:pPr>
              <w:pStyle w:val="734"/>
              <w:rPr>
                <w:color w:val="000000"/>
              </w:rPr>
            </w:pPr>
            <w:r>
              <w:rPr>
                <w:color w:val="000000"/>
              </w:rPr>
              <w:t xml:space="preserve">模型系统在运行期间，可达到以下性能：</w:t>
            </w:r>
            <w:r/>
          </w:p>
          <w:p>
            <w:pPr>
              <w:pStyle w:val="734"/>
              <w:rPr>
                <w:color w:val="000000"/>
              </w:rPr>
            </w:pPr>
            <w:r>
              <w:rPr>
                <w:color w:val="000000"/>
              </w:rPr>
              <w:t xml:space="preserve">1）数据统计分析模型、水华预测预警模型预测输出结果的时间间隔不大于24小时</w:t>
            </w:r>
            <w:r>
              <w:rPr>
                <w:rFonts w:hint="eastAsia"/>
                <w:color w:val="000000"/>
              </w:rPr>
              <w:t xml:space="preserve">；</w:t>
            </w:r>
            <w:r>
              <w:rPr>
                <w:color w:val="000000"/>
              </w:rPr>
            </w:r>
            <w:r/>
          </w:p>
          <w:p>
            <w:pPr>
              <w:pStyle w:val="734"/>
              <w:rPr>
                <w:color w:val="000000"/>
              </w:rPr>
            </w:pPr>
            <w:r>
              <w:rPr>
                <w:color w:val="000000"/>
              </w:rPr>
              <w:t xml:space="preserve">2）水动力水质、水质断面污染溯源、突发水污染事故模拟及分析等机理模型预测输出结果的时间间隔不大于4小时。</w:t>
            </w:r>
            <w:r/>
          </w:p>
        </w:tc>
      </w:tr>
    </w:tbl>
    <w:p>
      <w:pPr>
        <w:pStyle w:val="734"/>
        <w:ind w:left="420"/>
        <w:rPr>
          <w:b/>
          <w:bCs/>
          <w:color w:val="000000"/>
        </w:rPr>
      </w:pPr>
      <w:r>
        <w:rPr>
          <w:rFonts w:hint="eastAsia"/>
          <w:b/>
          <w:bCs/>
          <w:color w:val="000000"/>
        </w:rPr>
        <w:t xml:space="preserve">1.4 智库调度引擎</w:t>
      </w:r>
      <w:r>
        <w:rPr>
          <w:b/>
          <w:bCs/>
          <w:color w:val="000000"/>
        </w:rPr>
      </w:r>
      <w:r/>
    </w:p>
    <w:p>
      <w:pPr>
        <w:pStyle w:val="734"/>
        <w:ind w:firstLine="420"/>
        <w:rPr>
          <w:color w:val="000000"/>
        </w:rPr>
      </w:pPr>
      <w:r>
        <w:rPr>
          <w:color w:val="000000"/>
        </w:rPr>
        <w:t xml:space="preserve">为提升监管部门对生态环境事件等的响应速度、精准度等，系统建立无锡太湖流域智库调度引擎模块，包括指挥调度规则库、专家经验库、数字化预案库、智能算法和调度智能引擎等。</w:t>
      </w:r>
      <w:r/>
    </w:p>
    <w:p>
      <w:pPr>
        <w:pStyle w:val="734"/>
        <w:ind w:left="420"/>
        <w:rPr>
          <w:b/>
          <w:bCs/>
          <w:color w:val="000000"/>
        </w:rPr>
      </w:pPr>
      <w:r>
        <w:rPr>
          <w:rFonts w:hint="eastAsia"/>
          <w:b/>
          <w:bCs/>
          <w:color w:val="000000"/>
        </w:rPr>
        <w:t xml:space="preserve">1.5 数字孪生引擎</w:t>
      </w:r>
      <w:r>
        <w:rPr>
          <w:b/>
          <w:bCs/>
          <w:color w:val="000000"/>
        </w:rPr>
      </w:r>
      <w:r/>
    </w:p>
    <w:p>
      <w:pPr>
        <w:pStyle w:val="734"/>
        <w:ind w:firstLine="420"/>
        <w:rPr>
          <w:color w:val="000000"/>
        </w:rPr>
      </w:pPr>
      <w:r>
        <w:rPr>
          <w:rFonts w:hint="eastAsia"/>
          <w:color w:val="000000"/>
        </w:rPr>
        <w:t xml:space="preserve">针对数字孪生平台可视化需求，孪生引擎需具备支持如下类型的要素数据能力：</w:t>
      </w:r>
      <w:r>
        <w:rPr>
          <w:color w:val="000000"/>
        </w:rPr>
      </w:r>
      <w:r/>
    </w:p>
    <w:tbl>
      <w:tblPr>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4"/>
        <w:gridCol w:w="6783"/>
      </w:tblGrid>
      <w:tr>
        <w:trPr/>
        <w:tc>
          <w:tcPr>
            <w:tcW w:w="1754" w:type="dxa"/>
            <w:vAlign w:val="top"/>
            <w:textDirection w:val="lrTb"/>
            <w:noWrap w:val="false"/>
          </w:tcPr>
          <w:p>
            <w:pPr>
              <w:pStyle w:val="852"/>
              <w:rPr>
                <w:color w:val="000000"/>
              </w:rPr>
            </w:pPr>
            <w:r>
              <w:rPr>
                <w:rFonts w:hint="eastAsia"/>
                <w:color w:val="000000"/>
              </w:rPr>
              <w:t xml:space="preserve">数据类型</w:t>
            </w:r>
            <w:r>
              <w:rPr>
                <w:color w:val="000000"/>
              </w:rPr>
            </w:r>
            <w:r/>
          </w:p>
        </w:tc>
        <w:tc>
          <w:tcPr>
            <w:tcW w:w="6783" w:type="dxa"/>
            <w:vAlign w:val="top"/>
            <w:textDirection w:val="lrTb"/>
            <w:noWrap w:val="false"/>
          </w:tcPr>
          <w:p>
            <w:pPr>
              <w:pStyle w:val="852"/>
              <w:rPr>
                <w:color w:val="000000"/>
              </w:rPr>
            </w:pPr>
            <w:r>
              <w:rPr>
                <w:rFonts w:hint="eastAsia"/>
                <w:color w:val="000000"/>
              </w:rPr>
              <w:t xml:space="preserve">指标说明</w:t>
            </w:r>
            <w:r>
              <w:rPr>
                <w:color w:val="000000"/>
              </w:rPr>
            </w:r>
            <w:r/>
          </w:p>
        </w:tc>
      </w:tr>
      <w:tr>
        <w:trPr/>
        <w:tc>
          <w:tcPr>
            <w:tcW w:w="1754" w:type="dxa"/>
            <w:vAlign w:val="center"/>
            <w:textDirection w:val="lrTb"/>
            <w:noWrap w:val="false"/>
          </w:tcPr>
          <w:p>
            <w:pPr>
              <w:pStyle w:val="852"/>
              <w:rPr>
                <w:color w:val="000000"/>
              </w:rPr>
            </w:pPr>
            <w:r>
              <w:rPr>
                <w:rFonts w:hint="eastAsia"/>
                <w:color w:val="000000"/>
              </w:rPr>
              <w:t xml:space="preserve">地形</w:t>
            </w:r>
            <w:r>
              <w:rPr>
                <w:color w:val="000000"/>
              </w:rPr>
            </w:r>
            <w:r/>
          </w:p>
        </w:tc>
        <w:tc>
          <w:tcPr>
            <w:tcW w:w="6783" w:type="dxa"/>
            <w:vAlign w:val="top"/>
            <w:textDirection w:val="lrTb"/>
            <w:noWrap w:val="false"/>
          </w:tcPr>
          <w:p>
            <w:pPr>
              <w:pStyle w:val="852"/>
              <w:rPr>
                <w:color w:val="000000"/>
              </w:rPr>
            </w:pPr>
            <w:r>
              <w:rPr>
                <w:rFonts w:hint="eastAsia"/>
                <w:color w:val="000000"/>
              </w:rPr>
              <w:t xml:space="preserve">支持国内资质图商在线地形及自定义地形服务加载渲染；</w:t>
            </w:r>
            <w:r>
              <w:rPr>
                <w:color w:val="000000"/>
              </w:rPr>
            </w:r>
            <w:r/>
          </w:p>
        </w:tc>
      </w:tr>
      <w:tr>
        <w:trPr/>
        <w:tc>
          <w:tcPr>
            <w:tcW w:w="1754" w:type="dxa"/>
            <w:vAlign w:val="center"/>
            <w:textDirection w:val="lrTb"/>
            <w:noWrap w:val="false"/>
          </w:tcPr>
          <w:p>
            <w:pPr>
              <w:pStyle w:val="852"/>
              <w:rPr>
                <w:color w:val="000000"/>
              </w:rPr>
            </w:pPr>
            <w:r>
              <w:rPr>
                <w:rFonts w:hint="eastAsia"/>
                <w:color w:val="000000"/>
              </w:rPr>
              <w:t xml:space="preserve">影像</w:t>
            </w:r>
            <w:r>
              <w:rPr>
                <w:color w:val="000000"/>
              </w:rPr>
            </w:r>
            <w:r/>
          </w:p>
        </w:tc>
        <w:tc>
          <w:tcPr>
            <w:tcW w:w="6783" w:type="dxa"/>
            <w:vAlign w:val="top"/>
            <w:textDirection w:val="lrTb"/>
            <w:noWrap w:val="false"/>
          </w:tcPr>
          <w:p>
            <w:pPr>
              <w:pStyle w:val="852"/>
              <w:rPr>
                <w:color w:val="000000"/>
              </w:rPr>
            </w:pPr>
            <w:r>
              <w:rPr>
                <w:rFonts w:hint="eastAsia"/>
                <w:color w:val="000000"/>
              </w:rPr>
              <w:t xml:space="preserve">支持天地图、星图地球、高德地图、江苏省天地图主流图源及自定义图源的在线加载与渲染；</w:t>
            </w:r>
            <w:r>
              <w:rPr>
                <w:color w:val="000000"/>
              </w:rPr>
            </w:r>
            <w:r/>
          </w:p>
        </w:tc>
      </w:tr>
      <w:tr>
        <w:trPr/>
        <w:tc>
          <w:tcPr>
            <w:tcW w:w="1754" w:type="dxa"/>
            <w:vAlign w:val="center"/>
            <w:textDirection w:val="lrTb"/>
            <w:noWrap w:val="false"/>
          </w:tcPr>
          <w:p>
            <w:pPr>
              <w:pStyle w:val="852"/>
              <w:rPr>
                <w:color w:val="000000"/>
              </w:rPr>
            </w:pPr>
            <w:r>
              <w:rPr>
                <w:rFonts w:hint="eastAsia"/>
                <w:color w:val="000000"/>
              </w:rPr>
              <w:t xml:space="preserve">投影坐标</w:t>
            </w:r>
            <w:r>
              <w:rPr>
                <w:color w:val="000000"/>
              </w:rPr>
            </w:r>
            <w:r/>
          </w:p>
        </w:tc>
        <w:tc>
          <w:tcPr>
            <w:tcW w:w="6783" w:type="dxa"/>
            <w:vAlign w:val="top"/>
            <w:textDirection w:val="lrTb"/>
            <w:noWrap w:val="false"/>
          </w:tcPr>
          <w:p>
            <w:pPr>
              <w:pStyle w:val="852"/>
              <w:rPr>
                <w:color w:val="000000"/>
              </w:rPr>
            </w:pPr>
            <w:r>
              <w:rPr>
                <w:rFonts w:hint="eastAsia"/>
                <w:color w:val="000000"/>
              </w:rPr>
              <w:t xml:space="preserve">支持CGCS2000、WGS84、GCJ02投影坐标系图源，且支持不同图源无偏差叠加；</w:t>
            </w:r>
            <w:r>
              <w:rPr>
                <w:color w:val="000000"/>
              </w:rPr>
            </w:r>
            <w:r/>
          </w:p>
        </w:tc>
      </w:tr>
      <w:tr>
        <w:trPr/>
        <w:tc>
          <w:tcPr>
            <w:tcW w:w="1754" w:type="dxa"/>
            <w:vAlign w:val="center"/>
            <w:textDirection w:val="lrTb"/>
            <w:noWrap w:val="false"/>
          </w:tcPr>
          <w:p>
            <w:pPr>
              <w:pStyle w:val="852"/>
              <w:rPr>
                <w:color w:val="000000"/>
              </w:rPr>
            </w:pPr>
            <w:r>
              <w:rPr>
                <w:rFonts w:hint="eastAsia"/>
                <w:color w:val="000000"/>
              </w:rPr>
              <w:t xml:space="preserve">矢量</w:t>
            </w:r>
            <w:r>
              <w:rPr>
                <w:color w:val="000000"/>
              </w:rPr>
            </w:r>
            <w:r/>
          </w:p>
        </w:tc>
        <w:tc>
          <w:tcPr>
            <w:tcW w:w="6783" w:type="dxa"/>
            <w:vAlign w:val="top"/>
            <w:textDirection w:val="lrTb"/>
            <w:noWrap w:val="false"/>
          </w:tcPr>
          <w:p>
            <w:pPr>
              <w:pStyle w:val="852"/>
              <w:rPr>
                <w:color w:val="000000"/>
              </w:rPr>
            </w:pPr>
            <w:r>
              <w:rPr>
                <w:rFonts w:hint="eastAsia"/>
                <w:color w:val="000000"/>
              </w:rPr>
              <w:t xml:space="preserve">支持shp格式矢量数据在三维场景中动态模型加载；</w:t>
            </w:r>
            <w:r>
              <w:rPr>
                <w:color w:val="000000"/>
              </w:rPr>
            </w:r>
            <w:r/>
          </w:p>
        </w:tc>
      </w:tr>
      <w:tr>
        <w:trPr/>
        <w:tc>
          <w:tcPr>
            <w:tcW w:w="1754" w:type="dxa"/>
            <w:vAlign w:val="center"/>
            <w:textDirection w:val="lrTb"/>
            <w:noWrap w:val="false"/>
          </w:tcPr>
          <w:p>
            <w:pPr>
              <w:pStyle w:val="852"/>
              <w:rPr>
                <w:color w:val="000000"/>
              </w:rPr>
            </w:pPr>
            <w:r>
              <w:rPr>
                <w:rFonts w:hint="eastAsia"/>
                <w:color w:val="000000"/>
              </w:rPr>
              <w:t xml:space="preserve">栅格</w:t>
            </w:r>
            <w:r>
              <w:rPr>
                <w:color w:val="000000"/>
              </w:rPr>
            </w:r>
            <w:r/>
          </w:p>
        </w:tc>
        <w:tc>
          <w:tcPr>
            <w:tcW w:w="6783" w:type="dxa"/>
            <w:vAlign w:val="top"/>
            <w:textDirection w:val="lrTb"/>
            <w:noWrap w:val="false"/>
          </w:tcPr>
          <w:p>
            <w:pPr>
              <w:pStyle w:val="852"/>
              <w:rPr>
                <w:color w:val="000000"/>
              </w:rPr>
            </w:pPr>
            <w:r>
              <w:rPr>
                <w:rFonts w:hint="eastAsia"/>
                <w:color w:val="000000"/>
              </w:rPr>
              <w:t xml:space="preserve">支持tif格式栅格数据在三维场景中动态二三维可视化分析渲染；</w:t>
            </w:r>
            <w:r>
              <w:rPr>
                <w:color w:val="000000"/>
              </w:rPr>
            </w:r>
            <w:r/>
          </w:p>
        </w:tc>
      </w:tr>
    </w:tbl>
    <w:p>
      <w:pPr>
        <w:pStyle w:val="734"/>
        <w:ind w:firstLine="420"/>
        <w:rPr>
          <w:color w:val="000000"/>
        </w:rPr>
      </w:pPr>
      <w:r>
        <w:rPr>
          <w:color w:val="000000"/>
        </w:rPr>
        <w:t xml:space="preserve">建立三维仿真模型，实现三维倾斜、BIM静态数据、模型成果的管理和展示：</w:t>
      </w:r>
      <w:r/>
    </w:p>
    <w:p>
      <w:pPr>
        <w:pStyle w:val="734"/>
        <w:ind w:firstLine="420"/>
        <w:rPr>
          <w:color w:val="000000"/>
        </w:rPr>
      </w:pPr>
      <w:r>
        <w:rPr>
          <w:color w:val="000000"/>
        </w:rPr>
        <w:t xml:space="preserve">1）生态数字孪生模型</w:t>
      </w:r>
      <w:r/>
    </w:p>
    <w:p>
      <w:pPr>
        <w:pStyle w:val="734"/>
        <w:ind w:firstLine="420"/>
        <w:rPr>
          <w:color w:val="000000"/>
        </w:rPr>
      </w:pPr>
      <w:r>
        <w:rPr>
          <w:color w:val="000000"/>
        </w:rPr>
        <w:t xml:space="preserve">按照河道水深与水流速分类考虑，构建以沉水植物为主，结合挺水植物、浮叶植物的草型植物水生态模型，在全流域内构建“鱼类-底栖动物”水生动物系统模型，实现水体中观赏植物和观赏动物在视觉和美学角度上的协调统一，提升景观效果。</w:t>
      </w:r>
      <w:r/>
    </w:p>
    <w:p>
      <w:pPr>
        <w:pStyle w:val="734"/>
        <w:ind w:firstLine="420"/>
        <w:rPr>
          <w:color w:val="000000"/>
        </w:rPr>
      </w:pPr>
      <w:r>
        <w:rPr>
          <w:color w:val="000000"/>
        </w:rPr>
        <w:t xml:space="preserve">2）孪生模型可视化加载</w:t>
      </w:r>
      <w:r/>
    </w:p>
    <w:p>
      <w:pPr>
        <w:pStyle w:val="734"/>
        <w:ind w:firstLine="420"/>
        <w:rPr>
          <w:color w:val="000000"/>
        </w:rPr>
      </w:pPr>
      <w:r>
        <w:rPr>
          <w:color w:val="000000"/>
        </w:rPr>
        <w:t xml:space="preserve">支撑生物数字孪生模型加载与场景融合展示需求。由基础数据可视化模块、专题数据可视化模块、影像数据可视化模块、矢量数据可视化模块、模型数据可视化模块、报表数据可视化模块组成。</w:t>
      </w:r>
      <w:r/>
    </w:p>
    <w:p>
      <w:pPr>
        <w:pStyle w:val="734"/>
        <w:ind w:firstLine="420"/>
        <w:rPr>
          <w:color w:val="000000"/>
        </w:rPr>
      </w:pPr>
      <w:r>
        <w:rPr>
          <w:color w:val="000000"/>
        </w:rPr>
        <w:t xml:space="preserve">3）场景融合展示</w:t>
      </w:r>
      <w:r/>
    </w:p>
    <w:p>
      <w:pPr>
        <w:pStyle w:val="734"/>
        <w:ind w:firstLine="420"/>
        <w:rPr>
          <w:color w:val="000000"/>
        </w:rPr>
      </w:pPr>
      <w:r>
        <w:rPr>
          <w:color w:val="000000"/>
        </w:rPr>
        <w:t xml:space="preserve">可通过三维数据坐标转换、边界裁剪运算、三维模型布尔运算等方法，实现地形、水面、BIM等多源数据之间的场景融合。</w:t>
      </w:r>
      <w:r/>
    </w:p>
    <w:p>
      <w:pPr>
        <w:pStyle w:val="734"/>
        <w:ind w:firstLine="420"/>
        <w:rPr>
          <w:color w:val="000000"/>
        </w:rPr>
      </w:pPr>
      <w:r>
        <w:rPr>
          <w:color w:val="000000"/>
        </w:rPr>
        <w:t xml:space="preserve">4）云、端渲染支持</w:t>
      </w:r>
      <w:r/>
    </w:p>
    <w:p>
      <w:pPr>
        <w:pStyle w:val="734"/>
        <w:ind w:firstLine="420"/>
        <w:rPr>
          <w:color w:val="000000"/>
        </w:rPr>
      </w:pPr>
      <w:r>
        <w:rPr>
          <w:color w:val="000000"/>
        </w:rPr>
        <w:t xml:space="preserve">引擎支持云侧与端侧两种渲染模式，可根据应用场景需求选择合适的模式。</w:t>
      </w:r>
      <w:r/>
    </w:p>
    <w:p>
      <w:pPr>
        <w:pStyle w:val="734"/>
        <w:ind w:firstLine="420"/>
        <w:rPr>
          <w:color w:val="000000"/>
        </w:rPr>
      </w:pPr>
      <w:r>
        <w:rPr>
          <w:color w:val="000000"/>
        </w:rPr>
        <w:t xml:space="preserve">5）场景漫游管理</w:t>
      </w:r>
      <w:r/>
    </w:p>
    <w:p>
      <w:pPr>
        <w:pStyle w:val="734"/>
        <w:ind w:firstLine="420"/>
        <w:rPr>
          <w:color w:val="000000"/>
        </w:rPr>
      </w:pPr>
      <w:r>
        <w:rPr>
          <w:color w:val="000000"/>
        </w:rPr>
        <w:t xml:space="preserve">可通过键盘及鼠标对场景进行平移、拖动、旋转、拉伸、位置信息等操作、</w:t>
      </w:r>
      <w:r/>
    </w:p>
    <w:p>
      <w:pPr>
        <w:pStyle w:val="734"/>
        <w:ind w:firstLine="420"/>
        <w:rPr>
          <w:color w:val="000000"/>
        </w:rPr>
      </w:pPr>
      <w:r>
        <w:rPr>
          <w:color w:val="000000"/>
        </w:rPr>
        <w:t xml:space="preserve">6）专题图层管理</w:t>
      </w:r>
      <w:r/>
    </w:p>
    <w:p>
      <w:pPr>
        <w:pStyle w:val="734"/>
        <w:ind w:firstLine="420"/>
        <w:rPr>
          <w:color w:val="000000"/>
        </w:rPr>
      </w:pPr>
      <w:r>
        <w:rPr>
          <w:color w:val="000000"/>
        </w:rPr>
        <w:t xml:space="preserve">基于图层管理技术实现对不同子场景的分级管理与加载，包括道路图层、水系图层、专题图层、模型图层、栅格图层、行政区划。</w:t>
      </w:r>
      <w:r/>
    </w:p>
    <w:p>
      <w:pPr>
        <w:pStyle w:val="734"/>
        <w:ind w:firstLine="420"/>
        <w:rPr>
          <w:color w:val="000000"/>
        </w:rPr>
      </w:pPr>
      <w:r>
        <w:rPr>
          <w:color w:val="000000"/>
        </w:rPr>
        <w:t xml:space="preserve">7）场景标绘管理</w:t>
      </w:r>
      <w:r/>
    </w:p>
    <w:p>
      <w:pPr>
        <w:pStyle w:val="734"/>
        <w:ind w:firstLine="420"/>
        <w:rPr>
          <w:color w:val="000000"/>
        </w:rPr>
      </w:pPr>
      <w:r>
        <w:rPr>
          <w:color w:val="000000"/>
        </w:rPr>
        <w:t xml:space="preserve">可以3D、2D、矩形区域等不同形式标绘POI点位，实现该点位的动态加载及增删改查等功能。</w:t>
      </w:r>
      <w:r/>
    </w:p>
    <w:p>
      <w:pPr>
        <w:pStyle w:val="734"/>
        <w:ind w:firstLine="420"/>
        <w:rPr>
          <w:color w:val="000000"/>
        </w:rPr>
      </w:pPr>
      <w:r>
        <w:rPr>
          <w:color w:val="000000"/>
        </w:rPr>
        <w:t xml:space="preserve">8）可视数据面板</w:t>
      </w:r>
      <w:r/>
    </w:p>
    <w:p>
      <w:pPr>
        <w:pStyle w:val="734"/>
        <w:ind w:firstLine="420"/>
        <w:rPr>
          <w:color w:val="000000"/>
        </w:rPr>
      </w:pPr>
      <w:r>
        <w:rPr>
          <w:color w:val="000000"/>
        </w:rPr>
        <w:t xml:space="preserve">支持业务系统各专题2D图表的集成，实现2D图表与孪生场景的双向交互，为数字孪生可视化提供集成，实现二三维一体化。</w:t>
      </w:r>
      <w:r/>
    </w:p>
    <w:p>
      <w:pPr>
        <w:pStyle w:val="734"/>
        <w:ind w:firstLine="420"/>
        <w:rPr>
          <w:color w:val="000000"/>
        </w:rPr>
      </w:pPr>
      <w:r>
        <w:rPr>
          <w:color w:val="000000"/>
        </w:rPr>
        <w:t xml:space="preserve">9）视角预设管理</w:t>
      </w:r>
      <w:r/>
    </w:p>
    <w:p>
      <w:pPr>
        <w:pStyle w:val="734"/>
        <w:ind w:firstLine="420"/>
        <w:rPr>
          <w:color w:val="000000"/>
        </w:rPr>
      </w:pPr>
      <w:r>
        <w:rPr>
          <w:color w:val="000000"/>
        </w:rPr>
        <w:t xml:space="preserve">可预设不同位置视角，通过点击快速切换关注点信息。</w:t>
      </w:r>
      <w:r/>
    </w:p>
    <w:p>
      <w:pPr>
        <w:pStyle w:val="734"/>
        <w:ind w:firstLine="420"/>
        <w:rPr>
          <w:color w:val="000000"/>
        </w:rPr>
      </w:pPr>
      <w:r>
        <w:rPr>
          <w:color w:val="000000"/>
        </w:rPr>
        <w:t xml:space="preserve">10）场景要素构建工具</w:t>
      </w:r>
      <w:r/>
    </w:p>
    <w:p>
      <w:pPr>
        <w:pStyle w:val="734"/>
        <w:ind w:firstLine="420"/>
        <w:rPr>
          <w:color w:val="000000"/>
        </w:rPr>
      </w:pPr>
      <w:r>
        <w:rPr>
          <w:color w:val="000000"/>
        </w:rPr>
        <w:t xml:space="preserve">支持基于地理信息栅格数据、矢量数据构建孪生场景地形构建、要素构建、植被构建能力，可准确、高效的生成与迭代孪生场景的L1、L2级模型。</w:t>
      </w:r>
      <w:r/>
    </w:p>
    <w:p>
      <w:pPr>
        <w:pStyle w:val="734"/>
        <w:ind w:left="420"/>
        <w:rPr>
          <w:b/>
          <w:bCs/>
          <w:color w:val="000000"/>
        </w:rPr>
      </w:pPr>
      <w:r>
        <w:rPr>
          <w:rFonts w:hint="eastAsia"/>
          <w:b/>
          <w:bCs/>
          <w:color w:val="000000"/>
        </w:rPr>
        <w:t xml:space="preserve">1.6 基础信息管理</w:t>
      </w:r>
      <w:r>
        <w:rPr>
          <w:b/>
          <w:bCs/>
          <w:color w:val="000000"/>
        </w:rPr>
      </w:r>
      <w:r/>
    </w:p>
    <w:p>
      <w:pPr>
        <w:pStyle w:val="734"/>
        <w:ind w:firstLine="420"/>
        <w:rPr>
          <w:color w:val="000000"/>
        </w:rPr>
      </w:pPr>
      <w:r>
        <w:rPr>
          <w:rFonts w:hint="eastAsia"/>
          <w:color w:val="000000"/>
        </w:rPr>
        <w:t xml:space="preserve">基础信息管理应包含用户管理、站点信息管理、监测数据管理、运行与维护管理、数据质量控制与管理、视频监控管理、报警配置管理、基础配置管理等功能。</w:t>
      </w:r>
      <w:r>
        <w:rPr>
          <w:color w:val="000000"/>
        </w:rPr>
      </w:r>
      <w:r/>
    </w:p>
    <w:p>
      <w:pPr>
        <w:pStyle w:val="734"/>
        <w:ind w:left="420"/>
        <w:rPr>
          <w:b/>
          <w:bCs/>
          <w:color w:val="000000"/>
        </w:rPr>
      </w:pPr>
      <w:r>
        <w:rPr>
          <w:rFonts w:hint="eastAsia"/>
          <w:b/>
          <w:bCs/>
          <w:color w:val="000000"/>
        </w:rPr>
        <w:t xml:space="preserve">1.7 采运测管理</w:t>
      </w:r>
      <w:r>
        <w:rPr>
          <w:b/>
          <w:bCs/>
          <w:color w:val="000000"/>
        </w:rPr>
      </w:r>
      <w:r/>
    </w:p>
    <w:p>
      <w:pPr>
        <w:pStyle w:val="734"/>
        <w:ind w:firstLine="420"/>
        <w:rPr>
          <w:rFonts w:ascii="宋体" w:hAnsi="宋体" w:cs="宋体"/>
          <w:color w:val="000000"/>
        </w:rPr>
      </w:pPr>
      <w:r>
        <w:rPr>
          <w:rFonts w:hint="eastAsia" w:ascii="宋体" w:hAnsi="宋体" w:cs="宋体"/>
          <w:color w:val="000000"/>
        </w:rPr>
        <w:t xml:space="preserve">采运测全过程管理系统包括采样管理、智能运输管理、实验室管理、接样管理、检测管理、质控管理、数据应用功能，贯穿“采”、“运”、“测”再到“管”的全链条管理。</w:t>
      </w:r>
      <w:r>
        <w:rPr>
          <w:rFonts w:ascii="宋体" w:hAnsi="宋体" w:cs="宋体"/>
          <w:color w:val="000000"/>
        </w:rPr>
      </w:r>
      <w:r/>
    </w:p>
    <w:p>
      <w:pPr>
        <w:pStyle w:val="734"/>
        <w:ind w:left="420"/>
        <w:rPr>
          <w:b/>
          <w:bCs/>
          <w:color w:val="000000"/>
        </w:rPr>
      </w:pPr>
      <w:r>
        <w:rPr>
          <w:rFonts w:hint="eastAsia"/>
          <w:b/>
          <w:bCs/>
          <w:color w:val="000000"/>
        </w:rPr>
        <w:t xml:space="preserve">1.8 数字孪生可视化系统</w:t>
      </w:r>
      <w:r>
        <w:rPr>
          <w:b/>
          <w:bCs/>
          <w:color w:val="000000"/>
        </w:rPr>
      </w:r>
      <w:r/>
    </w:p>
    <w:p>
      <w:pPr>
        <w:pStyle w:val="734"/>
        <w:numPr>
          <w:ilvl w:val="0"/>
          <w:numId w:val="34"/>
        </w:numPr>
        <w:ind w:left="420"/>
        <w:rPr>
          <w:color w:val="000000"/>
        </w:rPr>
      </w:pPr>
      <w:r>
        <w:rPr>
          <w:rFonts w:hint="eastAsia"/>
          <w:color w:val="000000"/>
        </w:rPr>
        <w:t xml:space="preserve">空间数据资源建设</w:t>
      </w:r>
      <w:r>
        <w:rPr>
          <w:color w:val="000000"/>
        </w:rPr>
      </w:r>
      <w:r/>
    </w:p>
    <w:p>
      <w:pPr>
        <w:pStyle w:val="734"/>
        <w:ind w:firstLine="480"/>
        <w:rPr>
          <w:color w:val="000000"/>
        </w:rPr>
      </w:pPr>
      <w:r>
        <w:rPr>
          <w:rFonts w:hint="eastAsia"/>
          <w:color w:val="000000"/>
        </w:rPr>
        <w:t xml:space="preserve">借助卫星、无人机拍摄的重叠影像和地面影像，以及水下地形数据，辅以必要的激光扫描，采用不同尺度不同精度的分层级建设方式，从全流域-L1（无锡太湖流域）、重点区域-L2级（殷村港区域、水韵广场太湖附近）、重点水工程-L3（重点生态环境监测站、水利工程、藻水分离站、自动化实验室）三个维度进行数字化场景建设。 </w:t>
      </w:r>
      <w:r>
        <w:rPr>
          <w:color w:val="000000"/>
        </w:rPr>
      </w:r>
      <w:r/>
    </w:p>
    <w:p>
      <w:pPr>
        <w:pStyle w:val="734"/>
        <w:numPr>
          <w:ilvl w:val="0"/>
          <w:numId w:val="35"/>
        </w:numPr>
        <w:ind w:firstLine="420"/>
        <w:rPr>
          <w:color w:val="000000"/>
        </w:rPr>
      </w:pPr>
      <w:r>
        <w:rPr>
          <w:rFonts w:hint="eastAsia"/>
          <w:color w:val="000000"/>
        </w:rPr>
        <w:t xml:space="preserve">全流域L1级场景建模需求</w:t>
      </w:r>
      <w:r>
        <w:rPr>
          <w:color w:val="000000"/>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5"/>
        <w:gridCol w:w="4292"/>
      </w:tblGrid>
      <w:tr>
        <w:trPr>
          <w:trHeight w:val="90"/>
        </w:trPr>
        <w:tc>
          <w:tcPr>
            <w:tcW w:w="2658" w:type="pct"/>
            <w:vAlign w:val="top"/>
            <w:textDirection w:val="lrTb"/>
            <w:noWrap w:val="false"/>
          </w:tcPr>
          <w:p>
            <w:pPr>
              <w:pStyle w:val="852"/>
              <w:rPr>
                <w:color w:val="000000"/>
              </w:rPr>
            </w:pPr>
            <w:r>
              <w:rPr>
                <w:color w:val="000000"/>
              </w:rPr>
              <w:t xml:space="preserve">建模范围</w:t>
            </w:r>
            <w:r/>
          </w:p>
        </w:tc>
        <w:tc>
          <w:tcPr>
            <w:tcW w:w="2341" w:type="pct"/>
            <w:vAlign w:val="top"/>
            <w:textDirection w:val="lrTb"/>
            <w:noWrap w:val="false"/>
          </w:tcPr>
          <w:p>
            <w:pPr>
              <w:pStyle w:val="852"/>
              <w:rPr>
                <w:color w:val="000000"/>
              </w:rPr>
            </w:pPr>
            <w:r>
              <w:rPr>
                <w:color w:val="000000"/>
              </w:rPr>
              <w:t xml:space="preserve">面积</w:t>
            </w:r>
            <w:r/>
          </w:p>
        </w:tc>
      </w:tr>
      <w:tr>
        <w:trPr>
          <w:trHeight w:val="90"/>
        </w:trPr>
        <w:tc>
          <w:tcPr>
            <w:tcW w:w="2658" w:type="pct"/>
            <w:vAlign w:val="top"/>
            <w:textDirection w:val="lrTb"/>
            <w:noWrap w:val="false"/>
          </w:tcPr>
          <w:p>
            <w:pPr>
              <w:pStyle w:val="852"/>
              <w:rPr>
                <w:color w:val="000000"/>
              </w:rPr>
            </w:pPr>
            <w:r>
              <w:rPr>
                <w:color w:val="000000"/>
              </w:rPr>
              <w:t xml:space="preserve">全市域地形</w:t>
            </w:r>
            <w:r/>
          </w:p>
        </w:tc>
        <w:tc>
          <w:tcPr>
            <w:tcW w:w="2341" w:type="pct"/>
            <w:vAlign w:val="top"/>
            <w:textDirection w:val="lrTb"/>
            <w:noWrap w:val="false"/>
          </w:tcPr>
          <w:p>
            <w:pPr>
              <w:pStyle w:val="852"/>
              <w:rPr>
                <w:color w:val="000000"/>
              </w:rPr>
            </w:pPr>
            <w:r>
              <w:rPr>
                <w:color w:val="000000"/>
              </w:rPr>
              <w:t xml:space="preserve">4628km²</w:t>
            </w:r>
            <w:r/>
          </w:p>
        </w:tc>
      </w:tr>
      <w:tr>
        <w:trPr/>
        <w:tc>
          <w:tcPr>
            <w:tcW w:w="2658" w:type="pct"/>
            <w:vAlign w:val="top"/>
            <w:textDirection w:val="lrTb"/>
            <w:noWrap w:val="false"/>
          </w:tcPr>
          <w:p>
            <w:pPr>
              <w:pStyle w:val="852"/>
              <w:rPr>
                <w:color w:val="000000"/>
              </w:rPr>
            </w:pPr>
            <w:r>
              <w:rPr>
                <w:rFonts w:hint="eastAsia"/>
                <w:color w:val="000000"/>
              </w:rPr>
              <w:t xml:space="preserve">行政区划</w:t>
            </w:r>
            <w:r>
              <w:rPr>
                <w:color w:val="000000"/>
              </w:rPr>
            </w:r>
            <w:r/>
          </w:p>
        </w:tc>
        <w:tc>
          <w:tcPr>
            <w:tcW w:w="2341" w:type="pct"/>
            <w:vAlign w:val="top"/>
            <w:textDirection w:val="lrTb"/>
            <w:noWrap w:val="false"/>
          </w:tcPr>
          <w:p>
            <w:pPr>
              <w:pStyle w:val="852"/>
              <w:rPr>
                <w:color w:val="000000"/>
              </w:rPr>
            </w:pPr>
            <w:r>
              <w:rPr>
                <w:color w:val="000000"/>
              </w:rPr>
              <w:t xml:space="preserve">/</w:t>
            </w:r>
            <w:r/>
          </w:p>
        </w:tc>
      </w:tr>
      <w:tr>
        <w:trPr/>
        <w:tc>
          <w:tcPr>
            <w:tcW w:w="2658" w:type="pct"/>
            <w:vAlign w:val="top"/>
            <w:textDirection w:val="lrTb"/>
            <w:noWrap w:val="false"/>
          </w:tcPr>
          <w:p>
            <w:pPr>
              <w:pStyle w:val="852"/>
              <w:rPr>
                <w:color w:val="000000"/>
              </w:rPr>
            </w:pPr>
            <w:r>
              <w:rPr>
                <w:color w:val="000000"/>
              </w:rPr>
              <w:t xml:space="preserve">土地分类</w:t>
            </w:r>
            <w:r/>
          </w:p>
        </w:tc>
        <w:tc>
          <w:tcPr>
            <w:tcW w:w="2341" w:type="pct"/>
            <w:vAlign w:val="top"/>
            <w:textDirection w:val="lrTb"/>
            <w:noWrap w:val="false"/>
          </w:tcPr>
          <w:p>
            <w:pPr>
              <w:pStyle w:val="852"/>
              <w:rPr>
                <w:color w:val="000000"/>
              </w:rPr>
            </w:pPr>
            <w:r>
              <w:rPr>
                <w:color w:val="000000"/>
              </w:rPr>
              <w:t xml:space="preserve">/</w:t>
            </w:r>
            <w:r/>
          </w:p>
        </w:tc>
      </w:tr>
    </w:tbl>
    <w:p>
      <w:pPr>
        <w:pStyle w:val="734"/>
        <w:numPr>
          <w:ilvl w:val="0"/>
          <w:numId w:val="35"/>
        </w:numPr>
        <w:ind w:firstLine="420"/>
        <w:rPr>
          <w:color w:val="000000"/>
        </w:rPr>
      </w:pPr>
      <w:r>
        <w:rPr>
          <w:rFonts w:hint="eastAsia"/>
          <w:color w:val="000000"/>
        </w:rPr>
        <w:t xml:space="preserve">重点区域L2级场景建模需求</w:t>
      </w:r>
      <w:r>
        <w:rPr>
          <w:color w:val="000000"/>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3"/>
        <w:gridCol w:w="4094"/>
      </w:tblGrid>
      <w:tr>
        <w:trPr/>
        <w:tc>
          <w:tcPr>
            <w:tcW w:w="2766" w:type="pct"/>
            <w:vAlign w:val="top"/>
            <w:textDirection w:val="lrTb"/>
            <w:noWrap w:val="false"/>
          </w:tcPr>
          <w:p>
            <w:pPr>
              <w:pStyle w:val="852"/>
              <w:rPr>
                <w:color w:val="000000"/>
              </w:rPr>
            </w:pPr>
            <w:r>
              <w:rPr>
                <w:color w:val="000000"/>
              </w:rPr>
              <w:t xml:space="preserve">建模范围</w:t>
            </w:r>
            <w:r/>
          </w:p>
        </w:tc>
        <w:tc>
          <w:tcPr>
            <w:tcW w:w="2233" w:type="pct"/>
            <w:vAlign w:val="top"/>
            <w:textDirection w:val="lrTb"/>
            <w:noWrap w:val="false"/>
          </w:tcPr>
          <w:p>
            <w:pPr>
              <w:pStyle w:val="852"/>
              <w:rPr>
                <w:color w:val="000000"/>
              </w:rPr>
            </w:pPr>
            <w:r>
              <w:rPr>
                <w:color w:val="000000"/>
              </w:rPr>
              <w:t xml:space="preserve">面积</w:t>
            </w:r>
            <w:r/>
          </w:p>
        </w:tc>
      </w:tr>
      <w:tr>
        <w:trPr/>
        <w:tc>
          <w:tcPr>
            <w:tcW w:w="2766" w:type="pct"/>
            <w:vAlign w:val="top"/>
            <w:textDirection w:val="lrTb"/>
            <w:noWrap w:val="false"/>
          </w:tcPr>
          <w:p>
            <w:pPr>
              <w:pStyle w:val="852"/>
              <w:rPr>
                <w:color w:val="000000"/>
              </w:rPr>
            </w:pPr>
            <w:r>
              <w:rPr>
                <w:color w:val="000000"/>
              </w:rPr>
              <w:t xml:space="preserve">殷村港区域</w:t>
            </w:r>
            <w:r/>
          </w:p>
        </w:tc>
        <w:tc>
          <w:tcPr>
            <w:tcW w:w="2233" w:type="pct"/>
            <w:vAlign w:val="top"/>
            <w:textDirection w:val="lrTb"/>
            <w:noWrap w:val="false"/>
          </w:tcPr>
          <w:p>
            <w:pPr>
              <w:pStyle w:val="852"/>
              <w:rPr>
                <w:color w:val="000000"/>
              </w:rPr>
            </w:pPr>
            <w:r>
              <w:rPr>
                <w:color w:val="000000"/>
              </w:rPr>
              <w:t xml:space="preserve">40km²</w:t>
            </w:r>
            <w:r/>
          </w:p>
        </w:tc>
      </w:tr>
      <w:tr>
        <w:trPr/>
        <w:tc>
          <w:tcPr>
            <w:tcW w:w="2766" w:type="pct"/>
            <w:vAlign w:val="top"/>
            <w:textDirection w:val="lrTb"/>
            <w:noWrap w:val="false"/>
          </w:tcPr>
          <w:p>
            <w:pPr>
              <w:pStyle w:val="852"/>
              <w:rPr>
                <w:color w:val="000000"/>
              </w:rPr>
            </w:pPr>
            <w:r>
              <w:rPr>
                <w:color w:val="000000"/>
              </w:rPr>
              <w:t xml:space="preserve">水韵广场</w:t>
            </w:r>
            <w:r/>
          </w:p>
        </w:tc>
        <w:tc>
          <w:tcPr>
            <w:tcW w:w="2233" w:type="pct"/>
            <w:vAlign w:val="top"/>
            <w:textDirection w:val="lrTb"/>
            <w:noWrap w:val="false"/>
          </w:tcPr>
          <w:p>
            <w:pPr>
              <w:pStyle w:val="852"/>
              <w:rPr>
                <w:color w:val="000000"/>
              </w:rPr>
            </w:pPr>
            <w:r>
              <w:rPr>
                <w:color w:val="000000"/>
              </w:rPr>
              <w:t xml:space="preserve">4km²</w:t>
            </w:r>
            <w:r/>
          </w:p>
        </w:tc>
      </w:tr>
      <w:tr>
        <w:trPr/>
        <w:tc>
          <w:tcPr>
            <w:tcW w:w="2766" w:type="pct"/>
            <w:vAlign w:val="top"/>
            <w:textDirection w:val="lrTb"/>
            <w:noWrap w:val="false"/>
          </w:tcPr>
          <w:p>
            <w:pPr>
              <w:pStyle w:val="852"/>
              <w:rPr>
                <w:color w:val="000000"/>
              </w:rPr>
            </w:pPr>
            <w:r>
              <w:rPr>
                <w:color w:val="000000"/>
              </w:rPr>
              <w:t xml:space="preserve">新吴自动化实验室外部空间</w:t>
            </w:r>
            <w:r/>
          </w:p>
        </w:tc>
        <w:tc>
          <w:tcPr>
            <w:tcW w:w="2233" w:type="pct"/>
            <w:vAlign w:val="top"/>
            <w:textDirection w:val="lrTb"/>
            <w:noWrap w:val="false"/>
          </w:tcPr>
          <w:p>
            <w:pPr>
              <w:pStyle w:val="852"/>
              <w:rPr>
                <w:color w:val="000000"/>
              </w:rPr>
            </w:pPr>
            <w:r>
              <w:rPr>
                <w:color w:val="000000"/>
              </w:rPr>
              <w:t xml:space="preserve">7.4km²</w:t>
            </w:r>
            <w:r/>
          </w:p>
        </w:tc>
      </w:tr>
      <w:tr>
        <w:trPr/>
        <w:tc>
          <w:tcPr>
            <w:tcW w:w="2766" w:type="pct"/>
            <w:vAlign w:val="top"/>
            <w:textDirection w:val="lrTb"/>
            <w:noWrap w:val="false"/>
          </w:tcPr>
          <w:p>
            <w:pPr>
              <w:pStyle w:val="852"/>
              <w:rPr>
                <w:color w:val="000000"/>
              </w:rPr>
            </w:pPr>
            <w:r>
              <w:rPr>
                <w:color w:val="000000"/>
              </w:rPr>
              <w:t xml:space="preserve">许仙港藻水分离站外部空间</w:t>
            </w:r>
            <w:r/>
          </w:p>
        </w:tc>
        <w:tc>
          <w:tcPr>
            <w:tcW w:w="2233" w:type="pct"/>
            <w:vAlign w:val="top"/>
            <w:textDirection w:val="lrTb"/>
            <w:noWrap w:val="false"/>
          </w:tcPr>
          <w:p>
            <w:pPr>
              <w:pStyle w:val="852"/>
              <w:rPr>
                <w:color w:val="000000"/>
              </w:rPr>
            </w:pPr>
            <w:r>
              <w:rPr>
                <w:color w:val="000000"/>
              </w:rPr>
              <w:t xml:space="preserve">1.2km²</w:t>
            </w:r>
            <w:r/>
          </w:p>
        </w:tc>
      </w:tr>
      <w:tr>
        <w:trPr/>
        <w:tc>
          <w:tcPr>
            <w:tcW w:w="2766" w:type="pct"/>
            <w:vAlign w:val="top"/>
            <w:textDirection w:val="lrTb"/>
            <w:noWrap w:val="false"/>
          </w:tcPr>
          <w:p>
            <w:pPr>
              <w:pStyle w:val="852"/>
              <w:rPr>
                <w:color w:val="000000"/>
              </w:rPr>
            </w:pPr>
            <w:r>
              <w:rPr>
                <w:color w:val="000000"/>
              </w:rPr>
              <w:t xml:space="preserve">杨湾藻水分类站外部空间</w:t>
            </w:r>
            <w:r/>
          </w:p>
        </w:tc>
        <w:tc>
          <w:tcPr>
            <w:tcW w:w="2233" w:type="pct"/>
            <w:vAlign w:val="top"/>
            <w:textDirection w:val="lrTb"/>
            <w:noWrap w:val="false"/>
          </w:tcPr>
          <w:p>
            <w:pPr>
              <w:pStyle w:val="852"/>
              <w:rPr>
                <w:color w:val="000000"/>
              </w:rPr>
            </w:pPr>
            <w:r>
              <w:rPr>
                <w:color w:val="000000"/>
              </w:rPr>
              <w:t xml:space="preserve">4.1km²</w:t>
            </w:r>
            <w:r/>
          </w:p>
        </w:tc>
      </w:tr>
      <w:tr>
        <w:trPr/>
        <w:tc>
          <w:tcPr>
            <w:tcW w:w="2766" w:type="pct"/>
            <w:vAlign w:val="top"/>
            <w:textDirection w:val="lrTb"/>
            <w:noWrap w:val="false"/>
          </w:tcPr>
          <w:p>
            <w:pPr>
              <w:pStyle w:val="852"/>
              <w:rPr>
                <w:color w:val="000000"/>
              </w:rPr>
            </w:pPr>
            <w:r>
              <w:rPr>
                <w:color w:val="000000"/>
              </w:rPr>
              <w:t xml:space="preserve">大浦港桥站外部空间</w:t>
            </w:r>
            <w:r/>
          </w:p>
        </w:tc>
        <w:tc>
          <w:tcPr>
            <w:tcW w:w="2233" w:type="pct"/>
            <w:vAlign w:val="top"/>
            <w:textDirection w:val="lrTb"/>
            <w:noWrap w:val="false"/>
          </w:tcPr>
          <w:p>
            <w:pPr>
              <w:pStyle w:val="852"/>
              <w:rPr>
                <w:color w:val="000000"/>
              </w:rPr>
            </w:pPr>
            <w:r>
              <w:rPr>
                <w:color w:val="000000"/>
              </w:rPr>
              <w:t xml:space="preserve">3km²</w:t>
            </w:r>
            <w:r/>
          </w:p>
        </w:tc>
      </w:tr>
    </w:tbl>
    <w:p>
      <w:pPr>
        <w:pStyle w:val="734"/>
        <w:numPr>
          <w:ilvl w:val="0"/>
          <w:numId w:val="35"/>
        </w:numPr>
        <w:ind w:firstLine="420"/>
        <w:rPr>
          <w:color w:val="000000"/>
        </w:rPr>
      </w:pPr>
      <w:r>
        <w:rPr>
          <w:rFonts w:hint="eastAsia"/>
          <w:color w:val="000000"/>
        </w:rPr>
        <w:t xml:space="preserve">重点设施L3级场景建模需求</w:t>
      </w:r>
      <w:r>
        <w:rPr>
          <w:color w:val="000000"/>
        </w:rPr>
      </w:r>
      <w:r/>
    </w:p>
    <w:p>
      <w:pPr>
        <w:pStyle w:val="734"/>
        <w:numPr>
          <w:ilvl w:val="0"/>
          <w:numId w:val="36"/>
        </w:numPr>
        <w:ind w:left="0" w:firstLine="420"/>
        <w:rPr>
          <w:color w:val="000000"/>
        </w:rPr>
      </w:pPr>
      <w:r>
        <w:rPr>
          <w:rFonts w:hint="eastAsia"/>
          <w:color w:val="000000"/>
        </w:rPr>
        <w:t xml:space="preserve">数字孪生实验室</w:t>
      </w:r>
      <w:r>
        <w:rPr>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3"/>
        <w:gridCol w:w="3396"/>
        <w:gridCol w:w="1328"/>
        <w:gridCol w:w="1188"/>
        <w:gridCol w:w="704"/>
      </w:tblGrid>
      <w:tr>
        <w:trPr/>
        <w:tc>
          <w:tcPr>
            <w:tcW w:w="1391" w:type="pct"/>
            <w:vAlign w:val="top"/>
            <w:textDirection w:val="lrTb"/>
            <w:noWrap w:val="false"/>
          </w:tcPr>
          <w:p>
            <w:pPr>
              <w:pStyle w:val="852"/>
              <w:rPr>
                <w:color w:val="000000"/>
              </w:rPr>
            </w:pPr>
            <w:r>
              <w:rPr>
                <w:color w:val="000000"/>
              </w:rPr>
              <w:t xml:space="preserve">地点</w:t>
            </w:r>
            <w:r/>
          </w:p>
        </w:tc>
        <w:tc>
          <w:tcPr>
            <w:tcW w:w="1851" w:type="pct"/>
            <w:vAlign w:val="top"/>
            <w:textDirection w:val="lrTb"/>
            <w:noWrap w:val="false"/>
          </w:tcPr>
          <w:p>
            <w:pPr>
              <w:pStyle w:val="852"/>
              <w:rPr>
                <w:color w:val="000000"/>
              </w:rPr>
            </w:pPr>
            <w:r>
              <w:rPr>
                <w:color w:val="000000"/>
              </w:rPr>
              <w:t xml:space="preserve">经纬度</w:t>
            </w:r>
            <w:r/>
          </w:p>
        </w:tc>
        <w:tc>
          <w:tcPr>
            <w:tcW w:w="724" w:type="pct"/>
            <w:vAlign w:val="top"/>
            <w:textDirection w:val="lrTb"/>
            <w:noWrap w:val="false"/>
          </w:tcPr>
          <w:p>
            <w:pPr>
              <w:pStyle w:val="852"/>
              <w:rPr>
                <w:color w:val="000000"/>
              </w:rPr>
            </w:pPr>
            <w:r>
              <w:rPr>
                <w:rFonts w:hint="eastAsia"/>
                <w:color w:val="000000"/>
              </w:rPr>
              <w:t xml:space="preserve">外部空间</w:t>
            </w:r>
            <w:r>
              <w:rPr>
                <w:color w:val="000000"/>
              </w:rPr>
            </w:r>
            <w:r/>
          </w:p>
          <w:p>
            <w:pPr>
              <w:pStyle w:val="852"/>
              <w:rPr>
                <w:color w:val="000000"/>
              </w:rPr>
            </w:pPr>
            <w:r>
              <w:rPr>
                <w:color w:val="000000"/>
              </w:rPr>
              <w:t xml:space="preserve">面积</w:t>
            </w:r>
            <w:r/>
          </w:p>
        </w:tc>
        <w:tc>
          <w:tcPr>
            <w:tcW w:w="648" w:type="pct"/>
            <w:vAlign w:val="top"/>
            <w:textDirection w:val="lrTb"/>
            <w:noWrap w:val="false"/>
          </w:tcPr>
          <w:p>
            <w:pPr>
              <w:pStyle w:val="852"/>
              <w:rPr>
                <w:color w:val="000000"/>
              </w:rPr>
            </w:pPr>
            <w:r>
              <w:rPr>
                <w:rFonts w:hint="eastAsia"/>
                <w:color w:val="000000"/>
              </w:rPr>
              <w:t xml:space="preserve">内部</w:t>
            </w:r>
            <w:r>
              <w:rPr>
                <w:color w:val="000000"/>
              </w:rPr>
            </w:r>
            <w:r/>
          </w:p>
          <w:p>
            <w:pPr>
              <w:pStyle w:val="852"/>
              <w:rPr>
                <w:color w:val="000000"/>
              </w:rPr>
            </w:pPr>
            <w:r>
              <w:rPr>
                <w:rFonts w:hint="eastAsia"/>
                <w:color w:val="000000"/>
              </w:rPr>
              <w:t xml:space="preserve">面积</w:t>
            </w:r>
            <w:r>
              <w:rPr>
                <w:color w:val="000000"/>
              </w:rPr>
            </w:r>
            <w:r/>
          </w:p>
        </w:tc>
        <w:tc>
          <w:tcPr>
            <w:tcW w:w="384" w:type="pct"/>
            <w:vAlign w:val="top"/>
            <w:textDirection w:val="lrTb"/>
            <w:noWrap w:val="false"/>
          </w:tcPr>
          <w:p>
            <w:pPr>
              <w:pStyle w:val="852"/>
              <w:rPr>
                <w:color w:val="000000"/>
              </w:rPr>
            </w:pPr>
            <w:r>
              <w:rPr>
                <w:rFonts w:hint="eastAsia"/>
                <w:color w:val="000000"/>
              </w:rPr>
              <w:t xml:space="preserve">精度</w:t>
            </w:r>
            <w:r>
              <w:rPr>
                <w:color w:val="000000"/>
              </w:rPr>
            </w:r>
            <w:r/>
          </w:p>
        </w:tc>
      </w:tr>
      <w:tr>
        <w:trPr>
          <w:trHeight w:val="352"/>
        </w:trPr>
        <w:tc>
          <w:tcPr>
            <w:tcW w:w="1391" w:type="pct"/>
            <w:vAlign w:val="top"/>
            <w:textDirection w:val="lrTb"/>
            <w:noWrap w:val="false"/>
          </w:tcPr>
          <w:p>
            <w:pPr>
              <w:pStyle w:val="852"/>
              <w:rPr>
                <w:color w:val="000000"/>
              </w:rPr>
            </w:pPr>
            <w:r>
              <w:rPr>
                <w:color w:val="000000"/>
              </w:rPr>
              <w:t xml:space="preserve">新吴自动化实验室</w:t>
            </w:r>
            <w:r/>
          </w:p>
        </w:tc>
        <w:tc>
          <w:tcPr>
            <w:tcW w:w="1851" w:type="pct"/>
            <w:vAlign w:val="top"/>
            <w:textDirection w:val="lrTb"/>
            <w:noWrap w:val="false"/>
          </w:tcPr>
          <w:p>
            <w:pPr>
              <w:pStyle w:val="852"/>
              <w:rPr>
                <w:color w:val="000000"/>
              </w:rPr>
            </w:pPr>
            <w:r>
              <w:rPr>
                <w:color w:val="000000"/>
              </w:rPr>
              <w:t xml:space="preserve">120.360139586,31.526312524</w:t>
            </w:r>
            <w:r/>
          </w:p>
        </w:tc>
        <w:tc>
          <w:tcPr>
            <w:tcW w:w="724" w:type="pct"/>
            <w:vAlign w:val="top"/>
            <w:textDirection w:val="lrTb"/>
            <w:noWrap w:val="false"/>
          </w:tcPr>
          <w:p>
            <w:pPr>
              <w:pStyle w:val="852"/>
              <w:rPr>
                <w:color w:val="000000"/>
              </w:rPr>
            </w:pPr>
            <w:r>
              <w:rPr>
                <w:color w:val="000000"/>
              </w:rPr>
              <w:t xml:space="preserve">7.4km²</w:t>
            </w:r>
            <w:r/>
          </w:p>
        </w:tc>
        <w:tc>
          <w:tcPr>
            <w:tcW w:w="648" w:type="pct"/>
            <w:vAlign w:val="top"/>
            <w:textDirection w:val="lrTb"/>
            <w:noWrap w:val="false"/>
          </w:tcPr>
          <w:p>
            <w:pPr>
              <w:pStyle w:val="852"/>
              <w:rPr>
                <w:color w:val="000000"/>
              </w:rPr>
            </w:pPr>
            <w:r>
              <w:rPr>
                <w:color w:val="000000"/>
              </w:rPr>
              <w:t xml:space="preserve">100m²</w:t>
            </w:r>
            <w:r/>
          </w:p>
        </w:tc>
        <w:tc>
          <w:tcPr>
            <w:tcW w:w="384" w:type="pct"/>
            <w:vAlign w:val="top"/>
            <w:textDirection w:val="lrTb"/>
            <w:noWrap w:val="false"/>
          </w:tcPr>
          <w:p>
            <w:pPr>
              <w:pStyle w:val="852"/>
              <w:rPr>
                <w:color w:val="000000"/>
              </w:rPr>
            </w:pPr>
            <w:r>
              <w:rPr>
                <w:color w:val="000000"/>
              </w:rPr>
              <w:t xml:space="preserve">3cm</w:t>
            </w:r>
            <w:r/>
          </w:p>
        </w:tc>
      </w:tr>
    </w:tbl>
    <w:p>
      <w:pPr>
        <w:pStyle w:val="734"/>
        <w:rPr>
          <w:vanish/>
          <w:color w:val="000000"/>
        </w:rPr>
      </w:pPr>
      <w:r>
        <w:rPr>
          <w:vanish/>
          <w:color w:val="000000"/>
        </w:rPr>
      </w:r>
      <w:r/>
    </w:p>
    <w:tbl>
      <w:tblPr>
        <w:tblW w:w="509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804"/>
        <w:gridCol w:w="2719"/>
        <w:gridCol w:w="2616"/>
      </w:tblGrid>
      <w:tr>
        <w:trPr>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rFonts w:hint="eastAsia"/>
                <w:color w:val="000000"/>
              </w:rPr>
              <w:t xml:space="preserve">建模设备</w:t>
            </w:r>
            <w:r>
              <w:rPr>
                <w:color w:val="000000"/>
              </w:rPr>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数量（台）</w:t>
            </w:r>
            <w:r/>
          </w:p>
        </w:tc>
        <w:tc>
          <w:tcPr>
            <w:tcW w:w="1430" w:type="pct"/>
            <w:vAlign w:val="center"/>
            <w:textDirection w:val="lrTb"/>
            <w:noWrap w:val="false"/>
          </w:tcPr>
          <w:p>
            <w:pPr>
              <w:pStyle w:val="852"/>
              <w:rPr>
                <w:color w:val="000000"/>
              </w:rPr>
            </w:pPr>
            <w:r>
              <w:rPr>
                <w:color w:val="000000"/>
              </w:rPr>
              <w:t xml:space="preserve">精度</w:t>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总氮</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5</w:t>
            </w:r>
            <w:r/>
          </w:p>
        </w:tc>
        <w:tc>
          <w:tcPr>
            <w:tcW w:w="1430" w:type="pct"/>
            <w:vAlign w:val="center"/>
            <w:vMerge w:val="restart"/>
            <w:textDirection w:val="lrTb"/>
            <w:noWrap w:val="false"/>
          </w:tcPr>
          <w:p>
            <w:pPr>
              <w:pStyle w:val="852"/>
              <w:rPr>
                <w:color w:val="000000"/>
              </w:rPr>
            </w:pPr>
            <w:r>
              <w:rPr>
                <w:color w:val="000000"/>
              </w:rPr>
              <w:t xml:space="preserve">1cm</w:t>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高锰酸盐指数</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6</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总磷</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9</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氨氮</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8</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化学需氧量</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5</w:t>
            </w:r>
            <w:r/>
          </w:p>
        </w:tc>
        <w:tc>
          <w:tcPr>
            <w:tcW w:w="1430" w:type="pct"/>
            <w:vAlign w:val="center"/>
            <w:vMerge w:val="continue"/>
            <w:textDirection w:val="lrTb"/>
            <w:noWrap w:val="false"/>
          </w:tcPr>
          <w:p>
            <w:pPr>
              <w:pStyle w:val="852"/>
              <w:rPr>
                <w:color w:val="000000"/>
              </w:rPr>
            </w:pPr>
            <w:r>
              <w:rPr>
                <w:color w:val="000000"/>
              </w:rPr>
            </w:r>
            <w:r/>
          </w:p>
        </w:tc>
      </w:tr>
      <w:tr>
        <w:trPr>
          <w:cantSplit/>
          <w:trHeight w:val="349"/>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镉/铅/铜/锌</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4</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氰化物</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挥发酚</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阴离子表面活性剂</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砷</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硫化物</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汞</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石油类</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硒</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1</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五日生化需氧量</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3</w:t>
            </w:r>
            <w:r/>
          </w:p>
        </w:tc>
        <w:tc>
          <w:tcPr>
            <w:tcW w:w="1430" w:type="pct"/>
            <w:vAlign w:val="center"/>
            <w:vMerge w:val="continue"/>
            <w:textDirection w:val="lrTb"/>
            <w:noWrap w:val="false"/>
          </w:tcPr>
          <w:p>
            <w:pPr>
              <w:pStyle w:val="852"/>
              <w:rPr>
                <w:color w:val="000000"/>
              </w:rPr>
            </w:pPr>
            <w:r>
              <w:rPr>
                <w:color w:val="000000"/>
              </w:rPr>
            </w:r>
            <w:r/>
          </w:p>
        </w:tc>
      </w:tr>
      <w:tr>
        <w:trPr>
          <w:cantSplit/>
          <w:trHeight w:val="336"/>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粪大肠菌群</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3</w:t>
            </w:r>
            <w:r/>
          </w:p>
        </w:tc>
        <w:tc>
          <w:tcPr>
            <w:tcW w:w="1430" w:type="pct"/>
            <w:vAlign w:val="center"/>
            <w:vMerge w:val="continue"/>
            <w:textDirection w:val="lrTb"/>
            <w:noWrap w:val="false"/>
          </w:tcPr>
          <w:p>
            <w:pPr>
              <w:pStyle w:val="852"/>
              <w:rPr>
                <w:color w:val="000000"/>
              </w:rPr>
            </w:pPr>
            <w:r>
              <w:rPr>
                <w:color w:val="000000"/>
              </w:rPr>
            </w:r>
            <w:r/>
          </w:p>
        </w:tc>
      </w:tr>
      <w:tr>
        <w:trPr>
          <w:cantSplit/>
          <w:trHeight w:val="658"/>
        </w:trPr>
        <w:tc>
          <w:tcPr>
            <w:tcMar>
              <w:left w:w="12" w:type="dxa"/>
              <w:top w:w="12" w:type="dxa"/>
              <w:right w:w="12" w:type="dxa"/>
              <w:bottom w:w="0" w:type="dxa"/>
            </w:tcMar>
            <w:tcW w:w="2081" w:type="pct"/>
            <w:vAlign w:val="center"/>
            <w:textDirection w:val="lrTb"/>
            <w:noWrap w:val="false"/>
          </w:tcPr>
          <w:p>
            <w:pPr>
              <w:pStyle w:val="852"/>
              <w:rPr>
                <w:color w:val="000000"/>
              </w:rPr>
            </w:pPr>
            <w:r>
              <w:rPr>
                <w:color w:val="000000"/>
              </w:rPr>
              <w:t xml:space="preserve">五参数</w:t>
            </w:r>
            <w:r/>
          </w:p>
        </w:tc>
        <w:tc>
          <w:tcPr>
            <w:tcMar>
              <w:left w:w="12" w:type="dxa"/>
              <w:top w:w="12" w:type="dxa"/>
              <w:right w:w="12" w:type="dxa"/>
              <w:bottom w:w="0" w:type="dxa"/>
            </w:tcMar>
            <w:tcW w:w="1487" w:type="pct"/>
            <w:vAlign w:val="center"/>
            <w:textDirection w:val="lrTb"/>
            <w:noWrap w:val="false"/>
          </w:tcPr>
          <w:p>
            <w:pPr>
              <w:pStyle w:val="852"/>
              <w:rPr>
                <w:color w:val="000000"/>
              </w:rPr>
            </w:pPr>
            <w:r>
              <w:rPr>
                <w:color w:val="000000"/>
              </w:rPr>
              <w:t xml:space="preserve">2</w:t>
            </w:r>
            <w:r/>
          </w:p>
        </w:tc>
        <w:tc>
          <w:tcPr>
            <w:tcW w:w="1430" w:type="pct"/>
            <w:vAlign w:val="center"/>
            <w:vMerge w:val="continue"/>
            <w:textDirection w:val="lrTb"/>
            <w:noWrap w:val="false"/>
          </w:tcPr>
          <w:p>
            <w:pPr>
              <w:pStyle w:val="852"/>
              <w:rPr>
                <w:color w:val="000000"/>
              </w:rPr>
            </w:pPr>
            <w:r>
              <w:rPr>
                <w:color w:val="000000"/>
              </w:rPr>
            </w:r>
            <w:r/>
          </w:p>
        </w:tc>
      </w:tr>
    </w:tbl>
    <w:p>
      <w:pPr>
        <w:pStyle w:val="734"/>
        <w:numPr>
          <w:ilvl w:val="0"/>
          <w:numId w:val="36"/>
        </w:numPr>
        <w:ind w:left="0" w:firstLine="420"/>
        <w:rPr>
          <w:color w:val="000000"/>
        </w:rPr>
      </w:pPr>
      <w:r>
        <w:rPr>
          <w:rFonts w:hint="eastAsia"/>
          <w:color w:val="000000"/>
        </w:rPr>
        <w:t xml:space="preserve">藻水分离站</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4178"/>
        <w:gridCol w:w="1456"/>
        <w:gridCol w:w="1208"/>
        <w:gridCol w:w="1063"/>
      </w:tblGrid>
      <w:tr>
        <w:trPr>
          <w:trHeight w:val="489"/>
        </w:trPr>
        <w:tc>
          <w:tcPr>
            <w:tcW w:w="687" w:type="pct"/>
            <w:vAlign w:val="top"/>
            <w:textDirection w:val="lrTb"/>
            <w:noWrap w:val="false"/>
          </w:tcPr>
          <w:p>
            <w:pPr>
              <w:pStyle w:val="852"/>
              <w:rPr>
                <w:color w:val="000000"/>
              </w:rPr>
            </w:pPr>
            <w:r>
              <w:rPr>
                <w:color w:val="000000"/>
              </w:rPr>
              <w:t xml:space="preserve">地点</w:t>
            </w:r>
            <w:r/>
          </w:p>
        </w:tc>
        <w:tc>
          <w:tcPr>
            <w:tcW w:w="2278" w:type="pct"/>
            <w:vAlign w:val="top"/>
            <w:textDirection w:val="lrTb"/>
            <w:noWrap w:val="false"/>
          </w:tcPr>
          <w:p>
            <w:pPr>
              <w:pStyle w:val="852"/>
              <w:rPr>
                <w:color w:val="000000"/>
              </w:rPr>
            </w:pPr>
            <w:r>
              <w:rPr>
                <w:color w:val="000000"/>
              </w:rPr>
              <w:t xml:space="preserve">经纬度</w:t>
            </w:r>
            <w:r/>
          </w:p>
        </w:tc>
        <w:tc>
          <w:tcPr>
            <w:tcW w:w="794" w:type="pct"/>
            <w:vAlign w:val="top"/>
            <w:textDirection w:val="lrTb"/>
            <w:noWrap w:val="false"/>
          </w:tcPr>
          <w:p>
            <w:pPr>
              <w:pStyle w:val="852"/>
              <w:rPr>
                <w:color w:val="000000"/>
              </w:rPr>
            </w:pPr>
            <w:r>
              <w:rPr>
                <w:color w:val="000000"/>
              </w:rPr>
              <w:t xml:space="preserve">外部空间面积</w:t>
            </w:r>
            <w:r/>
          </w:p>
        </w:tc>
        <w:tc>
          <w:tcPr>
            <w:tcW w:w="659" w:type="pct"/>
            <w:vAlign w:val="top"/>
            <w:textDirection w:val="lrTb"/>
            <w:noWrap w:val="false"/>
          </w:tcPr>
          <w:p>
            <w:pPr>
              <w:pStyle w:val="852"/>
              <w:rPr>
                <w:color w:val="000000"/>
              </w:rPr>
            </w:pPr>
            <w:r>
              <w:rPr>
                <w:color w:val="000000"/>
              </w:rPr>
              <w:t xml:space="preserve">内部面积</w:t>
            </w:r>
            <w:r/>
          </w:p>
        </w:tc>
        <w:tc>
          <w:tcPr>
            <w:tcW w:w="580" w:type="pct"/>
            <w:vAlign w:val="top"/>
            <w:textDirection w:val="lrTb"/>
            <w:noWrap w:val="false"/>
          </w:tcPr>
          <w:p>
            <w:pPr>
              <w:pStyle w:val="852"/>
              <w:rPr>
                <w:color w:val="000000"/>
              </w:rPr>
            </w:pPr>
            <w:r>
              <w:rPr>
                <w:color w:val="000000"/>
              </w:rPr>
              <w:t xml:space="preserve">精度</w:t>
            </w:r>
            <w:r/>
          </w:p>
        </w:tc>
      </w:tr>
      <w:tr>
        <w:trPr>
          <w:trHeight w:val="489"/>
        </w:trPr>
        <w:tc>
          <w:tcPr>
            <w:tcW w:w="687" w:type="pct"/>
            <w:vAlign w:val="top"/>
            <w:textDirection w:val="lrTb"/>
            <w:noWrap w:val="false"/>
          </w:tcPr>
          <w:p>
            <w:pPr>
              <w:pStyle w:val="852"/>
              <w:rPr>
                <w:color w:val="000000"/>
              </w:rPr>
            </w:pPr>
            <w:r>
              <w:rPr>
                <w:color w:val="000000"/>
              </w:rPr>
              <w:t xml:space="preserve">许仙港</w:t>
            </w:r>
            <w:r/>
          </w:p>
        </w:tc>
        <w:tc>
          <w:tcPr>
            <w:tcW w:w="2278" w:type="pct"/>
            <w:vAlign w:val="top"/>
            <w:textDirection w:val="lrTb"/>
            <w:noWrap w:val="false"/>
          </w:tcPr>
          <w:p>
            <w:pPr>
              <w:pStyle w:val="852"/>
              <w:rPr>
                <w:color w:val="000000"/>
              </w:rPr>
            </w:pPr>
            <w:r>
              <w:rPr>
                <w:color w:val="000000"/>
              </w:rPr>
              <w:t xml:space="preserve">120.324679843,31.451558262</w:t>
            </w:r>
            <w:r/>
          </w:p>
        </w:tc>
        <w:tc>
          <w:tcPr>
            <w:tcW w:w="794" w:type="pct"/>
            <w:vAlign w:val="top"/>
            <w:textDirection w:val="lrTb"/>
            <w:noWrap w:val="false"/>
          </w:tcPr>
          <w:p>
            <w:pPr>
              <w:pStyle w:val="852"/>
              <w:rPr>
                <w:color w:val="000000"/>
              </w:rPr>
            </w:pPr>
            <w:r>
              <w:rPr>
                <w:color w:val="000000"/>
              </w:rPr>
              <w:t xml:space="preserve">1.2km²</w:t>
            </w:r>
            <w:r/>
          </w:p>
        </w:tc>
        <w:tc>
          <w:tcPr>
            <w:tcW w:w="659" w:type="pct"/>
            <w:vAlign w:val="top"/>
            <w:textDirection w:val="lrTb"/>
            <w:noWrap w:val="false"/>
          </w:tcPr>
          <w:p>
            <w:pPr>
              <w:pStyle w:val="852"/>
              <w:rPr>
                <w:color w:val="000000"/>
              </w:rPr>
            </w:pPr>
            <w:r>
              <w:rPr>
                <w:color w:val="000000"/>
              </w:rPr>
              <w:t xml:space="preserve">500m²</w:t>
            </w:r>
            <w:r/>
          </w:p>
        </w:tc>
        <w:tc>
          <w:tcPr>
            <w:tcW w:w="580" w:type="pct"/>
            <w:vAlign w:val="top"/>
            <w:textDirection w:val="lrTb"/>
            <w:noWrap w:val="false"/>
          </w:tcPr>
          <w:p>
            <w:pPr>
              <w:pStyle w:val="852"/>
              <w:rPr>
                <w:color w:val="000000"/>
              </w:rPr>
            </w:pPr>
            <w:r>
              <w:rPr>
                <w:color w:val="000000"/>
              </w:rPr>
              <w:t xml:space="preserve">3cm</w:t>
            </w:r>
            <w:r/>
          </w:p>
        </w:tc>
      </w:tr>
      <w:tr>
        <w:trPr>
          <w:trHeight w:val="499"/>
        </w:trPr>
        <w:tc>
          <w:tcPr>
            <w:tcW w:w="687" w:type="pct"/>
            <w:vAlign w:val="top"/>
            <w:textDirection w:val="lrTb"/>
            <w:noWrap w:val="false"/>
          </w:tcPr>
          <w:p>
            <w:pPr>
              <w:pStyle w:val="852"/>
              <w:rPr>
                <w:color w:val="000000"/>
              </w:rPr>
            </w:pPr>
            <w:r>
              <w:rPr>
                <w:color w:val="000000"/>
              </w:rPr>
              <w:t xml:space="preserve">杨湾</w:t>
            </w:r>
            <w:r/>
          </w:p>
        </w:tc>
        <w:tc>
          <w:tcPr>
            <w:tcW w:w="2278" w:type="pct"/>
            <w:vAlign w:val="top"/>
            <w:textDirection w:val="lrTb"/>
            <w:noWrap w:val="false"/>
          </w:tcPr>
          <w:p>
            <w:pPr>
              <w:pStyle w:val="852"/>
              <w:rPr>
                <w:color w:val="000000"/>
              </w:rPr>
            </w:pPr>
            <w:r>
              <w:rPr>
                <w:color w:val="000000"/>
              </w:rPr>
              <w:t xml:space="preserve">120.161189343,31.533053498</w:t>
            </w:r>
            <w:r/>
          </w:p>
        </w:tc>
        <w:tc>
          <w:tcPr>
            <w:tcW w:w="794" w:type="pct"/>
            <w:vAlign w:val="top"/>
            <w:textDirection w:val="lrTb"/>
            <w:noWrap w:val="false"/>
          </w:tcPr>
          <w:p>
            <w:pPr>
              <w:pStyle w:val="852"/>
              <w:rPr>
                <w:color w:val="000000"/>
              </w:rPr>
            </w:pPr>
            <w:r>
              <w:rPr>
                <w:color w:val="000000"/>
              </w:rPr>
              <w:t xml:space="preserve">4.1km²</w:t>
            </w:r>
            <w:r/>
          </w:p>
        </w:tc>
        <w:tc>
          <w:tcPr>
            <w:tcW w:w="659" w:type="pct"/>
            <w:vAlign w:val="top"/>
            <w:textDirection w:val="lrTb"/>
            <w:noWrap w:val="false"/>
          </w:tcPr>
          <w:p>
            <w:pPr>
              <w:pStyle w:val="852"/>
              <w:rPr>
                <w:color w:val="000000"/>
              </w:rPr>
            </w:pPr>
            <w:r>
              <w:rPr>
                <w:color w:val="000000"/>
              </w:rPr>
              <w:t xml:space="preserve">500m²</w:t>
            </w:r>
            <w:r/>
          </w:p>
        </w:tc>
        <w:tc>
          <w:tcPr>
            <w:tcW w:w="580" w:type="pct"/>
            <w:vAlign w:val="top"/>
            <w:textDirection w:val="lrTb"/>
            <w:noWrap w:val="false"/>
          </w:tcPr>
          <w:p>
            <w:pPr>
              <w:pStyle w:val="852"/>
              <w:rPr>
                <w:color w:val="000000"/>
              </w:rPr>
            </w:pPr>
            <w:r>
              <w:rPr>
                <w:color w:val="000000"/>
              </w:rPr>
              <w:t xml:space="preserve">3cm</w:t>
            </w:r>
            <w:r/>
          </w:p>
        </w:tc>
      </w:tr>
    </w:tbl>
    <w:p>
      <w:pPr>
        <w:pStyle w:val="734"/>
        <w:rPr>
          <w:rFonts w:ascii="Arial" w:hAnsi="Arial"/>
          <w:vanish/>
          <w:color w:val="000000"/>
          <w:sz w:val="24"/>
          <w:szCs w:val="24"/>
        </w:rPr>
      </w:pPr>
      <w:r>
        <w:rPr>
          <w:rFonts w:ascii="Arial" w:hAnsi="Arial"/>
          <w:vanish/>
          <w:color w:val="000000"/>
          <w:sz w:val="24"/>
          <w:szCs w:val="24"/>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797"/>
        <w:gridCol w:w="2543"/>
        <w:gridCol w:w="2825"/>
      </w:tblGrid>
      <w:tr>
        <w:trPr>
          <w:trHeight w:val="285"/>
        </w:trPr>
        <w:tc>
          <w:tcPr>
            <w:tcBorders>
              <w:top w:val="single" w:color="000000" w:sz="4" w:space="0"/>
              <w:left w:val="single" w:color="000000" w:sz="4" w:space="0"/>
              <w:bottom w:val="single" w:color="000000" w:sz="4" w:space="0"/>
              <w:right w:val="single" w:color="000000" w:sz="4" w:space="0"/>
            </w:tcBorders>
            <w:tcW w:w="2071" w:type="pct"/>
            <w:vAlign w:val="center"/>
            <w:textDirection w:val="lrTb"/>
            <w:noWrap/>
          </w:tcPr>
          <w:p>
            <w:pPr>
              <w:pStyle w:val="852"/>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tcPr>
          <w:p>
            <w:pPr>
              <w:pStyle w:val="852"/>
              <w:rPr>
                <w:color w:val="000000"/>
              </w:rPr>
            </w:pPr>
            <w:r>
              <w:rPr>
                <w:color w:val="000000"/>
              </w:rPr>
              <w:t xml:space="preserve">精度</w:t>
            </w:r>
            <w:r/>
          </w:p>
        </w:tc>
      </w:tr>
      <w:tr>
        <w:trPr>
          <w:cantSplit/>
          <w:trHeight w:val="90"/>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852"/>
              <w:rPr>
                <w:color w:val="000000"/>
              </w:rPr>
            </w:pPr>
            <w:r>
              <w:rPr>
                <w:color w:val="000000"/>
              </w:rPr>
              <w:t xml:space="preserve">打捞平台</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2</w:t>
            </w:r>
            <w:r/>
          </w:p>
        </w:tc>
        <w:tc>
          <w:tcPr>
            <w:tcBorders>
              <w:top w:val="single" w:color="000000" w:sz="4" w:space="0"/>
              <w:left w:val="single" w:color="000000" w:sz="4" w:space="0"/>
              <w:right w:val="single" w:color="000000" w:sz="4" w:space="0"/>
            </w:tcBorders>
            <w:tcW w:w="1541" w:type="pct"/>
            <w:vAlign w:val="center"/>
            <w:vMerge w:val="restart"/>
            <w:textDirection w:val="lrTb"/>
            <w:noWrap/>
          </w:tcPr>
          <w:p>
            <w:pPr>
              <w:pStyle w:val="852"/>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852"/>
              <w:rPr>
                <w:color w:val="000000"/>
              </w:rPr>
            </w:pPr>
            <w:r>
              <w:rPr>
                <w:color w:val="000000"/>
              </w:rPr>
              <w:t xml:space="preserve">疏散管网</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852"/>
              <w:rPr>
                <w:color w:val="000000"/>
              </w:rPr>
            </w:pPr>
            <w:r>
              <w:rPr>
                <w:color w:val="000000"/>
              </w:rPr>
              <w:t xml:space="preserve">打捞船</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852"/>
              <w:rPr>
                <w:color w:val="000000"/>
              </w:rPr>
            </w:pPr>
            <w:r>
              <w:rPr>
                <w:color w:val="000000"/>
              </w:rPr>
              <w:t xml:space="preserve">分离站</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2</w:t>
            </w:r>
            <w:r/>
          </w:p>
        </w:tc>
        <w:tc>
          <w:tcPr>
            <w:tcBorders>
              <w:left w:val="single" w:color="000000" w:sz="4" w:space="0"/>
              <w:right w:val="single" w:color="000000" w:sz="4" w:space="0"/>
            </w:tcBorders>
            <w:tcW w:w="15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071" w:type="pct"/>
            <w:vAlign w:val="top"/>
            <w:textDirection w:val="lrTb"/>
            <w:noWrap/>
          </w:tcPr>
          <w:p>
            <w:pPr>
              <w:pStyle w:val="852"/>
              <w:rPr>
                <w:color w:val="000000"/>
              </w:rPr>
            </w:pPr>
            <w:r>
              <w:rPr>
                <w:color w:val="000000"/>
              </w:rPr>
              <w:t xml:space="preserve">应急堆场</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2</w:t>
            </w:r>
            <w:r/>
          </w:p>
        </w:tc>
        <w:tc>
          <w:tcPr>
            <w:tcBorders>
              <w:left w:val="single" w:color="000000" w:sz="4" w:space="0"/>
              <w:bottom w:val="single" w:color="000000" w:sz="4" w:space="0"/>
              <w:right w:val="single" w:color="000000" w:sz="4" w:space="0"/>
            </w:tcBorders>
            <w:tcW w:w="1541" w:type="pct"/>
            <w:vAlign w:val="center"/>
            <w:vMerge w:val="continue"/>
            <w:textDirection w:val="lrTb"/>
            <w:noWrap/>
          </w:tcPr>
          <w:p>
            <w:pPr>
              <w:pStyle w:val="852"/>
              <w:rPr>
                <w:color w:val="000000"/>
              </w:rPr>
            </w:pPr>
            <w:r>
              <w:rPr>
                <w:color w:val="000000"/>
              </w:rPr>
            </w:r>
            <w:r/>
          </w:p>
        </w:tc>
      </w:tr>
    </w:tbl>
    <w:p>
      <w:pPr>
        <w:pStyle w:val="734"/>
        <w:numPr>
          <w:ilvl w:val="0"/>
          <w:numId w:val="36"/>
        </w:numPr>
        <w:ind w:left="0" w:firstLine="420"/>
        <w:rPr>
          <w:color w:val="000000"/>
        </w:rPr>
      </w:pPr>
      <w:r>
        <w:rPr>
          <w:rFonts w:hint="eastAsia"/>
          <w:color w:val="000000"/>
        </w:rPr>
        <w:t xml:space="preserve">水利工程</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76"/>
        <w:gridCol w:w="1252"/>
        <w:gridCol w:w="1197"/>
        <w:gridCol w:w="1061"/>
      </w:tblGrid>
      <w:tr>
        <w:trPr/>
        <w:tc>
          <w:tcPr>
            <w:tcW w:w="970" w:type="pct"/>
            <w:vAlign w:val="top"/>
            <w:textDirection w:val="lrTb"/>
            <w:noWrap w:val="false"/>
          </w:tcPr>
          <w:p>
            <w:pPr>
              <w:pStyle w:val="852"/>
              <w:rPr>
                <w:color w:val="000000"/>
              </w:rPr>
            </w:pPr>
            <w:r>
              <w:rPr>
                <w:color w:val="000000"/>
              </w:rPr>
              <w:t xml:space="preserve">地点</w:t>
            </w:r>
            <w:r/>
          </w:p>
        </w:tc>
        <w:tc>
          <w:tcPr>
            <w:tcW w:w="2113" w:type="pct"/>
            <w:vAlign w:val="top"/>
            <w:textDirection w:val="lrTb"/>
            <w:noWrap w:val="false"/>
          </w:tcPr>
          <w:p>
            <w:pPr>
              <w:pStyle w:val="852"/>
              <w:rPr>
                <w:color w:val="000000"/>
              </w:rPr>
            </w:pPr>
            <w:r>
              <w:rPr>
                <w:color w:val="000000"/>
              </w:rPr>
              <w:t xml:space="preserve">经纬度</w:t>
            </w:r>
            <w:r/>
          </w:p>
        </w:tc>
        <w:tc>
          <w:tcPr>
            <w:tcW w:w="683" w:type="pct"/>
            <w:vAlign w:val="top"/>
            <w:textDirection w:val="lrTb"/>
            <w:noWrap w:val="false"/>
          </w:tcPr>
          <w:p>
            <w:pPr>
              <w:pStyle w:val="852"/>
              <w:rPr>
                <w:color w:val="000000"/>
              </w:rPr>
            </w:pPr>
            <w:r>
              <w:rPr>
                <w:rFonts w:hint="eastAsia"/>
                <w:color w:val="000000"/>
              </w:rPr>
              <w:t xml:space="preserve">外部空间</w:t>
            </w:r>
            <w:r>
              <w:rPr>
                <w:color w:val="000000"/>
              </w:rPr>
              <w:t xml:space="preserve">面积</w:t>
            </w:r>
            <w:r/>
          </w:p>
        </w:tc>
        <w:tc>
          <w:tcPr>
            <w:tcW w:w="653" w:type="pct"/>
            <w:vAlign w:val="top"/>
            <w:textDirection w:val="lrTb"/>
            <w:noWrap w:val="false"/>
          </w:tcPr>
          <w:p>
            <w:pPr>
              <w:pStyle w:val="852"/>
              <w:rPr>
                <w:color w:val="000000"/>
              </w:rPr>
            </w:pPr>
            <w:r>
              <w:rPr>
                <w:rFonts w:hint="eastAsia"/>
                <w:color w:val="000000"/>
              </w:rPr>
              <w:t xml:space="preserve">内部面积</w:t>
            </w:r>
            <w:r>
              <w:rPr>
                <w:color w:val="000000"/>
              </w:rPr>
            </w:r>
            <w:r/>
          </w:p>
        </w:tc>
        <w:tc>
          <w:tcPr>
            <w:tcW w:w="579" w:type="pct"/>
            <w:vAlign w:val="top"/>
            <w:textDirection w:val="lrTb"/>
            <w:noWrap w:val="false"/>
          </w:tcPr>
          <w:p>
            <w:pPr>
              <w:pStyle w:val="852"/>
              <w:rPr>
                <w:color w:val="000000"/>
              </w:rPr>
            </w:pPr>
            <w:r>
              <w:rPr>
                <w:color w:val="000000"/>
              </w:rPr>
              <w:t xml:space="preserve">精度</w:t>
            </w:r>
            <w:r/>
          </w:p>
        </w:tc>
      </w:tr>
      <w:tr>
        <w:trPr>
          <w:trHeight w:val="512"/>
        </w:trPr>
        <w:tc>
          <w:tcPr>
            <w:tcW w:w="970" w:type="pct"/>
            <w:vAlign w:val="top"/>
            <w:textDirection w:val="lrTb"/>
            <w:noWrap w:val="false"/>
          </w:tcPr>
          <w:p>
            <w:pPr>
              <w:pStyle w:val="852"/>
              <w:rPr>
                <w:color w:val="000000"/>
              </w:rPr>
            </w:pPr>
            <w:r>
              <w:rPr>
                <w:color w:val="000000"/>
              </w:rPr>
              <w:t xml:space="preserve">梅梁湖泵站</w:t>
            </w:r>
            <w:r/>
          </w:p>
        </w:tc>
        <w:tc>
          <w:tcPr>
            <w:tcW w:w="2113" w:type="pct"/>
            <w:vAlign w:val="top"/>
            <w:textDirection w:val="lrTb"/>
            <w:noWrap w:val="false"/>
          </w:tcPr>
          <w:p>
            <w:pPr>
              <w:pStyle w:val="852"/>
              <w:rPr>
                <w:color w:val="000000"/>
              </w:rPr>
            </w:pPr>
            <w:r>
              <w:rPr>
                <w:color w:val="000000"/>
              </w:rPr>
              <w:t xml:space="preserve">120.225297419,31.543685089</w:t>
            </w:r>
            <w:r/>
          </w:p>
        </w:tc>
        <w:tc>
          <w:tcPr>
            <w:tcW w:w="683" w:type="pct"/>
            <w:vAlign w:val="top"/>
            <w:textDirection w:val="lrTb"/>
            <w:noWrap w:val="false"/>
          </w:tcPr>
          <w:p>
            <w:pPr>
              <w:pStyle w:val="852"/>
              <w:rPr>
                <w:color w:val="000000"/>
              </w:rPr>
            </w:pPr>
            <w:r>
              <w:rPr>
                <w:color w:val="000000"/>
              </w:rPr>
              <w:t xml:space="preserve">36km²</w:t>
            </w:r>
            <w:r/>
          </w:p>
        </w:tc>
        <w:tc>
          <w:tcPr>
            <w:tcW w:w="653" w:type="pct"/>
            <w:vAlign w:val="top"/>
            <w:textDirection w:val="lrTb"/>
            <w:noWrap w:val="false"/>
          </w:tcPr>
          <w:p>
            <w:pPr>
              <w:pStyle w:val="852"/>
              <w:rPr>
                <w:color w:val="000000"/>
              </w:rPr>
            </w:pPr>
            <w:r>
              <w:rPr>
                <w:color w:val="000000"/>
              </w:rPr>
              <w:t xml:space="preserve">2000m²</w:t>
            </w:r>
            <w:r/>
          </w:p>
        </w:tc>
        <w:tc>
          <w:tcPr>
            <w:tcW w:w="579" w:type="pct"/>
            <w:vAlign w:val="top"/>
            <w:textDirection w:val="lrTb"/>
            <w:noWrap w:val="false"/>
          </w:tcPr>
          <w:p>
            <w:pPr>
              <w:pStyle w:val="852"/>
              <w:rPr>
                <w:color w:val="000000"/>
              </w:rPr>
            </w:pPr>
            <w:r>
              <w:rPr>
                <w:color w:val="000000"/>
              </w:rPr>
              <w:t xml:space="preserve">3cm</w:t>
            </w:r>
            <w:r/>
          </w:p>
        </w:tc>
      </w:tr>
    </w:tbl>
    <w:p>
      <w:pPr>
        <w:pStyle w:val="734"/>
        <w:rPr>
          <w:rFonts w:ascii="Arial" w:hAnsi="Arial"/>
          <w:vanish/>
          <w:color w:val="000000"/>
          <w:sz w:val="24"/>
          <w:szCs w:val="24"/>
        </w:rPr>
      </w:pPr>
      <w:r>
        <w:rPr>
          <w:rFonts w:ascii="Arial" w:hAnsi="Arial"/>
          <w:vanish/>
          <w:color w:val="000000"/>
          <w:sz w:val="24"/>
          <w:szCs w:val="24"/>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3947"/>
        <w:gridCol w:w="2575"/>
        <w:gridCol w:w="2643"/>
      </w:tblGrid>
      <w:tr>
        <w:trPr>
          <w:trHeight w:val="285"/>
        </w:trPr>
        <w:tc>
          <w:tcPr>
            <w:tcBorders>
              <w:top w:val="single" w:color="000000" w:sz="4" w:space="0"/>
              <w:left w:val="single" w:color="000000" w:sz="4" w:space="0"/>
              <w:bottom w:val="single" w:color="000000" w:sz="4" w:space="0"/>
              <w:right w:val="single" w:color="000000" w:sz="4" w:space="0"/>
            </w:tcBorders>
            <w:tcW w:w="2153" w:type="pct"/>
            <w:vAlign w:val="center"/>
            <w:textDirection w:val="lrTb"/>
            <w:noWrap/>
          </w:tcPr>
          <w:p>
            <w:pPr>
              <w:pStyle w:val="852"/>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441" w:type="pct"/>
            <w:vAlign w:val="center"/>
            <w:textDirection w:val="lrTb"/>
            <w:noWrap/>
          </w:tcPr>
          <w:p>
            <w:pPr>
              <w:pStyle w:val="852"/>
              <w:rPr>
                <w:color w:val="000000"/>
              </w:rPr>
            </w:pPr>
            <w:r>
              <w:rPr>
                <w:color w:val="000000"/>
              </w:rPr>
              <w:t xml:space="preserve">精度</w:t>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852"/>
              <w:rPr>
                <w:color w:val="000000"/>
              </w:rPr>
            </w:pPr>
            <w:r>
              <w:rPr>
                <w:color w:val="000000"/>
              </w:rPr>
              <w:t xml:space="preserve">水泵</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1</w:t>
            </w:r>
            <w:r/>
          </w:p>
        </w:tc>
        <w:tc>
          <w:tcPr>
            <w:tcBorders>
              <w:top w:val="single" w:color="000000" w:sz="4" w:space="0"/>
              <w:left w:val="single" w:color="000000" w:sz="4" w:space="0"/>
              <w:right w:val="single" w:color="000000" w:sz="4" w:space="0"/>
            </w:tcBorders>
            <w:tcW w:w="1441" w:type="pct"/>
            <w:vAlign w:val="center"/>
            <w:vMerge w:val="restart"/>
            <w:textDirection w:val="lrTb"/>
            <w:noWrap/>
          </w:tcPr>
          <w:p>
            <w:pPr>
              <w:pStyle w:val="852"/>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852"/>
              <w:rPr>
                <w:color w:val="000000"/>
              </w:rPr>
            </w:pPr>
            <w:r>
              <w:rPr>
                <w:color w:val="000000"/>
              </w:rPr>
              <w:t xml:space="preserve">闸门</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852"/>
              <w:rPr>
                <w:color w:val="000000"/>
              </w:rPr>
            </w:pPr>
            <w:r>
              <w:rPr>
                <w:color w:val="000000"/>
              </w:rPr>
              <w:t xml:space="preserve">启闭机</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852"/>
              <w:rPr>
                <w:color w:val="000000"/>
              </w:rPr>
            </w:pPr>
            <w:r>
              <w:rPr>
                <w:color w:val="000000"/>
              </w:rPr>
              <w:t xml:space="preserve">管道</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1</w:t>
            </w:r>
            <w:r/>
          </w:p>
        </w:tc>
        <w:tc>
          <w:tcPr>
            <w:tcBorders>
              <w:left w:val="single" w:color="000000" w:sz="4" w:space="0"/>
              <w:right w:val="single" w:color="000000" w:sz="4" w:space="0"/>
            </w:tcBorders>
            <w:tcW w:w="1441"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153" w:type="pct"/>
            <w:vAlign w:val="top"/>
            <w:textDirection w:val="lrTb"/>
            <w:noWrap/>
          </w:tcPr>
          <w:p>
            <w:pPr>
              <w:pStyle w:val="852"/>
              <w:rPr>
                <w:color w:val="000000"/>
              </w:rPr>
            </w:pPr>
            <w:r>
              <w:rPr>
                <w:color w:val="000000"/>
              </w:rPr>
              <w:t xml:space="preserve">机电设备</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pStyle w:val="852"/>
              <w:rPr>
                <w:color w:val="000000"/>
              </w:rPr>
            </w:pPr>
            <w:r>
              <w:rPr>
                <w:color w:val="000000"/>
              </w:rPr>
              <w:t xml:space="preserve">1</w:t>
            </w:r>
            <w:r/>
          </w:p>
        </w:tc>
        <w:tc>
          <w:tcPr>
            <w:tcBorders>
              <w:left w:val="single" w:color="000000" w:sz="4" w:space="0"/>
              <w:bottom w:val="single" w:color="000000" w:sz="4" w:space="0"/>
              <w:right w:val="single" w:color="000000" w:sz="4" w:space="0"/>
            </w:tcBorders>
            <w:tcW w:w="1441" w:type="pct"/>
            <w:vAlign w:val="center"/>
            <w:vMerge w:val="continue"/>
            <w:textDirection w:val="lrTb"/>
            <w:noWrap/>
          </w:tcPr>
          <w:p>
            <w:pPr>
              <w:pStyle w:val="852"/>
              <w:rPr>
                <w:color w:val="000000"/>
              </w:rPr>
            </w:pPr>
            <w:r>
              <w:rPr>
                <w:color w:val="000000"/>
              </w:rPr>
            </w:r>
            <w:r/>
          </w:p>
        </w:tc>
      </w:tr>
    </w:tbl>
    <w:p>
      <w:pPr>
        <w:pStyle w:val="734"/>
        <w:numPr>
          <w:ilvl w:val="0"/>
          <w:numId w:val="36"/>
        </w:numPr>
        <w:ind w:left="0" w:firstLine="420"/>
        <w:rPr>
          <w:color w:val="000000"/>
        </w:rPr>
      </w:pPr>
      <w:r>
        <w:rPr>
          <w:rFonts w:hint="eastAsia"/>
          <w:color w:val="000000"/>
        </w:rPr>
        <w:t xml:space="preserve">生态环境监测站</w:t>
      </w:r>
      <w:r>
        <w:rPr>
          <w:color w:val="000000"/>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7"/>
        <w:gridCol w:w="4037"/>
        <w:gridCol w:w="1218"/>
        <w:gridCol w:w="1041"/>
        <w:gridCol w:w="982"/>
      </w:tblGrid>
      <w:tr>
        <w:trPr/>
        <w:tc>
          <w:tcPr>
            <w:tcW w:w="1029" w:type="pct"/>
            <w:vAlign w:val="center"/>
            <w:textDirection w:val="lrTb"/>
            <w:noWrap w:val="false"/>
          </w:tcPr>
          <w:p>
            <w:pPr>
              <w:pStyle w:val="852"/>
              <w:rPr>
                <w:color w:val="000000"/>
              </w:rPr>
            </w:pPr>
            <w:r>
              <w:rPr>
                <w:color w:val="000000"/>
              </w:rPr>
              <w:t xml:space="preserve">地点</w:t>
            </w:r>
            <w:r/>
          </w:p>
        </w:tc>
        <w:tc>
          <w:tcPr>
            <w:tcW w:w="2201" w:type="pct"/>
            <w:vAlign w:val="center"/>
            <w:textDirection w:val="lrTb"/>
            <w:noWrap w:val="false"/>
          </w:tcPr>
          <w:p>
            <w:pPr>
              <w:pStyle w:val="852"/>
              <w:rPr>
                <w:color w:val="000000"/>
              </w:rPr>
            </w:pPr>
            <w:r>
              <w:rPr>
                <w:color w:val="000000"/>
              </w:rPr>
              <w:t xml:space="preserve">经纬度</w:t>
            </w:r>
            <w:r/>
          </w:p>
        </w:tc>
        <w:tc>
          <w:tcPr>
            <w:tcW w:w="664" w:type="pct"/>
            <w:vAlign w:val="center"/>
            <w:textDirection w:val="lrTb"/>
            <w:noWrap w:val="false"/>
          </w:tcPr>
          <w:p>
            <w:pPr>
              <w:pStyle w:val="852"/>
              <w:rPr>
                <w:color w:val="000000"/>
              </w:rPr>
            </w:pPr>
            <w:r>
              <w:rPr>
                <w:rFonts w:hint="eastAsia"/>
                <w:color w:val="000000"/>
              </w:rPr>
              <w:t xml:space="preserve">外部空间</w:t>
            </w:r>
            <w:r>
              <w:rPr>
                <w:color w:val="000000"/>
              </w:rPr>
              <w:t xml:space="preserve">面积</w:t>
            </w:r>
            <w:r/>
          </w:p>
        </w:tc>
        <w:tc>
          <w:tcPr>
            <w:tcW w:w="568" w:type="pct"/>
            <w:vAlign w:val="center"/>
            <w:textDirection w:val="lrTb"/>
            <w:noWrap w:val="false"/>
          </w:tcPr>
          <w:p>
            <w:pPr>
              <w:pStyle w:val="852"/>
              <w:rPr>
                <w:color w:val="000000"/>
              </w:rPr>
            </w:pPr>
            <w:r>
              <w:rPr>
                <w:rFonts w:hint="eastAsia"/>
                <w:color w:val="000000"/>
              </w:rPr>
              <w:t xml:space="preserve">内部面积</w:t>
            </w:r>
            <w:r>
              <w:rPr>
                <w:color w:val="000000"/>
              </w:rPr>
            </w:r>
            <w:r/>
          </w:p>
        </w:tc>
        <w:tc>
          <w:tcPr>
            <w:tcW w:w="536" w:type="pct"/>
            <w:vAlign w:val="center"/>
            <w:textDirection w:val="lrTb"/>
            <w:noWrap w:val="false"/>
          </w:tcPr>
          <w:p>
            <w:pPr>
              <w:pStyle w:val="852"/>
              <w:rPr>
                <w:color w:val="000000"/>
              </w:rPr>
            </w:pPr>
            <w:r>
              <w:rPr>
                <w:color w:val="000000"/>
              </w:rPr>
              <w:t xml:space="preserve">精度</w:t>
            </w:r>
            <w:r/>
          </w:p>
        </w:tc>
      </w:tr>
      <w:tr>
        <w:trPr>
          <w:trHeight w:val="790"/>
        </w:trPr>
        <w:tc>
          <w:tcPr>
            <w:tcW w:w="1029" w:type="pct"/>
            <w:vAlign w:val="center"/>
            <w:textDirection w:val="lrTb"/>
            <w:noWrap w:val="false"/>
          </w:tcPr>
          <w:p>
            <w:pPr>
              <w:pStyle w:val="852"/>
              <w:rPr>
                <w:color w:val="000000"/>
              </w:rPr>
            </w:pPr>
            <w:r>
              <w:rPr>
                <w:color w:val="000000"/>
              </w:rPr>
              <w:t xml:space="preserve">大浦港桥站</w:t>
            </w:r>
            <w:r/>
          </w:p>
        </w:tc>
        <w:tc>
          <w:tcPr>
            <w:tcW w:w="2201" w:type="pct"/>
            <w:vAlign w:val="center"/>
            <w:textDirection w:val="lrTb"/>
            <w:noWrap w:val="false"/>
          </w:tcPr>
          <w:p>
            <w:pPr>
              <w:pStyle w:val="852"/>
              <w:rPr>
                <w:color w:val="000000"/>
              </w:rPr>
            </w:pPr>
            <w:r>
              <w:rPr>
                <w:color w:val="000000"/>
              </w:rPr>
              <w:t xml:space="preserve">120.225297419,31.543685089</w:t>
            </w:r>
            <w:r/>
          </w:p>
        </w:tc>
        <w:tc>
          <w:tcPr>
            <w:tcW w:w="664" w:type="pct"/>
            <w:vAlign w:val="center"/>
            <w:textDirection w:val="lrTb"/>
            <w:noWrap w:val="false"/>
          </w:tcPr>
          <w:p>
            <w:pPr>
              <w:pStyle w:val="852"/>
              <w:rPr>
                <w:color w:val="000000"/>
              </w:rPr>
            </w:pPr>
            <w:r>
              <w:rPr>
                <w:color w:val="000000"/>
              </w:rPr>
            </w:r>
            <w:r/>
          </w:p>
          <w:p>
            <w:pPr>
              <w:pStyle w:val="852"/>
              <w:rPr>
                <w:color w:val="000000"/>
              </w:rPr>
            </w:pPr>
            <w:r>
              <w:rPr>
                <w:color w:val="000000"/>
              </w:rPr>
              <w:t xml:space="preserve">3km²</w:t>
            </w:r>
            <w:r/>
          </w:p>
          <w:p>
            <w:pPr>
              <w:pStyle w:val="852"/>
              <w:rPr>
                <w:color w:val="000000"/>
              </w:rPr>
            </w:pPr>
            <w:r>
              <w:rPr>
                <w:color w:val="000000"/>
              </w:rPr>
            </w:r>
            <w:r/>
          </w:p>
        </w:tc>
        <w:tc>
          <w:tcPr>
            <w:tcW w:w="568" w:type="pct"/>
            <w:vAlign w:val="center"/>
            <w:textDirection w:val="lrTb"/>
            <w:noWrap w:val="false"/>
          </w:tcPr>
          <w:p>
            <w:pPr>
              <w:pStyle w:val="852"/>
              <w:rPr>
                <w:color w:val="000000"/>
              </w:rPr>
            </w:pPr>
            <w:r>
              <w:rPr>
                <w:color w:val="000000"/>
              </w:rPr>
            </w:r>
            <w:r/>
          </w:p>
          <w:p>
            <w:pPr>
              <w:pStyle w:val="852"/>
              <w:rPr>
                <w:color w:val="000000"/>
              </w:rPr>
            </w:pPr>
            <w:r>
              <w:rPr>
                <w:color w:val="000000"/>
              </w:rPr>
              <w:t xml:space="preserve">200m²</w:t>
            </w:r>
            <w:r/>
          </w:p>
          <w:p>
            <w:pPr>
              <w:pStyle w:val="852"/>
              <w:rPr>
                <w:color w:val="000000"/>
              </w:rPr>
            </w:pPr>
            <w:r>
              <w:rPr>
                <w:color w:val="000000"/>
              </w:rPr>
            </w:r>
            <w:r/>
          </w:p>
        </w:tc>
        <w:tc>
          <w:tcPr>
            <w:tcW w:w="536" w:type="pct"/>
            <w:vAlign w:val="center"/>
            <w:textDirection w:val="lrTb"/>
            <w:noWrap w:val="false"/>
          </w:tcPr>
          <w:p>
            <w:pPr>
              <w:pStyle w:val="852"/>
              <w:rPr>
                <w:color w:val="000000"/>
              </w:rPr>
            </w:pPr>
            <w:r>
              <w:rPr>
                <w:color w:val="000000"/>
              </w:rPr>
              <w:t xml:space="preserve">3cm</w:t>
            </w:r>
            <w:r/>
          </w:p>
        </w:tc>
      </w:tr>
    </w:tbl>
    <w:p>
      <w:pPr>
        <w:pStyle w:val="734"/>
        <w:rPr>
          <w:rFonts w:ascii="Arial" w:hAnsi="Arial"/>
          <w:vanish/>
          <w:color w:val="000000"/>
          <w:sz w:val="24"/>
          <w:szCs w:val="24"/>
        </w:rPr>
      </w:pPr>
      <w:r>
        <w:rPr>
          <w:rFonts w:ascii="Arial" w:hAnsi="Arial"/>
          <w:vanish/>
          <w:color w:val="000000"/>
          <w:sz w:val="24"/>
          <w:szCs w:val="24"/>
        </w:rPr>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94"/>
        <w:gridCol w:w="2543"/>
        <w:gridCol w:w="2328"/>
      </w:tblGrid>
      <w:tr>
        <w:trPr>
          <w:trHeight w:val="285"/>
        </w:trPr>
        <w:tc>
          <w:tcPr>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pStyle w:val="852"/>
              <w:rPr>
                <w:color w:val="000000"/>
              </w:rPr>
            </w:pPr>
            <w:r>
              <w:rPr>
                <w:color w:val="000000"/>
              </w:rPr>
              <w:t xml:space="preserve">建模</w:t>
            </w:r>
            <w:r>
              <w:rPr>
                <w:rFonts w:hint="eastAsia"/>
                <w:color w:val="000000"/>
              </w:rPr>
              <w:t xml:space="preserve">设备</w:t>
            </w:r>
            <w:r>
              <w:rPr>
                <w:color w:val="000000"/>
              </w:rPr>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9" w:type="pct"/>
            <w:vAlign w:val="center"/>
            <w:textDirection w:val="lrTb"/>
            <w:noWrap/>
          </w:tcPr>
          <w:p>
            <w:pPr>
              <w:pStyle w:val="852"/>
              <w:rPr>
                <w:color w:val="000000"/>
              </w:rPr>
            </w:pPr>
            <w:r>
              <w:rPr>
                <w:color w:val="000000"/>
              </w:rPr>
              <w:t xml:space="preserve">精度</w:t>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852"/>
              <w:rPr>
                <w:color w:val="000000"/>
              </w:rPr>
            </w:pPr>
            <w:r>
              <w:rPr>
                <w:color w:val="000000"/>
              </w:rPr>
              <w:t xml:space="preserve">取水泵</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1</w:t>
            </w:r>
            <w:r/>
          </w:p>
        </w:tc>
        <w:tc>
          <w:tcPr>
            <w:tcBorders>
              <w:top w:val="single" w:color="000000" w:sz="4" w:space="0"/>
              <w:left w:val="single" w:color="000000" w:sz="4" w:space="0"/>
              <w:right w:val="single" w:color="000000" w:sz="4" w:space="0"/>
            </w:tcBorders>
            <w:tcW w:w="1269" w:type="pct"/>
            <w:vAlign w:val="center"/>
            <w:vMerge w:val="restart"/>
            <w:textDirection w:val="lrTb"/>
            <w:noWrap/>
          </w:tcPr>
          <w:p>
            <w:pPr>
              <w:pStyle w:val="852"/>
              <w:rPr>
                <w:color w:val="000000"/>
              </w:rPr>
            </w:pPr>
            <w:r>
              <w:rPr>
                <w:color w:val="000000"/>
              </w:rPr>
              <w:t xml:space="preserve">1cm</w:t>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852"/>
              <w:rPr>
                <w:color w:val="000000"/>
              </w:rPr>
            </w:pPr>
            <w:r>
              <w:rPr>
                <w:color w:val="000000"/>
              </w:rPr>
              <w:t xml:space="preserve">机柜</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1</w:t>
            </w:r>
            <w:r/>
          </w:p>
        </w:tc>
        <w:tc>
          <w:tcPr>
            <w:tcBorders>
              <w:left w:val="single" w:color="000000" w:sz="4" w:space="0"/>
              <w:right w:val="single" w:color="000000" w:sz="4" w:space="0"/>
            </w:tcBorders>
            <w:tcW w:w="1269"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852"/>
              <w:rPr>
                <w:color w:val="000000"/>
              </w:rPr>
            </w:pPr>
            <w:r>
              <w:rPr>
                <w:color w:val="000000"/>
              </w:rPr>
              <w:t xml:space="preserve">控制单元</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1</w:t>
            </w:r>
            <w:r/>
          </w:p>
        </w:tc>
        <w:tc>
          <w:tcPr>
            <w:tcBorders>
              <w:left w:val="single" w:color="000000" w:sz="4" w:space="0"/>
              <w:right w:val="single" w:color="000000" w:sz="4" w:space="0"/>
            </w:tcBorders>
            <w:tcW w:w="1269" w:type="pct"/>
            <w:vAlign w:val="center"/>
            <w:vMerge w:val="continue"/>
            <w:textDirection w:val="lrTb"/>
            <w:noWrap/>
          </w:tcPr>
          <w:p>
            <w:pPr>
              <w:pStyle w:val="852"/>
              <w:rPr>
                <w:color w:val="000000"/>
              </w:rPr>
            </w:pPr>
            <w:r>
              <w:rPr>
                <w:color w:val="000000"/>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2342" w:type="pct"/>
            <w:vAlign w:val="top"/>
            <w:textDirection w:val="lrTb"/>
            <w:noWrap/>
          </w:tcPr>
          <w:p>
            <w:pPr>
              <w:pStyle w:val="852"/>
              <w:rPr>
                <w:color w:val="000000"/>
              </w:rPr>
            </w:pPr>
            <w:r>
              <w:rPr>
                <w:color w:val="000000"/>
              </w:rPr>
              <w:t xml:space="preserve">检测单元</w:t>
            </w:r>
            <w:r/>
          </w:p>
        </w:tc>
        <w:tc>
          <w:tcPr>
            <w:tcBorders>
              <w:top w:val="single" w:color="000000" w:sz="4" w:space="0"/>
              <w:left w:val="single" w:color="000000" w:sz="4" w:space="0"/>
              <w:bottom w:val="single" w:color="000000" w:sz="4" w:space="0"/>
              <w:right w:val="single" w:color="000000" w:sz="4" w:space="0"/>
            </w:tcBorders>
            <w:tcW w:w="1387" w:type="pct"/>
            <w:vAlign w:val="center"/>
            <w:textDirection w:val="lrTb"/>
            <w:noWrap/>
          </w:tcPr>
          <w:p>
            <w:pPr>
              <w:pStyle w:val="852"/>
              <w:rPr>
                <w:color w:val="000000"/>
              </w:rPr>
            </w:pPr>
            <w:r>
              <w:rPr>
                <w:color w:val="000000"/>
              </w:rPr>
              <w:t xml:space="preserve">1</w:t>
            </w:r>
            <w:r/>
          </w:p>
        </w:tc>
        <w:tc>
          <w:tcPr>
            <w:tcBorders>
              <w:left w:val="single" w:color="000000" w:sz="4" w:space="0"/>
              <w:bottom w:val="single" w:color="000000" w:sz="4" w:space="0"/>
              <w:right w:val="single" w:color="000000" w:sz="4" w:space="0"/>
            </w:tcBorders>
            <w:tcW w:w="1269" w:type="pct"/>
            <w:vAlign w:val="center"/>
            <w:vMerge w:val="continue"/>
            <w:textDirection w:val="lrTb"/>
            <w:noWrap/>
          </w:tcPr>
          <w:p>
            <w:pPr>
              <w:pStyle w:val="852"/>
              <w:rPr>
                <w:color w:val="000000"/>
              </w:rPr>
            </w:pPr>
            <w:r>
              <w:rPr>
                <w:color w:val="000000"/>
              </w:rPr>
            </w:r>
            <w:r/>
          </w:p>
        </w:tc>
      </w:tr>
    </w:tbl>
    <w:p>
      <w:pPr>
        <w:pStyle w:val="734"/>
        <w:numPr>
          <w:ilvl w:val="0"/>
          <w:numId w:val="34"/>
        </w:numPr>
        <w:ind w:left="420"/>
        <w:rPr>
          <w:color w:val="000000"/>
        </w:rPr>
      </w:pPr>
      <w:r>
        <w:rPr>
          <w:rFonts w:hint="eastAsia"/>
          <w:color w:val="000000"/>
        </w:rPr>
        <w:t xml:space="preserve">全景可视化展示需求</w:t>
      </w:r>
      <w:r>
        <w:rPr>
          <w:color w:val="000000"/>
        </w:rPr>
      </w:r>
      <w:r/>
    </w:p>
    <w:p>
      <w:pPr>
        <w:pStyle w:val="734"/>
        <w:ind w:firstLine="480"/>
        <w:rPr>
          <w:color w:val="000000"/>
        </w:rPr>
      </w:pPr>
      <w:r>
        <w:rPr>
          <w:rFonts w:hint="eastAsia"/>
          <w:color w:val="000000"/>
        </w:rPr>
        <w:t xml:space="preserve">对数据底板中的河湖水系分布、流域内水质自动监测站、重点闸泵站、农业源、入河（湖）排口、厂网、治理工程、通量监测点等感知层监测网络进行全景展示，通过二维、三维、宏观、中观、微观等不同模式、不同维度、不同视角进行要素信息的查看、分析。为水环境、水生态监测预警及处置、水资源优化配置、安全度夏指挥调度等业务应用提供可视化工作调度管理。</w:t>
      </w:r>
      <w:r>
        <w:rPr>
          <w:color w:val="000000"/>
        </w:rPr>
      </w:r>
      <w:r/>
    </w:p>
    <w:p>
      <w:pPr>
        <w:pStyle w:val="734"/>
        <w:numPr>
          <w:ilvl w:val="0"/>
          <w:numId w:val="37"/>
        </w:numPr>
        <w:ind w:firstLine="480"/>
        <w:rPr>
          <w:color w:val="000000"/>
        </w:rPr>
      </w:pPr>
      <w:r>
        <w:rPr>
          <w:rFonts w:hint="eastAsia"/>
          <w:color w:val="000000"/>
        </w:rPr>
        <w:t xml:space="preserve">水质自动监测态势</w:t>
      </w:r>
      <w:r>
        <w:rPr>
          <w:color w:val="000000"/>
        </w:rPr>
      </w:r>
      <w:r/>
    </w:p>
    <w:p>
      <w:pPr>
        <w:pStyle w:val="734"/>
        <w:ind w:firstLine="480"/>
        <w:rPr>
          <w:color w:val="000000"/>
        </w:rPr>
      </w:pPr>
      <w:r>
        <w:rPr>
          <w:rFonts w:hint="eastAsia"/>
          <w:color w:val="000000"/>
        </w:rPr>
        <w:t xml:space="preserve">接入200座水质自动站传感数据，集成各水质监测站系统数据、设备运行数据，对各水质监测点、蓝藻监测点、废水监测点的类型、位置分布、状态等信息进行实时监测；对水质构成、水质达标情况、污染情况等要素进行综合可视化分析。</w:t>
      </w:r>
      <w:r>
        <w:rPr>
          <w:color w:val="000000"/>
        </w:rPr>
      </w:r>
      <w:r/>
    </w:p>
    <w:p>
      <w:pPr>
        <w:pStyle w:val="734"/>
        <w:numPr>
          <w:ilvl w:val="0"/>
          <w:numId w:val="37"/>
        </w:numPr>
        <w:ind w:firstLine="480"/>
        <w:rPr>
          <w:color w:val="000000"/>
        </w:rPr>
      </w:pPr>
      <w:r>
        <w:rPr>
          <w:rFonts w:hint="eastAsia"/>
          <w:color w:val="000000"/>
        </w:rPr>
        <w:t xml:space="preserve">重点闸泵态势</w:t>
      </w:r>
      <w:r>
        <w:rPr>
          <w:color w:val="000000"/>
        </w:rPr>
      </w:r>
      <w:r/>
    </w:p>
    <w:p>
      <w:pPr>
        <w:pStyle w:val="734"/>
        <w:ind w:firstLine="480"/>
        <w:rPr>
          <w:color w:val="000000"/>
        </w:rPr>
      </w:pPr>
      <w:r>
        <w:rPr>
          <w:rFonts w:hint="eastAsia"/>
          <w:color w:val="000000"/>
        </w:rPr>
        <w:t xml:space="preserve">接入重点闸泵站50个，通过集成和分析闸泵站的位置、采集数据，二三维一体化实现对闸泵站运行状态的实时监测、故障预警和运维管理的支撑。</w:t>
      </w:r>
      <w:r>
        <w:rPr>
          <w:color w:val="000000"/>
        </w:rPr>
      </w:r>
      <w:r/>
    </w:p>
    <w:p>
      <w:pPr>
        <w:pStyle w:val="734"/>
        <w:numPr>
          <w:ilvl w:val="0"/>
          <w:numId w:val="37"/>
        </w:numPr>
        <w:ind w:firstLine="480"/>
        <w:rPr>
          <w:color w:val="000000"/>
        </w:rPr>
      </w:pPr>
      <w:r>
        <w:rPr>
          <w:rFonts w:hint="eastAsia"/>
          <w:color w:val="000000"/>
        </w:rPr>
        <w:t xml:space="preserve">农业面源态势</w:t>
      </w:r>
      <w:r>
        <w:rPr>
          <w:color w:val="000000"/>
        </w:rPr>
      </w:r>
      <w:r/>
    </w:p>
    <w:p>
      <w:pPr>
        <w:pStyle w:val="734"/>
        <w:ind w:firstLine="480"/>
        <w:rPr>
          <w:color w:val="000000"/>
        </w:rPr>
      </w:pPr>
      <w:r>
        <w:rPr>
          <w:rFonts w:hint="eastAsia"/>
          <w:color w:val="000000"/>
        </w:rPr>
        <w:t xml:space="preserve">农业面源耕地面积808.98km²，种植园面积187.92km²。展示太湖流域农业面源污染状况和变化趋势，全面掌握农业面源污染状况、氮磷等流失状况、农业污染负荷与贡献等要素指标，为太湖流域农业面源污染防治提供依据。</w:t>
      </w:r>
      <w:r>
        <w:rPr>
          <w:color w:val="000000"/>
        </w:rPr>
      </w:r>
      <w:r/>
    </w:p>
    <w:p>
      <w:pPr>
        <w:pStyle w:val="734"/>
        <w:numPr>
          <w:ilvl w:val="0"/>
          <w:numId w:val="37"/>
        </w:numPr>
        <w:ind w:firstLine="480"/>
        <w:rPr>
          <w:color w:val="000000"/>
        </w:rPr>
      </w:pPr>
      <w:r>
        <w:rPr>
          <w:rFonts w:hint="eastAsia"/>
          <w:color w:val="000000"/>
        </w:rPr>
        <w:t xml:space="preserve">入河（湖）排口态势</w:t>
      </w:r>
      <w:r>
        <w:rPr>
          <w:color w:val="000000"/>
        </w:rPr>
      </w:r>
      <w:r/>
    </w:p>
    <w:p>
      <w:pPr>
        <w:pStyle w:val="734"/>
        <w:ind w:firstLine="480"/>
        <w:rPr>
          <w:color w:val="000000"/>
        </w:rPr>
      </w:pPr>
      <w:r>
        <w:rPr>
          <w:color w:val="000000"/>
        </w:rPr>
        <w:t xml:space="preserve">与入河排污口综合监管系统数据对接，在数字孪生平台融合现有入河（湖）排口系统数据，对排污口分类信息、档案信息全要素可视呈现</w:t>
      </w:r>
      <w:r>
        <w:rPr>
          <w:rFonts w:hint="eastAsia"/>
          <w:color w:val="000000"/>
        </w:rPr>
        <w:t xml:space="preserve">。</w:t>
      </w:r>
      <w:r>
        <w:rPr>
          <w:color w:val="000000"/>
        </w:rPr>
      </w:r>
      <w:r/>
    </w:p>
    <w:p>
      <w:pPr>
        <w:pStyle w:val="734"/>
        <w:ind w:left="420"/>
        <w:rPr>
          <w:color w:val="000000"/>
        </w:rPr>
      </w:pPr>
      <w:r>
        <w:rPr>
          <w:rFonts w:hint="eastAsia"/>
          <w:color w:val="000000"/>
        </w:rPr>
        <w:t xml:space="preserve">现有入河（湖）排口末梢水监测点15个：</w:t>
      </w:r>
      <w:r>
        <w:rPr>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3"/>
        <w:gridCol w:w="6736"/>
      </w:tblGrid>
      <w:tr>
        <w:trPr>
          <w:trHeight w:val="20"/>
        </w:trPr>
        <w:tc>
          <w:tcPr>
            <w:tcW w:w="1327" w:type="pct"/>
            <w:vAlign w:val="center"/>
            <w:textDirection w:val="lrTb"/>
            <w:noWrap/>
          </w:tcPr>
          <w:p>
            <w:pPr>
              <w:pStyle w:val="852"/>
              <w:rPr>
                <w:color w:val="000000"/>
              </w:rPr>
            </w:pPr>
            <w:r>
              <w:rPr>
                <w:color w:val="000000"/>
              </w:rPr>
              <w:t xml:space="preserve">末梢水监测点</w:t>
            </w:r>
            <w:r/>
          </w:p>
        </w:tc>
        <w:tc>
          <w:tcPr>
            <w:tcW w:w="3673" w:type="pct"/>
            <w:vAlign w:val="center"/>
            <w:textDirection w:val="lrTb"/>
            <w:noWrap/>
          </w:tcPr>
          <w:p>
            <w:pPr>
              <w:pStyle w:val="852"/>
              <w:rPr>
                <w:color w:val="000000"/>
              </w:rPr>
            </w:pPr>
            <w:r>
              <w:rPr>
                <w:color w:val="000000"/>
              </w:rPr>
              <w:t xml:space="preserve">地址</w:t>
            </w:r>
            <w:r/>
          </w:p>
        </w:tc>
      </w:tr>
      <w:tr>
        <w:trPr>
          <w:trHeight w:val="20"/>
        </w:trPr>
        <w:tc>
          <w:tcPr>
            <w:tcW w:w="1327" w:type="pct"/>
            <w:vAlign w:val="center"/>
            <w:textDirection w:val="lrTb"/>
            <w:noWrap/>
          </w:tcPr>
          <w:p>
            <w:pPr>
              <w:pStyle w:val="852"/>
              <w:rPr>
                <w:color w:val="000000"/>
              </w:rPr>
            </w:pPr>
            <w:r>
              <w:rPr>
                <w:color w:val="000000"/>
              </w:rPr>
              <w:t xml:space="preserve">城中</w:t>
            </w:r>
            <w:r/>
          </w:p>
        </w:tc>
        <w:tc>
          <w:tcPr>
            <w:tcW w:w="3673" w:type="pct"/>
            <w:vAlign w:val="center"/>
            <w:textDirection w:val="lrTb"/>
            <w:noWrap w:val="false"/>
          </w:tcPr>
          <w:p>
            <w:pPr>
              <w:pStyle w:val="852"/>
              <w:rPr>
                <w:color w:val="000000"/>
              </w:rPr>
            </w:pPr>
            <w:r>
              <w:rPr>
                <w:color w:val="000000"/>
              </w:rPr>
              <w:t xml:space="preserve">建筑路朗高护理院门卫</w:t>
            </w:r>
            <w:r/>
          </w:p>
        </w:tc>
      </w:tr>
      <w:tr>
        <w:trPr>
          <w:trHeight w:val="20"/>
        </w:trPr>
        <w:tc>
          <w:tcPr>
            <w:tcW w:w="1327" w:type="pct"/>
            <w:vAlign w:val="center"/>
            <w:textDirection w:val="lrTb"/>
            <w:noWrap/>
          </w:tcPr>
          <w:p>
            <w:pPr>
              <w:pStyle w:val="852"/>
              <w:rPr>
                <w:color w:val="000000"/>
              </w:rPr>
            </w:pPr>
            <w:r>
              <w:rPr>
                <w:color w:val="000000"/>
              </w:rPr>
              <w:t xml:space="preserve">硕放</w:t>
            </w:r>
            <w:r/>
          </w:p>
        </w:tc>
        <w:tc>
          <w:tcPr>
            <w:tcW w:w="3673" w:type="pct"/>
            <w:vAlign w:val="center"/>
            <w:textDirection w:val="lrTb"/>
            <w:noWrap w:val="false"/>
          </w:tcPr>
          <w:p>
            <w:pPr>
              <w:pStyle w:val="852"/>
              <w:rPr>
                <w:color w:val="000000"/>
              </w:rPr>
            </w:pPr>
            <w:r>
              <w:rPr>
                <w:color w:val="000000"/>
              </w:rPr>
              <w:t xml:space="preserve">墙宅路648号硕放供水服务所门卫</w:t>
            </w:r>
            <w:r/>
          </w:p>
        </w:tc>
      </w:tr>
      <w:tr>
        <w:trPr>
          <w:trHeight w:val="20"/>
        </w:trPr>
        <w:tc>
          <w:tcPr>
            <w:tcW w:w="1327" w:type="pct"/>
            <w:vAlign w:val="center"/>
            <w:textDirection w:val="lrTb"/>
            <w:noWrap/>
          </w:tcPr>
          <w:p>
            <w:pPr>
              <w:pStyle w:val="852"/>
              <w:rPr>
                <w:color w:val="000000"/>
              </w:rPr>
            </w:pPr>
            <w:r>
              <w:rPr>
                <w:color w:val="000000"/>
              </w:rPr>
              <w:t xml:space="preserve">太湖新城</w:t>
            </w:r>
            <w:r/>
          </w:p>
        </w:tc>
        <w:tc>
          <w:tcPr>
            <w:tcW w:w="3673" w:type="pct"/>
            <w:vAlign w:val="center"/>
            <w:textDirection w:val="lrTb"/>
            <w:noWrap w:val="false"/>
          </w:tcPr>
          <w:p>
            <w:pPr>
              <w:pStyle w:val="852"/>
              <w:rPr>
                <w:color w:val="000000"/>
              </w:rPr>
            </w:pPr>
            <w:r>
              <w:rPr>
                <w:color w:val="000000"/>
              </w:rPr>
              <w:t xml:space="preserve">大通路周新苑门卫</w:t>
            </w:r>
            <w:r/>
          </w:p>
        </w:tc>
      </w:tr>
      <w:tr>
        <w:trPr>
          <w:trHeight w:val="20"/>
        </w:trPr>
        <w:tc>
          <w:tcPr>
            <w:tcW w:w="1327" w:type="pct"/>
            <w:vAlign w:val="center"/>
            <w:textDirection w:val="lrTb"/>
            <w:noWrap/>
          </w:tcPr>
          <w:p>
            <w:pPr>
              <w:pStyle w:val="852"/>
              <w:rPr>
                <w:color w:val="000000"/>
              </w:rPr>
            </w:pPr>
            <w:r>
              <w:rPr>
                <w:color w:val="000000"/>
              </w:rPr>
              <w:t xml:space="preserve">鼋头渚公园</w:t>
            </w:r>
            <w:r/>
          </w:p>
        </w:tc>
        <w:tc>
          <w:tcPr>
            <w:tcW w:w="3673" w:type="pct"/>
            <w:vAlign w:val="center"/>
            <w:textDirection w:val="lrTb"/>
            <w:noWrap w:val="false"/>
          </w:tcPr>
          <w:p>
            <w:pPr>
              <w:pStyle w:val="852"/>
              <w:rPr>
                <w:color w:val="000000"/>
              </w:rPr>
            </w:pPr>
            <w:r>
              <w:rPr>
                <w:color w:val="000000"/>
              </w:rPr>
              <w:t xml:space="preserve">景区售票处停车场卫生间</w:t>
            </w:r>
            <w:r/>
          </w:p>
        </w:tc>
      </w:tr>
      <w:tr>
        <w:trPr>
          <w:trHeight w:val="20"/>
        </w:trPr>
        <w:tc>
          <w:tcPr>
            <w:tcW w:w="1327" w:type="pct"/>
            <w:vAlign w:val="center"/>
            <w:textDirection w:val="lrTb"/>
            <w:noWrap/>
          </w:tcPr>
          <w:p>
            <w:pPr>
              <w:pStyle w:val="852"/>
              <w:rPr>
                <w:color w:val="000000"/>
              </w:rPr>
            </w:pPr>
            <w:r>
              <w:rPr>
                <w:color w:val="000000"/>
              </w:rPr>
              <w:t xml:space="preserve">堰桥</w:t>
            </w:r>
            <w:r/>
          </w:p>
        </w:tc>
        <w:tc>
          <w:tcPr>
            <w:tcW w:w="3673" w:type="pct"/>
            <w:vAlign w:val="center"/>
            <w:textDirection w:val="lrTb"/>
            <w:noWrap w:val="false"/>
          </w:tcPr>
          <w:p>
            <w:pPr>
              <w:pStyle w:val="852"/>
              <w:rPr>
                <w:color w:val="000000"/>
              </w:rPr>
            </w:pPr>
            <w:r>
              <w:rPr>
                <w:color w:val="000000"/>
              </w:rPr>
              <w:t xml:space="preserve">吴韵路惠山区国税局门卫</w:t>
            </w:r>
            <w:r/>
          </w:p>
        </w:tc>
      </w:tr>
      <w:tr>
        <w:trPr>
          <w:trHeight w:val="20"/>
        </w:trPr>
        <w:tc>
          <w:tcPr>
            <w:tcW w:w="1327" w:type="pct"/>
            <w:vAlign w:val="center"/>
            <w:textDirection w:val="lrTb"/>
            <w:noWrap/>
          </w:tcPr>
          <w:p>
            <w:pPr>
              <w:pStyle w:val="852"/>
              <w:rPr>
                <w:color w:val="000000"/>
              </w:rPr>
            </w:pPr>
            <w:r>
              <w:rPr>
                <w:color w:val="000000"/>
              </w:rPr>
              <w:t xml:space="preserve">荡口</w:t>
            </w:r>
            <w:r/>
          </w:p>
        </w:tc>
        <w:tc>
          <w:tcPr>
            <w:tcW w:w="3673" w:type="pct"/>
            <w:vAlign w:val="center"/>
            <w:textDirection w:val="lrTb"/>
            <w:noWrap w:val="false"/>
          </w:tcPr>
          <w:p>
            <w:pPr>
              <w:pStyle w:val="852"/>
              <w:rPr>
                <w:color w:val="000000"/>
              </w:rPr>
            </w:pPr>
            <w:r>
              <w:rPr>
                <w:color w:val="000000"/>
              </w:rPr>
              <w:t xml:space="preserve">鹅湖交管所门卫</w:t>
            </w:r>
            <w:r/>
          </w:p>
        </w:tc>
      </w:tr>
      <w:tr>
        <w:trPr>
          <w:trHeight w:val="20"/>
        </w:trPr>
        <w:tc>
          <w:tcPr>
            <w:tcW w:w="1327" w:type="pct"/>
            <w:vAlign w:val="center"/>
            <w:textDirection w:val="lrTb"/>
            <w:noWrap/>
          </w:tcPr>
          <w:p>
            <w:pPr>
              <w:pStyle w:val="852"/>
              <w:rPr>
                <w:color w:val="000000"/>
              </w:rPr>
            </w:pPr>
            <w:r>
              <w:rPr>
                <w:color w:val="000000"/>
              </w:rPr>
              <w:t xml:space="preserve">羊尖</w:t>
            </w:r>
            <w:r/>
          </w:p>
        </w:tc>
        <w:tc>
          <w:tcPr>
            <w:tcW w:w="3673" w:type="pct"/>
            <w:vAlign w:val="center"/>
            <w:textDirection w:val="lrTb"/>
            <w:noWrap w:val="false"/>
          </w:tcPr>
          <w:p>
            <w:pPr>
              <w:pStyle w:val="852"/>
              <w:rPr>
                <w:color w:val="000000"/>
              </w:rPr>
            </w:pPr>
            <w:r>
              <w:rPr>
                <w:color w:val="000000"/>
              </w:rPr>
              <w:t xml:space="preserve">锡山区羊尖供水服务所门卫</w:t>
            </w:r>
            <w:r/>
          </w:p>
        </w:tc>
      </w:tr>
      <w:tr>
        <w:trPr>
          <w:trHeight w:val="20"/>
        </w:trPr>
        <w:tc>
          <w:tcPr>
            <w:tcW w:w="1327" w:type="pct"/>
            <w:vAlign w:val="center"/>
            <w:textDirection w:val="lrTb"/>
            <w:noWrap/>
          </w:tcPr>
          <w:p>
            <w:pPr>
              <w:pStyle w:val="852"/>
              <w:rPr>
                <w:color w:val="000000"/>
              </w:rPr>
            </w:pPr>
            <w:r>
              <w:rPr>
                <w:color w:val="000000"/>
              </w:rPr>
              <w:t xml:space="preserve">鸿声</w:t>
            </w:r>
            <w:r/>
          </w:p>
        </w:tc>
        <w:tc>
          <w:tcPr>
            <w:tcW w:w="3673" w:type="pct"/>
            <w:vAlign w:val="center"/>
            <w:textDirection w:val="lrTb"/>
            <w:noWrap w:val="false"/>
          </w:tcPr>
          <w:p>
            <w:pPr>
              <w:pStyle w:val="852"/>
              <w:rPr>
                <w:color w:val="000000"/>
              </w:rPr>
            </w:pPr>
            <w:r>
              <w:rPr>
                <w:color w:val="000000"/>
              </w:rPr>
              <w:t xml:space="preserve">鸿声供水服务所</w:t>
            </w:r>
            <w:r/>
          </w:p>
        </w:tc>
      </w:tr>
      <w:tr>
        <w:trPr>
          <w:trHeight w:val="20"/>
        </w:trPr>
        <w:tc>
          <w:tcPr>
            <w:tcW w:w="1327" w:type="pct"/>
            <w:vAlign w:val="center"/>
            <w:textDirection w:val="lrTb"/>
            <w:noWrap/>
          </w:tcPr>
          <w:p>
            <w:pPr>
              <w:pStyle w:val="852"/>
              <w:rPr>
                <w:color w:val="000000"/>
              </w:rPr>
            </w:pPr>
            <w:r>
              <w:rPr>
                <w:color w:val="000000"/>
              </w:rPr>
              <w:t xml:space="preserve">玉祁</w:t>
            </w:r>
            <w:r/>
          </w:p>
        </w:tc>
        <w:tc>
          <w:tcPr>
            <w:tcW w:w="3673" w:type="pct"/>
            <w:vAlign w:val="center"/>
            <w:textDirection w:val="lrTb"/>
            <w:noWrap w:val="false"/>
          </w:tcPr>
          <w:p>
            <w:pPr>
              <w:pStyle w:val="852"/>
              <w:rPr>
                <w:color w:val="000000"/>
              </w:rPr>
            </w:pPr>
            <w:r>
              <w:rPr>
                <w:color w:val="000000"/>
              </w:rPr>
              <w:t xml:space="preserve">玉祁工业园门卫</w:t>
            </w:r>
            <w:r/>
          </w:p>
        </w:tc>
      </w:tr>
      <w:tr>
        <w:trPr>
          <w:trHeight w:val="20"/>
        </w:trPr>
        <w:tc>
          <w:tcPr>
            <w:tcW w:w="1327" w:type="pct"/>
            <w:vAlign w:val="center"/>
            <w:textDirection w:val="lrTb"/>
            <w:noWrap/>
          </w:tcPr>
          <w:p>
            <w:pPr>
              <w:pStyle w:val="852"/>
              <w:rPr>
                <w:color w:val="000000"/>
              </w:rPr>
            </w:pPr>
            <w:r>
              <w:rPr>
                <w:color w:val="000000"/>
              </w:rPr>
              <w:t xml:space="preserve">东升</w:t>
            </w:r>
            <w:r/>
          </w:p>
        </w:tc>
        <w:tc>
          <w:tcPr>
            <w:tcW w:w="3673" w:type="pct"/>
            <w:vAlign w:val="center"/>
            <w:textDirection w:val="lrTb"/>
            <w:noWrap w:val="false"/>
          </w:tcPr>
          <w:p>
            <w:pPr>
              <w:pStyle w:val="852"/>
              <w:rPr>
                <w:color w:val="000000"/>
              </w:rPr>
            </w:pPr>
            <w:r>
              <w:rPr>
                <w:color w:val="000000"/>
              </w:rPr>
              <w:t xml:space="preserve">锡港西路9号东港供水服务所门卫</w:t>
            </w:r>
            <w:r/>
          </w:p>
        </w:tc>
      </w:tr>
      <w:tr>
        <w:trPr>
          <w:trHeight w:val="20"/>
        </w:trPr>
        <w:tc>
          <w:tcPr>
            <w:tcW w:w="1327" w:type="pct"/>
            <w:vAlign w:val="center"/>
            <w:textDirection w:val="lrTb"/>
            <w:noWrap/>
          </w:tcPr>
          <w:p>
            <w:pPr>
              <w:pStyle w:val="852"/>
              <w:rPr>
                <w:color w:val="000000"/>
              </w:rPr>
            </w:pPr>
            <w:r>
              <w:rPr>
                <w:color w:val="000000"/>
              </w:rPr>
              <w:t xml:space="preserve">马山</w:t>
            </w:r>
            <w:r/>
          </w:p>
        </w:tc>
        <w:tc>
          <w:tcPr>
            <w:tcW w:w="3673" w:type="pct"/>
            <w:vAlign w:val="center"/>
            <w:textDirection w:val="lrTb"/>
            <w:noWrap w:val="false"/>
          </w:tcPr>
          <w:p>
            <w:pPr>
              <w:pStyle w:val="852"/>
              <w:rPr>
                <w:color w:val="000000"/>
              </w:rPr>
            </w:pPr>
            <w:r>
              <w:rPr>
                <w:color w:val="000000"/>
              </w:rPr>
              <w:t xml:space="preserve">柏梁路72号瑞年实业有限公司门卫卫生间</w:t>
            </w:r>
            <w:r/>
          </w:p>
        </w:tc>
      </w:tr>
      <w:tr>
        <w:trPr>
          <w:trHeight w:val="20"/>
        </w:trPr>
        <w:tc>
          <w:tcPr>
            <w:tcW w:w="1327" w:type="pct"/>
            <w:vAlign w:val="center"/>
            <w:textDirection w:val="lrTb"/>
            <w:noWrap/>
          </w:tcPr>
          <w:p>
            <w:pPr>
              <w:pStyle w:val="852"/>
              <w:rPr>
                <w:color w:val="000000"/>
              </w:rPr>
            </w:pPr>
            <w:r>
              <w:rPr>
                <w:color w:val="000000"/>
              </w:rPr>
              <w:t xml:space="preserve">南泉</w:t>
            </w:r>
            <w:r/>
          </w:p>
        </w:tc>
        <w:tc>
          <w:tcPr>
            <w:tcW w:w="3673" w:type="pct"/>
            <w:vAlign w:val="center"/>
            <w:textDirection w:val="lrTb"/>
            <w:noWrap w:val="false"/>
          </w:tcPr>
          <w:p>
            <w:pPr>
              <w:pStyle w:val="852"/>
              <w:rPr>
                <w:color w:val="000000"/>
              </w:rPr>
            </w:pPr>
            <w:r>
              <w:rPr>
                <w:color w:val="000000"/>
              </w:rPr>
              <w:t xml:space="preserve">南泉兴隆街8号绿阳饭店厨房</w:t>
            </w:r>
            <w:r/>
          </w:p>
        </w:tc>
      </w:tr>
      <w:tr>
        <w:trPr>
          <w:trHeight w:val="20"/>
        </w:trPr>
        <w:tc>
          <w:tcPr>
            <w:tcW w:w="1327" w:type="pct"/>
            <w:vAlign w:val="center"/>
            <w:textDirection w:val="lrTb"/>
            <w:noWrap/>
          </w:tcPr>
          <w:p>
            <w:pPr>
              <w:pStyle w:val="852"/>
              <w:rPr>
                <w:color w:val="000000"/>
              </w:rPr>
            </w:pPr>
            <w:r>
              <w:rPr>
                <w:color w:val="000000"/>
              </w:rPr>
              <w:t xml:space="preserve">长安</w:t>
            </w:r>
            <w:r/>
          </w:p>
        </w:tc>
        <w:tc>
          <w:tcPr>
            <w:tcW w:w="3673" w:type="pct"/>
            <w:vAlign w:val="center"/>
            <w:textDirection w:val="lrTb"/>
            <w:noWrap w:val="false"/>
          </w:tcPr>
          <w:p>
            <w:pPr>
              <w:pStyle w:val="852"/>
              <w:rPr>
                <w:color w:val="000000"/>
              </w:rPr>
            </w:pPr>
            <w:r>
              <w:rPr>
                <w:color w:val="000000"/>
              </w:rPr>
              <w:t xml:space="preserve">长安供水服务所门卫</w:t>
            </w:r>
            <w:r/>
          </w:p>
        </w:tc>
      </w:tr>
      <w:tr>
        <w:trPr>
          <w:trHeight w:val="20"/>
        </w:trPr>
        <w:tc>
          <w:tcPr>
            <w:tcW w:w="1327" w:type="pct"/>
            <w:vAlign w:val="center"/>
            <w:textDirection w:val="lrTb"/>
            <w:noWrap/>
          </w:tcPr>
          <w:p>
            <w:pPr>
              <w:pStyle w:val="852"/>
              <w:rPr>
                <w:color w:val="000000"/>
              </w:rPr>
            </w:pPr>
            <w:r>
              <w:rPr>
                <w:color w:val="000000"/>
              </w:rPr>
              <w:t xml:space="preserve">华庄</w:t>
            </w:r>
            <w:r/>
          </w:p>
        </w:tc>
        <w:tc>
          <w:tcPr>
            <w:tcW w:w="3673" w:type="pct"/>
            <w:vAlign w:val="center"/>
            <w:textDirection w:val="lrTb"/>
            <w:noWrap w:val="false"/>
          </w:tcPr>
          <w:p>
            <w:pPr>
              <w:pStyle w:val="852"/>
              <w:rPr>
                <w:color w:val="000000"/>
              </w:rPr>
            </w:pPr>
            <w:r>
              <w:rPr>
                <w:color w:val="000000"/>
              </w:rPr>
              <w:t xml:space="preserve">落霞苑二社区门卫</w:t>
            </w:r>
            <w:r/>
          </w:p>
        </w:tc>
      </w:tr>
      <w:tr>
        <w:trPr>
          <w:trHeight w:val="20"/>
        </w:trPr>
        <w:tc>
          <w:tcPr>
            <w:tcW w:w="1327" w:type="pct"/>
            <w:vAlign w:val="center"/>
            <w:textDirection w:val="lrTb"/>
            <w:noWrap/>
          </w:tcPr>
          <w:p>
            <w:pPr>
              <w:pStyle w:val="852"/>
              <w:rPr>
                <w:color w:val="000000"/>
              </w:rPr>
            </w:pPr>
            <w:r>
              <w:rPr>
                <w:color w:val="000000"/>
              </w:rPr>
              <w:t xml:space="preserve">胡埭</w:t>
            </w:r>
            <w:r/>
          </w:p>
        </w:tc>
        <w:tc>
          <w:tcPr>
            <w:tcW w:w="3673" w:type="pct"/>
            <w:vAlign w:val="center"/>
            <w:textDirection w:val="lrTb"/>
            <w:noWrap w:val="false"/>
          </w:tcPr>
          <w:p>
            <w:pPr>
              <w:pStyle w:val="852"/>
              <w:rPr>
                <w:color w:val="000000"/>
              </w:rPr>
            </w:pPr>
            <w:r>
              <w:rPr>
                <w:color w:val="000000"/>
              </w:rPr>
              <w:t xml:space="preserve">胡埭中学门卫</w:t>
            </w:r>
            <w:r/>
          </w:p>
        </w:tc>
      </w:tr>
    </w:tbl>
    <w:p>
      <w:pPr>
        <w:pStyle w:val="734"/>
        <w:numPr>
          <w:ilvl w:val="0"/>
          <w:numId w:val="37"/>
        </w:numPr>
        <w:ind w:firstLine="480"/>
        <w:rPr>
          <w:color w:val="000000"/>
        </w:rPr>
      </w:pPr>
      <w:r>
        <w:rPr>
          <w:rFonts w:hint="eastAsia"/>
          <w:color w:val="000000"/>
        </w:rPr>
        <w:t xml:space="preserve">厂网态势</w:t>
      </w:r>
      <w:r>
        <w:rPr>
          <w:color w:val="000000"/>
        </w:rPr>
      </w:r>
      <w:r/>
    </w:p>
    <w:p>
      <w:pPr>
        <w:pStyle w:val="734"/>
        <w:ind w:firstLine="480"/>
        <w:rPr>
          <w:color w:val="000000"/>
        </w:rPr>
      </w:pPr>
      <w:r>
        <w:rPr>
          <w:rFonts w:hint="eastAsia"/>
          <w:color w:val="000000"/>
        </w:rPr>
        <w:t xml:space="preserve">接入企业数据约700家，污水处理厂数据约80家，饮用水源地约7家，自来水厂11家，建立泵站和污水处理厂对配套管网进水水量水质动态变化的反馈应对机制，实现区域内厂网的联调联动。</w:t>
      </w:r>
      <w:r>
        <w:rPr>
          <w:color w:val="000000"/>
        </w:rPr>
      </w:r>
      <w:r/>
    </w:p>
    <w:p>
      <w:pPr>
        <w:pStyle w:val="734"/>
        <w:numPr>
          <w:ilvl w:val="0"/>
          <w:numId w:val="37"/>
        </w:numPr>
        <w:ind w:firstLine="480"/>
        <w:rPr>
          <w:color w:val="000000"/>
        </w:rPr>
      </w:pPr>
      <w:r>
        <w:rPr>
          <w:rFonts w:hint="eastAsia"/>
          <w:color w:val="000000"/>
        </w:rPr>
        <w:t xml:space="preserve">治理工程态势</w:t>
      </w:r>
      <w:r>
        <w:rPr>
          <w:color w:val="000000"/>
        </w:rPr>
      </w:r>
      <w:r/>
    </w:p>
    <w:p>
      <w:pPr>
        <w:pStyle w:val="734"/>
        <w:ind w:firstLine="480"/>
        <w:rPr>
          <w:color w:val="000000"/>
        </w:rPr>
      </w:pPr>
      <w:r>
        <w:rPr>
          <w:rFonts w:hint="eastAsia"/>
          <w:color w:val="000000"/>
        </w:rPr>
        <w:t xml:space="preserve">导入重点治太工程数据，在数字孪生系统中标绘重点治太工程分布，以</w:t>
      </w:r>
      <w:r>
        <w:rPr>
          <w:color w:val="000000"/>
        </w:rPr>
        <w:t xml:space="preserve">图表展示重点治太工程档案数据信息</w:t>
      </w:r>
      <w:r>
        <w:rPr>
          <w:rFonts w:hint="eastAsia"/>
          <w:color w:val="000000"/>
        </w:rPr>
        <w:t xml:space="preserve">，实现数据联动操作。</w:t>
      </w:r>
      <w:r>
        <w:rPr>
          <w:color w:val="000000"/>
        </w:rPr>
      </w:r>
      <w:r/>
    </w:p>
    <w:p>
      <w:pPr>
        <w:pStyle w:val="734"/>
        <w:numPr>
          <w:ilvl w:val="0"/>
          <w:numId w:val="37"/>
        </w:numPr>
        <w:ind w:firstLine="480"/>
        <w:rPr>
          <w:color w:val="000000"/>
        </w:rPr>
      </w:pPr>
      <w:r>
        <w:rPr>
          <w:rFonts w:hint="eastAsia"/>
          <w:color w:val="000000"/>
        </w:rPr>
        <w:t xml:space="preserve">通量监测点态势</w:t>
      </w:r>
      <w:r>
        <w:rPr>
          <w:color w:val="000000"/>
        </w:rPr>
      </w:r>
      <w:r/>
    </w:p>
    <w:p>
      <w:pPr>
        <w:pStyle w:val="734"/>
        <w:ind w:firstLine="480"/>
        <w:rPr>
          <w:color w:val="000000"/>
        </w:rPr>
      </w:pPr>
      <w:r>
        <w:rPr>
          <w:rFonts w:hint="eastAsia"/>
          <w:color w:val="000000"/>
        </w:rPr>
        <w:t xml:space="preserve">接入通量监测点13个，实现水位、流向、流量实时监测，</w:t>
      </w:r>
      <w:r>
        <w:rPr>
          <w:color w:val="000000"/>
          <w:szCs w:val="28"/>
        </w:rPr>
        <w:t xml:space="preserve">在数字孪生系统中标绘通量监测点分布</w:t>
      </w:r>
      <w:r>
        <w:rPr>
          <w:rFonts w:hint="eastAsia"/>
          <w:color w:val="000000"/>
          <w:szCs w:val="28"/>
        </w:rPr>
        <w:t xml:space="preserve">，以</w:t>
      </w:r>
      <w:r>
        <w:rPr>
          <w:color w:val="000000"/>
          <w:szCs w:val="28"/>
        </w:rPr>
        <w:t xml:space="preserve">图表展示通量监测点数据信息</w:t>
      </w:r>
      <w:r>
        <w:rPr>
          <w:rFonts w:hint="eastAsia"/>
          <w:color w:val="000000"/>
          <w:szCs w:val="28"/>
        </w:rPr>
        <w:t xml:space="preserve">，</w:t>
      </w:r>
      <w:r>
        <w:rPr>
          <w:color w:val="000000"/>
          <w:szCs w:val="28"/>
        </w:rPr>
        <w:t xml:space="preserve">2D\3D联动操作</w:t>
      </w:r>
      <w:r>
        <w:rPr>
          <w:rFonts w:hint="eastAsia"/>
          <w:color w:val="000000"/>
          <w:szCs w:val="28"/>
        </w:rPr>
        <w:t xml:space="preserve">。</w:t>
      </w:r>
      <w:r>
        <w:rPr>
          <w:color w:val="000000"/>
        </w:rPr>
      </w:r>
      <w:r/>
    </w:p>
    <w:p>
      <w:pPr>
        <w:pStyle w:val="734"/>
        <w:numPr>
          <w:ilvl w:val="0"/>
          <w:numId w:val="34"/>
        </w:numPr>
        <w:ind w:left="420"/>
        <w:rPr>
          <w:color w:val="000000"/>
        </w:rPr>
      </w:pPr>
      <w:r>
        <w:rPr>
          <w:rFonts w:hint="eastAsia"/>
          <w:color w:val="000000"/>
        </w:rPr>
        <w:t xml:space="preserve">事件场景模拟需求</w:t>
      </w:r>
      <w:r>
        <w:rPr>
          <w:color w:val="000000"/>
        </w:rPr>
      </w:r>
      <w:r/>
    </w:p>
    <w:p>
      <w:pPr>
        <w:pStyle w:val="734"/>
        <w:numPr>
          <w:ilvl w:val="0"/>
          <w:numId w:val="38"/>
        </w:numPr>
        <w:ind w:firstLine="480"/>
        <w:rPr>
          <w:color w:val="000000"/>
        </w:rPr>
      </w:pPr>
      <w:r>
        <w:rPr>
          <w:color w:val="000000"/>
        </w:rPr>
        <w:t xml:space="preserve">实时态势模拟</w:t>
      </w:r>
      <w:r/>
    </w:p>
    <w:p>
      <w:pPr>
        <w:pStyle w:val="734"/>
        <w:ind w:firstLine="480"/>
        <w:rPr>
          <w:color w:val="000000"/>
        </w:rPr>
      </w:pPr>
      <w:r>
        <w:rPr>
          <w:color w:val="000000"/>
        </w:rPr>
        <w:t xml:space="preserve">结合无锡太湖流域全要素监测数据，动态智能感知无锡太湖流域水环境变化状态，并实时动态模拟展现，并自动识别问题，自动报警。</w:t>
      </w:r>
      <w:r/>
    </w:p>
    <w:p>
      <w:pPr>
        <w:pStyle w:val="734"/>
        <w:numPr>
          <w:ilvl w:val="0"/>
          <w:numId w:val="38"/>
        </w:numPr>
        <w:ind w:firstLine="480"/>
        <w:rPr>
          <w:color w:val="000000"/>
        </w:rPr>
      </w:pPr>
      <w:r>
        <w:rPr>
          <w:color w:val="000000"/>
        </w:rPr>
        <w:t xml:space="preserve">时间气候模拟</w:t>
      </w:r>
      <w:r/>
    </w:p>
    <w:p>
      <w:pPr>
        <w:pStyle w:val="734"/>
        <w:ind w:left="480"/>
        <w:rPr>
          <w:color w:val="000000"/>
        </w:rPr>
      </w:pPr>
      <w:r>
        <w:rPr>
          <w:color w:val="000000"/>
        </w:rPr>
        <w:t xml:space="preserve">实现实时时间同步、实时温度、湿度、风力、光照气象信息模拟。</w:t>
      </w:r>
      <w:r/>
    </w:p>
    <w:p>
      <w:pPr>
        <w:pStyle w:val="734"/>
        <w:numPr>
          <w:ilvl w:val="0"/>
          <w:numId w:val="38"/>
        </w:numPr>
        <w:ind w:firstLine="480"/>
        <w:rPr>
          <w:color w:val="000000"/>
        </w:rPr>
      </w:pPr>
      <w:r>
        <w:rPr>
          <w:color w:val="000000"/>
        </w:rPr>
        <w:t xml:space="preserve">蓝藻、底泥打捞、转运、处理模拟</w:t>
      </w:r>
      <w:r/>
    </w:p>
    <w:p>
      <w:pPr>
        <w:pStyle w:val="734"/>
        <w:ind w:left="480"/>
        <w:rPr>
          <w:color w:val="000000"/>
        </w:rPr>
      </w:pPr>
      <w:r>
        <w:rPr>
          <w:color w:val="000000"/>
        </w:rPr>
        <w:t xml:space="preserve">实现对蓝藻、底泥的打捞、转运、处理流程模拟。</w:t>
      </w:r>
      <w:r/>
    </w:p>
    <w:p>
      <w:pPr>
        <w:pStyle w:val="734"/>
        <w:numPr>
          <w:ilvl w:val="0"/>
          <w:numId w:val="38"/>
        </w:numPr>
        <w:ind w:firstLine="480"/>
        <w:rPr>
          <w:color w:val="000000"/>
        </w:rPr>
      </w:pPr>
      <w:r>
        <w:rPr>
          <w:color w:val="000000"/>
        </w:rPr>
        <w:t xml:space="preserve">水生态物种分布和迁徙模拟</w:t>
      </w:r>
      <w:r/>
    </w:p>
    <w:p>
      <w:pPr>
        <w:pStyle w:val="734"/>
        <w:ind w:left="480"/>
        <w:rPr>
          <w:color w:val="000000"/>
        </w:rPr>
      </w:pPr>
      <w:r>
        <w:rPr>
          <w:color w:val="000000"/>
        </w:rPr>
        <w:t xml:space="preserve">实现对鱼类、候鸟流程模拟。</w:t>
      </w:r>
      <w:r/>
    </w:p>
    <w:p>
      <w:pPr>
        <w:pStyle w:val="734"/>
        <w:numPr>
          <w:ilvl w:val="0"/>
          <w:numId w:val="38"/>
        </w:numPr>
        <w:ind w:firstLine="480"/>
        <w:rPr>
          <w:color w:val="000000"/>
        </w:rPr>
      </w:pPr>
      <w:r>
        <w:rPr>
          <w:color w:val="000000"/>
        </w:rPr>
        <w:t xml:space="preserve">治太工程模拟</w:t>
      </w:r>
      <w:r/>
    </w:p>
    <w:p>
      <w:pPr>
        <w:pStyle w:val="734"/>
        <w:ind w:left="480"/>
        <w:rPr>
          <w:color w:val="000000"/>
        </w:rPr>
      </w:pPr>
      <w:r>
        <w:rPr>
          <w:color w:val="000000"/>
        </w:rPr>
        <w:t xml:space="preserve">对治太工程全流程模拟展示，包括治太工程的项目建设及执行情况等。</w:t>
      </w:r>
      <w:r/>
    </w:p>
    <w:p>
      <w:pPr>
        <w:pStyle w:val="734"/>
        <w:numPr>
          <w:ilvl w:val="0"/>
          <w:numId w:val="38"/>
        </w:numPr>
        <w:ind w:firstLine="480"/>
        <w:rPr>
          <w:color w:val="000000"/>
        </w:rPr>
      </w:pPr>
      <w:r>
        <w:rPr>
          <w:color w:val="000000"/>
        </w:rPr>
        <w:t xml:space="preserve">水文气象模拟</w:t>
      </w:r>
      <w:r/>
    </w:p>
    <w:p>
      <w:pPr>
        <w:pStyle w:val="734"/>
        <w:ind w:firstLine="480"/>
        <w:rPr>
          <w:color w:val="000000"/>
        </w:rPr>
      </w:pPr>
      <w:r>
        <w:rPr>
          <w:color w:val="000000"/>
        </w:rPr>
        <w:t xml:space="preserve">利用计算机模型模拟展示水文和气象过程的功能。它通过对水体和地表过程进行数值模拟展示，可以提供对水文气象变化的预测和仿真。</w:t>
      </w:r>
      <w:r/>
    </w:p>
    <w:p>
      <w:pPr>
        <w:pStyle w:val="734"/>
        <w:numPr>
          <w:ilvl w:val="0"/>
          <w:numId w:val="38"/>
        </w:numPr>
        <w:ind w:firstLine="480"/>
        <w:rPr>
          <w:color w:val="000000"/>
        </w:rPr>
      </w:pPr>
      <w:r>
        <w:rPr>
          <w:color w:val="000000"/>
        </w:rPr>
        <w:t xml:space="preserve">供水安全场景模拟</w:t>
      </w:r>
      <w:r/>
    </w:p>
    <w:p>
      <w:pPr>
        <w:pStyle w:val="734"/>
        <w:ind w:left="480"/>
        <w:rPr>
          <w:color w:val="000000"/>
        </w:rPr>
      </w:pPr>
      <w:r>
        <w:rPr>
          <w:color w:val="000000"/>
        </w:rPr>
        <w:t xml:space="preserve">实现对自然灾害、工程事故、水源污染场景预演模拟。</w:t>
      </w:r>
      <w:r/>
    </w:p>
    <w:p>
      <w:pPr>
        <w:pStyle w:val="734"/>
        <w:numPr>
          <w:ilvl w:val="0"/>
          <w:numId w:val="38"/>
        </w:numPr>
        <w:ind w:firstLine="480"/>
        <w:rPr>
          <w:color w:val="000000"/>
        </w:rPr>
      </w:pPr>
      <w:r>
        <w:rPr>
          <w:color w:val="000000"/>
        </w:rPr>
        <w:t xml:space="preserve">藻类暴发模拟</w:t>
      </w:r>
      <w:r/>
    </w:p>
    <w:p>
      <w:pPr>
        <w:pStyle w:val="734"/>
        <w:ind w:left="480"/>
        <w:rPr>
          <w:color w:val="000000"/>
        </w:rPr>
      </w:pPr>
      <w:r>
        <w:rPr>
          <w:color w:val="000000"/>
        </w:rPr>
        <w:t xml:space="preserve">结合实时监测数据和历史数据，设置参数，进行藻类爆发模拟展示。</w:t>
      </w:r>
      <w:r/>
    </w:p>
    <w:p>
      <w:pPr>
        <w:pStyle w:val="734"/>
        <w:numPr>
          <w:ilvl w:val="0"/>
          <w:numId w:val="38"/>
        </w:numPr>
        <w:ind w:firstLine="480"/>
        <w:rPr>
          <w:color w:val="000000"/>
        </w:rPr>
      </w:pPr>
      <w:r>
        <w:rPr>
          <w:color w:val="000000"/>
        </w:rPr>
        <w:t xml:space="preserve">污染溯源模拟</w:t>
      </w:r>
      <w:r/>
    </w:p>
    <w:p>
      <w:pPr>
        <w:pStyle w:val="734"/>
        <w:ind w:firstLine="480"/>
        <w:rPr>
          <w:color w:val="000000"/>
        </w:rPr>
      </w:pPr>
      <w:r>
        <w:rPr>
          <w:color w:val="000000"/>
        </w:rPr>
        <w:t xml:space="preserve">通过利用环境监测数据、数学模型和算法，对污染物的来源和传播路径进行模拟和分析展示，以找出污染物的源头。</w:t>
      </w:r>
      <w:r/>
    </w:p>
    <w:p>
      <w:pPr>
        <w:pStyle w:val="734"/>
        <w:numPr>
          <w:ilvl w:val="0"/>
          <w:numId w:val="38"/>
        </w:numPr>
        <w:ind w:firstLine="480"/>
        <w:rPr>
          <w:color w:val="000000"/>
        </w:rPr>
      </w:pPr>
      <w:r>
        <w:rPr>
          <w:color w:val="000000"/>
        </w:rPr>
        <w:t xml:space="preserve">污染扩散模拟</w:t>
      </w:r>
      <w:r/>
    </w:p>
    <w:p>
      <w:pPr>
        <w:pStyle w:val="734"/>
        <w:ind w:firstLine="480"/>
        <w:rPr>
          <w:color w:val="000000"/>
        </w:rPr>
      </w:pPr>
      <w:r>
        <w:rPr>
          <w:color w:val="000000"/>
        </w:rPr>
        <w:t xml:space="preserve">基于水文气象数据和数学模型的分析方法，用于估计污染物在水体或土壤中的传播过程和扩散范围。对潜在的污染事件进行预测和评估，以制定应急响应计划、优化环境管理。</w:t>
      </w:r>
      <w:r/>
    </w:p>
    <w:p>
      <w:pPr>
        <w:pStyle w:val="734"/>
        <w:numPr>
          <w:ilvl w:val="0"/>
          <w:numId w:val="38"/>
        </w:numPr>
        <w:ind w:firstLine="480"/>
        <w:rPr>
          <w:color w:val="000000"/>
        </w:rPr>
      </w:pPr>
      <w:r>
        <w:rPr>
          <w:color w:val="000000"/>
        </w:rPr>
        <w:t xml:space="preserve">洪涝灾害影响模拟</w:t>
      </w:r>
      <w:r/>
    </w:p>
    <w:p>
      <w:pPr>
        <w:pStyle w:val="734"/>
        <w:ind w:left="480"/>
        <w:rPr>
          <w:color w:val="000000"/>
        </w:rPr>
      </w:pPr>
      <w:r>
        <w:rPr>
          <w:color w:val="000000"/>
        </w:rPr>
        <w:t xml:space="preserve">结合实时监测数据和历史数据，设置参数，进行灾害模拟展示。</w:t>
      </w:r>
      <w:r/>
    </w:p>
    <w:p>
      <w:pPr>
        <w:pStyle w:val="734"/>
        <w:numPr>
          <w:ilvl w:val="0"/>
          <w:numId w:val="38"/>
        </w:numPr>
        <w:ind w:firstLine="480"/>
        <w:rPr>
          <w:color w:val="000000"/>
        </w:rPr>
      </w:pPr>
      <w:r>
        <w:rPr>
          <w:color w:val="000000"/>
        </w:rPr>
        <w:t xml:space="preserve">经济发展影响模拟</w:t>
      </w:r>
      <w:r/>
    </w:p>
    <w:p>
      <w:pPr>
        <w:pStyle w:val="734"/>
        <w:ind w:firstLine="480"/>
        <w:rPr>
          <w:color w:val="000000"/>
        </w:rPr>
      </w:pPr>
      <w:r>
        <w:rPr>
          <w:color w:val="000000"/>
        </w:rPr>
        <w:t xml:space="preserve">通过预演和评估经济发展对水环境的影响，以提前识别、预测和评估可能产生的环境问题，减少不可逆转的环境损害，推动经济的可持续发展和水环境的保护。</w:t>
      </w:r>
      <w:r/>
    </w:p>
    <w:p>
      <w:pPr>
        <w:pStyle w:val="734"/>
        <w:numPr>
          <w:ilvl w:val="0"/>
          <w:numId w:val="38"/>
        </w:numPr>
        <w:ind w:firstLine="480"/>
        <w:rPr>
          <w:color w:val="000000"/>
        </w:rPr>
      </w:pPr>
      <w:r>
        <w:rPr>
          <w:color w:val="000000"/>
        </w:rPr>
        <w:t xml:space="preserve">气候变化影响模拟</w:t>
      </w:r>
      <w:r/>
    </w:p>
    <w:p>
      <w:pPr>
        <w:pStyle w:val="734"/>
        <w:ind w:left="480"/>
        <w:rPr>
          <w:color w:val="000000"/>
        </w:rPr>
      </w:pPr>
      <w:r>
        <w:rPr>
          <w:color w:val="000000"/>
        </w:rPr>
        <w:t xml:space="preserve">通过数字孪生技术，模拟气象变化，预演水环境的变化情况。</w:t>
      </w:r>
      <w:r/>
    </w:p>
    <w:p>
      <w:pPr>
        <w:pStyle w:val="734"/>
        <w:numPr>
          <w:ilvl w:val="0"/>
          <w:numId w:val="38"/>
        </w:numPr>
        <w:ind w:firstLine="480"/>
        <w:rPr>
          <w:color w:val="000000"/>
        </w:rPr>
      </w:pPr>
      <w:r>
        <w:rPr>
          <w:color w:val="000000"/>
        </w:rPr>
        <w:t xml:space="preserve">居民生活影响模拟</w:t>
      </w:r>
      <w:r/>
    </w:p>
    <w:p>
      <w:pPr>
        <w:pStyle w:val="734"/>
        <w:ind w:firstLine="480"/>
        <w:rPr>
          <w:color w:val="000000"/>
        </w:rPr>
      </w:pPr>
      <w:r>
        <w:rPr>
          <w:color w:val="000000"/>
        </w:rPr>
        <w:t xml:space="preserve">通过数据孪生技术，对居民生活中产生的水污染、生活垃圾、水生态系统破坏等进行模拟展示，预演对水环境的变化情况。</w:t>
      </w:r>
      <w:r/>
    </w:p>
    <w:p>
      <w:pPr>
        <w:pStyle w:val="743"/>
        <w:rPr>
          <w:rFonts w:ascii="宋体" w:hAnsi="宋体" w:eastAsia="宋体" w:cs="宋体"/>
          <w:i/>
          <w:iCs/>
          <w:color w:val="000000"/>
        </w:rPr>
      </w:pPr>
      <w:r>
        <w:rPr>
          <w:rFonts w:hint="eastAsia" w:ascii="宋体" w:hAnsi="宋体" w:eastAsia="宋体" w:cs="宋体"/>
          <w:color w:val="000000"/>
        </w:rPr>
        <w:t xml:space="preserve">2、水环境综合监测监管</w:t>
      </w:r>
      <w:r>
        <w:rPr>
          <w:rFonts w:ascii="宋体" w:hAnsi="宋体" w:eastAsia="宋体" w:cs="宋体"/>
          <w:i/>
          <w:iCs/>
          <w:color w:val="000000"/>
        </w:rPr>
      </w:r>
      <w:r/>
    </w:p>
    <w:p>
      <w:pPr>
        <w:pStyle w:val="734"/>
        <w:ind w:firstLine="422"/>
        <w:rPr>
          <w:b/>
          <w:bCs/>
          <w:color w:val="000000"/>
        </w:rPr>
      </w:pPr>
      <w:r>
        <w:rPr>
          <w:rFonts w:hint="eastAsia"/>
          <w:b/>
          <w:bCs/>
          <w:color w:val="000000"/>
        </w:rPr>
        <w:t xml:space="preserve">2.1 水环境监测监管系统</w:t>
      </w:r>
      <w:r>
        <w:rPr>
          <w:b/>
          <w:bCs/>
          <w:color w:val="000000"/>
        </w:rPr>
      </w:r>
      <w:r/>
    </w:p>
    <w:p>
      <w:pPr>
        <w:pStyle w:val="734"/>
        <w:ind w:firstLine="420"/>
        <w:rPr>
          <w:rFonts w:ascii="宋体" w:hAnsi="宋体" w:cs="宋体"/>
          <w:color w:val="000000"/>
        </w:rPr>
      </w:pPr>
      <w:r>
        <w:rPr>
          <w:rFonts w:ascii="宋体" w:hAnsi="宋体" w:cs="宋体"/>
          <w:color w:val="000000"/>
        </w:rPr>
        <w:t xml:space="preserve">汇聚融合地表水、污染源风险源、入河（湖）排口、水文通量、重点闸泵站、农业源、地下水、管网等各类基础信息及监测数据，形成全市水环境质量一张图，综合分析污染源风险源、农村生活污水、农田退水、水产养殖等对水体环境的污染状况，实时掌握太湖湖体及支流支浜的水环境变化情况；同时结合水文数据、气象数据等各类数据，对水环境进行科学的分析与评价，反映流域水质存在的问题，实现水环境会商。水环境监测监管系统</w:t>
      </w:r>
      <w:r>
        <w:rPr>
          <w:rFonts w:hint="eastAsia" w:ascii="宋体" w:hAnsi="宋体" w:cs="宋体"/>
          <w:color w:val="000000"/>
        </w:rPr>
        <w:t xml:space="preserve">应</w:t>
      </w:r>
      <w:r>
        <w:rPr>
          <w:rFonts w:ascii="宋体" w:hAnsi="宋体" w:cs="宋体"/>
          <w:color w:val="000000"/>
        </w:rPr>
        <w:t xml:space="preserve">包含地表水综合监测模块、污染源风险源综合监管模块、入河（湖）排口监管模块、水文通量监测模块、重点闸泵站监管模块、农业源监测监管模块、地下水监测管理模块、管网监测监管模块及水环境会商模块等。</w:t>
      </w:r>
      <w:r/>
    </w:p>
    <w:p>
      <w:pPr>
        <w:pStyle w:val="734"/>
        <w:ind w:firstLine="422"/>
        <w:rPr>
          <w:b/>
          <w:bCs/>
          <w:color w:val="000000"/>
        </w:rPr>
      </w:pPr>
      <w:r>
        <w:rPr>
          <w:rFonts w:hint="eastAsia"/>
          <w:b/>
          <w:bCs/>
          <w:color w:val="000000"/>
        </w:rPr>
        <w:t xml:space="preserve">2.2 水生态监测系统</w:t>
      </w:r>
      <w:r>
        <w:rPr>
          <w:b/>
          <w:bCs/>
          <w:color w:val="000000"/>
        </w:rPr>
      </w:r>
      <w:r/>
    </w:p>
    <w:p>
      <w:pPr>
        <w:pStyle w:val="734"/>
        <w:ind w:firstLine="420"/>
        <w:rPr>
          <w:rFonts w:ascii="宋体" w:hAnsi="宋体" w:cs="宋体"/>
          <w:color w:val="000000"/>
        </w:rPr>
      </w:pPr>
      <w:r>
        <w:rPr>
          <w:rFonts w:ascii="宋体" w:hAnsi="宋体" w:cs="宋体"/>
          <w:color w:val="000000"/>
        </w:rPr>
        <w:t xml:space="preserve">系统满足对水生态监测全过程的规范化管理，并通过水生态系统健康、水生境保护、水环境保护、水资源保障等指标，构建水生态环境质量综合评价指数。分析诊断水生生物的生存压力问题，并对水生态系统健康状态、水生境状态、水环境状态和水资源状态进行评估。综合分析水生态状况，以识别水生态问题，评估水生态系统的质量和稳定性，以指导水生态保护和修复工作，改善水生态系统的健康状况。</w:t>
      </w:r>
      <w:r/>
    </w:p>
    <w:p>
      <w:pPr>
        <w:pStyle w:val="734"/>
        <w:ind w:firstLine="420"/>
        <w:rPr>
          <w:rFonts w:ascii="宋体" w:hAnsi="宋体" w:cs="宋体"/>
          <w:color w:val="000000"/>
        </w:rPr>
      </w:pPr>
      <w:r>
        <w:rPr>
          <w:rFonts w:ascii="宋体" w:hAnsi="宋体" w:cs="宋体"/>
          <w:color w:val="000000"/>
        </w:rPr>
        <w:t xml:space="preserve">水生态监测模块具有物种名录管理、生物多样性常规调查、AI智能识别、水生态预警、水生态压力分析、水生态系统健康、水生境保护状况、水环境保护状况、水资源保障状况、水生态考核评价、水生态监测一张图等功能。</w:t>
      </w:r>
      <w:r/>
    </w:p>
    <w:p>
      <w:pPr>
        <w:pStyle w:val="734"/>
        <w:ind w:firstLine="422"/>
        <w:rPr>
          <w:b/>
          <w:bCs/>
          <w:color w:val="000000"/>
        </w:rPr>
      </w:pPr>
      <w:r>
        <w:rPr>
          <w:rFonts w:hint="eastAsia"/>
          <w:b/>
          <w:bCs/>
          <w:color w:val="000000"/>
        </w:rPr>
        <w:t xml:space="preserve">2.3 水资源综合监管系统</w:t>
      </w:r>
      <w:r>
        <w:rPr>
          <w:b/>
          <w:bCs/>
          <w:color w:val="000000"/>
        </w:rPr>
      </w:r>
      <w:r/>
    </w:p>
    <w:p>
      <w:pPr>
        <w:pStyle w:val="734"/>
        <w:ind w:firstLine="420"/>
        <w:rPr>
          <w:rFonts w:ascii="宋体" w:hAnsi="宋体" w:cs="宋体"/>
          <w:color w:val="000000"/>
        </w:rPr>
      </w:pPr>
      <w:r>
        <w:rPr>
          <w:rFonts w:ascii="宋体" w:hAnsi="宋体" w:cs="宋体"/>
          <w:color w:val="000000"/>
        </w:rPr>
        <w:t xml:space="preserve">通过实时、精准的数据收集和分析，实现掌握无锡市主要出入湖河道、引江济太调水通道、及支流、支浜的水量、水质、水位、雨情等变化信息，以及重点水利设施运作状态、用水水量与水质情况；通过对水质水量雨情等多源数据分析挖掘、变化对比，实现对水资源的对比分析、预警预报、决策支撑与综合展示等，为着力保障河湖基本生态用水、加强河湖生态流量监管提供数据和技术支撑。水资源综合监管系统具有水资源数字档案、水资源实时监视、水资源预警、水资源数据分析、水资源一张图等功能。</w:t>
      </w:r>
      <w:r/>
    </w:p>
    <w:p>
      <w:pPr>
        <w:pStyle w:val="734"/>
        <w:ind w:firstLine="422"/>
        <w:rPr>
          <w:b/>
          <w:bCs/>
          <w:color w:val="000000"/>
        </w:rPr>
      </w:pPr>
      <w:r>
        <w:rPr>
          <w:rFonts w:hint="eastAsia"/>
          <w:b/>
          <w:bCs/>
          <w:color w:val="000000"/>
        </w:rPr>
        <w:t xml:space="preserve">2.4 水安全保障系统</w:t>
      </w:r>
      <w:r>
        <w:rPr>
          <w:b/>
          <w:bCs/>
          <w:color w:val="000000"/>
        </w:rPr>
      </w:r>
      <w:r/>
    </w:p>
    <w:p>
      <w:pPr>
        <w:pStyle w:val="734"/>
        <w:ind w:firstLine="420"/>
        <w:rPr>
          <w:rFonts w:ascii="宋体" w:hAnsi="宋体" w:cs="宋体"/>
          <w:color w:val="000000"/>
        </w:rPr>
      </w:pPr>
      <w:r>
        <w:rPr>
          <w:rFonts w:ascii="宋体" w:hAnsi="宋体" w:cs="宋体"/>
          <w:color w:val="000000"/>
        </w:rPr>
        <w:t xml:space="preserve">为确保无锡太湖流域饮水安全，保障日常及特殊时期供水水质稳定性，结合无锡太湖流域日常及特殊时期供水水源地、供水工程设施、输水管网等基础信息和监测数据，建设水安全保障系统，针对水源地水质水量进行实时监测和管理，辅助管理者对任何可能影响到供水质量的风险点快速做出反应和调整。</w:t>
      </w:r>
      <w:r/>
    </w:p>
    <w:p>
      <w:pPr>
        <w:pStyle w:val="734"/>
        <w:ind w:firstLine="420"/>
        <w:rPr>
          <w:rFonts w:ascii="宋体" w:hAnsi="宋体" w:cs="宋体"/>
          <w:color w:val="000000"/>
        </w:rPr>
      </w:pPr>
      <w:r>
        <w:rPr>
          <w:rFonts w:ascii="宋体" w:hAnsi="宋体" w:cs="宋体"/>
          <w:color w:val="000000"/>
        </w:rPr>
        <w:t xml:space="preserve">水安全保障系统包含水安全监控、水安全预警、水安全巡检、水安全保障一张图等功能。</w:t>
      </w:r>
      <w:r/>
    </w:p>
    <w:p>
      <w:pPr>
        <w:pStyle w:val="734"/>
        <w:ind w:firstLine="422"/>
        <w:rPr>
          <w:b/>
          <w:bCs/>
          <w:color w:val="000000"/>
        </w:rPr>
      </w:pPr>
      <w:r>
        <w:rPr>
          <w:rFonts w:hint="eastAsia"/>
          <w:b/>
          <w:bCs/>
          <w:color w:val="000000"/>
        </w:rPr>
        <w:t xml:space="preserve">2.5 水文化保护与传承系统</w:t>
      </w:r>
      <w:r>
        <w:rPr>
          <w:b/>
          <w:bCs/>
          <w:color w:val="000000"/>
        </w:rPr>
      </w:r>
      <w:r/>
    </w:p>
    <w:p>
      <w:pPr>
        <w:pStyle w:val="734"/>
        <w:ind w:firstLine="420"/>
        <w:rPr>
          <w:rFonts w:ascii="宋体" w:hAnsi="宋体" w:cs="宋体"/>
          <w:color w:val="000000"/>
        </w:rPr>
      </w:pPr>
      <w:r>
        <w:rPr>
          <w:rFonts w:ascii="宋体" w:hAnsi="宋体" w:cs="宋体"/>
          <w:color w:val="000000"/>
        </w:rPr>
        <w:t xml:space="preserve">推进水文化建设，打造水文化保护与传承“云展厅”，展示和宣传水生态环境监测五水统筹一体化和新技术成果，通过水生态环境监测微信公众号、小程序、APP及信息发布大屏等媒介，做到让公众足不出户，就能随时随地“云”上游基地、知水情。将进一步强化太湖治理数字化平台的公共服务功能，落实环境监测为民服务功能。包含水文化遗产收录、水文化传承、水文化弘扬一张图等功能。</w:t>
      </w:r>
      <w:r/>
    </w:p>
    <w:p>
      <w:pPr>
        <w:pStyle w:val="743"/>
        <w:rPr>
          <w:rFonts w:ascii="宋体" w:hAnsi="宋体" w:eastAsia="宋体" w:cs="宋体"/>
          <w:i/>
          <w:iCs/>
          <w:color w:val="000000"/>
        </w:rPr>
      </w:pPr>
      <w:r>
        <w:rPr>
          <w:rFonts w:hint="eastAsia" w:ascii="宋体" w:hAnsi="宋体" w:eastAsia="宋体" w:cs="宋体"/>
          <w:color w:val="000000"/>
        </w:rPr>
        <w:t xml:space="preserve">3、太湖监测预警管理系统</w:t>
      </w:r>
      <w:r>
        <w:rPr>
          <w:rFonts w:ascii="宋体" w:hAnsi="宋体" w:eastAsia="宋体" w:cs="宋体"/>
          <w:i/>
          <w:iCs/>
          <w:color w:val="000000"/>
        </w:rPr>
      </w:r>
      <w:r/>
    </w:p>
    <w:p>
      <w:pPr>
        <w:pStyle w:val="734"/>
        <w:ind w:firstLine="420"/>
        <w:rPr>
          <w:rFonts w:ascii="宋体" w:hAnsi="宋体" w:cs="宋体"/>
          <w:color w:val="000000"/>
        </w:rPr>
      </w:pPr>
      <w:r>
        <w:rPr>
          <w:rFonts w:ascii="宋体" w:hAnsi="宋体" w:cs="宋体"/>
          <w:color w:val="000000"/>
        </w:rPr>
        <w:t xml:space="preserve">太湖监测预警管理是建设集问题信息收集与识别-环境预警-调度处置-处置反馈等功能为一体的水环境闭环处理过程管理系统，实现太湖监测预警管理作业流程的标准化。及时发现问题隐患信息，分类推送至各个职能部门，着重强化各级各部门之间的联动协作，及时发现和处置各类环境预警事件，加强后续监管工作，提升环境治理综合水平。太湖监测预警管理系统应具有事件预警、预警调度、分级预警、预警跟踪等功能。</w:t>
      </w:r>
      <w:r/>
    </w:p>
    <w:p>
      <w:pPr>
        <w:pStyle w:val="743"/>
        <w:rPr>
          <w:rFonts w:ascii="宋体" w:hAnsi="宋体" w:eastAsia="宋体" w:cs="宋体"/>
          <w:i/>
          <w:iCs/>
          <w:color w:val="000000"/>
        </w:rPr>
      </w:pPr>
      <w:r>
        <w:rPr>
          <w:rFonts w:hint="eastAsia" w:ascii="宋体" w:hAnsi="宋体" w:eastAsia="宋体" w:cs="宋体"/>
          <w:color w:val="000000"/>
        </w:rPr>
        <w:t xml:space="preserve">4、太湖安全度夏指挥管理</w:t>
      </w:r>
      <w:r>
        <w:rPr>
          <w:rFonts w:ascii="宋体" w:hAnsi="宋体" w:eastAsia="宋体" w:cs="宋体"/>
          <w:i/>
          <w:iCs/>
          <w:color w:val="000000"/>
        </w:rPr>
      </w:r>
      <w:r/>
    </w:p>
    <w:p>
      <w:pPr>
        <w:pStyle w:val="734"/>
        <w:ind w:firstLine="422"/>
        <w:rPr>
          <w:b/>
          <w:bCs/>
          <w:color w:val="000000"/>
        </w:rPr>
      </w:pPr>
      <w:r>
        <w:rPr>
          <w:rFonts w:hint="eastAsia"/>
          <w:b/>
          <w:bCs/>
          <w:color w:val="000000"/>
        </w:rPr>
        <w:t xml:space="preserve">4.1 太湖安全度夏指挥调度系统</w:t>
      </w:r>
      <w:r>
        <w:rPr>
          <w:b/>
          <w:bCs/>
          <w:color w:val="000000"/>
        </w:rPr>
      </w:r>
      <w:r/>
    </w:p>
    <w:p>
      <w:pPr>
        <w:pStyle w:val="734"/>
        <w:ind w:firstLine="420"/>
        <w:rPr>
          <w:rFonts w:ascii="宋体" w:hAnsi="宋体" w:cs="宋体"/>
          <w:color w:val="000000"/>
        </w:rPr>
      </w:pPr>
      <w:r>
        <w:rPr>
          <w:rFonts w:hint="eastAsia" w:ascii="宋体" w:hAnsi="宋体" w:cs="宋体"/>
          <w:color w:val="000000"/>
        </w:rPr>
        <w:t xml:space="preserve">为落实太湖安全度夏要求，提高太湖安全事件的预警和应急处置能力，针对夏季太湖蓝藻暴发、湖泛发生及饮水安全事件，建设集日常防控、应急指挥和复盘演练能力于一体的信息化指挥系统。沿无锡太湖流域岸线，建立三维实景地图，作为日常监测、应急指挥的地图底座，实现太湖安全度夏一张图管理。</w:t>
      </w:r>
      <w:r>
        <w:rPr>
          <w:rFonts w:ascii="宋体" w:hAnsi="宋体" w:cs="宋体"/>
          <w:color w:val="000000"/>
        </w:rPr>
      </w:r>
      <w:r/>
    </w:p>
    <w:p>
      <w:pPr>
        <w:pStyle w:val="734"/>
        <w:ind w:firstLine="422"/>
        <w:rPr>
          <w:b/>
          <w:bCs/>
          <w:color w:val="000000"/>
        </w:rPr>
      </w:pPr>
      <w:r>
        <w:rPr>
          <w:rFonts w:hint="eastAsia"/>
          <w:b/>
          <w:bCs/>
          <w:color w:val="000000"/>
        </w:rPr>
        <w:t xml:space="preserve">4.2 蓝藻全流程管理系统</w:t>
      </w:r>
      <w:r>
        <w:rPr>
          <w:b/>
          <w:bCs/>
          <w:color w:val="000000"/>
        </w:rPr>
      </w:r>
      <w:r/>
    </w:p>
    <w:p>
      <w:pPr>
        <w:pStyle w:val="734"/>
        <w:ind w:firstLine="420"/>
        <w:rPr>
          <w:rFonts w:ascii="宋体" w:hAnsi="宋体" w:cs="宋体"/>
          <w:color w:val="000000"/>
        </w:rPr>
      </w:pPr>
      <w:r>
        <w:rPr>
          <w:rFonts w:hint="eastAsia" w:ascii="宋体" w:hAnsi="宋体" w:cs="宋体"/>
          <w:color w:val="000000"/>
        </w:rPr>
        <w:t xml:space="preserve">针对太湖蓝藻爆发问题，旨在有效监测、控制和利用太湖蓝藻，以保护水体生态环境和提供可持续资源利用，建设集巡查任务、打捞任务、转运任务、藻水储存、藻水分离、藻泥利用、成效评估为一体的蓝藻全流程管理系统，结合量化和可视化工具呈现蓝藻爆发处置前后效果对比，协助相关机构更好地管理太湖蓝藻问题，最大限度地减少水体污染，保护生态环境。</w:t>
      </w:r>
      <w:r>
        <w:rPr>
          <w:rFonts w:ascii="宋体" w:hAnsi="宋体" w:cs="宋体"/>
          <w:color w:val="000000"/>
        </w:rPr>
      </w:r>
      <w:r/>
    </w:p>
    <w:p>
      <w:pPr>
        <w:pStyle w:val="743"/>
        <w:rPr>
          <w:rFonts w:ascii="宋体" w:hAnsi="宋体" w:eastAsia="宋体" w:cs="宋体"/>
          <w:i/>
          <w:iCs/>
          <w:color w:val="000000"/>
        </w:rPr>
      </w:pPr>
      <w:r>
        <w:rPr>
          <w:rFonts w:hint="eastAsia" w:ascii="宋体" w:hAnsi="宋体" w:eastAsia="宋体" w:cs="宋体"/>
          <w:color w:val="000000"/>
        </w:rPr>
        <w:t xml:space="preserve">5、太湖治理重点项目管理系统</w:t>
      </w:r>
      <w:r>
        <w:rPr>
          <w:rFonts w:ascii="宋体" w:hAnsi="宋体" w:eastAsia="宋体" w:cs="宋体"/>
          <w:i/>
          <w:iCs/>
          <w:color w:val="000000"/>
        </w:rPr>
      </w:r>
      <w:r/>
    </w:p>
    <w:p>
      <w:pPr>
        <w:pStyle w:val="734"/>
        <w:ind w:firstLine="420"/>
        <w:rPr>
          <w:rFonts w:ascii="宋体" w:hAnsi="宋体" w:cs="宋体"/>
          <w:color w:val="000000"/>
        </w:rPr>
      </w:pPr>
      <w:r>
        <w:rPr>
          <w:rFonts w:hint="eastAsia" w:ascii="宋体" w:hAnsi="宋体" w:cs="宋体"/>
          <w:color w:val="000000"/>
        </w:rPr>
        <w:t xml:space="preserve">对列入年度太湖治理重点工程的各类生态修复、河道整治等项目建立统一的调度与服务工作平台，通过数据可视化，为领导提供项目分布、项目分类、项目资金、项目进度等，全面掌握重点项目推进情况，为领导的决策提供数据依据。系统具有项目信息档案、项目进度跟踪、项目成效评估、治太项目一张图等功能。</w:t>
      </w:r>
      <w:r>
        <w:rPr>
          <w:rFonts w:ascii="宋体" w:hAnsi="宋体" w:cs="宋体"/>
          <w:color w:val="000000"/>
        </w:rPr>
      </w:r>
      <w:r/>
    </w:p>
    <w:p>
      <w:pPr>
        <w:pStyle w:val="743"/>
        <w:rPr>
          <w:rFonts w:ascii="宋体" w:hAnsi="宋体" w:eastAsia="宋体" w:cs="宋体"/>
          <w:i/>
          <w:iCs/>
          <w:color w:val="000000"/>
        </w:rPr>
      </w:pPr>
      <w:r>
        <w:rPr>
          <w:rFonts w:hint="eastAsia" w:ascii="宋体" w:hAnsi="宋体" w:eastAsia="宋体" w:cs="宋体"/>
          <w:color w:val="000000"/>
        </w:rPr>
        <w:t xml:space="preserve">6、移动应用开发</w:t>
      </w:r>
      <w:r>
        <w:rPr>
          <w:rFonts w:ascii="宋体" w:hAnsi="宋体" w:eastAsia="宋体" w:cs="宋体"/>
          <w:i/>
          <w:iCs/>
          <w:color w:val="000000"/>
        </w:rPr>
      </w:r>
      <w:r/>
    </w:p>
    <w:p>
      <w:pPr>
        <w:pStyle w:val="734"/>
        <w:ind w:firstLine="420"/>
        <w:rPr>
          <w:rFonts w:ascii="宋体" w:hAnsi="宋体" w:cs="宋体"/>
          <w:color w:val="000000"/>
        </w:rPr>
      </w:pPr>
      <w:r>
        <w:rPr>
          <w:rFonts w:hint="eastAsia" w:ascii="宋体" w:hAnsi="宋体" w:cs="宋体"/>
          <w:color w:val="000000"/>
        </w:rPr>
        <w:t xml:space="preserve">基于政务微信，建设移动综合应用。对接无锡市生态环境局现有APP，匹配整个数字太湖项目各业务应用，将所有功能入口集成到政务微信工作台应用，以政务微信作为统一入口，实现应用的统一登录，统一应用访问入口和统一的应用信息交互，可以访问的移动应用包括：消息通知、任务管理、业务应用（水环境、水生态、水资源、水安全、水文化、安全度夏、治太工程）、移动知识库、个人中心、系统管理等模块。</w:t>
      </w:r>
      <w:r>
        <w:rPr>
          <w:rFonts w:ascii="宋体" w:hAnsi="宋体" w:cs="宋体"/>
          <w:color w:val="000000"/>
        </w:rPr>
      </w:r>
      <w:r/>
    </w:p>
    <w:p>
      <w:pPr>
        <w:pStyle w:val="743"/>
        <w:rPr>
          <w:rFonts w:ascii="宋体" w:hAnsi="宋体" w:eastAsia="宋体" w:cs="宋体"/>
          <w:i/>
          <w:iCs/>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、软件系统集成服务</w:t>
      </w:r>
      <w:r>
        <w:rPr>
          <w:rFonts w:ascii="宋体" w:hAnsi="宋体" w:eastAsia="宋体" w:cs="宋体"/>
          <w:i/>
          <w:iCs/>
          <w:color w:val="000000"/>
        </w:rPr>
      </w:r>
      <w:r/>
    </w:p>
    <w:p>
      <w:pPr>
        <w:pStyle w:val="734"/>
        <w:ind w:firstLine="420"/>
        <w:rPr>
          <w:color w:val="000000"/>
        </w:rPr>
      </w:pPr>
      <w:r>
        <w:rPr>
          <w:color w:val="000000"/>
        </w:rPr>
        <w:t xml:space="preserve">投标人应提供</w:t>
      </w:r>
      <w:r>
        <w:rPr>
          <w:rFonts w:hint="eastAsia"/>
          <w:color w:val="000000"/>
        </w:rPr>
        <w:t xml:space="preserve">软件</w:t>
      </w:r>
      <w:r>
        <w:rPr>
          <w:color w:val="000000"/>
        </w:rPr>
        <w:t xml:space="preserve">系统集成服务，依照</w:t>
      </w:r>
      <w:r>
        <w:rPr>
          <w:rFonts w:hint="eastAsia"/>
          <w:color w:val="000000"/>
        </w:rPr>
        <w:t xml:space="preserve">软件</w:t>
      </w:r>
      <w:r>
        <w:rPr>
          <w:color w:val="000000"/>
        </w:rPr>
        <w:t xml:space="preserve">系统集成</w:t>
      </w:r>
      <w:r>
        <w:rPr>
          <w:rFonts w:hint="eastAsia"/>
          <w:color w:val="000000"/>
        </w:rPr>
        <w:t xml:space="preserve">需求</w:t>
      </w:r>
      <w:r>
        <w:rPr>
          <w:color w:val="000000"/>
        </w:rPr>
        <w:t xml:space="preserve">，</w:t>
      </w:r>
      <w:r>
        <w:rPr>
          <w:rFonts w:hint="eastAsia"/>
          <w:color w:val="000000"/>
        </w:rPr>
        <w:t xml:space="preserve">设计整体系统架构，明确各系统、应用和组件之间的关系；确定数据交换和通信的标准与协议；考虑系统的可扩展性、可维护性和安全性。</w:t>
      </w:r>
      <w:r>
        <w:rPr>
          <w:color w:val="000000"/>
        </w:rPr>
        <w:t xml:space="preserve">强化系统对接、系统测试并响应国产化要求，保障项目标准规范保障体系、安全运行保障体系等体系的建设。</w:t>
      </w:r>
      <w:r/>
    </w:p>
    <w:p>
      <w:pPr>
        <w:pStyle w:val="734"/>
        <w:ind w:firstLine="420"/>
        <w:rPr>
          <w:color w:val="000000"/>
        </w:rPr>
      </w:pPr>
      <w:r>
        <w:rPr>
          <w:color w:val="000000"/>
        </w:rPr>
        <w:t xml:space="preserve">（1）投标人应遵循行业标准定义清晰的应用服务接口（API），明确其请求和响应格式、数据类型、端点等</w:t>
      </w:r>
      <w:r>
        <w:rPr>
          <w:rFonts w:hint="eastAsia"/>
          <w:color w:val="000000"/>
        </w:rPr>
        <w:t xml:space="preserve">。</w:t>
      </w:r>
      <w:r>
        <w:rPr>
          <w:color w:val="000000"/>
        </w:rPr>
      </w:r>
      <w:r/>
    </w:p>
    <w:p>
      <w:pPr>
        <w:pStyle w:val="734"/>
        <w:ind w:firstLine="420"/>
        <w:rPr>
          <w:color w:val="000000"/>
        </w:rPr>
      </w:pPr>
      <w:r>
        <w:rPr>
          <w:color w:val="000000"/>
        </w:rPr>
        <w:t xml:space="preserve">（2）投标人应组织开展系统集成测试，制定详细的系统集成测试计划，确保所有规范在实际环境中得到验证。系统集成测试应包括单元测试、集成测试、性能测试和安全测试等不同测试阶段</w:t>
      </w:r>
      <w:r>
        <w:rPr>
          <w:rFonts w:hint="eastAsia"/>
          <w:color w:val="000000"/>
        </w:rPr>
        <w:t xml:space="preserve">。</w:t>
      </w:r>
      <w:r>
        <w:rPr>
          <w:color w:val="000000"/>
        </w:rPr>
      </w:r>
      <w:r/>
    </w:p>
    <w:p>
      <w:pPr>
        <w:pStyle w:val="734"/>
        <w:ind w:firstLine="420"/>
        <w:rPr>
          <w:color w:val="000000"/>
        </w:rPr>
      </w:pPr>
      <w:r>
        <w:rPr>
          <w:rFonts w:hint="eastAsia"/>
          <w:color w:val="000000"/>
        </w:rPr>
        <w:t xml:space="preserve">（3）投标人定期对系统进行维护，确保系统的稳定运行。</w:t>
      </w:r>
      <w:r>
        <w:rPr>
          <w:color w:val="000000"/>
        </w:rPr>
      </w:r>
      <w:r/>
    </w:p>
    <w:p>
      <w:pPr>
        <w:pStyle w:val="743"/>
        <w:rPr>
          <w:rFonts w:ascii="宋体" w:hAnsi="宋体" w:eastAsia="宋体" w:cs="宋体"/>
          <w:i/>
          <w:iCs/>
          <w:color w:val="000000"/>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、卫星遥感服务</w:t>
      </w:r>
      <w:r>
        <w:rPr>
          <w:rFonts w:ascii="宋体" w:hAnsi="宋体" w:eastAsia="宋体" w:cs="宋体"/>
          <w:i/>
          <w:iCs/>
          <w:color w:val="000000"/>
        </w:rPr>
      </w:r>
      <w:r/>
    </w:p>
    <w:p>
      <w:pPr>
        <w:pStyle w:val="734"/>
        <w:ind w:firstLine="420"/>
        <w:rPr>
          <w:color w:val="000000"/>
        </w:rPr>
      </w:pPr>
      <w:r>
        <w:rPr>
          <w:rFonts w:hint="eastAsia"/>
          <w:color w:val="000000"/>
        </w:rPr>
        <w:t xml:space="preserve">卫星遥感监测服务应包括卫星跟踪、观测任务管理、观测任务仿真、资源管理等功能，可对多颗卫星未来数据拍摄区域进行模拟，根据需求统筹多颗卫星对同一地区进行拍摄，制定合理的数据采集任务规划，以保证满足覆盖需求的同时保证资源的合理利用，提高工作效率；同时能够保证应急情况下，24小时内获取太湖无锡流域指定位置的高分辨率影像。</w:t>
      </w:r>
      <w:r>
        <w:rPr>
          <w:color w:val="000000"/>
        </w:rPr>
      </w:r>
      <w:r/>
    </w:p>
    <w:p>
      <w:pPr>
        <w:pStyle w:val="734"/>
        <w:ind w:firstLine="420"/>
        <w:rPr>
          <w:color w:val="000000"/>
        </w:rPr>
      </w:pPr>
      <w:r>
        <w:rPr>
          <w:rFonts w:hint="eastAsia"/>
          <w:color w:val="000000"/>
        </w:rPr>
        <w:t xml:space="preserve">卫星遥感，是指从地面到空间各种对地球、天体观测的综合性技术系统的总称。可从遥感技术平台获取卫星数据、由遥感仪器以及信息接受、处理与分析。</w:t>
      </w:r>
      <w:r>
        <w:rPr>
          <w:color w:val="000000"/>
        </w:rPr>
      </w:r>
      <w:r/>
    </w:p>
    <w:p>
      <w:pPr>
        <w:pStyle w:val="734"/>
        <w:ind w:firstLine="420"/>
        <w:rPr>
          <w:color w:val="000000"/>
        </w:rPr>
      </w:pPr>
      <w:r>
        <w:rPr>
          <w:rFonts w:hint="eastAsia"/>
          <w:color w:val="000000"/>
        </w:rPr>
        <w:t xml:space="preserve">卫星遥感监测服务应包含卫星跟踪、观测任务管理、观测任务仿真、资源管理等功能，可对多颗卫星未来数据拍摄区域进行模拟，根据需求统筹多颗卫星对同一地区进行拍摄，制定合理的数据采集任务规划，以保证满足覆盖需求的同时保证资源的合理利用，提高工作效率、同时能够保证应急情况下，24小时内获取太湖无锡流域指定位置的高分辨率影像。</w:t>
      </w:r>
      <w:r>
        <w:rPr>
          <w:color w:val="000000"/>
        </w:rPr>
      </w:r>
      <w:r/>
    </w:p>
    <w:p>
      <w:pPr>
        <w:pStyle w:val="734"/>
        <w:ind w:firstLine="420"/>
        <w:rPr>
          <w:color w:val="000000"/>
        </w:rPr>
      </w:pPr>
      <w:r>
        <w:rPr>
          <w:rFonts w:hint="eastAsia"/>
          <w:color w:val="000000"/>
        </w:rPr>
        <w:t xml:space="preserve">依据本项目实际要求，投标人需提供卫星遥感监测服务，开展农业面源及生物多样性遥感监测。</w:t>
      </w:r>
      <w:r>
        <w:rPr>
          <w:color w:val="000000"/>
        </w:rPr>
      </w:r>
      <w:r/>
    </w:p>
    <w:p>
      <w:pPr>
        <w:pStyle w:val="734"/>
        <w:ind w:firstLine="422"/>
        <w:rPr>
          <w:b/>
          <w:bCs/>
          <w:color w:val="000000"/>
        </w:rPr>
      </w:pPr>
      <w:r>
        <w:rPr>
          <w:rFonts w:hint="eastAsia"/>
          <w:b/>
          <w:bCs/>
          <w:color w:val="000000"/>
        </w:rPr>
        <w:t xml:space="preserve">8.1农业面源遥感监测</w:t>
      </w:r>
      <w:r>
        <w:rPr>
          <w:b/>
          <w:bCs/>
          <w:color w:val="000000"/>
        </w:rPr>
      </w:r>
      <w:r/>
    </w:p>
    <w:p>
      <w:pPr>
        <w:pStyle w:val="734"/>
        <w:ind w:firstLine="420"/>
        <w:rPr>
          <w:color w:val="000000"/>
        </w:rPr>
      </w:pPr>
      <w:r>
        <w:rPr>
          <w:color w:val="000000"/>
        </w:rPr>
        <w:t xml:space="preserve">按年度提供亚米级遥感卫星定期监测服务。主要任务一是利用亚米级光学卫星影像，基于图像识别和地物分类技术，针对蓝色区域标记出涉污农用地块（如种植业地块、养殖业地块、基本农田等）、二是每季度或每月动态监测，掌握退耕还林等农业地块变化、三是利用无人机到现场确定重点农业地块的退水口并进行位置、属性标记，摸清农业面源污染的底数、建立信息化管理台账。</w:t>
      </w:r>
      <w:r/>
    </w:p>
    <w:p>
      <w:pPr>
        <w:pStyle w:val="734"/>
        <w:ind w:firstLine="420"/>
        <w:rPr>
          <w:color w:val="000000"/>
        </w:rPr>
      </w:pPr>
      <w:r>
        <w:rPr>
          <w:color w:val="000000"/>
        </w:rPr>
        <w:t xml:space="preserve">农业面源遥感监测服务详细要求如下：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3"/>
        <w:gridCol w:w="1823"/>
        <w:gridCol w:w="1824"/>
        <w:gridCol w:w="1824"/>
        <w:gridCol w:w="1824"/>
      </w:tblGrid>
      <w:tr>
        <w:trPr/>
        <w:tc>
          <w:tcPr>
            <w:tcW w:w="1823" w:type="dxa"/>
            <w:vAlign w:val="top"/>
            <w:textDirection w:val="lrTb"/>
            <w:noWrap w:val="false"/>
          </w:tcPr>
          <w:p>
            <w:pPr>
              <w:pStyle w:val="854"/>
              <w:rPr>
                <w:color w:val="000000"/>
              </w:rPr>
            </w:pPr>
            <w:r>
              <w:rPr>
                <w:rFonts w:hint="eastAsia"/>
                <w:color w:val="000000"/>
              </w:rPr>
              <w:t xml:space="preserve">应用场景</w:t>
            </w:r>
            <w:r>
              <w:rPr>
                <w:color w:val="000000"/>
              </w:rPr>
            </w:r>
            <w:r/>
          </w:p>
        </w:tc>
        <w:tc>
          <w:tcPr>
            <w:tcW w:w="1823" w:type="dxa"/>
            <w:vAlign w:val="top"/>
            <w:textDirection w:val="lrTb"/>
            <w:noWrap w:val="false"/>
          </w:tcPr>
          <w:p>
            <w:pPr>
              <w:pStyle w:val="854"/>
              <w:rPr>
                <w:color w:val="000000"/>
              </w:rPr>
            </w:pPr>
            <w:r>
              <w:rPr>
                <w:rFonts w:hint="eastAsia"/>
                <w:color w:val="000000"/>
              </w:rPr>
              <w:t xml:space="preserve">影像数据要求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监测范围要求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监测频次要求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备注</w:t>
            </w:r>
            <w:r>
              <w:rPr>
                <w:color w:val="000000"/>
              </w:rPr>
            </w:r>
            <w:r/>
          </w:p>
        </w:tc>
      </w:tr>
      <w:tr>
        <w:trPr/>
        <w:tc>
          <w:tcPr>
            <w:tcW w:w="1823" w:type="dxa"/>
            <w:vAlign w:val="center"/>
            <w:textDirection w:val="lrTb"/>
            <w:noWrap w:val="false"/>
          </w:tcPr>
          <w:p>
            <w:pPr>
              <w:pStyle w:val="854"/>
              <w:rPr>
                <w:color w:val="000000"/>
              </w:rPr>
            </w:pPr>
            <w:r>
              <w:rPr>
                <w:rFonts w:hint="eastAsia"/>
                <w:color w:val="000000"/>
              </w:rPr>
              <w:t xml:space="preserve">农业面源遥感监测</w:t>
            </w:r>
            <w:r>
              <w:rPr>
                <w:color w:val="000000"/>
              </w:rPr>
            </w:r>
            <w:r/>
          </w:p>
        </w:tc>
        <w:tc>
          <w:tcPr>
            <w:tcW w:w="1823" w:type="dxa"/>
            <w:vAlign w:val="center"/>
            <w:textDirection w:val="lrTb"/>
            <w:noWrap w:val="false"/>
          </w:tcPr>
          <w:p>
            <w:pPr>
              <w:pStyle w:val="854"/>
              <w:rPr>
                <w:color w:val="000000"/>
              </w:rPr>
            </w:pPr>
            <w:r>
              <w:rPr>
                <w:rFonts w:hint="eastAsia"/>
                <w:color w:val="000000"/>
              </w:rPr>
              <w:t xml:space="preserve">亚米级光学遥感数据</w:t>
            </w:r>
            <w:r>
              <w:rPr>
                <w:color w:val="000000"/>
              </w:rPr>
            </w:r>
            <w:r/>
          </w:p>
        </w:tc>
        <w:tc>
          <w:tcPr>
            <w:tcW w:w="1824" w:type="dxa"/>
            <w:vAlign w:val="center"/>
            <w:textDirection w:val="lrTb"/>
            <w:noWrap w:val="false"/>
          </w:tcPr>
          <w:p>
            <w:pPr>
              <w:pStyle w:val="854"/>
              <w:rPr>
                <w:color w:val="000000"/>
              </w:rPr>
            </w:pPr>
            <w:r>
              <w:rPr>
                <w:rFonts w:hint="eastAsia"/>
                <w:color w:val="000000"/>
              </w:rPr>
              <w:t xml:space="preserve">1000km²</w:t>
            </w:r>
            <w:r>
              <w:rPr>
                <w:color w:val="000000"/>
              </w:rPr>
            </w:r>
            <w:r/>
          </w:p>
        </w:tc>
        <w:tc>
          <w:tcPr>
            <w:tcW w:w="1824" w:type="dxa"/>
            <w:vAlign w:val="center"/>
            <w:textDirection w:val="lrTb"/>
            <w:noWrap w:val="false"/>
          </w:tcPr>
          <w:p>
            <w:pPr>
              <w:pStyle w:val="854"/>
              <w:rPr>
                <w:color w:val="000000"/>
              </w:rPr>
            </w:pPr>
            <w:r>
              <w:rPr>
                <w:rFonts w:hint="eastAsia"/>
                <w:color w:val="000000"/>
              </w:rPr>
              <w:t xml:space="preserve">1年2次</w:t>
            </w:r>
            <w:r>
              <w:rPr>
                <w:color w:val="000000"/>
              </w:rPr>
            </w:r>
            <w:r/>
          </w:p>
        </w:tc>
        <w:tc>
          <w:tcPr>
            <w:tcW w:w="1824" w:type="dxa"/>
            <w:vAlign w:val="center"/>
            <w:textDirection w:val="lrTb"/>
            <w:noWrap w:val="false"/>
          </w:tcPr>
          <w:p>
            <w:pPr>
              <w:pStyle w:val="854"/>
              <w:rPr>
                <w:color w:val="000000"/>
              </w:rPr>
            </w:pPr>
            <w:r>
              <w:rPr>
                <w:rFonts w:hint="eastAsia"/>
                <w:color w:val="000000"/>
              </w:rPr>
              <w:t xml:space="preserve">含数据处理及养殖业、种植业、农田等地块的图像解译</w:t>
            </w:r>
            <w:r>
              <w:rPr>
                <w:color w:val="000000"/>
              </w:rPr>
            </w:r>
            <w:r/>
          </w:p>
        </w:tc>
      </w:tr>
    </w:tbl>
    <w:p>
      <w:pPr>
        <w:pStyle w:val="734"/>
        <w:ind w:firstLine="422"/>
        <w:rPr>
          <w:b/>
          <w:bCs/>
          <w:color w:val="000000"/>
        </w:rPr>
      </w:pPr>
      <w:r>
        <w:rPr>
          <w:rFonts w:hint="eastAsia"/>
          <w:b/>
          <w:bCs/>
          <w:color w:val="000000"/>
        </w:rPr>
        <w:t xml:space="preserve">9.2生物多样性遥感监测</w:t>
      </w:r>
      <w:r>
        <w:rPr>
          <w:b/>
          <w:bCs/>
          <w:color w:val="000000"/>
        </w:rPr>
      </w:r>
      <w:r/>
    </w:p>
    <w:p>
      <w:pPr>
        <w:pStyle w:val="734"/>
        <w:ind w:firstLine="420"/>
        <w:rPr>
          <w:color w:val="000000"/>
        </w:rPr>
      </w:pPr>
      <w:r>
        <w:rPr>
          <w:color w:val="000000"/>
        </w:rPr>
        <w:t xml:space="preserve">通过人造卫星或者无人机平台搭载高光谱遥感、多光谱遥感等手段，对水生生物进行全域大尺度生物多样性监测，通过长时间、动态地遥感监测掌握藻类及其他生物的时空动态变化趋势。</w:t>
      </w:r>
      <w:r/>
    </w:p>
    <w:p>
      <w:pPr>
        <w:pStyle w:val="734"/>
        <w:ind w:firstLine="420"/>
        <w:rPr>
          <w:color w:val="000000"/>
        </w:rPr>
      </w:pPr>
      <w:r>
        <w:rPr>
          <w:color w:val="000000"/>
        </w:rPr>
        <w:t xml:space="preserve">生物多样性遥感监测需每季度一次，采用亚米级</w:t>
      </w:r>
      <w:r>
        <w:rPr>
          <w:color w:val="000000"/>
        </w:rPr>
        <w:t xml:space="preserve">分辨率卫星影像，对贡湖、梅梁湖等区域的水生植物等进行监测，分析</w:t>
      </w:r>
      <w:r>
        <w:rPr>
          <w:color w:val="000000"/>
        </w:rPr>
        <w:t xml:space="preserve">水生植被类型。</w:t>
      </w:r>
      <w:r/>
    </w:p>
    <w:p>
      <w:pPr>
        <w:pStyle w:val="734"/>
        <w:ind w:firstLine="420"/>
        <w:rPr>
          <w:color w:val="000000"/>
        </w:rPr>
      </w:pPr>
      <w:r>
        <w:rPr>
          <w:color w:val="000000"/>
        </w:rPr>
        <w:t xml:space="preserve">生物多样性遥感监测服务详细要求如下：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3"/>
        <w:gridCol w:w="1823"/>
        <w:gridCol w:w="1824"/>
        <w:gridCol w:w="1824"/>
        <w:gridCol w:w="1824"/>
      </w:tblGrid>
      <w:tr>
        <w:trPr/>
        <w:tc>
          <w:tcPr>
            <w:tcW w:w="1823" w:type="dxa"/>
            <w:vAlign w:val="top"/>
            <w:textDirection w:val="lrTb"/>
            <w:noWrap w:val="false"/>
          </w:tcPr>
          <w:p>
            <w:pPr>
              <w:pStyle w:val="854"/>
              <w:rPr>
                <w:color w:val="000000"/>
              </w:rPr>
            </w:pPr>
            <w:r>
              <w:rPr>
                <w:rFonts w:hint="eastAsia"/>
                <w:color w:val="000000"/>
              </w:rPr>
              <w:t xml:space="preserve">应用场景</w:t>
            </w:r>
            <w:r>
              <w:rPr>
                <w:color w:val="000000"/>
              </w:rPr>
            </w:r>
            <w:r/>
          </w:p>
        </w:tc>
        <w:tc>
          <w:tcPr>
            <w:tcW w:w="1823" w:type="dxa"/>
            <w:vAlign w:val="top"/>
            <w:textDirection w:val="lrTb"/>
            <w:noWrap w:val="false"/>
          </w:tcPr>
          <w:p>
            <w:pPr>
              <w:pStyle w:val="854"/>
              <w:rPr>
                <w:color w:val="000000"/>
              </w:rPr>
            </w:pPr>
            <w:r>
              <w:rPr>
                <w:rFonts w:hint="eastAsia"/>
                <w:color w:val="000000"/>
              </w:rPr>
              <w:t xml:space="preserve">影像数据要求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监测范围要求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监测频次要求</w:t>
            </w:r>
            <w:r>
              <w:rPr>
                <w:color w:val="000000"/>
              </w:rPr>
            </w:r>
            <w:r/>
          </w:p>
        </w:tc>
        <w:tc>
          <w:tcPr>
            <w:tcW w:w="1824" w:type="dxa"/>
            <w:vAlign w:val="top"/>
            <w:textDirection w:val="lrTb"/>
            <w:noWrap w:val="false"/>
          </w:tcPr>
          <w:p>
            <w:pPr>
              <w:pStyle w:val="854"/>
              <w:rPr>
                <w:color w:val="000000"/>
              </w:rPr>
            </w:pPr>
            <w:r>
              <w:rPr>
                <w:rFonts w:hint="eastAsia"/>
                <w:color w:val="000000"/>
              </w:rPr>
              <w:t xml:space="preserve">备注</w:t>
            </w:r>
            <w:r>
              <w:rPr>
                <w:color w:val="000000"/>
              </w:rPr>
            </w:r>
            <w:r/>
          </w:p>
        </w:tc>
      </w:tr>
      <w:tr>
        <w:trPr/>
        <w:tc>
          <w:tcPr>
            <w:tcW w:w="1823" w:type="dxa"/>
            <w:vAlign w:val="center"/>
            <w:textDirection w:val="lrTb"/>
            <w:noWrap w:val="false"/>
          </w:tcPr>
          <w:p>
            <w:pPr>
              <w:pStyle w:val="854"/>
              <w:rPr>
                <w:color w:val="000000"/>
              </w:rPr>
            </w:pPr>
            <w:r>
              <w:rPr>
                <w:rFonts w:hint="eastAsia"/>
                <w:color w:val="000000"/>
              </w:rPr>
              <w:t xml:space="preserve">生物多样性遥感监测</w:t>
            </w:r>
            <w:r>
              <w:rPr>
                <w:color w:val="000000"/>
              </w:rPr>
            </w:r>
            <w:r/>
          </w:p>
        </w:tc>
        <w:tc>
          <w:tcPr>
            <w:tcW w:w="1823" w:type="dxa"/>
            <w:vAlign w:val="center"/>
            <w:textDirection w:val="lrTb"/>
            <w:noWrap w:val="false"/>
          </w:tcPr>
          <w:p>
            <w:pPr>
              <w:pStyle w:val="854"/>
              <w:rPr>
                <w:color w:val="000000"/>
              </w:rPr>
            </w:pPr>
            <w:r>
              <w:rPr>
                <w:rFonts w:hint="eastAsia"/>
                <w:color w:val="000000"/>
              </w:rPr>
              <w:t xml:space="preserve">亚米级光学遥感数据</w:t>
            </w:r>
            <w:r>
              <w:rPr>
                <w:color w:val="000000"/>
              </w:rPr>
            </w:r>
            <w:r/>
          </w:p>
        </w:tc>
        <w:tc>
          <w:tcPr>
            <w:tcW w:w="1824" w:type="dxa"/>
            <w:vAlign w:val="center"/>
            <w:textDirection w:val="lrTb"/>
            <w:noWrap w:val="false"/>
          </w:tcPr>
          <w:p>
            <w:pPr>
              <w:pStyle w:val="854"/>
              <w:rPr>
                <w:color w:val="000000"/>
              </w:rPr>
            </w:pPr>
            <w:r>
              <w:rPr>
                <w:rFonts w:hint="eastAsia"/>
                <w:color w:val="000000"/>
              </w:rPr>
              <w:t xml:space="preserve">670km²</w:t>
            </w:r>
            <w:r>
              <w:rPr>
                <w:color w:val="000000"/>
              </w:rPr>
            </w:r>
            <w:r/>
          </w:p>
        </w:tc>
        <w:tc>
          <w:tcPr>
            <w:tcW w:w="1824" w:type="dxa"/>
            <w:vAlign w:val="center"/>
            <w:textDirection w:val="lrTb"/>
            <w:noWrap w:val="false"/>
          </w:tcPr>
          <w:p>
            <w:pPr>
              <w:pStyle w:val="854"/>
              <w:rPr>
                <w:color w:val="000000"/>
              </w:rPr>
            </w:pPr>
            <w:r>
              <w:rPr>
                <w:rFonts w:hint="eastAsia"/>
                <w:color w:val="000000"/>
              </w:rPr>
              <w:t xml:space="preserve">1年4次（每季度1次）</w:t>
            </w:r>
            <w:r>
              <w:rPr>
                <w:color w:val="000000"/>
              </w:rPr>
            </w:r>
            <w:r/>
          </w:p>
        </w:tc>
        <w:tc>
          <w:tcPr>
            <w:tcW w:w="1824" w:type="dxa"/>
            <w:vAlign w:val="center"/>
            <w:textDirection w:val="lrTb"/>
            <w:noWrap w:val="false"/>
          </w:tcPr>
          <w:p>
            <w:pPr>
              <w:pStyle w:val="854"/>
              <w:rPr>
                <w:color w:val="000000"/>
              </w:rPr>
            </w:pPr>
            <w:r>
              <w:rPr>
                <w:rFonts w:hint="eastAsia"/>
                <w:color w:val="000000"/>
              </w:rPr>
              <w:t xml:space="preserve">含数据处理及蓝藻水华、挺水植物、沉水植物的图像解译</w:t>
            </w:r>
            <w:r>
              <w:rPr>
                <w:color w:val="000000"/>
              </w:rPr>
            </w:r>
            <w:r/>
          </w:p>
        </w:tc>
      </w:tr>
    </w:tbl>
    <w:p>
      <w:pPr>
        <w:pStyle w:val="743"/>
        <w:rPr>
          <w:rFonts w:ascii="宋体" w:hAnsi="宋体" w:eastAsia="宋体" w:cs="宋体"/>
          <w:i/>
          <w:iCs/>
          <w:color w:val="000000"/>
        </w:rPr>
      </w:pPr>
      <w:r>
        <w:rPr>
          <w:rFonts w:hint="eastAsia" w:ascii="宋体" w:hAnsi="宋体" w:eastAsia="宋体" w:cs="宋体"/>
          <w:color w:val="000000"/>
          <w:lang w:val="en-US" w:eastAsia="zh-CN"/>
        </w:rPr>
        <w:t xml:space="preserve">10</w:t>
      </w:r>
      <w:r>
        <w:rPr>
          <w:rFonts w:hint="eastAsia" w:ascii="宋体" w:hAnsi="宋体" w:eastAsia="宋体" w:cs="宋体"/>
          <w:color w:val="000000"/>
        </w:rPr>
        <w:t xml:space="preserve">、网络安全服务</w:t>
      </w:r>
      <w:r>
        <w:rPr>
          <w:rFonts w:ascii="宋体" w:hAnsi="宋体" w:eastAsia="宋体" w:cs="宋体"/>
          <w:i/>
          <w:iCs/>
          <w:color w:val="000000"/>
        </w:rPr>
      </w:r>
      <w:r/>
    </w:p>
    <w:p>
      <w:pPr>
        <w:pStyle w:val="734"/>
        <w:numPr>
          <w:ilvl w:val="0"/>
          <w:numId w:val="39"/>
        </w:numPr>
        <w:ind w:firstLine="420"/>
        <w:rPr>
          <w:color w:val="000000"/>
        </w:rPr>
      </w:pPr>
      <w:r>
        <w:rPr>
          <w:rFonts w:hint="eastAsia"/>
          <w:color w:val="000000"/>
        </w:rPr>
        <w:t xml:space="preserve">安全服务目标</w:t>
      </w:r>
      <w:r>
        <w:rPr>
          <w:color w:val="000000"/>
        </w:rPr>
      </w:r>
      <w:r/>
    </w:p>
    <w:p>
      <w:pPr>
        <w:pStyle w:val="734"/>
        <w:ind w:firstLine="420"/>
        <w:rPr>
          <w:color w:val="000000"/>
        </w:rPr>
      </w:pPr>
      <w:r>
        <w:rPr>
          <w:color w:val="000000"/>
        </w:rPr>
        <w:t xml:space="preserve">为防范化解采购单位网络安全风险，提升网络安全防护能力，确保不发生较大及以上网络安全事件，按照“谁主管、谁负责；谁运营、谁负责”的原则，依法落实网络安全技术措施，现拟购买第三方专业网络安全机构进行网络安全监测、维护等工作，保障各系统不出现安全问题和降低被安全通报的可能。</w:t>
      </w:r>
      <w:r/>
    </w:p>
    <w:p>
      <w:pPr>
        <w:pStyle w:val="734"/>
        <w:numPr>
          <w:ilvl w:val="0"/>
          <w:numId w:val="39"/>
        </w:numPr>
        <w:ind w:firstLine="420"/>
        <w:rPr>
          <w:color w:val="000000"/>
        </w:rPr>
      </w:pPr>
      <w:r>
        <w:rPr>
          <w:rFonts w:hint="eastAsia"/>
          <w:color w:val="000000"/>
        </w:rPr>
        <w:t xml:space="preserve">服务时间</w:t>
      </w:r>
      <w:r>
        <w:rPr>
          <w:color w:val="000000"/>
        </w:rPr>
      </w:r>
      <w:r/>
    </w:p>
    <w:p>
      <w:pPr>
        <w:pStyle w:val="734"/>
        <w:ind w:left="420"/>
        <w:rPr>
          <w:color w:val="000000"/>
        </w:rPr>
      </w:pPr>
      <w:r>
        <w:rPr>
          <w:color w:val="000000"/>
        </w:rPr>
        <w:t xml:space="preserve">和本项目软件整体运维时间一致：3年。</w:t>
      </w:r>
      <w:r/>
    </w:p>
    <w:p>
      <w:pPr>
        <w:pStyle w:val="734"/>
        <w:numPr>
          <w:ilvl w:val="0"/>
          <w:numId w:val="39"/>
        </w:numPr>
        <w:ind w:firstLine="420"/>
        <w:rPr>
          <w:color w:val="000000"/>
        </w:rPr>
      </w:pPr>
      <w:r>
        <w:rPr>
          <w:rFonts w:hint="eastAsia"/>
          <w:color w:val="000000"/>
        </w:rPr>
        <w:t xml:space="preserve">安全服务内容</w:t>
      </w:r>
      <w:r>
        <w:rPr>
          <w:color w:val="000000"/>
        </w:rPr>
      </w:r>
      <w:r/>
    </w:p>
    <w:p>
      <w:pPr>
        <w:pStyle w:val="734"/>
        <w:ind w:left="420"/>
        <w:rPr>
          <w:color w:val="000000"/>
        </w:rPr>
      </w:pPr>
      <w:r>
        <w:rPr>
          <w:color w:val="000000"/>
        </w:rPr>
        <w:t xml:space="preserve">网络安全运维服务主要涉及的检查内容和业务量如下：</w:t>
      </w:r>
      <w:r/>
    </w:p>
    <w:tbl>
      <w:tblPr>
        <w:tblW w:w="5000" w:type="pct"/>
        <w:jc w:val="righ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491"/>
        <w:gridCol w:w="4009"/>
        <w:gridCol w:w="1097"/>
        <w:gridCol w:w="1810"/>
      </w:tblGrid>
      <w:tr>
        <w:trPr>
          <w:trHeight w:val="780"/>
        </w:trPr>
        <w:tc>
          <w:tcPr>
            <w:tcW w:w="416" w:type="pct"/>
            <w:vAlign w:val="center"/>
            <w:textDirection w:val="lrTb"/>
            <w:noWrap w:val="false"/>
          </w:tcPr>
          <w:p>
            <w:pPr>
              <w:pStyle w:val="852"/>
              <w:rPr>
                <w:color w:val="000000"/>
              </w:rPr>
            </w:pPr>
            <w:r>
              <w:rPr>
                <w:color w:val="000000"/>
              </w:rPr>
              <w:t xml:space="preserve">序号</w:t>
            </w:r>
            <w:r/>
          </w:p>
        </w:tc>
        <w:tc>
          <w:tcPr>
            <w:tcW w:w="813" w:type="pct"/>
            <w:vAlign w:val="center"/>
            <w:textDirection w:val="lrTb"/>
            <w:noWrap w:val="false"/>
          </w:tcPr>
          <w:p>
            <w:pPr>
              <w:pStyle w:val="852"/>
              <w:rPr>
                <w:color w:val="000000"/>
              </w:rPr>
            </w:pPr>
            <w:r>
              <w:rPr>
                <w:color w:val="000000"/>
              </w:rPr>
              <w:t xml:space="preserve">服务类型</w:t>
            </w:r>
            <w:r/>
          </w:p>
        </w:tc>
        <w:tc>
          <w:tcPr>
            <w:tcW w:w="2186" w:type="pct"/>
            <w:vAlign w:val="center"/>
            <w:textDirection w:val="lrTb"/>
            <w:noWrap w:val="false"/>
          </w:tcPr>
          <w:p>
            <w:pPr>
              <w:pStyle w:val="852"/>
              <w:rPr>
                <w:color w:val="000000"/>
              </w:rPr>
            </w:pPr>
            <w:r>
              <w:rPr>
                <w:color w:val="000000"/>
              </w:rPr>
              <w:t xml:space="preserve">服务描述</w:t>
            </w:r>
            <w:r/>
          </w:p>
        </w:tc>
        <w:tc>
          <w:tcPr>
            <w:tcW w:w="598" w:type="pct"/>
            <w:vAlign w:val="center"/>
            <w:textDirection w:val="lrTb"/>
            <w:noWrap w:val="false"/>
          </w:tcPr>
          <w:p>
            <w:pPr>
              <w:pStyle w:val="852"/>
              <w:rPr>
                <w:color w:val="000000"/>
              </w:rPr>
            </w:pPr>
            <w:r>
              <w:rPr>
                <w:color w:val="000000"/>
              </w:rPr>
              <w:t xml:space="preserve">数量</w:t>
            </w:r>
            <w:r/>
          </w:p>
        </w:tc>
        <w:tc>
          <w:tcPr>
            <w:tcW w:w="987" w:type="pct"/>
            <w:vAlign w:val="center"/>
            <w:textDirection w:val="lrTb"/>
            <w:noWrap w:val="false"/>
          </w:tcPr>
          <w:p>
            <w:pPr>
              <w:pStyle w:val="852"/>
              <w:rPr>
                <w:color w:val="000000"/>
              </w:rPr>
            </w:pPr>
            <w:r>
              <w:rPr>
                <w:color w:val="000000"/>
              </w:rPr>
              <w:t xml:space="preserve">备注</w:t>
            </w:r>
            <w:r/>
          </w:p>
        </w:tc>
      </w:tr>
      <w:tr>
        <w:trPr>
          <w:trHeight w:val="780"/>
        </w:trPr>
        <w:tc>
          <w:tcPr>
            <w:tcW w:w="416" w:type="pct"/>
            <w:vAlign w:val="center"/>
            <w:textDirection w:val="lrTb"/>
            <w:noWrap w:val="false"/>
          </w:tcPr>
          <w:p>
            <w:pPr>
              <w:pStyle w:val="852"/>
              <w:rPr>
                <w:color w:val="000000"/>
              </w:rPr>
            </w:pPr>
            <w:r>
              <w:rPr>
                <w:color w:val="000000"/>
              </w:rPr>
              <w:t xml:space="preserve">1</w:t>
            </w:r>
            <w:r/>
          </w:p>
        </w:tc>
        <w:tc>
          <w:tcPr>
            <w:tcW w:w="813" w:type="pct"/>
            <w:vAlign w:val="center"/>
            <w:textDirection w:val="lrTb"/>
            <w:noWrap w:val="false"/>
          </w:tcPr>
          <w:p>
            <w:pPr>
              <w:pStyle w:val="852"/>
              <w:rPr>
                <w:color w:val="000000"/>
              </w:rPr>
            </w:pPr>
            <w:r>
              <w:rPr>
                <w:color w:val="000000"/>
              </w:rPr>
              <w:t xml:space="preserve">网络安全资产梳理</w:t>
            </w:r>
            <w:r/>
          </w:p>
        </w:tc>
        <w:tc>
          <w:tcPr>
            <w:tcW w:w="2186" w:type="pct"/>
            <w:vAlign w:val="center"/>
            <w:textDirection w:val="lrTb"/>
            <w:noWrap w:val="false"/>
          </w:tcPr>
          <w:p>
            <w:pPr>
              <w:pStyle w:val="852"/>
              <w:rPr>
                <w:color w:val="000000"/>
              </w:rPr>
            </w:pPr>
            <w:r>
              <w:rPr>
                <w:color w:val="000000"/>
              </w:rPr>
              <w:t xml:space="preserve">进行</w:t>
            </w:r>
            <w:r>
              <w:rPr>
                <w:rFonts w:hint="eastAsia"/>
                <w:color w:val="000000"/>
              </w:rPr>
              <w:t xml:space="preserve">无锡太湖治理数字化平台所有关联</w:t>
            </w:r>
            <w:r>
              <w:rPr>
                <w:color w:val="000000"/>
              </w:rPr>
              <w:t xml:space="preserve">资产探测扫描，梳理出资产的IP、开放端口、安装服务、各类指纹信息（操作系统、开发语言、中间件、Web应用平台/框架及第三方软件等）等资产信息。资产数量不低于500个。</w:t>
            </w:r>
            <w:r/>
          </w:p>
        </w:tc>
        <w:tc>
          <w:tcPr>
            <w:tcW w:w="598" w:type="pct"/>
            <w:vAlign w:val="center"/>
            <w:textDirection w:val="lrTb"/>
            <w:noWrap w:val="false"/>
          </w:tcPr>
          <w:p>
            <w:pPr>
              <w:pStyle w:val="852"/>
              <w:rPr>
                <w:color w:val="000000"/>
              </w:rPr>
            </w:pPr>
            <w:r>
              <w:rPr>
                <w:color w:val="000000"/>
              </w:rPr>
              <w:t xml:space="preserve">2次/年</w:t>
            </w:r>
            <w:r/>
          </w:p>
        </w:tc>
        <w:tc>
          <w:tcPr>
            <w:tcW w:w="987" w:type="pct"/>
            <w:vAlign w:val="center"/>
            <w:textDirection w:val="lrTb"/>
            <w:noWrap w:val="false"/>
          </w:tcPr>
          <w:p>
            <w:pPr>
              <w:pStyle w:val="852"/>
              <w:rPr>
                <w:color w:val="000000"/>
              </w:rPr>
            </w:pPr>
            <w:r>
              <w:rPr>
                <w:color w:val="000000"/>
              </w:rPr>
              <w:t xml:space="preserve">每半</w:t>
            </w:r>
            <w:r>
              <w:rPr>
                <w:rFonts w:hint="eastAsia"/>
                <w:color w:val="000000"/>
              </w:rPr>
              <w:t xml:space="preserve">年</w:t>
            </w:r>
            <w:r>
              <w:rPr>
                <w:color w:val="000000"/>
              </w:rPr>
              <w:t xml:space="preserve">度提交一次资产梳理报告，全年共2份报告</w:t>
            </w:r>
            <w:r/>
          </w:p>
        </w:tc>
      </w:tr>
      <w:tr>
        <w:trPr>
          <w:trHeight w:val="780"/>
        </w:trPr>
        <w:tc>
          <w:tcPr>
            <w:tcW w:w="416" w:type="pct"/>
            <w:vAlign w:val="center"/>
            <w:textDirection w:val="lrTb"/>
            <w:noWrap w:val="false"/>
          </w:tcPr>
          <w:p>
            <w:pPr>
              <w:pStyle w:val="852"/>
              <w:rPr>
                <w:color w:val="000000"/>
              </w:rPr>
            </w:pPr>
            <w:r>
              <w:rPr>
                <w:color w:val="000000"/>
              </w:rPr>
              <w:t xml:space="preserve">2</w:t>
            </w:r>
            <w:r/>
          </w:p>
        </w:tc>
        <w:tc>
          <w:tcPr>
            <w:tcW w:w="813" w:type="pct"/>
            <w:vAlign w:val="center"/>
            <w:textDirection w:val="lrTb"/>
            <w:noWrap w:val="false"/>
          </w:tcPr>
          <w:p>
            <w:pPr>
              <w:pStyle w:val="852"/>
              <w:rPr>
                <w:color w:val="000000"/>
              </w:rPr>
            </w:pPr>
            <w:r>
              <w:rPr>
                <w:color w:val="000000"/>
              </w:rPr>
              <w:t xml:space="preserve">安全渗透测试</w:t>
            </w:r>
            <w:r/>
          </w:p>
        </w:tc>
        <w:tc>
          <w:tcPr>
            <w:tcW w:w="2186" w:type="pct"/>
            <w:vAlign w:val="center"/>
            <w:textDirection w:val="lrTb"/>
            <w:noWrap w:val="false"/>
          </w:tcPr>
          <w:p>
            <w:pPr>
              <w:pStyle w:val="852"/>
              <w:rPr>
                <w:color w:val="000000"/>
              </w:rPr>
            </w:pPr>
            <w:r>
              <w:rPr>
                <w:color w:val="000000"/>
              </w:rPr>
              <w:t xml:space="preserve">模拟入侵者所用的常见手段对测试目标发起模拟入侵，通过利用各种已知漏洞识别手段充分挖掘网络层、系统层、</w:t>
            </w:r>
            <w:r>
              <w:rPr>
                <w:color w:val="000000"/>
              </w:rPr>
              <w:t xml:space="preserve">应用层乃至业务逻辑层中可能存在且被利用的潜在威胁点，并根据实际</w:t>
            </w:r>
            <w:r>
              <w:rPr>
                <w:rFonts w:hint="eastAsia"/>
                <w:color w:val="000000"/>
              </w:rPr>
              <w:t xml:space="preserve">测试</w:t>
            </w:r>
            <w:r>
              <w:rPr>
                <w:color w:val="000000"/>
              </w:rPr>
              <w:t xml:space="preserve">情况给出切实可行的系统安全加固建议及漏洞修复建议。系统数量不低于40个</w:t>
            </w:r>
            <w:r>
              <w:rPr>
                <w:rFonts w:hint="eastAsia"/>
                <w:color w:val="000000"/>
              </w:rPr>
              <w:t xml:space="preserve">。</w:t>
            </w:r>
            <w:r>
              <w:rPr>
                <w:color w:val="000000"/>
              </w:rPr>
            </w:r>
            <w:r/>
          </w:p>
        </w:tc>
        <w:tc>
          <w:tcPr>
            <w:tcW w:w="598" w:type="pct"/>
            <w:vAlign w:val="center"/>
            <w:textDirection w:val="lrTb"/>
            <w:noWrap w:val="false"/>
          </w:tcPr>
          <w:p>
            <w:pPr>
              <w:pStyle w:val="852"/>
              <w:rPr>
                <w:color w:val="000000"/>
              </w:rPr>
            </w:pPr>
            <w:r>
              <w:rPr>
                <w:color w:val="000000"/>
              </w:rPr>
              <w:t xml:space="preserve">2次/年</w:t>
            </w:r>
            <w:r/>
          </w:p>
        </w:tc>
        <w:tc>
          <w:tcPr>
            <w:tcW w:w="987" w:type="pct"/>
            <w:vAlign w:val="center"/>
            <w:textDirection w:val="lrTb"/>
            <w:noWrap w:val="false"/>
          </w:tcPr>
          <w:p>
            <w:pPr>
              <w:pStyle w:val="852"/>
              <w:rPr>
                <w:color w:val="000000"/>
              </w:rPr>
            </w:pPr>
            <w:r>
              <w:rPr>
                <w:color w:val="000000"/>
              </w:rPr>
              <w:t xml:space="preserve">每半年提交一次渗透测试报告和复测报告，全年共4份报告</w:t>
            </w:r>
            <w:r/>
          </w:p>
        </w:tc>
      </w:tr>
      <w:tr>
        <w:trPr>
          <w:trHeight w:val="780"/>
        </w:trPr>
        <w:tc>
          <w:tcPr>
            <w:tcW w:w="416" w:type="pct"/>
            <w:vAlign w:val="center"/>
            <w:textDirection w:val="lrTb"/>
            <w:noWrap w:val="false"/>
          </w:tcPr>
          <w:p>
            <w:pPr>
              <w:pStyle w:val="852"/>
              <w:rPr>
                <w:color w:val="000000"/>
              </w:rPr>
            </w:pPr>
            <w:r>
              <w:rPr>
                <w:color w:val="000000"/>
              </w:rPr>
              <w:t xml:space="preserve">3</w:t>
            </w:r>
            <w:r/>
          </w:p>
        </w:tc>
        <w:tc>
          <w:tcPr>
            <w:tcW w:w="813" w:type="pct"/>
            <w:vAlign w:val="center"/>
            <w:textDirection w:val="lrTb"/>
            <w:noWrap w:val="false"/>
          </w:tcPr>
          <w:p>
            <w:pPr>
              <w:pStyle w:val="852"/>
              <w:rPr>
                <w:color w:val="000000"/>
              </w:rPr>
            </w:pPr>
            <w:r>
              <w:rPr>
                <w:color w:val="000000"/>
              </w:rPr>
              <w:t xml:space="preserve">漏洞扫描</w:t>
            </w:r>
            <w:r/>
          </w:p>
        </w:tc>
        <w:tc>
          <w:tcPr>
            <w:tcW w:w="2186" w:type="pct"/>
            <w:vAlign w:val="center"/>
            <w:textDirection w:val="lrTb"/>
            <w:noWrap w:val="false"/>
          </w:tcPr>
          <w:p>
            <w:pPr>
              <w:pStyle w:val="852"/>
              <w:rPr>
                <w:color w:val="000000"/>
              </w:rPr>
            </w:pPr>
            <w:r>
              <w:rPr>
                <w:color w:val="000000"/>
              </w:rPr>
              <w:t xml:space="preserve">利用漏洞扫描工具，通过对</w:t>
            </w:r>
            <w:r>
              <w:rPr>
                <w:rFonts w:hint="eastAsia"/>
                <w:color w:val="000000"/>
              </w:rPr>
              <w:t xml:space="preserve">无锡太湖治理数字化平台</w:t>
            </w:r>
            <w:r>
              <w:rPr>
                <w:color w:val="000000"/>
              </w:rPr>
              <w:t xml:space="preserve">信息系统及应用的扫描、探测等操作，直接获取到目标系统本身存在的系统、应用等方面的漏洞，并根据扫描结果形成漏洞扫描报告，为管理员指出系统所存在的漏洞及修补漏洞的解决方案。</w:t>
            </w:r>
            <w:r/>
          </w:p>
        </w:tc>
        <w:tc>
          <w:tcPr>
            <w:tcW w:w="598" w:type="pct"/>
            <w:vAlign w:val="center"/>
            <w:textDirection w:val="lrTb"/>
            <w:noWrap w:val="false"/>
          </w:tcPr>
          <w:p>
            <w:pPr>
              <w:pStyle w:val="852"/>
              <w:rPr>
                <w:color w:val="000000"/>
              </w:rPr>
            </w:pPr>
            <w:r>
              <w:rPr>
                <w:color w:val="000000"/>
              </w:rPr>
              <w:t xml:space="preserve">4次/年</w:t>
            </w:r>
            <w:r/>
          </w:p>
        </w:tc>
        <w:tc>
          <w:tcPr>
            <w:tcW w:w="987" w:type="pct"/>
            <w:vAlign w:val="center"/>
            <w:textDirection w:val="lrTb"/>
            <w:noWrap w:val="false"/>
          </w:tcPr>
          <w:p>
            <w:pPr>
              <w:pStyle w:val="852"/>
              <w:rPr>
                <w:color w:val="000000"/>
              </w:rPr>
            </w:pPr>
            <w:r>
              <w:rPr>
                <w:color w:val="000000"/>
              </w:rPr>
              <w:t xml:space="preserve">每季度提交一次安全检测报告，全年共4份，同时配合协助整改。</w:t>
            </w:r>
            <w:r/>
          </w:p>
        </w:tc>
      </w:tr>
      <w:tr>
        <w:trPr>
          <w:trHeight w:val="416"/>
        </w:trPr>
        <w:tc>
          <w:tcPr>
            <w:tcW w:w="416" w:type="pct"/>
            <w:vAlign w:val="center"/>
            <w:textDirection w:val="lrTb"/>
            <w:noWrap w:val="false"/>
          </w:tcPr>
          <w:p>
            <w:pPr>
              <w:pStyle w:val="852"/>
              <w:rPr>
                <w:color w:val="000000"/>
              </w:rPr>
            </w:pPr>
            <w:r>
              <w:rPr>
                <w:color w:val="000000"/>
              </w:rPr>
              <w:t xml:space="preserve">4</w:t>
            </w:r>
            <w:r/>
          </w:p>
        </w:tc>
        <w:tc>
          <w:tcPr>
            <w:tcW w:w="813" w:type="pct"/>
            <w:vAlign w:val="center"/>
            <w:textDirection w:val="lrTb"/>
            <w:noWrap w:val="false"/>
          </w:tcPr>
          <w:p>
            <w:pPr>
              <w:pStyle w:val="852"/>
              <w:rPr>
                <w:color w:val="000000"/>
              </w:rPr>
            </w:pPr>
            <w:r>
              <w:rPr>
                <w:color w:val="000000"/>
              </w:rPr>
              <w:t xml:space="preserve">安全加固建议及验证</w:t>
            </w:r>
            <w:r/>
          </w:p>
        </w:tc>
        <w:tc>
          <w:tcPr>
            <w:tcW w:w="2186" w:type="pct"/>
            <w:vAlign w:val="center"/>
            <w:textDirection w:val="lrTb"/>
            <w:noWrap w:val="false"/>
          </w:tcPr>
          <w:p>
            <w:pPr>
              <w:pStyle w:val="852"/>
              <w:rPr>
                <w:color w:val="000000"/>
              </w:rPr>
            </w:pPr>
            <w:r>
              <w:rPr>
                <w:color w:val="000000"/>
              </w:rPr>
              <w:t xml:space="preserve">根据安全检测服务结果，提供一年4次的网站源代码加固辅导、服务器系统加固、数据库加固服务，全面的安全加固，提升</w:t>
            </w:r>
            <w:r>
              <w:rPr>
                <w:rFonts w:hint="eastAsia"/>
                <w:color w:val="000000"/>
              </w:rPr>
              <w:t xml:space="preserve">无锡太湖治理数字化平台</w:t>
            </w:r>
            <w:r>
              <w:rPr>
                <w:color w:val="000000"/>
              </w:rPr>
              <w:t xml:space="preserve">系统整体安全性。</w:t>
            </w:r>
            <w:r/>
          </w:p>
        </w:tc>
        <w:tc>
          <w:tcPr>
            <w:tcW w:w="598" w:type="pct"/>
            <w:vAlign w:val="center"/>
            <w:textDirection w:val="lrTb"/>
            <w:noWrap w:val="false"/>
          </w:tcPr>
          <w:p>
            <w:pPr>
              <w:pStyle w:val="852"/>
              <w:rPr>
                <w:color w:val="000000"/>
              </w:rPr>
            </w:pPr>
            <w:r>
              <w:rPr>
                <w:color w:val="000000"/>
              </w:rPr>
              <w:t xml:space="preserve">4次/年</w:t>
            </w:r>
            <w:r/>
          </w:p>
        </w:tc>
        <w:tc>
          <w:tcPr>
            <w:tcW w:w="987" w:type="pct"/>
            <w:vAlign w:val="center"/>
            <w:textDirection w:val="lrTb"/>
            <w:noWrap w:val="false"/>
          </w:tcPr>
          <w:p>
            <w:pPr>
              <w:pStyle w:val="852"/>
              <w:rPr>
                <w:color w:val="000000"/>
              </w:rPr>
            </w:pPr>
            <w:r>
              <w:rPr>
                <w:color w:val="000000"/>
              </w:rPr>
              <w:t xml:space="preserve">/</w:t>
            </w:r>
            <w:r/>
          </w:p>
        </w:tc>
      </w:tr>
      <w:tr>
        <w:trPr>
          <w:trHeight w:val="780"/>
        </w:trPr>
        <w:tc>
          <w:tcPr>
            <w:tcW w:w="416" w:type="pct"/>
            <w:vAlign w:val="center"/>
            <w:textDirection w:val="lrTb"/>
            <w:noWrap w:val="false"/>
          </w:tcPr>
          <w:p>
            <w:pPr>
              <w:pStyle w:val="852"/>
              <w:rPr>
                <w:color w:val="000000"/>
              </w:rPr>
            </w:pPr>
            <w:r>
              <w:rPr>
                <w:color w:val="000000"/>
              </w:rPr>
              <w:t xml:space="preserve">5</w:t>
            </w:r>
            <w:r/>
          </w:p>
        </w:tc>
        <w:tc>
          <w:tcPr>
            <w:tcW w:w="813" w:type="pct"/>
            <w:vAlign w:val="center"/>
            <w:textDirection w:val="lrTb"/>
            <w:noWrap w:val="false"/>
          </w:tcPr>
          <w:p>
            <w:pPr>
              <w:pStyle w:val="852"/>
              <w:rPr>
                <w:color w:val="000000"/>
              </w:rPr>
            </w:pPr>
            <w:r>
              <w:rPr>
                <w:color w:val="000000"/>
              </w:rPr>
              <w:t xml:space="preserve">应急响应服务</w:t>
            </w:r>
            <w:r/>
          </w:p>
        </w:tc>
        <w:tc>
          <w:tcPr>
            <w:tcW w:w="2186" w:type="pct"/>
            <w:vAlign w:val="center"/>
            <w:textDirection w:val="lrTb"/>
            <w:noWrap w:val="false"/>
          </w:tcPr>
          <w:p>
            <w:pPr>
              <w:pStyle w:val="852"/>
              <w:rPr>
                <w:color w:val="000000"/>
              </w:rPr>
            </w:pPr>
            <w:r>
              <w:rPr>
                <w:color w:val="000000"/>
              </w:rPr>
              <w:t xml:space="preserve">当发生病毒传播、黑客攻击、网络入侵和安全故障等安全威胁事件后，迅速采取措施和行动，快速恢复系统的保密性、完整性和可用性，阻止和降低安全威胁事件带来的严重性影响。</w:t>
            </w:r>
            <w:r/>
          </w:p>
        </w:tc>
        <w:tc>
          <w:tcPr>
            <w:tcW w:w="598" w:type="pct"/>
            <w:vAlign w:val="center"/>
            <w:textDirection w:val="lrTb"/>
            <w:noWrap w:val="false"/>
          </w:tcPr>
          <w:p>
            <w:pPr>
              <w:pStyle w:val="852"/>
              <w:rPr>
                <w:color w:val="000000"/>
              </w:rPr>
            </w:pPr>
            <w:r>
              <w:rPr>
                <w:color w:val="000000"/>
              </w:rPr>
              <w:t xml:space="preserve">4次/年</w:t>
            </w:r>
            <w:r/>
          </w:p>
        </w:tc>
        <w:tc>
          <w:tcPr>
            <w:tcW w:w="987" w:type="pct"/>
            <w:vAlign w:val="center"/>
            <w:textDirection w:val="lrTb"/>
            <w:noWrap w:val="false"/>
          </w:tcPr>
          <w:p>
            <w:pPr>
              <w:pStyle w:val="852"/>
              <w:rPr>
                <w:color w:val="000000"/>
              </w:rPr>
            </w:pPr>
            <w:r>
              <w:rPr>
                <w:color w:val="000000"/>
              </w:rPr>
              <w:t xml:space="preserve">每年不少于4次应急响应，并根据实际情况出具安全事件处置及分析报告</w:t>
            </w:r>
            <w:r/>
          </w:p>
        </w:tc>
      </w:tr>
      <w:tr>
        <w:trPr>
          <w:trHeight w:val="780"/>
        </w:trPr>
        <w:tc>
          <w:tcPr>
            <w:tcW w:w="416" w:type="pct"/>
            <w:vAlign w:val="center"/>
            <w:textDirection w:val="lrTb"/>
            <w:noWrap w:val="false"/>
          </w:tcPr>
          <w:p>
            <w:pPr>
              <w:pStyle w:val="852"/>
              <w:rPr>
                <w:color w:val="000000"/>
              </w:rPr>
            </w:pPr>
            <w:r>
              <w:rPr>
                <w:color w:val="000000"/>
              </w:rPr>
              <w:t xml:space="preserve">6</w:t>
            </w:r>
            <w:r/>
          </w:p>
        </w:tc>
        <w:tc>
          <w:tcPr>
            <w:tcW w:w="813" w:type="pct"/>
            <w:vAlign w:val="center"/>
            <w:textDirection w:val="lrTb"/>
            <w:noWrap w:val="false"/>
          </w:tcPr>
          <w:p>
            <w:pPr>
              <w:pStyle w:val="852"/>
              <w:rPr>
                <w:color w:val="000000"/>
              </w:rPr>
            </w:pPr>
            <w:r>
              <w:rPr>
                <w:color w:val="000000"/>
              </w:rPr>
              <w:t xml:space="preserve">应急演练</w:t>
            </w:r>
            <w:r/>
          </w:p>
        </w:tc>
        <w:tc>
          <w:tcPr>
            <w:tcW w:w="2186" w:type="pct"/>
            <w:vAlign w:val="center"/>
            <w:textDirection w:val="lrTb"/>
            <w:noWrap w:val="false"/>
          </w:tcPr>
          <w:p>
            <w:pPr>
              <w:pStyle w:val="852"/>
              <w:rPr>
                <w:color w:val="000000"/>
              </w:rPr>
            </w:pPr>
            <w:r>
              <w:rPr>
                <w:color w:val="000000"/>
              </w:rPr>
              <w:t xml:space="preserve">为增强</w:t>
            </w:r>
            <w:r>
              <w:rPr>
                <w:rFonts w:hint="eastAsia"/>
                <w:color w:val="000000"/>
              </w:rPr>
              <w:t xml:space="preserve">无锡市生态环境局及下属</w:t>
            </w:r>
            <w:r>
              <w:rPr>
                <w:color w:val="000000"/>
              </w:rPr>
              <w:t xml:space="preserve">单位人员的安全意识，定期对信息网开展安全应急演练，提高应对网络安全突发事件的组织指挥能力和应急处置能力。</w:t>
            </w:r>
            <w:r/>
          </w:p>
        </w:tc>
        <w:tc>
          <w:tcPr>
            <w:tcW w:w="598" w:type="pct"/>
            <w:vAlign w:val="center"/>
            <w:textDirection w:val="lrTb"/>
            <w:noWrap w:val="false"/>
          </w:tcPr>
          <w:p>
            <w:pPr>
              <w:pStyle w:val="852"/>
              <w:rPr>
                <w:color w:val="000000"/>
              </w:rPr>
            </w:pPr>
            <w:r>
              <w:rPr>
                <w:color w:val="000000"/>
              </w:rPr>
              <w:t xml:space="preserve">2次/年</w:t>
            </w:r>
            <w:r/>
          </w:p>
        </w:tc>
        <w:tc>
          <w:tcPr>
            <w:tcW w:w="987" w:type="pct"/>
            <w:vAlign w:val="center"/>
            <w:textDirection w:val="lrTb"/>
            <w:noWrap w:val="false"/>
          </w:tcPr>
          <w:p>
            <w:pPr>
              <w:pStyle w:val="852"/>
              <w:rPr>
                <w:color w:val="000000"/>
              </w:rPr>
            </w:pPr>
            <w:r>
              <w:rPr>
                <w:color w:val="000000"/>
              </w:rPr>
              <w:t xml:space="preserve">每年不少于2次应急演练，提供两次应急演练报告</w:t>
            </w:r>
            <w:r/>
          </w:p>
        </w:tc>
      </w:tr>
      <w:tr>
        <w:trPr>
          <w:trHeight w:val="780"/>
        </w:trPr>
        <w:tc>
          <w:tcPr>
            <w:tcW w:w="416" w:type="pct"/>
            <w:vAlign w:val="center"/>
            <w:textDirection w:val="lrTb"/>
            <w:noWrap w:val="false"/>
          </w:tcPr>
          <w:p>
            <w:pPr>
              <w:pStyle w:val="852"/>
              <w:rPr>
                <w:color w:val="000000"/>
              </w:rPr>
            </w:pPr>
            <w:r>
              <w:rPr>
                <w:color w:val="000000"/>
              </w:rPr>
              <w:t xml:space="preserve">7</w:t>
            </w:r>
            <w:r/>
          </w:p>
        </w:tc>
        <w:tc>
          <w:tcPr>
            <w:tcW w:w="813" w:type="pct"/>
            <w:vAlign w:val="center"/>
            <w:textDirection w:val="lrTb"/>
            <w:noWrap w:val="false"/>
          </w:tcPr>
          <w:p>
            <w:pPr>
              <w:pStyle w:val="852"/>
              <w:rPr>
                <w:color w:val="000000"/>
              </w:rPr>
            </w:pPr>
            <w:r>
              <w:rPr>
                <w:color w:val="000000"/>
              </w:rPr>
              <w:t xml:space="preserve">安全迎检协助</w:t>
            </w:r>
            <w:r/>
          </w:p>
        </w:tc>
        <w:tc>
          <w:tcPr>
            <w:tcW w:w="2186" w:type="pct"/>
            <w:vAlign w:val="center"/>
            <w:textDirection w:val="lrTb"/>
            <w:noWrap w:val="false"/>
          </w:tcPr>
          <w:p>
            <w:pPr>
              <w:pStyle w:val="852"/>
              <w:rPr>
                <w:color w:val="000000"/>
              </w:rPr>
            </w:pPr>
            <w:r>
              <w:rPr>
                <w:color w:val="000000"/>
              </w:rPr>
              <w:t xml:space="preserve">针对上级或其他单位组织的网络安全专项工作检查，协助</w:t>
            </w:r>
            <w:r>
              <w:rPr>
                <w:rFonts w:hint="eastAsia"/>
                <w:color w:val="000000"/>
              </w:rPr>
              <w:t xml:space="preserve">无锡市生态环境局及下属单位</w:t>
            </w:r>
            <w:r>
              <w:rPr>
                <w:color w:val="000000"/>
              </w:rPr>
              <w:t xml:space="preserve">进行网络和数据安全检查，排查安全风险隐患，做好安全保障工作。</w:t>
            </w:r>
            <w:r/>
          </w:p>
        </w:tc>
        <w:tc>
          <w:tcPr>
            <w:tcW w:w="598" w:type="pct"/>
            <w:vAlign w:val="center"/>
            <w:textDirection w:val="lrTb"/>
            <w:noWrap w:val="false"/>
          </w:tcPr>
          <w:p>
            <w:pPr>
              <w:pStyle w:val="852"/>
              <w:rPr>
                <w:color w:val="000000"/>
              </w:rPr>
            </w:pPr>
            <w:r>
              <w:rPr>
                <w:color w:val="000000"/>
              </w:rPr>
              <w:t xml:space="preserve">2次/年</w:t>
            </w:r>
            <w:r/>
          </w:p>
        </w:tc>
        <w:tc>
          <w:tcPr>
            <w:tcW w:w="987" w:type="pct"/>
            <w:vAlign w:val="center"/>
            <w:textDirection w:val="lrTb"/>
            <w:noWrap w:val="false"/>
          </w:tcPr>
          <w:p>
            <w:pPr>
              <w:pStyle w:val="852"/>
              <w:rPr>
                <w:color w:val="000000"/>
              </w:rPr>
            </w:pPr>
            <w:r>
              <w:rPr>
                <w:color w:val="000000"/>
              </w:rPr>
            </w:r>
            <w:r/>
          </w:p>
        </w:tc>
      </w:tr>
    </w:tbl>
    <w:p>
      <w:pPr>
        <w:pStyle w:val="734"/>
        <w:rPr>
          <w:rFonts w:ascii="宋体" w:hAnsi="宋体" w:cs="宋体"/>
          <w:color w:val="000000"/>
        </w:rPr>
      </w:pPr>
      <w:r>
        <w:rPr>
          <w:rFonts w:ascii="宋体" w:hAnsi="宋体" w:cs="宋体"/>
          <w:color w:val="000000"/>
        </w:rPr>
      </w:r>
      <w:r/>
    </w:p>
    <w:p>
      <w:pPr>
        <w:pStyle w:val="742"/>
        <w:rPr>
          <w:rFonts w:ascii="宋体" w:hAnsi="宋体" w:eastAsia="宋体" w:cs="宋体"/>
          <w:i/>
          <w:iCs/>
          <w:color w:val="000000"/>
        </w:rPr>
      </w:pPr>
      <w:r>
        <w:rPr>
          <w:rFonts w:hint="eastAsia" w:ascii="宋体" w:hAnsi="宋体" w:eastAsia="宋体" w:cs="宋体"/>
          <w:color w:val="000000"/>
        </w:rPr>
        <w:t xml:space="preserve">1.2.2.2 </w:t>
      </w:r>
      <w:r>
        <w:rPr>
          <w:rFonts w:hint="eastAsia" w:ascii="宋体" w:hAnsi="宋体" w:eastAsia="宋体" w:cs="宋体"/>
          <w:color w:val="000000"/>
          <w:lang w:val="en-US" w:eastAsia="zh-CN"/>
        </w:rPr>
        <w:t xml:space="preserve">货物类</w:t>
      </w:r>
      <w:r>
        <w:rPr>
          <w:rFonts w:hint="eastAsia" w:ascii="宋体" w:hAnsi="宋体" w:eastAsia="宋体" w:cs="宋体"/>
          <w:color w:val="000000"/>
        </w:rPr>
        <w:t xml:space="preserve">技术参数要求</w:t>
      </w:r>
      <w:r>
        <w:rPr>
          <w:rFonts w:ascii="宋体" w:hAnsi="宋体" w:eastAsia="宋体" w:cs="宋体"/>
          <w:i/>
          <w:iCs/>
          <w:color w:val="000000"/>
        </w:rPr>
      </w:r>
      <w:r/>
    </w:p>
    <w:p>
      <w:pPr>
        <w:pStyle w:val="743"/>
        <w:rPr>
          <w:i/>
          <w:iCs/>
          <w:color w:val="000000"/>
        </w:rPr>
      </w:pPr>
      <w:r>
        <w:rPr>
          <w:rFonts w:hint="eastAsia"/>
          <w:color w:val="000000"/>
        </w:rPr>
        <w:t xml:space="preserve">1、数据库安全运维系统</w:t>
      </w:r>
      <w:r>
        <w:rPr>
          <w:i/>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80"/>
      </w:tblGrid>
      <w:tr>
        <w:trPr>
          <w:trHeight w:val="20"/>
        </w:trPr>
        <w:tc>
          <w:tcPr>
            <w:tcW w:w="812" w:type="pct"/>
            <w:vAlign w:val="center"/>
            <w:textDirection w:val="lrTb"/>
            <w:noWrap w:val="false"/>
          </w:tcPr>
          <w:p>
            <w:pPr>
              <w:pStyle w:val="852"/>
              <w:jc w:val="center"/>
              <w:rPr>
                <w:color w:val="000000"/>
              </w:rPr>
            </w:pPr>
            <w:r>
              <w:rPr>
                <w:rFonts w:hint="eastAsia"/>
                <w:color w:val="000000"/>
              </w:rPr>
              <w:t xml:space="preserve">项目指标</w:t>
            </w:r>
            <w:r>
              <w:rPr>
                <w:color w:val="000000"/>
              </w:rPr>
            </w:r>
            <w:r/>
          </w:p>
        </w:tc>
        <w:tc>
          <w:tcPr>
            <w:tcW w:w="4188" w:type="pct"/>
            <w:vAlign w:val="center"/>
            <w:textDirection w:val="lrTb"/>
            <w:noWrap w:val="false"/>
          </w:tcPr>
          <w:p>
            <w:pPr>
              <w:pStyle w:val="852"/>
              <w:jc w:val="center"/>
              <w:rPr>
                <w:color w:val="000000"/>
              </w:rPr>
            </w:pPr>
            <w:r>
              <w:rPr>
                <w:rFonts w:hint="eastAsia"/>
                <w:color w:val="000000"/>
              </w:rPr>
              <w:t xml:space="preserve">性能和参数要求</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基本要求</w:t>
            </w:r>
            <w:r>
              <w:rPr>
                <w:color w:val="000000"/>
              </w:rPr>
            </w:r>
            <w:r/>
          </w:p>
        </w:tc>
        <w:tc>
          <w:tcPr>
            <w:tcW w:w="4188" w:type="pct"/>
            <w:vAlign w:val="center"/>
            <w:textDirection w:val="lrTb"/>
            <w:noWrap w:val="false"/>
          </w:tcPr>
          <w:p>
            <w:pPr>
              <w:pStyle w:val="852"/>
              <w:rPr>
                <w:color w:val="000000"/>
              </w:rPr>
            </w:pPr>
            <w:r>
              <w:rPr>
                <w:rFonts w:hint="eastAsia"/>
                <w:color w:val="000000"/>
              </w:rPr>
              <w:t xml:space="preserve">2U标准机架设备，内存≥32G，存储空间≥4T，≥6个千兆电口插槽，≥4个千兆光口插槽，冗余电源，≥2个扩展槽位，网络吞吐率≥5Gbps，数据库吞吐≥1Gbps，峰值SQL处理能力≥27000条/秒，日处理事件数≥3600万条，实例数≥15个；</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协议解析</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支持国内外40余种主流数据库协议，包括国产化/非国产化的关系型数据库、非关系型数据库等；</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支持Oracle、SQLServer、MySQL、DB2、Sybase、Informix、PostgreSQL、Teradata等数据库系统；</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支持KingBase、DaMeng、Oscar、GBase、浪潮_KDB、Highgo、GaussDB等国内主流数据库系统；</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数据库操作行为管控</w:t>
            </w:r>
            <w:r>
              <w:rPr>
                <w:color w:val="000000"/>
              </w:rPr>
            </w:r>
            <w:r/>
          </w:p>
        </w:tc>
        <w:tc>
          <w:tcPr>
            <w:tcW w:w="4188" w:type="pct"/>
            <w:vAlign w:val="center"/>
            <w:textDirection w:val="lrTb"/>
            <w:noWrap w:val="false"/>
          </w:tcPr>
          <w:p>
            <w:pPr>
              <w:pStyle w:val="852"/>
              <w:rPr>
                <w:color w:val="000000"/>
              </w:rPr>
            </w:pPr>
            <w:r>
              <w:rPr>
                <w:rFonts w:hint="eastAsia"/>
                <w:color w:val="000000"/>
              </w:rPr>
              <w:t xml:space="preserve">内置多种数据库协议默认管控规则，包括Oracle、MySQL、SQLserver、PostgreSQL、Dameng、OSCAR、MongoDB、Sybase、DB2、Kingbase、SequoiaDB、Cassandra等多种协议分类，提供用户登录、高风险操作、SQL命令等出厂默认规则组，用户无需自定义可直接引用；</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内置默认控制规则，包括用户登录、低中高风险操作、数据库DML、DCL、DDL等操作语句等规则定义，方便用户引用和制定控制规则；</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自定义控制规则，可定义控制规则告警级别、执行时间等；控制规则支持定义源目IP、源目端口、源目MAC、数据库名、数据库客户端、数据库用户名、SQL语句、返回码、SQL错误信息、数据库表名、返回结果集、影响字段、SQL模板等字段，结合与或非等逻辑运算进行规则设计；</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支持串联阻断、联动阻断、旁路阻断等处置模式；</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行为审计</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支持数据库请求和返回的双向审计，特别是SQL返回结果集、SQL语句响应时间、连接时长、表影响的字段、影响行数等内容；</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支持通过返回行数控制返回结果集审计大小，降低系统开销。可自行开启解析结果集，自定义配置结果集行数；</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具备数据库操作类、表、视图、索引、触发器、游标、事务等各种对象的SQL操作审计；</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支持潜在危害、异常行为（SQL基线、SQL注入、敏感检测、暴力破解、撞库攻击）、访问控制（告警、阻断）、网络攻击等行为进行告警，并生成告警日志；</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支持匹配查询条件后的查询结果分析，分析结果支持在线查看报表导出；</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特殊审计能力</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支持超长SQL语句审计，至少不低于5M；</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有效分割、准确审计主流数据库协议的多SQL语句；</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支持以用户名、源IP、部门、域名、主机名、邮箱、联系电话为条件的实名审计；</w:t>
            </w:r>
            <w:r>
              <w:rPr>
                <w:color w:val="000000"/>
              </w:rPr>
              <w:t xml:space="preserve"> </w:t>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支持白名单审计：系统使用审计白名单将非关注的内容进行过滤，降低性能消耗和存储空间占用；</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数据库资产可视化</w:t>
            </w:r>
            <w:r>
              <w:rPr>
                <w:color w:val="000000"/>
              </w:rPr>
            </w:r>
            <w:r/>
          </w:p>
        </w:tc>
        <w:tc>
          <w:tcPr>
            <w:tcW w:w="4188" w:type="pct"/>
            <w:vAlign w:val="center"/>
            <w:textDirection w:val="lrTb"/>
            <w:noWrap w:val="false"/>
          </w:tcPr>
          <w:p>
            <w:pPr>
              <w:pStyle w:val="852"/>
              <w:rPr>
                <w:color w:val="000000"/>
              </w:rPr>
            </w:pPr>
            <w:r>
              <w:rPr>
                <w:rFonts w:hint="eastAsia"/>
                <w:color w:val="000000"/>
              </w:rPr>
              <w:t xml:space="preserve">数据库自动发现功能，产品可精准识别流量中包含的数据库协议，自动发现网络中存在的数据库；展示包括其数据库类型、IP地址、端口号、发现日期，当前会话数、事务数等信息。可一键加入管理；</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数据库信息包括：数据库实例名、数据库IP端口、信息来源、发现日期、数据库版本、最大会话数、用户名、当前会话数、事件趋势、风险分布、告警信息等；</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以饼图展示正常SQL与慢SQL分布占比情况、TOP10慢SQL的详细分析：数据库用户名、源ip、SQL语句、SQL操作类型、SQL语句响应时间等要素；</w:t>
            </w:r>
            <w:r>
              <w:rPr>
                <w:color w:val="000000"/>
              </w:rPr>
              <w:t xml:space="preserve"> </w:t>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支持对数据库的密码进行主动扫描，判断数据库的密码是否存在弱口令风险，扫描出的弱密码支持脱敏显示；</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风险场景分析</w:t>
            </w:r>
            <w:r>
              <w:rPr>
                <w:color w:val="000000"/>
              </w:rPr>
            </w:r>
            <w:r/>
          </w:p>
        </w:tc>
        <w:tc>
          <w:tcPr>
            <w:tcW w:w="4188" w:type="pct"/>
            <w:vAlign w:val="center"/>
            <w:textDirection w:val="lrTb"/>
            <w:noWrap w:val="false"/>
          </w:tcPr>
          <w:p>
            <w:pPr>
              <w:pStyle w:val="852"/>
              <w:rPr>
                <w:color w:val="000000"/>
              </w:rPr>
            </w:pPr>
            <w:r>
              <w:rPr>
                <w:rFonts w:hint="eastAsia"/>
                <w:color w:val="000000"/>
              </w:rPr>
              <w:t xml:space="preserve">登录行为分析，支持以曲线图的形式展示当天登录成功和登录失败次数；</w:t>
            </w:r>
            <w:r>
              <w:rPr>
                <w:color w:val="000000"/>
              </w:rPr>
            </w:r>
            <w:r/>
          </w:p>
          <w:p>
            <w:pPr>
              <w:pStyle w:val="852"/>
              <w:rPr>
                <w:color w:val="000000"/>
              </w:rPr>
            </w:pPr>
            <w:r>
              <w:rPr>
                <w:rFonts w:hint="eastAsia"/>
                <w:color w:val="000000"/>
              </w:rPr>
              <w:t xml:space="preserve">以饼图的形式，展示登录行为总数和总的登录成功登录失败比例；</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支撑高危异常操作行为分析，统计图表展示数据库高危操作行为统计，可直观展示针对数据库删库、删表等高危风险操作，并展示受影响数据库详情；</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支持攻击行为分析，支持以折线图的方式实时展示SQL注入风险发生趋势和数据库漏洞攻击趋势，并以表格的方式展示SQL和数据库漏洞攻击注入统计信息和攻击详情；</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支持数据库账号异常分析，以饼图的形式展示账户数最多的数据库TOP5分布数据；</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以饼状图的形式展示非工作时间登录数据库情况排行；</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敏感信息防护</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支持对审计日志中敏感数据（身份证号、手机号、银行卡号等）进行掩码处理，进行隐私保护，敏感保护规则可自定义；</w:t>
            </w:r>
            <w:r>
              <w:rPr>
                <w:color w:val="000000"/>
              </w:rPr>
              <w:t xml:space="preserve"> </w:t>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支持用户数据库中敏感信息的自动发现和手动添加，可定位敏感数据所在数据库名、实例名、表名、列名，并形成针对敏感信息的检测规则；</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数据库漏洞扫描</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支持数据库漏洞扫描功能，可添加目标数据库，进行漏洞扫描，支持查看扫描结果；</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报表</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支持等保、萨班斯法案报表模板以及自定义报表，可以按日、周、月等周期自动生成报表；</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系统功能</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支持历史版本回退功能，系统内建历史版本库不少于3个；</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支持磁盘清理，可根据磁盘利用率、保存时限配置磁盘清理条件，支持存储外发；</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质保服务要求</w:t>
            </w:r>
            <w:r>
              <w:rPr>
                <w:color w:val="000000"/>
              </w:rPr>
            </w:r>
            <w:r/>
          </w:p>
        </w:tc>
        <w:tc>
          <w:tcPr>
            <w:tcW w:w="4188" w:type="pct"/>
            <w:vAlign w:val="center"/>
            <w:textDirection w:val="lrTb"/>
            <w:noWrap w:val="false"/>
          </w:tcPr>
          <w:p>
            <w:pPr>
              <w:pStyle w:val="852"/>
              <w:rPr>
                <w:color w:val="000000"/>
              </w:rPr>
            </w:pPr>
            <w:r>
              <w:rPr>
                <w:rFonts w:hint="eastAsia"/>
                <w:color w:val="000000"/>
              </w:rPr>
              <w:t xml:space="preserve">要求提供原厂5年软硬件质保和工程师上门服务；</w:t>
            </w:r>
            <w:r>
              <w:rPr>
                <w:color w:val="000000"/>
              </w:rPr>
            </w:r>
            <w:r/>
          </w:p>
        </w:tc>
      </w:tr>
    </w:tbl>
    <w:p>
      <w:pPr>
        <w:pStyle w:val="734"/>
        <w:rPr>
          <w:color w:val="000000"/>
        </w:rPr>
      </w:pPr>
      <w:r>
        <w:rPr>
          <w:color w:val="000000"/>
        </w:rPr>
      </w:r>
      <w:r/>
    </w:p>
    <w:p>
      <w:pPr>
        <w:pStyle w:val="743"/>
        <w:numPr>
          <w:ilvl w:val="0"/>
          <w:numId w:val="40"/>
        </w:numPr>
        <w:spacing w:before="320" w:after="200" w:line="240" w:lineRule="auto"/>
        <w:rPr>
          <w:i/>
          <w:iCs/>
          <w:color w:val="000000"/>
        </w:rPr>
      </w:pPr>
      <w:r>
        <w:rPr>
          <w:rFonts w:hint="eastAsia"/>
          <w:color w:val="000000"/>
        </w:rPr>
        <w:t xml:space="preserve">数据防勒索系统</w:t>
      </w:r>
      <w:r>
        <w:rPr>
          <w:i/>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80"/>
      </w:tblGrid>
      <w:tr>
        <w:trPr>
          <w:trHeight w:val="90"/>
        </w:trPr>
        <w:tc>
          <w:tcPr>
            <w:tcW w:w="812" w:type="pct"/>
            <w:vAlign w:val="center"/>
            <w:textDirection w:val="lrTb"/>
            <w:noWrap w:val="false"/>
          </w:tcPr>
          <w:p>
            <w:pPr>
              <w:pStyle w:val="852"/>
              <w:jc w:val="center"/>
              <w:rPr>
                <w:color w:val="000000"/>
              </w:rPr>
            </w:pPr>
            <w:r>
              <w:rPr>
                <w:rFonts w:hint="eastAsia"/>
                <w:color w:val="000000"/>
              </w:rPr>
              <w:t xml:space="preserve">项目指标</w:t>
            </w:r>
            <w:r>
              <w:rPr>
                <w:color w:val="000000"/>
              </w:rPr>
            </w:r>
            <w:r/>
          </w:p>
        </w:tc>
        <w:tc>
          <w:tcPr>
            <w:tcW w:w="4188" w:type="pct"/>
            <w:vAlign w:val="center"/>
            <w:textDirection w:val="lrTb"/>
            <w:noWrap w:val="false"/>
          </w:tcPr>
          <w:p>
            <w:pPr>
              <w:pStyle w:val="852"/>
              <w:jc w:val="center"/>
              <w:rPr>
                <w:color w:val="000000"/>
              </w:rPr>
            </w:pPr>
            <w:r>
              <w:rPr>
                <w:rFonts w:hint="eastAsia"/>
                <w:color w:val="000000"/>
              </w:rPr>
              <w:t xml:space="preserve">性能和参数要求</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管理架构</w:t>
            </w:r>
            <w:r>
              <w:rPr>
                <w:color w:val="000000"/>
              </w:rPr>
            </w:r>
            <w:r/>
          </w:p>
        </w:tc>
        <w:tc>
          <w:tcPr>
            <w:tcW w:w="4188" w:type="pct"/>
            <w:vAlign w:val="center"/>
            <w:textDirection w:val="lrTb"/>
            <w:noWrap w:val="false"/>
          </w:tcPr>
          <w:p>
            <w:pPr>
              <w:pStyle w:val="852"/>
              <w:rPr>
                <w:color w:val="000000"/>
              </w:rPr>
            </w:pPr>
            <w:r>
              <w:rPr>
                <w:rFonts w:hint="eastAsia"/>
                <w:color w:val="000000"/>
              </w:rPr>
              <w:t xml:space="preserve">部署方式为C/S架构，管理方式为B/S架构。</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稳定性</w:t>
            </w:r>
            <w:r>
              <w:rPr>
                <w:color w:val="000000"/>
              </w:rPr>
            </w:r>
            <w:r/>
          </w:p>
        </w:tc>
        <w:tc>
          <w:tcPr>
            <w:tcW w:w="4188" w:type="pct"/>
            <w:vAlign w:val="center"/>
            <w:textDirection w:val="lrTb"/>
            <w:noWrap w:val="false"/>
          </w:tcPr>
          <w:p>
            <w:pPr>
              <w:pStyle w:val="852"/>
              <w:rPr>
                <w:color w:val="000000"/>
              </w:rPr>
            </w:pPr>
            <w:r>
              <w:rPr>
                <w:rFonts w:hint="eastAsia"/>
                <w:color w:val="000000"/>
              </w:rPr>
              <w:t xml:space="preserve">终端</w:t>
            </w:r>
            <w:r>
              <w:rPr>
                <w:color w:val="000000"/>
              </w:rPr>
              <w:t xml:space="preserve">主机安装</w:t>
            </w:r>
            <w:r>
              <w:rPr>
                <w:rFonts w:hint="eastAsia"/>
                <w:color w:val="000000"/>
              </w:rPr>
              <w:t xml:space="preserve">防勒索</w:t>
            </w:r>
            <w:r>
              <w:rPr>
                <w:color w:val="000000"/>
              </w:rPr>
              <w:t xml:space="preserve">系统客户端</w:t>
            </w:r>
            <w:r>
              <w:rPr>
                <w:rFonts w:hint="eastAsia"/>
                <w:color w:val="000000"/>
              </w:rPr>
              <w:t xml:space="preserve">代理</w:t>
            </w:r>
            <w:r>
              <w:rPr>
                <w:color w:val="000000"/>
              </w:rPr>
              <w:t xml:space="preserve">软件后，</w:t>
            </w:r>
            <w:r>
              <w:rPr>
                <w:rFonts w:hint="eastAsia"/>
                <w:color w:val="000000"/>
              </w:rPr>
              <w:t xml:space="preserve">CPU性能平均消耗</w:t>
            </w:r>
            <w:r>
              <w:rPr>
                <w:color w:val="000000"/>
              </w:rPr>
              <w:t xml:space="preserve">不超过1%</w:t>
            </w:r>
            <w:r>
              <w:rPr>
                <w:rFonts w:hint="eastAsia"/>
                <w:color w:val="000000"/>
              </w:rPr>
              <w:t xml:space="preserve">。</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安全通信</w:t>
            </w:r>
            <w:r>
              <w:rPr>
                <w:color w:val="000000"/>
              </w:rPr>
            </w:r>
            <w:r/>
          </w:p>
        </w:tc>
        <w:tc>
          <w:tcPr>
            <w:tcW w:w="4188" w:type="pct"/>
            <w:vAlign w:val="center"/>
            <w:textDirection w:val="lrTb"/>
            <w:noWrap w:val="false"/>
          </w:tcPr>
          <w:p>
            <w:pPr>
              <w:pStyle w:val="852"/>
              <w:rPr>
                <w:color w:val="000000"/>
              </w:rPr>
            </w:pPr>
            <w:r>
              <w:rPr>
                <w:rFonts w:hint="eastAsia"/>
                <w:color w:val="000000"/>
              </w:rPr>
              <w:t xml:space="preserve">终端客户端与服务管理端通信使用https加密协议进行通信，终端客户端执行服务管理端下发的安全策略，并将相关安全日志上传到服务端。</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网络协议</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支持IPV</w:t>
            </w:r>
            <w:r>
              <w:rPr>
                <w:color w:val="000000"/>
              </w:rPr>
              <w:t xml:space="preserve">4</w:t>
            </w:r>
            <w:r>
              <w:rPr>
                <w:rFonts w:hint="eastAsia"/>
                <w:color w:val="000000"/>
              </w:rPr>
              <w:t xml:space="preserve">、IPV</w:t>
            </w:r>
            <w:r>
              <w:rPr>
                <w:color w:val="000000"/>
              </w:rPr>
              <w:t xml:space="preserve">6</w:t>
            </w:r>
            <w:r>
              <w:rPr>
                <w:rFonts w:hint="eastAsia"/>
                <w:color w:val="000000"/>
              </w:rPr>
              <w:t xml:space="preserve">协议。</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操作系统兼容</w:t>
            </w:r>
            <w:r>
              <w:rPr>
                <w:color w:val="000000"/>
              </w:rPr>
            </w:r>
            <w:r/>
          </w:p>
        </w:tc>
        <w:tc>
          <w:tcPr>
            <w:tcW w:w="4188" w:type="pct"/>
            <w:vAlign w:val="center"/>
            <w:textDirection w:val="lrTb"/>
            <w:noWrap w:val="false"/>
          </w:tcPr>
          <w:p>
            <w:pPr>
              <w:pStyle w:val="852"/>
              <w:rPr>
                <w:color w:val="000000"/>
              </w:rPr>
            </w:pPr>
            <w:r>
              <w:rPr>
                <w:rFonts w:hint="eastAsia"/>
                <w:color w:val="000000"/>
              </w:rPr>
              <w:t xml:space="preserve">终端客户端至少支持Windows Server、Windows XP、Win</w:t>
            </w:r>
            <w:r>
              <w:rPr>
                <w:color w:val="000000"/>
              </w:rPr>
              <w:t xml:space="preserve">7</w:t>
            </w:r>
            <w:r>
              <w:rPr>
                <w:rFonts w:hint="eastAsia"/>
                <w:color w:val="000000"/>
              </w:rPr>
              <w:t xml:space="preserve">、Win</w:t>
            </w:r>
            <w:r>
              <w:rPr>
                <w:color w:val="000000"/>
              </w:rPr>
              <w:t xml:space="preserve">8</w:t>
            </w:r>
            <w:r>
              <w:rPr>
                <w:rFonts w:hint="eastAsia"/>
                <w:color w:val="000000"/>
              </w:rPr>
              <w:t xml:space="preserve">、Win</w:t>
            </w:r>
            <w:r>
              <w:rPr>
                <w:color w:val="000000"/>
              </w:rPr>
              <w:t xml:space="preserve">10</w:t>
            </w:r>
            <w:r>
              <w:rPr>
                <w:rFonts w:hint="eastAsia"/>
                <w:color w:val="000000"/>
              </w:rPr>
              <w:t xml:space="preserve">等Windows操作系统，</w:t>
            </w:r>
            <w:r>
              <w:rPr>
                <w:color w:val="000000"/>
              </w:rPr>
              <w:t xml:space="preserve">RedHat</w:t>
            </w:r>
            <w:r>
              <w:rPr>
                <w:rFonts w:hint="eastAsia"/>
                <w:color w:val="000000"/>
              </w:rPr>
              <w:t xml:space="preserve">、</w:t>
            </w:r>
            <w:r>
              <w:rPr>
                <w:color w:val="000000"/>
              </w:rPr>
              <w:t xml:space="preserve">CentOS</w:t>
            </w:r>
            <w:r>
              <w:rPr>
                <w:rFonts w:hint="eastAsia"/>
                <w:color w:val="000000"/>
              </w:rPr>
              <w:t xml:space="preserve">、Oracle</w:t>
            </w:r>
            <w:r>
              <w:rPr>
                <w:color w:val="000000"/>
              </w:rPr>
              <w:t xml:space="preserve"> </w:t>
            </w:r>
            <w:r>
              <w:rPr>
                <w:rFonts w:hint="eastAsia"/>
                <w:color w:val="000000"/>
              </w:rPr>
              <w:t xml:space="preserve">Linux、</w:t>
            </w:r>
            <w:r>
              <w:rPr>
                <w:color w:val="000000"/>
              </w:rPr>
              <w:t xml:space="preserve">Ubuntu</w:t>
            </w:r>
            <w:r>
              <w:rPr>
                <w:rFonts w:hint="eastAsia"/>
                <w:color w:val="000000"/>
              </w:rPr>
              <w:t xml:space="preserve">、Debian、suse、Euler等</w:t>
            </w:r>
            <w:r>
              <w:rPr>
                <w:color w:val="000000"/>
              </w:rPr>
              <w:t xml:space="preserve">Linux</w:t>
            </w:r>
            <w:r>
              <w:rPr>
                <w:rFonts w:hint="eastAsia"/>
                <w:color w:val="000000"/>
              </w:rPr>
              <w:t xml:space="preserve">操作系统，银河麒麟、统信、龙蜥等国产操作系统。</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终端安装</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支持管理平台下载至本地安装，同时支持管理平台推送自动下发到终端进行安装。</w:t>
            </w:r>
            <w:r>
              <w:rPr>
                <w:rFonts w:ascii="Times New Roman" w:hAnsi="Times New Roman"/>
                <w:color w:val="000000"/>
                <w:szCs w:val="21"/>
              </w:rPr>
              <w:t xml:space="preserve">服务器数据防勒索5节点授权</w:t>
            </w:r>
            <w:r>
              <w:rPr>
                <w:rFonts w:hint="eastAsia" w:ascii="Times New Roman" w:hAnsi="Times New Roman"/>
                <w:color w:val="000000"/>
                <w:szCs w:val="21"/>
              </w:rPr>
              <w:t xml:space="preserve">。</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保护对象</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支持所有类型的数据库，防护机制与数据库类型无关，无需额外进行开发适配。</w:t>
            </w:r>
            <w:r>
              <w:rPr>
                <w:color w:val="000000"/>
              </w:rPr>
            </w:r>
            <w:r/>
          </w:p>
          <w:p>
            <w:pPr>
              <w:pStyle w:val="852"/>
              <w:rPr>
                <w:color w:val="000000"/>
              </w:rPr>
            </w:pPr>
            <w:r>
              <w:rPr>
                <w:rFonts w:hint="eastAsia"/>
                <w:color w:val="000000"/>
              </w:rPr>
              <w:t xml:space="preserve">内置主流文档类型保护机制，支持保护核心数据文档如对WORD、EXCEL、PPT、PDF等文件类型的非法篡改、非法删除、非法勒索加密等手段进行防护。</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防护原理</w:t>
            </w:r>
            <w:r>
              <w:rPr>
                <w:color w:val="000000"/>
              </w:rPr>
            </w:r>
            <w:r/>
          </w:p>
        </w:tc>
        <w:tc>
          <w:tcPr>
            <w:tcW w:w="4188" w:type="pct"/>
            <w:vAlign w:val="center"/>
            <w:textDirection w:val="lrTb"/>
            <w:noWrap w:val="false"/>
          </w:tcPr>
          <w:p>
            <w:pPr>
              <w:pStyle w:val="852"/>
              <w:rPr>
                <w:color w:val="000000"/>
              </w:rPr>
            </w:pPr>
            <w:r>
              <w:rPr>
                <w:rFonts w:hint="eastAsia"/>
                <w:color w:val="000000"/>
              </w:rPr>
              <w:t xml:space="preserve">系统不依赖于特征库识别方式防御勒索病毒攻击，要求基于内核级管控技术原理实现对数据库、文档、自助终端等防护对象的非法篡改、非法删除、勒索加密等攻击进行防护，实现对已知及未知勒索病毒的防御能力。</w:t>
            </w:r>
            <w:r>
              <w:rPr>
                <w:color w:val="000000"/>
              </w:rPr>
            </w:r>
            <w:r/>
          </w:p>
        </w:tc>
      </w:tr>
      <w:tr>
        <w:trPr>
          <w:cantSplit/>
          <w:trHeight w:val="115"/>
        </w:trPr>
        <w:tc>
          <w:tcPr>
            <w:tcW w:w="812" w:type="pct"/>
            <w:vAlign w:val="center"/>
            <w:vMerge w:val="restart"/>
            <w:textDirection w:val="lrTb"/>
            <w:noWrap w:val="false"/>
          </w:tcPr>
          <w:p>
            <w:pPr>
              <w:pStyle w:val="852"/>
              <w:jc w:val="center"/>
              <w:rPr>
                <w:color w:val="000000"/>
              </w:rPr>
            </w:pPr>
            <w:r>
              <w:rPr>
                <w:rFonts w:hint="eastAsia"/>
                <w:color w:val="000000"/>
              </w:rPr>
              <w:t xml:space="preserve">策略管理</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支持智能化添加保护策略，客户端自动采集程序名、程序签名、终端类型，管理中心可一键配置保护策略。</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支持在服务端远程控制客户端的强安全保护模式、引导区防护模式。</w:t>
            </w:r>
            <w:r>
              <w:rPr>
                <w:color w:val="000000"/>
              </w:rPr>
            </w:r>
            <w:r/>
          </w:p>
        </w:tc>
      </w:tr>
      <w:tr>
        <w:trPr>
          <w:cantSplit/>
          <w:trHeight w:val="115"/>
        </w:trPr>
        <w:tc>
          <w:tcPr>
            <w:tcW w:w="812" w:type="pct"/>
            <w:vAlign w:val="center"/>
            <w:vMerge w:val="restart"/>
            <w:textDirection w:val="lrTb"/>
            <w:noWrap w:val="false"/>
          </w:tcPr>
          <w:p>
            <w:pPr>
              <w:pStyle w:val="852"/>
              <w:jc w:val="center"/>
              <w:rPr>
                <w:color w:val="000000"/>
              </w:rPr>
            </w:pPr>
            <w:r>
              <w:rPr>
                <w:rFonts w:hint="eastAsia"/>
                <w:color w:val="000000"/>
              </w:rPr>
              <w:t xml:space="preserve">保护模式</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支持对所有未授权软件启动时均被隔离，包括勒索软件、</w:t>
            </w:r>
            <w:r>
              <w:rPr>
                <w:color w:val="000000"/>
              </w:rPr>
              <w:t xml:space="preserve">已知勒索病毒、</w:t>
            </w:r>
            <w:r>
              <w:rPr>
                <w:rFonts w:hint="eastAsia"/>
                <w:color w:val="000000"/>
              </w:rPr>
              <w:t xml:space="preserve">未知</w:t>
            </w:r>
            <w:r>
              <w:rPr>
                <w:color w:val="000000"/>
              </w:rPr>
              <w:t xml:space="preserve">勒索病毒、挖矿病毒等</w:t>
            </w:r>
            <w:r>
              <w:rPr>
                <w:rFonts w:hint="eastAsia"/>
                <w:color w:val="000000"/>
              </w:rPr>
              <w:t xml:space="preserve">恶意</w:t>
            </w:r>
            <w:r>
              <w:rPr>
                <w:color w:val="000000"/>
              </w:rPr>
              <w:t xml:space="preserve">攻击</w:t>
            </w:r>
            <w:r>
              <w:rPr>
                <w:rFonts w:hint="eastAsia"/>
                <w:color w:val="000000"/>
              </w:rPr>
              <w:t xml:space="preserve">程序以及非授权应用运行。</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支持终端模拟工作模式，模拟验证各终端的防护情况，不做真实的阻断操作。</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内置病毒库</w:t>
            </w:r>
            <w:r>
              <w:rPr>
                <w:color w:val="000000"/>
              </w:rPr>
              <w:t xml:space="preserve">，</w:t>
            </w:r>
            <w:r>
              <w:rPr>
                <w:rFonts w:hint="eastAsia"/>
                <w:color w:val="000000"/>
              </w:rPr>
              <w:t xml:space="preserve">防范</w:t>
            </w:r>
            <w:r>
              <w:rPr>
                <w:color w:val="000000"/>
              </w:rPr>
              <w:t xml:space="preserve">LockBit</w:t>
            </w:r>
            <w:r>
              <w:rPr>
                <w:rFonts w:hint="eastAsia"/>
                <w:color w:val="000000"/>
              </w:rPr>
              <w:t xml:space="preserve">等各类勒索病毒攻击，保护数据库等各类文件免受勒索病毒的加密和删除。</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支持诱饵文件对勒索病毒的诱捕，精确识别勒索病毒，并记录受影响的设备名、IP地址、进程名、访问时间等。</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支持信任应用保护策略，信任验证机制至少通过识别程序名、程序签名及安全标签（程序哈希值）三种方式对应用进行保护。</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客户端具备防杀机制，仅能通过预设密码退出，阻止人为或病毒非法结束保护进程。终端客户端在离线模式下仍然具备数据安全保护能力。</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支持根据文件后缀和目录提供应用数据文件保护配置。</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w:t>
            </w:r>
            <w:r>
              <w:rPr>
                <w:color w:val="000000"/>
              </w:rPr>
              <w:t xml:space="preserve">通过目录保护的方式实现关键应用的运行保护</w:t>
            </w:r>
            <w:r>
              <w:rPr>
                <w:rFonts w:hint="eastAsia"/>
                <w:color w:val="000000"/>
              </w:rPr>
              <w:t xml:space="preserve">。</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支持远程登录防暴力破解，精准识别攻击源IP、目的IP。</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支持挖矿病毒防护，通过匹配挖矿病毒程序运行、矿池链接规则，对恶意挖矿行为进行告警。</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系统安全</w:t>
            </w:r>
            <w:r>
              <w:rPr>
                <w:color w:val="000000"/>
              </w:rPr>
            </w:r>
            <w:r/>
          </w:p>
        </w:tc>
        <w:tc>
          <w:tcPr>
            <w:tcW w:w="4188" w:type="pct"/>
            <w:vAlign w:val="center"/>
            <w:textDirection w:val="lrTb"/>
            <w:noWrap w:val="false"/>
          </w:tcPr>
          <w:p>
            <w:pPr>
              <w:pStyle w:val="852"/>
              <w:rPr>
                <w:color w:val="000000"/>
              </w:rPr>
            </w:pPr>
            <w:r>
              <w:rPr>
                <w:rFonts w:hint="eastAsia"/>
                <w:color w:val="000000"/>
              </w:rPr>
              <w:t xml:space="preserve">登陆管理端失败、退出客户端失败超过5次时告警。</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防御</w:t>
            </w:r>
            <w:r>
              <w:rPr>
                <w:color w:val="000000"/>
              </w:rPr>
            </w:r>
            <w:r/>
          </w:p>
          <w:p>
            <w:pPr>
              <w:pStyle w:val="852"/>
              <w:jc w:val="center"/>
              <w:rPr>
                <w:color w:val="000000"/>
              </w:rPr>
            </w:pPr>
            <w:r>
              <w:rPr>
                <w:rFonts w:hint="eastAsia"/>
                <w:color w:val="000000"/>
              </w:rPr>
              <w:t xml:space="preserve">可视化</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支持资产访问可视化分析，可描绘进程访问资产关系图，分析恶意进程运行方式，及监控恶意进程主机入侵生命周期。</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告警功能</w:t>
            </w:r>
            <w:r>
              <w:rPr>
                <w:color w:val="000000"/>
              </w:rPr>
            </w:r>
            <w:r/>
          </w:p>
        </w:tc>
        <w:tc>
          <w:tcPr>
            <w:tcW w:w="4188" w:type="pct"/>
            <w:vAlign w:val="center"/>
            <w:textDirection w:val="lrTb"/>
            <w:noWrap w:val="false"/>
          </w:tcPr>
          <w:p>
            <w:pPr>
              <w:pStyle w:val="852"/>
              <w:rPr>
                <w:color w:val="000000"/>
              </w:rPr>
            </w:pPr>
            <w:r>
              <w:rPr>
                <w:rFonts w:hint="eastAsia"/>
                <w:color w:val="000000"/>
              </w:rPr>
              <w:t xml:space="preserve">告警方式包括：邮件（包括SMTP、</w:t>
            </w:r>
            <w:r>
              <w:rPr>
                <w:color w:val="000000"/>
              </w:rPr>
              <w:t xml:space="preserve">Exchange</w:t>
            </w:r>
            <w:r>
              <w:rPr>
                <w:rFonts w:hint="eastAsia"/>
                <w:color w:val="000000"/>
              </w:rPr>
              <w:t xml:space="preserve">）、短信（包括短信猫等短信平台）两种方式。</w:t>
            </w:r>
            <w:r>
              <w:rPr>
                <w:color w:val="000000"/>
              </w:rPr>
            </w:r>
            <w:r/>
          </w:p>
        </w:tc>
      </w:tr>
      <w:tr>
        <w:trPr>
          <w:cantSplit/>
          <w:trHeight w:val="115"/>
        </w:trPr>
        <w:tc>
          <w:tcPr>
            <w:tcW w:w="812" w:type="pct"/>
            <w:vAlign w:val="center"/>
            <w:vMerge w:val="restart"/>
            <w:textDirection w:val="lrTb"/>
            <w:noWrap w:val="false"/>
          </w:tcPr>
          <w:p>
            <w:pPr>
              <w:pStyle w:val="852"/>
              <w:jc w:val="center"/>
              <w:rPr>
                <w:color w:val="000000"/>
              </w:rPr>
            </w:pPr>
            <w:r>
              <w:rPr>
                <w:rFonts w:hint="eastAsia"/>
                <w:color w:val="000000"/>
              </w:rPr>
              <w:t xml:space="preserve">日志审计</w:t>
            </w:r>
            <w:r>
              <w:rPr>
                <w:color w:val="000000"/>
              </w:rPr>
            </w:r>
            <w:r/>
          </w:p>
        </w:tc>
        <w:tc>
          <w:tcPr>
            <w:tcW w:w="4188" w:type="pct"/>
            <w:vAlign w:val="center"/>
            <w:textDirection w:val="lrTb"/>
            <w:noWrap w:val="false"/>
          </w:tcPr>
          <w:p>
            <w:pPr>
              <w:pStyle w:val="852"/>
              <w:rPr>
                <w:color w:val="000000"/>
              </w:rPr>
            </w:pPr>
            <w:r>
              <w:rPr>
                <w:rFonts w:hint="eastAsia"/>
                <w:color w:val="000000"/>
              </w:rPr>
              <w:t xml:space="preserve">终端客户端与服务端</w:t>
            </w:r>
            <w:r>
              <w:rPr>
                <w:color w:val="000000"/>
              </w:rPr>
              <w:t xml:space="preserve">控制中心</w:t>
            </w:r>
            <w:r>
              <w:rPr>
                <w:rFonts w:hint="eastAsia"/>
                <w:color w:val="000000"/>
              </w:rPr>
              <w:t xml:space="preserve">通信，</w:t>
            </w:r>
            <w:r>
              <w:rPr>
                <w:color w:val="000000"/>
              </w:rPr>
              <w:t xml:space="preserve">将</w:t>
            </w:r>
            <w:r>
              <w:rPr>
                <w:rFonts w:hint="eastAsia"/>
                <w:color w:val="000000"/>
              </w:rPr>
              <w:t xml:space="preserve">日志内容</w:t>
            </w:r>
            <w:r>
              <w:rPr>
                <w:color w:val="000000"/>
              </w:rPr>
              <w:t xml:space="preserve">上传到</w:t>
            </w:r>
            <w:r>
              <w:rPr>
                <w:rFonts w:hint="eastAsia"/>
                <w:color w:val="000000"/>
              </w:rPr>
              <w:t xml:space="preserve">服务端，包括策略名、设备名、IP地址（内部IP、外部IP）、访问目标路径、访问使用的进程路径及名称、进程HASH值、操作系统类型、时间、操作结果等；支持以图表方式查看近期全网客户端保护情况。</w:t>
            </w:r>
            <w:r>
              <w:rPr>
                <w:color w:val="000000"/>
              </w:rPr>
            </w:r>
            <w:r/>
          </w:p>
        </w:tc>
      </w:tr>
      <w:tr>
        <w:trPr>
          <w:cantSplit/>
          <w:trHeight w:val="115"/>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center"/>
            <w:textDirection w:val="lrTb"/>
            <w:noWrap w:val="false"/>
          </w:tcPr>
          <w:p>
            <w:pPr>
              <w:pStyle w:val="852"/>
              <w:rPr>
                <w:color w:val="000000"/>
              </w:rPr>
            </w:pPr>
            <w:r>
              <w:rPr>
                <w:rFonts w:hint="eastAsia"/>
                <w:color w:val="000000"/>
              </w:rPr>
              <w:t xml:space="preserve">支持访问控制日志事件详情展示，清晰描述事件发生的设备名、进程名、事件描述、策略类型、最近访问时间以及事件结果。</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集中管控</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支持通过统一的管理中心对多个服务器进行监控。</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系统监控展示</w:t>
            </w:r>
            <w:r>
              <w:rPr>
                <w:color w:val="000000"/>
              </w:rPr>
            </w:r>
            <w:r/>
          </w:p>
        </w:tc>
        <w:tc>
          <w:tcPr>
            <w:tcW w:w="4188" w:type="pct"/>
            <w:vAlign w:val="center"/>
            <w:textDirection w:val="lrTb"/>
            <w:noWrap w:val="false"/>
          </w:tcPr>
          <w:p>
            <w:pPr>
              <w:pStyle w:val="852"/>
              <w:rPr>
                <w:color w:val="000000"/>
              </w:rPr>
            </w:pPr>
            <w:r>
              <w:rPr>
                <w:rFonts w:hint="eastAsia"/>
                <w:color w:val="000000"/>
              </w:rPr>
              <w:t xml:space="preserve">以列表形式展现受保护的终端设备状态，至少包括设备名、客户端版本、操作系统类型及版本、IP地址（公网及私网）、设备在线状态、最近被访问的时间等信息。</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操作日志</w:t>
            </w:r>
            <w:r>
              <w:rPr>
                <w:color w:val="000000"/>
              </w:rPr>
            </w:r>
            <w:r/>
          </w:p>
        </w:tc>
        <w:tc>
          <w:tcPr>
            <w:tcW w:w="4188" w:type="pct"/>
            <w:vAlign w:val="center"/>
            <w:textDirection w:val="lrTb"/>
            <w:noWrap w:val="false"/>
          </w:tcPr>
          <w:p>
            <w:pPr>
              <w:pStyle w:val="852"/>
              <w:rPr>
                <w:color w:val="000000"/>
              </w:rPr>
            </w:pPr>
            <w:r>
              <w:rPr>
                <w:rFonts w:hint="eastAsia"/>
                <w:color w:val="000000"/>
              </w:rPr>
              <w:t xml:space="preserve">监控记录服务端操作日志，至少应包括操作用户、IP、操作模块、操作行为、操作描述等。</w:t>
            </w:r>
            <w:r>
              <w:rPr>
                <w:color w:val="000000"/>
              </w:rPr>
            </w:r>
            <w:r/>
          </w:p>
        </w:tc>
      </w:tr>
      <w:tr>
        <w:trPr>
          <w:trHeight w:val="115"/>
        </w:trPr>
        <w:tc>
          <w:tcPr>
            <w:tcW w:w="812" w:type="pct"/>
            <w:vAlign w:val="center"/>
            <w:textDirection w:val="lrTb"/>
            <w:noWrap w:val="false"/>
          </w:tcPr>
          <w:p>
            <w:pPr>
              <w:pStyle w:val="852"/>
              <w:jc w:val="center"/>
              <w:rPr>
                <w:color w:val="000000"/>
              </w:rPr>
            </w:pPr>
            <w:r>
              <w:rPr>
                <w:rFonts w:hint="eastAsia"/>
                <w:color w:val="000000"/>
              </w:rPr>
              <w:t xml:space="preserve">质保服务要求</w:t>
            </w:r>
            <w:r>
              <w:rPr>
                <w:color w:val="000000"/>
              </w:rPr>
            </w:r>
            <w:r/>
          </w:p>
        </w:tc>
        <w:tc>
          <w:tcPr>
            <w:tcW w:w="4188" w:type="pct"/>
            <w:vAlign w:val="center"/>
            <w:textDirection w:val="lrTb"/>
            <w:noWrap w:val="false"/>
          </w:tcPr>
          <w:p>
            <w:pPr>
              <w:pStyle w:val="852"/>
              <w:rPr>
                <w:color w:val="000000"/>
              </w:rPr>
            </w:pPr>
            <w:r>
              <w:rPr>
                <w:rFonts w:hint="eastAsia"/>
                <w:color w:val="000000"/>
              </w:rPr>
              <w:t xml:space="preserve">要求提供原厂5年质保和工程师上门服务；</w:t>
            </w:r>
            <w:r>
              <w:rPr>
                <w:color w:val="000000"/>
              </w:rPr>
            </w:r>
            <w:r/>
          </w:p>
        </w:tc>
      </w:tr>
    </w:tbl>
    <w:p>
      <w:pPr>
        <w:pStyle w:val="734"/>
        <w:rPr>
          <w:color w:val="000000"/>
        </w:rPr>
      </w:pPr>
      <w:r>
        <w:rPr>
          <w:color w:val="000000"/>
        </w:rPr>
      </w:r>
      <w:r/>
    </w:p>
    <w:p>
      <w:pPr>
        <w:pStyle w:val="743"/>
        <w:numPr>
          <w:ilvl w:val="0"/>
          <w:numId w:val="40"/>
        </w:numPr>
        <w:spacing w:before="320" w:after="200" w:line="240" w:lineRule="auto"/>
        <w:rPr>
          <w:i/>
          <w:iCs/>
          <w:color w:val="000000"/>
        </w:rPr>
      </w:pPr>
      <w:r>
        <w:rPr>
          <w:rFonts w:hint="eastAsia"/>
          <w:color w:val="000000"/>
        </w:rPr>
        <w:t xml:space="preserve">安全态势感知设备</w:t>
      </w:r>
      <w:r>
        <w:rPr>
          <w:i/>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7740"/>
      </w:tblGrid>
      <w:tr>
        <w:trPr>
          <w:trHeight w:val="20"/>
        </w:trPr>
        <w:tc>
          <w:tcPr>
            <w:tcW w:w="779" w:type="pct"/>
            <w:vAlign w:val="center"/>
            <w:textDirection w:val="lrTb"/>
            <w:noWrap w:val="false"/>
          </w:tcPr>
          <w:p>
            <w:pPr>
              <w:pStyle w:val="852"/>
              <w:jc w:val="center"/>
              <w:rPr>
                <w:color w:val="000000"/>
              </w:rPr>
            </w:pPr>
            <w:r>
              <w:rPr>
                <w:rFonts w:hint="eastAsia"/>
                <w:color w:val="000000"/>
              </w:rPr>
              <w:t xml:space="preserve">项目指标</w:t>
            </w:r>
            <w:r>
              <w:rPr>
                <w:color w:val="000000"/>
              </w:rPr>
            </w:r>
            <w:r/>
          </w:p>
        </w:tc>
        <w:tc>
          <w:tcPr>
            <w:tcW w:w="4221" w:type="pct"/>
            <w:vAlign w:val="center"/>
            <w:textDirection w:val="lrTb"/>
            <w:noWrap w:val="false"/>
          </w:tcPr>
          <w:p>
            <w:pPr>
              <w:pStyle w:val="852"/>
              <w:jc w:val="center"/>
              <w:rPr>
                <w:color w:val="000000"/>
              </w:rPr>
            </w:pPr>
            <w:r>
              <w:rPr>
                <w:rFonts w:hint="eastAsia"/>
                <w:color w:val="000000"/>
              </w:rPr>
              <w:t xml:space="preserve">性能和参数要求</w:t>
            </w:r>
            <w:r>
              <w:rPr>
                <w:color w:val="000000"/>
              </w:rPr>
            </w:r>
            <w:r/>
          </w:p>
        </w:tc>
      </w:tr>
      <w:tr>
        <w:trPr>
          <w:trHeight w:val="20"/>
        </w:trPr>
        <w:tc>
          <w:tcPr>
            <w:tcW w:w="779" w:type="pct"/>
            <w:vAlign w:val="center"/>
            <w:textDirection w:val="lrTb"/>
            <w:noWrap w:val="false"/>
          </w:tcPr>
          <w:p>
            <w:pPr>
              <w:pStyle w:val="852"/>
              <w:jc w:val="center"/>
              <w:rPr>
                <w:color w:val="000000"/>
              </w:rPr>
            </w:pPr>
            <w:r>
              <w:rPr>
                <w:rFonts w:hint="eastAsia"/>
                <w:color w:val="000000"/>
              </w:rPr>
              <w:t xml:space="preserve">基本要求</w:t>
            </w:r>
            <w:r>
              <w:rPr>
                <w:color w:val="000000"/>
              </w:rPr>
            </w:r>
            <w:r/>
          </w:p>
        </w:tc>
        <w:tc>
          <w:tcPr>
            <w:tcW w:w="4221" w:type="pct"/>
            <w:vAlign w:val="center"/>
            <w:textDirection w:val="lrTb"/>
            <w:noWrap w:val="false"/>
          </w:tcPr>
          <w:p>
            <w:pPr>
              <w:pStyle w:val="852"/>
              <w:rPr>
                <w:color w:val="000000"/>
              </w:rPr>
            </w:pPr>
            <w:r>
              <w:rPr>
                <w:rFonts w:hint="eastAsia"/>
                <w:color w:val="000000"/>
              </w:rPr>
              <w:t xml:space="preserve">2U机架式设备，配置≥6个千兆电口，≥2个万兆光口，冗余电源，存储容量≥32TB，内存≥128G，需支持态势分析、安全监测、安全处置、资产管理、知识情报等功能模块。</w:t>
            </w:r>
            <w:r>
              <w:rPr>
                <w:color w:val="000000"/>
              </w:rPr>
            </w:r>
            <w:r/>
          </w:p>
        </w:tc>
      </w:tr>
      <w:tr>
        <w:trPr>
          <w:cantSplit/>
          <w:trHeight w:val="20"/>
        </w:trPr>
        <w:tc>
          <w:tcPr>
            <w:tcW w:w="779" w:type="pct"/>
            <w:vAlign w:val="center"/>
            <w:vMerge w:val="restart"/>
            <w:textDirection w:val="lrTb"/>
            <w:noWrap w:val="false"/>
          </w:tcPr>
          <w:p>
            <w:pPr>
              <w:pStyle w:val="852"/>
              <w:jc w:val="center"/>
              <w:rPr>
                <w:color w:val="000000"/>
              </w:rPr>
            </w:pPr>
            <w:r>
              <w:rPr>
                <w:rFonts w:hint="eastAsia"/>
                <w:color w:val="000000"/>
              </w:rPr>
              <w:t xml:space="preserve">态势展示</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支持态势大屏展示，包括全网态势资产态势、漏洞态势、攻击态势，支持大屏展示时间设置，支持态势大屏中相关信息下钻跳转到对应的详细页面；</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支持拖拽方式自定义大屏界面展示顺序，支持多种地图、拓扑展示方式，包括但不限于世界、全国、省份、拓扑等，支持logo、标题、大屏超时设置。</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支持全网资产概述、高危资产、漏洞、告警趋势、安全日志趋势、告警统计、最新告警名称和影响范围、热点威胁等内容的相关展示</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top"/>
            <w:textDirection w:val="lrTb"/>
            <w:noWrap w:val="false"/>
          </w:tcPr>
          <w:p>
            <w:pPr>
              <w:pStyle w:val="852"/>
              <w:rPr>
                <w:color w:val="000000"/>
              </w:rPr>
            </w:pPr>
            <w:r>
              <w:rPr>
                <w:rFonts w:hint="eastAsia"/>
                <w:color w:val="000000"/>
              </w:rPr>
              <w:t xml:space="preserve">支持漏洞态势分析，包括漏洞总体情况、漏洞类型分布、漏洞级别分布、高危漏洞排行TOP5、漏洞排行TOP10、最新漏洞发现趋势、高危漏洞类型排行、漏洞级别对比；</w:t>
            </w:r>
            <w:r>
              <w:rPr>
                <w:color w:val="000000"/>
              </w:rPr>
              <w:t xml:space="preserve"> </w:t>
            </w:r>
            <w:r/>
          </w:p>
        </w:tc>
      </w:tr>
      <w:tr>
        <w:trPr>
          <w:cantSplit/>
          <w:trHeight w:val="20"/>
        </w:trPr>
        <w:tc>
          <w:tcPr>
            <w:tcW w:w="779" w:type="pct"/>
            <w:vAlign w:val="center"/>
            <w:vMerge w:val="restart"/>
            <w:textDirection w:val="lrTb"/>
            <w:noWrap w:val="false"/>
          </w:tcPr>
          <w:p>
            <w:pPr>
              <w:pStyle w:val="852"/>
              <w:jc w:val="center"/>
              <w:rPr>
                <w:color w:val="000000"/>
              </w:rPr>
            </w:pPr>
            <w:r>
              <w:rPr>
                <w:rFonts w:hint="eastAsia"/>
                <w:color w:val="000000"/>
              </w:rPr>
              <w:t xml:space="preserve">安全监测</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支持日志实时监视，支持按照设备IP、设备类型、事件级别、过滤器等条件进行事件分类监视，支持清空日志显示列表、停止和启动刷新、刷新间隔设置；</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资产性能监测概览，支持监测设备总数、异常数、主机异常数、网络设备异常数、安全设备异常数展示，支持监控资产性能状态占比、性能告警TOP10、规则类型事件分布、CPU使用率TOP10、内存使用率TOP10、磁盘使用率TOP10，支持性能监控详细列表，包括IP、资产名称、归属安全域、资产类型、性能状态、连通状态、CPU使用率、内存使用率、磁盘使用率、操作等</w:t>
            </w:r>
            <w:r>
              <w:rPr>
                <w:color w:val="000000"/>
              </w:rPr>
            </w:r>
            <w:r/>
          </w:p>
        </w:tc>
      </w:tr>
      <w:tr>
        <w:trPr>
          <w:cantSplit/>
          <w:trHeight w:val="20"/>
        </w:trPr>
        <w:tc>
          <w:tcPr>
            <w:tcW w:w="779" w:type="pct"/>
            <w:vAlign w:val="center"/>
            <w:vMerge w:val="restart"/>
            <w:textDirection w:val="lrTb"/>
            <w:noWrap w:val="false"/>
          </w:tcPr>
          <w:p>
            <w:pPr>
              <w:pStyle w:val="852"/>
              <w:jc w:val="center"/>
              <w:rPr>
                <w:color w:val="000000"/>
              </w:rPr>
            </w:pPr>
            <w:r>
              <w:rPr>
                <w:rFonts w:hint="eastAsia"/>
                <w:color w:val="000000"/>
              </w:rPr>
              <w:t xml:space="preserve">安全处置</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按照预备预警、正式预警规则进行安全预警规则管理，支持预警规则自定义配置，配置内容包括但不限于预警名称、预警类型、预警级别、预警内容、可能后果、解决方案、发送方式、负责人、资产影响范围等细颗粒度的关联配置</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按预设规则进行告警，支持告警规则的新建、删除、启用、禁用、编辑，支持按照分组进行告警规则管理，告警规则内容包括规则名称、告警名称、过滤器、应用范围、告警类型、告警级别、告警内容、负责人、可能后果、解决方案、影响范围、响应方式、触发方式、归并字段；响应方式包括登录显示、邮件、工单、企业微信群等</w:t>
            </w:r>
            <w:r>
              <w:rPr>
                <w:color w:val="000000"/>
              </w:rPr>
            </w:r>
            <w:r/>
          </w:p>
        </w:tc>
      </w:tr>
      <w:tr>
        <w:trPr>
          <w:cantSplit/>
          <w:trHeight w:val="20"/>
        </w:trPr>
        <w:tc>
          <w:tcPr>
            <w:tcW w:w="779" w:type="pct"/>
            <w:vAlign w:val="center"/>
            <w:vMerge w:val="restart"/>
            <w:textDirection w:val="lrTb"/>
            <w:noWrap w:val="false"/>
          </w:tcPr>
          <w:p>
            <w:pPr>
              <w:pStyle w:val="852"/>
              <w:jc w:val="center"/>
              <w:rPr>
                <w:color w:val="000000"/>
              </w:rPr>
            </w:pPr>
            <w:r>
              <w:rPr>
                <w:rFonts w:hint="eastAsia"/>
                <w:color w:val="000000"/>
              </w:rPr>
              <w:t xml:space="preserve">安全分析</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支持对日志的详情展示，支持日志的详情、溯源、附件、一键封堵、加入白名单、加入关注名单、封堵申请等操作。</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对全部资产进行画像分析，支持以列表形式展示资产相关信息，展示信息包括单不限于资产名称、IP、风险等级、失陷状态、漏洞、告警、遭受攻击阶段等，支持按照日期、IP地址、风险等级、失陷状态、告警、遭受攻击阶段、资产类型、是否有暴露面等条件进行过滤查询，支持至少10种展示列自定义，支持按照TXT、CSV、EXCEL等格式进行资产信息导出。</w:t>
            </w:r>
            <w:r>
              <w:rPr>
                <w:color w:val="000000"/>
              </w:rPr>
            </w:r>
            <w:r/>
          </w:p>
        </w:tc>
      </w:tr>
      <w:tr>
        <w:trPr>
          <w:cantSplit/>
          <w:trHeight w:val="20"/>
        </w:trPr>
        <w:tc>
          <w:tcPr>
            <w:tcW w:w="779" w:type="pct"/>
            <w:vAlign w:val="center"/>
            <w:vMerge w:val="restart"/>
            <w:textDirection w:val="lrTb"/>
            <w:noWrap w:val="false"/>
          </w:tcPr>
          <w:p>
            <w:pPr>
              <w:pStyle w:val="852"/>
              <w:jc w:val="center"/>
              <w:rPr>
                <w:color w:val="000000"/>
              </w:rPr>
            </w:pPr>
            <w:r>
              <w:rPr>
                <w:rFonts w:hint="eastAsia"/>
                <w:color w:val="000000"/>
              </w:rPr>
              <w:t xml:space="preserve">集中管控</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支持管控设备概览，支持通过界面快速添加集中管控设备，支持至少3类设备的集中管控能力，支持设备管控情况，包括总数、在线、离线、日志采集、性能监控、策略管控；支持日志采集趋势展示</w:t>
            </w:r>
            <w:r>
              <w:rPr>
                <w:color w:val="000000"/>
              </w:rPr>
            </w:r>
            <w:r/>
          </w:p>
        </w:tc>
      </w:tr>
      <w:tr>
        <w:trPr>
          <w:cantSplit/>
          <w:trHeight w:val="20"/>
        </w:trPr>
        <w:tc>
          <w:tcPr>
            <w:tcW w:w="779" w:type="pct"/>
            <w:vAlign w:val="center"/>
            <w:vMerge w:val="continue"/>
            <w:textDirection w:val="lrTb"/>
            <w:noWrap w:val="false"/>
          </w:tcPr>
          <w:p>
            <w:pPr>
              <w:pStyle w:val="852"/>
              <w:jc w:val="center"/>
              <w:rPr>
                <w:color w:val="000000"/>
              </w:rPr>
            </w:pPr>
            <w:r>
              <w:rPr>
                <w:color w:val="000000"/>
              </w:rPr>
            </w:r>
            <w:r/>
          </w:p>
        </w:tc>
        <w:tc>
          <w:tcPr>
            <w:tcW w:w="4221" w:type="pct"/>
            <w:vAlign w:val="center"/>
            <w:textDirection w:val="lrTb"/>
            <w:noWrap w:val="false"/>
          </w:tcPr>
          <w:p>
            <w:pPr>
              <w:pStyle w:val="852"/>
              <w:rPr>
                <w:color w:val="000000"/>
              </w:rPr>
            </w:pPr>
            <w:r>
              <w:rPr>
                <w:rFonts w:hint="eastAsia"/>
                <w:color w:val="000000"/>
              </w:rPr>
              <w:t xml:space="preserve">支持设备概览和安全防御图切换，安全防御拓扑具备网络通信、网络防护、系统防护、用户管控、数据防护、应用防护多个类型的设备的拓扑架构展示，安全防御拓扑图支持在线离线设备标识</w:t>
            </w:r>
            <w:r>
              <w:rPr>
                <w:color w:val="000000"/>
              </w:rPr>
            </w:r>
            <w:r/>
          </w:p>
        </w:tc>
      </w:tr>
      <w:tr>
        <w:trPr>
          <w:trHeight w:val="20"/>
        </w:trPr>
        <w:tc>
          <w:tcPr>
            <w:tcW w:w="779" w:type="pct"/>
            <w:vAlign w:val="center"/>
            <w:textDirection w:val="lrTb"/>
            <w:noWrap w:val="false"/>
          </w:tcPr>
          <w:p>
            <w:pPr>
              <w:pStyle w:val="852"/>
              <w:jc w:val="center"/>
              <w:rPr>
                <w:color w:val="000000"/>
              </w:rPr>
            </w:pPr>
            <w:r>
              <w:rPr>
                <w:rFonts w:hint="eastAsia"/>
                <w:color w:val="000000"/>
              </w:rPr>
              <w:t xml:space="preserve">知识情报</w:t>
            </w:r>
            <w:r>
              <w:rPr>
                <w:color w:val="000000"/>
              </w:rPr>
            </w:r>
            <w:r/>
          </w:p>
        </w:tc>
        <w:tc>
          <w:tcPr>
            <w:tcW w:w="4221" w:type="pct"/>
            <w:vAlign w:val="center"/>
            <w:textDirection w:val="lrTb"/>
            <w:noWrap w:val="false"/>
          </w:tcPr>
          <w:p>
            <w:pPr>
              <w:pStyle w:val="852"/>
              <w:rPr>
                <w:color w:val="000000"/>
              </w:rPr>
            </w:pPr>
            <w:r>
              <w:rPr>
                <w:rFonts w:hint="eastAsia"/>
                <w:color w:val="000000"/>
              </w:rPr>
              <w:t xml:space="preserve">支持威胁情报管理，包括恶意IP地址、恶意URL、恶意样本、恶意域名、垃圾邮件等，支持情报进行分类自定义查询，支持自定义威胁情报信息，支持威胁情报的导入；</w:t>
            </w:r>
            <w:r>
              <w:rPr>
                <w:color w:val="000000"/>
              </w:rPr>
            </w:r>
            <w:r/>
          </w:p>
        </w:tc>
      </w:tr>
      <w:tr>
        <w:trPr>
          <w:trHeight w:val="20"/>
        </w:trPr>
        <w:tc>
          <w:tcPr>
            <w:tcW w:w="779" w:type="pct"/>
            <w:vAlign w:val="center"/>
            <w:textDirection w:val="lrTb"/>
            <w:noWrap w:val="false"/>
          </w:tcPr>
          <w:p>
            <w:pPr>
              <w:pStyle w:val="852"/>
              <w:jc w:val="center"/>
              <w:rPr>
                <w:color w:val="000000"/>
              </w:rPr>
            </w:pPr>
            <w:r>
              <w:rPr>
                <w:rFonts w:hint="eastAsia"/>
                <w:color w:val="000000"/>
              </w:rPr>
              <w:t xml:space="preserve">产品资质证书要求</w:t>
            </w:r>
            <w:r>
              <w:rPr>
                <w:color w:val="000000"/>
              </w:rPr>
            </w:r>
            <w:r/>
          </w:p>
        </w:tc>
        <w:tc>
          <w:tcPr>
            <w:tcW w:w="4221" w:type="pct"/>
            <w:vAlign w:val="center"/>
            <w:textDirection w:val="lrTb"/>
            <w:noWrap w:val="false"/>
          </w:tcPr>
          <w:p>
            <w:pPr>
              <w:pStyle w:val="852"/>
              <w:rPr>
                <w:color w:val="000000"/>
              </w:rPr>
            </w:pPr>
            <w:r>
              <w:rPr>
                <w:rFonts w:hint="eastAsia"/>
                <w:color w:val="000000"/>
              </w:rPr>
              <w:t xml:space="preserve">平台需具备国家版权局颁布相关软件著作权（系统名称具备“态势分析”“安全运营”字样）。</w:t>
            </w:r>
            <w:r>
              <w:rPr>
                <w:color w:val="000000"/>
              </w:rPr>
            </w:r>
            <w:r/>
          </w:p>
        </w:tc>
      </w:tr>
      <w:tr>
        <w:trPr>
          <w:trHeight w:val="20"/>
        </w:trPr>
        <w:tc>
          <w:tcPr>
            <w:tcW w:w="779" w:type="pct"/>
            <w:vAlign w:val="center"/>
            <w:textDirection w:val="lrTb"/>
            <w:noWrap w:val="false"/>
          </w:tcPr>
          <w:p>
            <w:pPr>
              <w:pStyle w:val="852"/>
              <w:jc w:val="center"/>
              <w:rPr>
                <w:color w:val="000000"/>
              </w:rPr>
            </w:pPr>
            <w:r>
              <w:rPr>
                <w:rFonts w:hint="eastAsia"/>
                <w:color w:val="000000"/>
              </w:rPr>
              <w:t xml:space="preserve">质保服务要求</w:t>
            </w:r>
            <w:r>
              <w:rPr>
                <w:color w:val="000000"/>
              </w:rPr>
            </w:r>
            <w:r/>
          </w:p>
        </w:tc>
        <w:tc>
          <w:tcPr>
            <w:tcW w:w="4221" w:type="pct"/>
            <w:vAlign w:val="center"/>
            <w:textDirection w:val="lrTb"/>
            <w:noWrap w:val="false"/>
          </w:tcPr>
          <w:p>
            <w:pPr>
              <w:pStyle w:val="852"/>
              <w:rPr>
                <w:color w:val="000000"/>
              </w:rPr>
            </w:pPr>
            <w:r>
              <w:rPr>
                <w:rFonts w:hint="eastAsia"/>
                <w:color w:val="000000"/>
              </w:rPr>
              <w:t xml:space="preserve">要求提供原厂5年软硬件质保和工程师上门服务；</w:t>
            </w:r>
            <w:r>
              <w:rPr>
                <w:color w:val="000000"/>
              </w:rPr>
            </w:r>
            <w:r/>
          </w:p>
        </w:tc>
      </w:tr>
    </w:tbl>
    <w:p>
      <w:pPr>
        <w:pStyle w:val="734"/>
        <w:rPr>
          <w:color w:val="000000"/>
        </w:rPr>
      </w:pPr>
      <w:r>
        <w:rPr>
          <w:color w:val="000000"/>
        </w:rPr>
      </w:r>
      <w:r/>
    </w:p>
    <w:p>
      <w:pPr>
        <w:pStyle w:val="743"/>
        <w:numPr>
          <w:ilvl w:val="0"/>
          <w:numId w:val="40"/>
        </w:numPr>
        <w:spacing w:before="320" w:after="200" w:line="240" w:lineRule="auto"/>
        <w:rPr>
          <w:i/>
          <w:iCs/>
          <w:color w:val="000000"/>
        </w:rPr>
      </w:pPr>
      <w:r>
        <w:rPr>
          <w:rFonts w:hint="eastAsia"/>
          <w:color w:val="000000"/>
        </w:rPr>
        <w:t xml:space="preserve">安全态势感知探针</w:t>
      </w:r>
      <w:r>
        <w:rPr>
          <w:i/>
          <w:iCs/>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6"/>
        <w:gridCol w:w="7713"/>
      </w:tblGrid>
      <w:tr>
        <w:trPr>
          <w:trHeight w:val="638"/>
        </w:trPr>
        <w:tc>
          <w:tcPr>
            <w:tcW w:w="794" w:type="pct"/>
            <w:vAlign w:val="center"/>
            <w:textDirection w:val="lrTb"/>
            <w:noWrap w:val="false"/>
          </w:tcPr>
          <w:p>
            <w:pPr>
              <w:pStyle w:val="852"/>
              <w:jc w:val="center"/>
              <w:rPr>
                <w:color w:val="000000"/>
              </w:rPr>
            </w:pPr>
            <w:r/>
            <w:bookmarkStart w:id="193" w:name="_Hlk39598532"/>
            <w:r>
              <w:rPr>
                <w:rFonts w:hint="eastAsia"/>
                <w:color w:val="000000"/>
              </w:rPr>
              <w:t xml:space="preserve">项目指标</w:t>
            </w:r>
            <w:r>
              <w:rPr>
                <w:color w:val="000000"/>
              </w:rPr>
            </w:r>
            <w:r/>
          </w:p>
        </w:tc>
        <w:tc>
          <w:tcPr>
            <w:tcW w:w="4206" w:type="pct"/>
            <w:vAlign w:val="center"/>
            <w:textDirection w:val="lrTb"/>
            <w:noWrap w:val="false"/>
          </w:tcPr>
          <w:p>
            <w:pPr>
              <w:pStyle w:val="852"/>
              <w:jc w:val="center"/>
              <w:rPr>
                <w:color w:val="000000"/>
              </w:rPr>
            </w:pPr>
            <w:r>
              <w:rPr>
                <w:rFonts w:hint="eastAsia"/>
                <w:color w:val="000000"/>
              </w:rPr>
              <w:t xml:space="preserve">性能和参数要求</w:t>
            </w:r>
            <w:r>
              <w:rPr>
                <w:color w:val="000000"/>
              </w:rPr>
            </w:r>
            <w:r/>
          </w:p>
        </w:tc>
      </w:tr>
      <w:tr>
        <w:trPr>
          <w:trHeight w:val="638"/>
        </w:trPr>
        <w:tc>
          <w:tcPr>
            <w:tcW w:w="794" w:type="pct"/>
            <w:vAlign w:val="center"/>
            <w:textDirection w:val="lrTb"/>
            <w:noWrap w:val="false"/>
          </w:tcPr>
          <w:p>
            <w:pPr>
              <w:pStyle w:val="852"/>
              <w:jc w:val="center"/>
              <w:rPr>
                <w:color w:val="000000"/>
              </w:rPr>
            </w:pPr>
            <w:r>
              <w:rPr>
                <w:rFonts w:hint="eastAsia"/>
                <w:color w:val="000000"/>
              </w:rPr>
              <w:t xml:space="preserve">基本要求</w:t>
            </w:r>
            <w:r>
              <w:rPr>
                <w:color w:val="000000"/>
              </w:rPr>
            </w:r>
            <w:r/>
          </w:p>
        </w:tc>
        <w:tc>
          <w:tcPr>
            <w:tcW w:w="4206" w:type="pct"/>
            <w:vAlign w:val="center"/>
            <w:textDirection w:val="lrTb"/>
            <w:noWrap w:val="false"/>
          </w:tcPr>
          <w:p>
            <w:pPr>
              <w:pStyle w:val="852"/>
              <w:rPr>
                <w:color w:val="000000"/>
              </w:rPr>
            </w:pPr>
            <w:r>
              <w:rPr>
                <w:rFonts w:hint="eastAsia"/>
                <w:color w:val="000000"/>
              </w:rPr>
              <w:t xml:space="preserve">设备检测吞吐率≥1.5Gbps，并发连接数≥80万，机箱高度≥1U，配置≥8个千兆电口，≥4个千兆光口，≥2个扩展槽位（可扩展万兆端口），内存≥32G，硬盘≥4T，交流冗余电源；该设备需包含攻击检测、应用识别、地理位置识别、僵尸主机识别、威胁情报识别、URL分类识别、DDOS识别等功能，含5年攻击检测规则库、应用识别库、地理信息库、僵尸主机规则库、威胁情报库、URL分类库升级许可。</w:t>
            </w:r>
            <w:r>
              <w:rPr>
                <w:color w:val="000000"/>
              </w:rPr>
            </w:r>
            <w:r/>
          </w:p>
        </w:tc>
      </w:tr>
      <w:tr>
        <w:trPr>
          <w:cantSplit/>
          <w:trHeight w:val="299"/>
        </w:trPr>
        <w:tc>
          <w:tcPr>
            <w:tcW w:w="794" w:type="pct"/>
            <w:vAlign w:val="center"/>
            <w:vMerge w:val="restart"/>
            <w:textDirection w:val="lrTb"/>
            <w:noWrap w:val="false"/>
          </w:tcPr>
          <w:p>
            <w:pPr>
              <w:pStyle w:val="852"/>
              <w:jc w:val="center"/>
              <w:rPr>
                <w:color w:val="000000"/>
              </w:rPr>
            </w:pPr>
            <w:r>
              <w:rPr>
                <w:rFonts w:hint="eastAsia"/>
                <w:color w:val="000000"/>
              </w:rPr>
              <w:t xml:space="preserve">攻击检测</w:t>
            </w:r>
            <w:r>
              <w:rPr>
                <w:color w:val="000000"/>
              </w:rPr>
            </w:r>
            <w:r/>
          </w:p>
        </w:tc>
        <w:tc>
          <w:tcPr>
            <w:tcW w:w="4206" w:type="pct"/>
            <w:vAlign w:val="center"/>
            <w:textDirection w:val="lrTb"/>
            <w:noWrap w:val="false"/>
          </w:tcPr>
          <w:p>
            <w:pPr>
              <w:pStyle w:val="852"/>
              <w:rPr>
                <w:color w:val="000000"/>
              </w:rPr>
            </w:pPr>
            <w:r/>
            <w:bookmarkStart w:id="194" w:name="_Hlk40199865"/>
            <w:r>
              <w:rPr>
                <w:rFonts w:hint="eastAsia"/>
                <w:color w:val="000000"/>
              </w:rPr>
              <w:t xml:space="preserve">支持独立的攻击检测引擎，支持8500种以上的攻击规则库。</w:t>
            </w:r>
            <w:bookmarkEnd w:id="194"/>
            <w:r>
              <w:rPr>
                <w:color w:val="000000"/>
              </w:rPr>
            </w:r>
            <w:r/>
          </w:p>
        </w:tc>
      </w:tr>
      <w:tr>
        <w:trPr>
          <w:cantSplit/>
          <w:trHeight w:val="299"/>
        </w:trPr>
        <w:tc>
          <w:tcPr>
            <w:tcW w:w="794" w:type="pct"/>
            <w:vAlign w:val="center"/>
            <w:vMerge w:val="continue"/>
            <w:textDirection w:val="lrTb"/>
            <w:noWrap w:val="false"/>
          </w:tcPr>
          <w:p>
            <w:pPr>
              <w:pStyle w:val="852"/>
              <w:jc w:val="center"/>
              <w:rPr>
                <w:color w:val="000000"/>
              </w:rPr>
            </w:pPr>
            <w:r>
              <w:rPr>
                <w:color w:val="000000"/>
              </w:rPr>
            </w:r>
            <w:r/>
          </w:p>
        </w:tc>
        <w:tc>
          <w:tcPr>
            <w:tcW w:w="4206" w:type="pct"/>
            <w:vAlign w:val="center"/>
            <w:textDirection w:val="lrTb"/>
            <w:noWrap w:val="false"/>
          </w:tcPr>
          <w:p>
            <w:pPr>
              <w:pStyle w:val="852"/>
              <w:rPr>
                <w:color w:val="000000"/>
              </w:rPr>
            </w:pPr>
            <w:r/>
            <w:bookmarkStart w:id="195" w:name="_Hlk40199921"/>
            <w:r>
              <w:rPr>
                <w:rFonts w:hint="eastAsia"/>
                <w:color w:val="000000"/>
              </w:rPr>
              <w:t xml:space="preserve">支持扫描探测、暴力猜解、拒绝服务攻击、后门控制、溢出攻击、代码执行、非授权访问攻击、注入攻击、URL跳转、跨站攻击、Webshell、浏览器劫持、文件漏洞攻击等多种常见攻击行为。</w:t>
            </w:r>
            <w:bookmarkEnd w:id="195"/>
            <w:r>
              <w:rPr>
                <w:color w:val="000000"/>
              </w:rPr>
            </w:r>
            <w:r/>
          </w:p>
        </w:tc>
      </w:tr>
      <w:tr>
        <w:trPr>
          <w:cantSplit/>
          <w:trHeight w:val="299"/>
        </w:trPr>
        <w:tc>
          <w:tcPr>
            <w:tcW w:w="794" w:type="pct"/>
            <w:vAlign w:val="center"/>
            <w:vMerge w:val="continue"/>
            <w:textDirection w:val="lrTb"/>
            <w:noWrap w:val="false"/>
          </w:tcPr>
          <w:p>
            <w:pPr>
              <w:pStyle w:val="852"/>
              <w:jc w:val="center"/>
              <w:rPr>
                <w:color w:val="000000"/>
              </w:rPr>
            </w:pPr>
            <w:r>
              <w:rPr>
                <w:color w:val="000000"/>
              </w:rPr>
            </w:r>
            <w:r/>
          </w:p>
        </w:tc>
        <w:tc>
          <w:tcPr>
            <w:tcW w:w="4206" w:type="pct"/>
            <w:vAlign w:val="center"/>
            <w:textDirection w:val="lrTb"/>
            <w:noWrap w:val="false"/>
          </w:tcPr>
          <w:p>
            <w:pPr>
              <w:pStyle w:val="852"/>
              <w:rPr>
                <w:color w:val="000000"/>
              </w:rPr>
            </w:pPr>
            <w:r/>
            <w:bookmarkStart w:id="196" w:name="_Hlk40200301"/>
            <w:r>
              <w:rPr>
                <w:rFonts w:hint="eastAsia"/>
                <w:color w:val="000000"/>
              </w:rPr>
              <w:t xml:space="preserve">支持工控漏洞攻击、车联网漏洞攻击、物联网漏洞攻击。如对施耐德PLC、Siemens S7、IGSS SCADA、RealWin、SERVER-WEBAPP、罗克韦尔、Netgear DGN1000系列路由器、Iconics Genesis、华为HG532路由、Vivotek智能摄像头等系统或设备漏洞攻击检测。</w:t>
            </w:r>
            <w:bookmarkEnd w:id="196"/>
            <w:r>
              <w:rPr>
                <w:color w:val="000000"/>
              </w:rPr>
            </w:r>
            <w:r/>
          </w:p>
        </w:tc>
      </w:tr>
      <w:tr>
        <w:trPr>
          <w:trHeight w:val="299"/>
        </w:trPr>
        <w:tc>
          <w:tcPr>
            <w:tcW w:w="794" w:type="pct"/>
            <w:vAlign w:val="center"/>
            <w:textDirection w:val="lrTb"/>
            <w:noWrap w:val="false"/>
          </w:tcPr>
          <w:p>
            <w:pPr>
              <w:pStyle w:val="852"/>
              <w:jc w:val="center"/>
              <w:rPr>
                <w:color w:val="000000"/>
              </w:rPr>
            </w:pPr>
            <w:r>
              <w:rPr>
                <w:rFonts w:hint="eastAsia"/>
                <w:color w:val="000000"/>
              </w:rPr>
              <w:t xml:space="preserve">僵木蠕检测</w:t>
            </w:r>
            <w:r>
              <w:rPr>
                <w:color w:val="000000"/>
              </w:rPr>
            </w:r>
            <w:r/>
          </w:p>
        </w:tc>
        <w:tc>
          <w:tcPr>
            <w:tcW w:w="4206" w:type="pct"/>
            <w:vAlign w:val="center"/>
            <w:textDirection w:val="lrTb"/>
            <w:noWrap w:val="false"/>
          </w:tcPr>
          <w:p>
            <w:pPr>
              <w:pStyle w:val="852"/>
              <w:rPr>
                <w:color w:val="000000"/>
              </w:rPr>
            </w:pPr>
            <w:r>
              <w:rPr>
                <w:rFonts w:hint="eastAsia"/>
                <w:color w:val="000000"/>
              </w:rPr>
              <w:t xml:space="preserve">支持对检测到的控制主机数量、僵尸主机数量实时统计，记录控制主机的活跃次数，控制了多少僵尸主机、地理位置监控，且支持以地图的形式展现控制主机的地理分布。</w:t>
            </w:r>
            <w:r>
              <w:rPr>
                <w:color w:val="000000"/>
              </w:rPr>
            </w:r>
            <w:r/>
          </w:p>
        </w:tc>
      </w:tr>
      <w:tr>
        <w:trPr>
          <w:cantSplit/>
          <w:trHeight w:val="349"/>
        </w:trPr>
        <w:tc>
          <w:tcPr>
            <w:tcW w:w="794" w:type="pct"/>
            <w:vAlign w:val="center"/>
            <w:vMerge w:val="restart"/>
            <w:textDirection w:val="lrTb"/>
            <w:noWrap w:val="false"/>
          </w:tcPr>
          <w:p>
            <w:pPr>
              <w:pStyle w:val="852"/>
              <w:jc w:val="center"/>
              <w:rPr>
                <w:color w:val="000000"/>
              </w:rPr>
            </w:pPr>
            <w:r>
              <w:rPr>
                <w:rFonts w:hint="eastAsia"/>
                <w:color w:val="000000"/>
              </w:rPr>
              <w:t xml:space="preserve">DDoS检测</w:t>
            </w:r>
            <w:r>
              <w:rPr>
                <w:color w:val="000000"/>
              </w:rPr>
            </w:r>
            <w:r/>
          </w:p>
        </w:tc>
        <w:tc>
          <w:tcPr>
            <w:tcW w:w="4206" w:type="pct"/>
            <w:vAlign w:val="top"/>
            <w:textDirection w:val="lrTb"/>
            <w:noWrap w:val="false"/>
          </w:tcPr>
          <w:p>
            <w:pPr>
              <w:pStyle w:val="852"/>
              <w:rPr>
                <w:color w:val="000000"/>
              </w:rPr>
            </w:pPr>
            <w:r/>
            <w:bookmarkStart w:id="197" w:name="_Hlk40200573"/>
            <w:r>
              <w:rPr>
                <w:rFonts w:hint="eastAsia"/>
                <w:color w:val="000000"/>
              </w:rPr>
              <w:t xml:space="preserve">支持独立的DDoS检测引擎，支持对IP扫描攻击、TCP扫描攻击、端口扫描攻击等多种扫描攻击行为检测；支持对ICMP FLOOD攻击行为、SYN FLOOD攻击行为、ACK FLOOD攻击行为、SYN ACK FLOOD攻击行为、RST FLOOD攻击行为、UDP FLOOD攻击行为、DNS REQUEST FLOOD攻击行为、DNS REPLY FLOOD攻击行为、HTTP URI CC攻击检测、HTTP FLOOD攻击行为、HTTPS FLOOD攻击行为等多种FLOOD攻击行为检测。</w:t>
            </w:r>
            <w:bookmarkEnd w:id="197"/>
            <w:r>
              <w:rPr>
                <w:color w:val="000000"/>
              </w:rPr>
            </w:r>
            <w:r/>
          </w:p>
        </w:tc>
      </w:tr>
      <w:tr>
        <w:trPr>
          <w:cantSplit/>
          <w:trHeight w:val="349"/>
        </w:trPr>
        <w:tc>
          <w:tcPr>
            <w:tcW w:w="794" w:type="pct"/>
            <w:vAlign w:val="center"/>
            <w:vMerge w:val="continue"/>
            <w:textDirection w:val="lrTb"/>
            <w:noWrap w:val="false"/>
          </w:tcPr>
          <w:p>
            <w:pPr>
              <w:pStyle w:val="852"/>
              <w:jc w:val="center"/>
              <w:rPr>
                <w:color w:val="000000"/>
              </w:rPr>
            </w:pPr>
            <w:r>
              <w:rPr>
                <w:color w:val="000000"/>
              </w:rPr>
            </w:r>
            <w:r/>
          </w:p>
        </w:tc>
        <w:tc>
          <w:tcPr>
            <w:tcW w:w="4206" w:type="pct"/>
            <w:vAlign w:val="top"/>
            <w:textDirection w:val="lrTb"/>
            <w:noWrap w:val="false"/>
          </w:tcPr>
          <w:p>
            <w:pPr>
              <w:pStyle w:val="852"/>
              <w:rPr>
                <w:color w:val="000000"/>
              </w:rPr>
            </w:pPr>
            <w:r/>
            <w:bookmarkStart w:id="198" w:name="_Hlk40200695"/>
            <w:r>
              <w:rPr>
                <w:rFonts w:hint="eastAsia"/>
                <w:color w:val="000000"/>
              </w:rPr>
              <w:t xml:space="preserve">支持DDOS自学习模式检测，可设定学习时长，根据周期内流量状态自动学习，设置流量阈值。流量状态异常触发阈值，系统自动进行告警。</w:t>
            </w:r>
            <w:bookmarkEnd w:id="198"/>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恶意程序检测</w:t>
            </w:r>
            <w:r>
              <w:rPr>
                <w:color w:val="000000"/>
              </w:rPr>
            </w:r>
            <w:r/>
          </w:p>
        </w:tc>
        <w:tc>
          <w:tcPr>
            <w:tcW w:w="4206" w:type="pct"/>
            <w:vAlign w:val="top"/>
            <w:textDirection w:val="lrTb"/>
            <w:noWrap w:val="false"/>
          </w:tcPr>
          <w:p>
            <w:pPr>
              <w:pStyle w:val="852"/>
              <w:rPr>
                <w:color w:val="000000"/>
              </w:rPr>
            </w:pPr>
            <w:r/>
            <w:bookmarkStart w:id="199" w:name="_Hlk40200925"/>
            <w:r>
              <w:rPr>
                <w:rFonts w:hint="eastAsia"/>
                <w:color w:val="000000"/>
              </w:rPr>
              <w:t xml:space="preserve">支持对恶意程序实现特征检测、机器学习检测、内置虚拟沙箱检测等多种检测方式，并且多种检测方式相互独立、互不影响；支持专业沙箱设备联动检测。</w:t>
            </w:r>
            <w:bookmarkEnd w:id="199"/>
            <w:r>
              <w:rPr>
                <w:color w:val="000000"/>
              </w:rPr>
            </w:r>
            <w:r/>
          </w:p>
        </w:tc>
      </w:tr>
      <w:tr>
        <w:trPr>
          <w:cantSplit/>
          <w:trHeight w:val="349"/>
        </w:trPr>
        <w:tc>
          <w:tcPr>
            <w:tcW w:w="794" w:type="pct"/>
            <w:vAlign w:val="center"/>
            <w:vMerge w:val="restart"/>
            <w:textDirection w:val="lrTb"/>
            <w:noWrap w:val="false"/>
          </w:tcPr>
          <w:p>
            <w:pPr>
              <w:pStyle w:val="852"/>
              <w:jc w:val="center"/>
              <w:rPr>
                <w:color w:val="000000"/>
              </w:rPr>
            </w:pPr>
            <w:r>
              <w:rPr>
                <w:rFonts w:hint="eastAsia"/>
                <w:color w:val="000000"/>
              </w:rPr>
              <w:t xml:space="preserve">APT检测</w:t>
            </w:r>
            <w:r>
              <w:rPr>
                <w:color w:val="000000"/>
              </w:rPr>
            </w:r>
            <w:r/>
          </w:p>
        </w:tc>
        <w:tc>
          <w:tcPr>
            <w:tcW w:w="4206" w:type="pct"/>
            <w:vAlign w:val="top"/>
            <w:textDirection w:val="lrTb"/>
            <w:noWrap w:val="false"/>
          </w:tcPr>
          <w:p>
            <w:pPr>
              <w:pStyle w:val="852"/>
              <w:rPr>
                <w:color w:val="000000"/>
              </w:rPr>
            </w:pPr>
            <w:r/>
            <w:bookmarkStart w:id="200" w:name="_Hlk40201113"/>
            <w:r>
              <w:rPr>
                <w:rFonts w:hint="eastAsia"/>
                <w:color w:val="000000"/>
              </w:rPr>
              <w:t xml:space="preserve">支持通过威胁情报检测已知APT事件，通过恶意程序检测未知APT事件，通过僵尸行为规则库检测已知的APT组织。</w:t>
            </w:r>
            <w:bookmarkEnd w:id="200"/>
            <w:r>
              <w:rPr>
                <w:color w:val="000000"/>
              </w:rPr>
            </w:r>
            <w:r/>
          </w:p>
        </w:tc>
      </w:tr>
      <w:tr>
        <w:trPr>
          <w:cantSplit/>
          <w:trHeight w:val="349"/>
        </w:trPr>
        <w:tc>
          <w:tcPr>
            <w:tcW w:w="794" w:type="pct"/>
            <w:vAlign w:val="center"/>
            <w:vMerge w:val="continue"/>
            <w:textDirection w:val="lrTb"/>
            <w:noWrap w:val="false"/>
          </w:tcPr>
          <w:p>
            <w:pPr>
              <w:pStyle w:val="852"/>
              <w:jc w:val="center"/>
              <w:rPr>
                <w:color w:val="000000"/>
              </w:rPr>
            </w:pPr>
            <w:r>
              <w:rPr>
                <w:color w:val="000000"/>
              </w:rPr>
            </w:r>
            <w:r/>
          </w:p>
        </w:tc>
        <w:tc>
          <w:tcPr>
            <w:tcW w:w="4206" w:type="pct"/>
            <w:vAlign w:val="top"/>
            <w:textDirection w:val="lrTb"/>
            <w:noWrap w:val="false"/>
          </w:tcPr>
          <w:p>
            <w:pPr>
              <w:pStyle w:val="852"/>
              <w:rPr>
                <w:color w:val="000000"/>
              </w:rPr>
            </w:pPr>
            <w:r/>
            <w:bookmarkStart w:id="201" w:name="_Hlk40201518"/>
            <w:r>
              <w:rPr>
                <w:rFonts w:hint="eastAsia"/>
                <w:color w:val="000000"/>
              </w:rPr>
              <w:t xml:space="preserve">支持识别摩诃草APT组织、隐士(Hermit) APT组织、DarkHydrus APT组织、APT 28组织、APT29(Cozy Bear)组织、APT33组织、APT34组织、Donot (APT-C-35)组织、OceanLotus APT组织、朝鲜STOLENPENCIL APT组织、Windshift APT组织、TransparentTribe APT组织等全球多个APT攻击组织。</w:t>
            </w:r>
            <w:bookmarkEnd w:id="201"/>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WEB安全检测</w:t>
            </w:r>
            <w:r>
              <w:rPr>
                <w:color w:val="000000"/>
              </w:rPr>
            </w:r>
            <w:r/>
          </w:p>
        </w:tc>
        <w:tc>
          <w:tcPr>
            <w:tcW w:w="4206" w:type="pct"/>
            <w:vAlign w:val="top"/>
            <w:textDirection w:val="lrTb"/>
            <w:noWrap w:val="false"/>
          </w:tcPr>
          <w:p>
            <w:pPr>
              <w:pStyle w:val="852"/>
              <w:rPr>
                <w:color w:val="000000"/>
              </w:rPr>
            </w:pPr>
            <w:r>
              <w:rPr>
                <w:rFonts w:hint="eastAsia"/>
                <w:color w:val="000000"/>
              </w:rPr>
              <w:t xml:space="preserve">支持对SQL注入攻击、跨站攻击、浏览器劫持攻击、URL跳转攻击、WEB远程代码执行攻击、WEB缓冲区溢出攻击、WEB漏洞攻击、Webshell上传攻击、WEB越权攻击、WEB扫描攻击、目录遍历攻击、WEB口令暴力破解攻击等多种类型的WEB攻击检测。</w:t>
            </w:r>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虚拟沙箱</w:t>
            </w:r>
            <w:r>
              <w:rPr>
                <w:color w:val="000000"/>
              </w:rPr>
            </w:r>
            <w:r/>
          </w:p>
        </w:tc>
        <w:tc>
          <w:tcPr>
            <w:tcW w:w="4206" w:type="pct"/>
            <w:vAlign w:val="top"/>
            <w:textDirection w:val="lrTb"/>
            <w:noWrap w:val="false"/>
          </w:tcPr>
          <w:p>
            <w:pPr>
              <w:pStyle w:val="852"/>
              <w:rPr>
                <w:color w:val="000000"/>
              </w:rPr>
            </w:pPr>
            <w:r>
              <w:rPr>
                <w:rFonts w:hint="eastAsia"/>
                <w:color w:val="000000"/>
              </w:rPr>
              <w:t xml:space="preserve">支持</w:t>
            </w:r>
            <w:bookmarkStart w:id="202" w:name="_Hlk39687527"/>
            <w:r>
              <w:rPr>
                <w:rFonts w:hint="eastAsia"/>
                <w:color w:val="000000"/>
              </w:rPr>
              <w:t xml:space="preserve">模拟仿真沙箱环境，对文件进行扫描分析、脱壳分析、动态行为分析等深度检测，脱壳分析支持多层壳、虚拟机保护壳、自定义壳、高级包裹器。</w:t>
            </w:r>
            <w:bookmarkEnd w:id="202"/>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溯源取证</w:t>
            </w:r>
            <w:r>
              <w:rPr>
                <w:color w:val="000000"/>
              </w:rPr>
            </w:r>
            <w:r/>
          </w:p>
        </w:tc>
        <w:tc>
          <w:tcPr>
            <w:tcW w:w="4206" w:type="pct"/>
            <w:vAlign w:val="top"/>
            <w:textDirection w:val="lrTb"/>
            <w:noWrap w:val="false"/>
          </w:tcPr>
          <w:p>
            <w:pPr>
              <w:pStyle w:val="852"/>
              <w:rPr>
                <w:color w:val="000000"/>
              </w:rPr>
            </w:pPr>
            <w:r/>
            <w:bookmarkStart w:id="203" w:name="_Hlk40201315"/>
            <w:r>
              <w:rPr>
                <w:rFonts w:hint="eastAsia"/>
                <w:color w:val="000000"/>
              </w:rPr>
              <w:t xml:space="preserve">支持攻击取证、僵尸主机取证、恶意程序取证、威胁情报取证，取证类型支持报文取证和样本文件取证两种形式。</w:t>
            </w:r>
            <w:bookmarkEnd w:id="203"/>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URL检测</w:t>
            </w:r>
            <w:r>
              <w:rPr>
                <w:color w:val="000000"/>
              </w:rPr>
            </w:r>
            <w:r/>
          </w:p>
        </w:tc>
        <w:tc>
          <w:tcPr>
            <w:tcW w:w="4206" w:type="pct"/>
            <w:vAlign w:val="top"/>
            <w:textDirection w:val="lrTb"/>
            <w:noWrap w:val="false"/>
          </w:tcPr>
          <w:p>
            <w:pPr>
              <w:pStyle w:val="852"/>
              <w:rPr>
                <w:color w:val="000000"/>
              </w:rPr>
            </w:pPr>
            <w:r>
              <w:rPr>
                <w:rFonts w:hint="eastAsia"/>
                <w:color w:val="000000"/>
              </w:rPr>
              <w:t xml:space="preserve">支持数量超过1000万的URL地址库，URL类型涉及包括搜索引擎、购物、社交、招聘求职、财经、下载、政策法规、成人内容、非法及不良等。</w:t>
            </w:r>
            <w:r>
              <w:rPr>
                <w:color w:val="000000"/>
              </w:rPr>
            </w:r>
            <w:r/>
          </w:p>
        </w:tc>
      </w:tr>
      <w:tr>
        <w:trPr>
          <w:cantSplit/>
          <w:trHeight w:val="349"/>
        </w:trPr>
        <w:tc>
          <w:tcPr>
            <w:tcW w:w="794" w:type="pct"/>
            <w:vAlign w:val="center"/>
            <w:vMerge w:val="restart"/>
            <w:textDirection w:val="lrTb"/>
            <w:noWrap w:val="false"/>
          </w:tcPr>
          <w:p>
            <w:pPr>
              <w:pStyle w:val="852"/>
              <w:jc w:val="center"/>
              <w:rPr>
                <w:color w:val="000000"/>
              </w:rPr>
            </w:pPr>
            <w:r>
              <w:rPr>
                <w:rFonts w:hint="eastAsia"/>
                <w:color w:val="000000"/>
              </w:rPr>
              <w:t xml:space="preserve">元数据提取</w:t>
            </w:r>
            <w:r>
              <w:rPr>
                <w:color w:val="000000"/>
              </w:rPr>
            </w:r>
            <w:r/>
          </w:p>
        </w:tc>
        <w:tc>
          <w:tcPr>
            <w:tcW w:w="4206" w:type="pct"/>
            <w:vAlign w:val="top"/>
            <w:textDirection w:val="lrTb"/>
            <w:noWrap w:val="false"/>
          </w:tcPr>
          <w:p>
            <w:pPr>
              <w:pStyle w:val="852"/>
              <w:rPr>
                <w:color w:val="000000"/>
              </w:rPr>
            </w:pPr>
            <w:r/>
            <w:bookmarkStart w:id="204" w:name="_Hlk40201326"/>
            <w:r>
              <w:rPr>
                <w:rFonts w:hint="eastAsia"/>
                <w:color w:val="000000"/>
              </w:rPr>
              <w:t xml:space="preserve">支持对TCP/UDP流量、ICMP流量、HTTP流量、邮件流量、FTP流量、DNS流量、NFS流量、SMB流量、SSL流量、LDAP流量、RDP流量等多种常见流量深入内容层解析元数据；支持对HTTPS流量、加密邮件流量、FTPS流量等多种加密流量深。入内容层解析元数据。</w:t>
            </w:r>
            <w:bookmarkEnd w:id="204"/>
            <w:r>
              <w:rPr>
                <w:color w:val="000000"/>
              </w:rPr>
            </w:r>
            <w:r/>
          </w:p>
        </w:tc>
      </w:tr>
      <w:tr>
        <w:trPr>
          <w:cantSplit/>
          <w:trHeight w:val="349"/>
        </w:trPr>
        <w:tc>
          <w:tcPr>
            <w:tcW w:w="794" w:type="pct"/>
            <w:vAlign w:val="center"/>
            <w:vMerge w:val="continue"/>
            <w:textDirection w:val="lrTb"/>
            <w:noWrap w:val="false"/>
          </w:tcPr>
          <w:p>
            <w:pPr>
              <w:pStyle w:val="852"/>
              <w:jc w:val="center"/>
              <w:rPr>
                <w:color w:val="000000"/>
              </w:rPr>
            </w:pPr>
            <w:r>
              <w:rPr>
                <w:color w:val="000000"/>
              </w:rPr>
            </w:r>
            <w:r/>
          </w:p>
        </w:tc>
        <w:tc>
          <w:tcPr>
            <w:tcW w:w="4206" w:type="pct"/>
            <w:vAlign w:val="top"/>
            <w:textDirection w:val="lrTb"/>
            <w:noWrap w:val="false"/>
          </w:tcPr>
          <w:p>
            <w:pPr>
              <w:pStyle w:val="852"/>
              <w:rPr>
                <w:color w:val="000000"/>
              </w:rPr>
            </w:pPr>
            <w:r>
              <w:rPr>
                <w:rFonts w:hint="eastAsia"/>
                <w:color w:val="000000"/>
              </w:rPr>
              <w:t xml:space="preserve">元数据解析内容包括邮件发件人、邮件收件人、邮件主题等邮件信息，传输文件协议、文件名称、文件大小、文件类型、MD5值、传输方向等文件信息，以及加密证书名称、证书颁发机构、证书使用者、证书内容等加密证书信息。</w:t>
            </w:r>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兼容性要求</w:t>
            </w:r>
            <w:r>
              <w:rPr>
                <w:color w:val="000000"/>
              </w:rPr>
            </w:r>
            <w:r/>
          </w:p>
        </w:tc>
        <w:tc>
          <w:tcPr>
            <w:tcW w:w="4206" w:type="pct"/>
            <w:vAlign w:val="center"/>
            <w:textDirection w:val="lrTb"/>
            <w:noWrap w:val="false"/>
          </w:tcPr>
          <w:p>
            <w:pPr>
              <w:pStyle w:val="852"/>
              <w:rPr>
                <w:color w:val="000000"/>
              </w:rPr>
            </w:pPr>
            <w:r>
              <w:rPr>
                <w:rFonts w:hint="eastAsia"/>
                <w:color w:val="000000"/>
              </w:rPr>
              <w:t xml:space="preserve">为保障探针数据与平台的兼容性和无缝对接，要求所投产品与本项目上述安全态势感知设备保持统一品牌。</w:t>
            </w:r>
            <w:r>
              <w:rPr>
                <w:color w:val="000000"/>
              </w:rPr>
            </w:r>
            <w:r/>
          </w:p>
        </w:tc>
      </w:tr>
      <w:tr>
        <w:trPr>
          <w:trHeight w:val="349"/>
        </w:trPr>
        <w:tc>
          <w:tcPr>
            <w:tcW w:w="794" w:type="pct"/>
            <w:vAlign w:val="center"/>
            <w:textDirection w:val="lrTb"/>
            <w:noWrap w:val="false"/>
          </w:tcPr>
          <w:p>
            <w:pPr>
              <w:pStyle w:val="852"/>
              <w:jc w:val="center"/>
              <w:rPr>
                <w:color w:val="000000"/>
              </w:rPr>
            </w:pPr>
            <w:r>
              <w:rPr>
                <w:rFonts w:hint="eastAsia"/>
                <w:color w:val="000000"/>
              </w:rPr>
              <w:t xml:space="preserve">质保服务要求</w:t>
            </w:r>
            <w:r>
              <w:rPr>
                <w:color w:val="000000"/>
              </w:rPr>
            </w:r>
            <w:r/>
          </w:p>
        </w:tc>
        <w:tc>
          <w:tcPr>
            <w:tcW w:w="4206" w:type="pct"/>
            <w:vAlign w:val="center"/>
            <w:textDirection w:val="lrTb"/>
            <w:noWrap w:val="false"/>
          </w:tcPr>
          <w:p>
            <w:pPr>
              <w:pStyle w:val="852"/>
              <w:rPr>
                <w:color w:val="000000"/>
              </w:rPr>
            </w:pPr>
            <w:r>
              <w:rPr>
                <w:rFonts w:hint="eastAsia"/>
                <w:color w:val="000000"/>
              </w:rPr>
              <w:t xml:space="preserve">要求提供原厂5年软硬件质保和工程师上门服务；</w:t>
            </w:r>
            <w:r>
              <w:rPr>
                <w:color w:val="000000"/>
              </w:rPr>
            </w:r>
            <w:r/>
          </w:p>
        </w:tc>
      </w:tr>
    </w:tbl>
    <w:p>
      <w:pPr>
        <w:pStyle w:val="734"/>
        <w:rPr>
          <w:color w:val="000000"/>
        </w:rPr>
      </w:pPr>
      <w:r/>
      <w:bookmarkEnd w:id="193"/>
      <w:r>
        <w:rPr>
          <w:color w:val="000000"/>
        </w:rPr>
      </w:r>
      <w:r/>
    </w:p>
    <w:p>
      <w:pPr>
        <w:pStyle w:val="743"/>
        <w:numPr>
          <w:ilvl w:val="0"/>
          <w:numId w:val="40"/>
        </w:numPr>
        <w:spacing w:before="320" w:after="200" w:line="240" w:lineRule="auto"/>
        <w:rPr>
          <w:i/>
          <w:iCs/>
          <w:color w:val="000000"/>
        </w:rPr>
      </w:pPr>
      <w:r>
        <w:rPr>
          <w:rFonts w:hint="eastAsia"/>
          <w:color w:val="000000"/>
        </w:rPr>
        <w:t xml:space="preserve">API安全网关</w:t>
      </w:r>
      <w:r>
        <w:rPr>
          <w:i/>
          <w:iCs/>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7680"/>
      </w:tblGrid>
      <w:tr>
        <w:trPr>
          <w:trHeight w:val="20"/>
        </w:trPr>
        <w:tc>
          <w:tcPr>
            <w:tcW w:w="812" w:type="pct"/>
            <w:vAlign w:val="center"/>
            <w:textDirection w:val="lrTb"/>
            <w:noWrap w:val="false"/>
          </w:tcPr>
          <w:p>
            <w:pPr>
              <w:pStyle w:val="852"/>
              <w:jc w:val="center"/>
              <w:rPr>
                <w:color w:val="000000"/>
              </w:rPr>
            </w:pPr>
            <w:r>
              <w:rPr>
                <w:rFonts w:hint="eastAsia"/>
                <w:color w:val="000000"/>
              </w:rPr>
              <w:t xml:space="preserve">项目指标</w:t>
            </w:r>
            <w:r>
              <w:rPr>
                <w:color w:val="000000"/>
              </w:rPr>
            </w:r>
            <w:r/>
          </w:p>
        </w:tc>
        <w:tc>
          <w:tcPr>
            <w:tcW w:w="4188" w:type="pct"/>
            <w:vAlign w:val="center"/>
            <w:textDirection w:val="lrTb"/>
            <w:noWrap w:val="false"/>
          </w:tcPr>
          <w:p>
            <w:pPr>
              <w:pStyle w:val="852"/>
              <w:jc w:val="center"/>
              <w:rPr>
                <w:color w:val="000000"/>
              </w:rPr>
            </w:pPr>
            <w:r>
              <w:rPr>
                <w:rFonts w:hint="eastAsia"/>
                <w:color w:val="000000"/>
              </w:rPr>
              <w:t xml:space="preserve">性能和参数要求</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产品形态</w:t>
            </w:r>
            <w:r>
              <w:rPr>
                <w:color w:val="000000"/>
              </w:rPr>
            </w:r>
            <w:r/>
          </w:p>
        </w:tc>
        <w:tc>
          <w:tcPr>
            <w:tcW w:w="4188" w:type="pct"/>
            <w:vAlign w:val="center"/>
            <w:textDirection w:val="lrTb"/>
            <w:noWrap w:val="false"/>
          </w:tcPr>
          <w:p>
            <w:pPr>
              <w:pStyle w:val="852"/>
              <w:rPr>
                <w:color w:val="000000"/>
              </w:rPr>
            </w:pPr>
            <w:r>
              <w:rPr>
                <w:rFonts w:hint="eastAsia"/>
                <w:color w:val="000000"/>
              </w:rPr>
              <w:t xml:space="preserve">设备为机架式独立硬件设备，全内置封闭式结构，专用安全操作系统，稳定可靠，交流电源</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接口规格</w:t>
            </w:r>
            <w:r>
              <w:rPr>
                <w:color w:val="000000"/>
              </w:rPr>
            </w:r>
            <w:r/>
          </w:p>
        </w:tc>
        <w:tc>
          <w:tcPr>
            <w:tcW w:w="4188" w:type="pct"/>
            <w:vAlign w:val="center"/>
            <w:textDirection w:val="lrTb"/>
            <w:noWrap w:val="false"/>
          </w:tcPr>
          <w:p>
            <w:pPr>
              <w:pStyle w:val="852"/>
              <w:rPr>
                <w:color w:val="000000"/>
              </w:rPr>
            </w:pPr>
            <w:r>
              <w:rPr>
                <w:rFonts w:hint="eastAsia"/>
                <w:color w:val="000000"/>
              </w:rPr>
              <w:t xml:space="preserve">设备必须提供</w:t>
            </w:r>
            <w:r>
              <w:rPr>
                <w:color w:val="000000"/>
              </w:rPr>
              <w:t xml:space="preserve">≥</w:t>
            </w:r>
            <w:r>
              <w:rPr>
                <w:rFonts w:hint="eastAsia"/>
                <w:color w:val="000000"/>
              </w:rPr>
              <w:t xml:space="preserve">4个千兆以太网接口</w:t>
            </w:r>
            <w:r>
              <w:rPr>
                <w:color w:val="000000"/>
              </w:rPr>
              <w:t xml:space="preserve">，≥</w:t>
            </w:r>
            <w:r>
              <w:rPr>
                <w:rFonts w:hint="eastAsia"/>
                <w:color w:val="000000"/>
              </w:rPr>
              <w:t xml:space="preserve">2个万兆光口</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处理能力</w:t>
            </w:r>
            <w:r>
              <w:rPr>
                <w:color w:val="000000"/>
              </w:rPr>
            </w:r>
            <w:r/>
          </w:p>
        </w:tc>
        <w:tc>
          <w:tcPr>
            <w:tcW w:w="4188" w:type="pct"/>
            <w:vAlign w:val="center"/>
            <w:textDirection w:val="lrTb"/>
            <w:noWrap w:val="false"/>
          </w:tcPr>
          <w:p>
            <w:pPr>
              <w:pStyle w:val="852"/>
              <w:rPr>
                <w:color w:val="000000"/>
              </w:rPr>
            </w:pPr>
            <w:r>
              <w:rPr>
                <w:color w:val="000000"/>
              </w:rPr>
              <w:t xml:space="preserve">最大吞吐量≥10Gbps</w:t>
            </w:r>
            <w:r>
              <w:rPr>
                <w:rFonts w:hint="eastAsia"/>
                <w:color w:val="000000"/>
              </w:rPr>
              <w:t xml:space="preserve">；</w:t>
            </w:r>
            <w:r>
              <w:rPr>
                <w:color w:val="000000"/>
              </w:rPr>
              <w:t xml:space="preserve">TPS处理性能≥8000/每秒</w:t>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部署模式</w:t>
            </w:r>
            <w:r>
              <w:rPr>
                <w:color w:val="000000"/>
              </w:rPr>
            </w:r>
            <w:r/>
          </w:p>
        </w:tc>
        <w:tc>
          <w:tcPr>
            <w:tcW w:w="4188" w:type="pct"/>
            <w:vAlign w:val="center"/>
            <w:textDirection w:val="lrTb"/>
            <w:noWrap w:val="false"/>
          </w:tcPr>
          <w:p>
            <w:pPr>
              <w:pStyle w:val="852"/>
              <w:rPr>
                <w:color w:val="000000"/>
              </w:rPr>
            </w:pPr>
            <w:r>
              <w:rPr>
                <w:rFonts w:hint="eastAsia"/>
                <w:color w:val="000000"/>
              </w:rPr>
              <w:t xml:space="preserve">透明串接、反向代理、镜像旁路多种方式，可有效过滤与防护进出API服务器的流量；支持分布式部署，统一集中管理的模式。</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API资产发现</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自定义API接口识别规则，通过HTTP请求域名、请求方法、请求路径、来源路径、请求参数组合、请求参数的值定义API接口，参数值的位置可在：URL参数中、URL路径中、请求Body中或header中；系统支持将满足API定义规则的接口自动添加到API列表中。</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API资产可视化展现</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支持对API资产访问的通信协议、路径、请求方式、请求参数、响应参数等进行过滤，对API资产进行用户可视化展现</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top"/>
            <w:textDirection w:val="lrTb"/>
            <w:noWrap w:val="false"/>
          </w:tcPr>
          <w:p>
            <w:pPr>
              <w:pStyle w:val="852"/>
              <w:rPr>
                <w:color w:val="000000"/>
              </w:rPr>
            </w:pPr>
            <w:r>
              <w:rPr>
                <w:rFonts w:hint="eastAsia"/>
                <w:color w:val="000000"/>
              </w:rPr>
              <w:t xml:space="preserve">支持API接口访问情况展现，支持展现已确认API及其详细信息，包括接口数量、接口访问量、接口路径、域名、请求方法、名称、分组、状态、敏感信息类型、参数检测等</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API资产管理</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支持API手动分组，根据组名、责任人和部门对API接口进行自定义分组，支持API多租户管理，可根据不同业务创建不同账号，每个账号分别管理和维护自身业务相关的API资产</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关键业务数据采集</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支持通过业务数据采集功能，可采集到API请求中帐号、密码、header、cookie、post body、响应body等关键业务数据。基于这些关键业务数据通过大数据分析技术可实现监测帐号暴破、撞库、弱口令、参数遍历、未授权访问等安全风险。 </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账号追踪</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支持将</w:t>
            </w:r>
            <w:r>
              <w:rPr>
                <w:color w:val="000000"/>
              </w:rPr>
              <w:t xml:space="preserve">登录请求中的帐号参数名</w:t>
            </w:r>
            <w:r>
              <w:rPr>
                <w:rFonts w:hint="eastAsia"/>
                <w:color w:val="000000"/>
              </w:rPr>
              <w:t xml:space="preserve">与</w:t>
            </w:r>
            <w:r>
              <w:rPr>
                <w:color w:val="000000"/>
              </w:rPr>
              <w:t xml:space="preserve">登录响应中的令牌</w:t>
            </w:r>
            <w:r>
              <w:rPr>
                <w:rFonts w:hint="eastAsia"/>
                <w:color w:val="000000"/>
              </w:rPr>
              <w:t xml:space="preserve">进行关联，以便可以追踪到账号，在报表中可以直接展示账号。</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API威胁检测</w:t>
            </w:r>
            <w:r>
              <w:rPr>
                <w:color w:val="000000"/>
              </w:rPr>
            </w:r>
            <w:r/>
          </w:p>
        </w:tc>
        <w:tc>
          <w:tcPr>
            <w:tcW w:w="4188" w:type="pct"/>
            <w:vAlign w:val="top"/>
            <w:textDirection w:val="lrTb"/>
            <w:noWrap w:val="false"/>
          </w:tcPr>
          <w:p>
            <w:pPr>
              <w:pStyle w:val="852"/>
              <w:rPr>
                <w:color w:val="000000"/>
              </w:rPr>
            </w:pPr>
            <w:r>
              <w:rPr>
                <w:rFonts w:hint="eastAsia"/>
                <w:color w:val="000000"/>
              </w:rPr>
              <w:t xml:space="preserve">覆盖OWASP Top10的攻击识别，包括：失效的对象级授权、失效的用户认证、过度的数据暴漏等攻击威胁。</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top"/>
            <w:textDirection w:val="lrTb"/>
            <w:noWrap w:val="false"/>
          </w:tcPr>
          <w:p>
            <w:pPr>
              <w:pStyle w:val="852"/>
              <w:rPr>
                <w:color w:val="000000"/>
              </w:rPr>
            </w:pPr>
            <w:r>
              <w:rPr>
                <w:rFonts w:hint="eastAsia"/>
                <w:color w:val="000000"/>
              </w:rPr>
              <w:t xml:space="preserve">支持</w:t>
            </w:r>
            <w:r>
              <w:rPr>
                <w:color w:val="000000"/>
              </w:rPr>
              <w:t xml:space="preserve">XSS语义攻击防护</w:t>
            </w:r>
            <w:r>
              <w:rPr>
                <w:rFonts w:hint="eastAsia"/>
                <w:color w:val="000000"/>
              </w:rPr>
              <w:t xml:space="preserve">，</w:t>
            </w:r>
            <w:r>
              <w:rPr>
                <w:color w:val="000000"/>
              </w:rPr>
              <w:t xml:space="preserve">检测DOM完整标签</w:t>
            </w:r>
            <w:r>
              <w:rPr>
                <w:rFonts w:hint="eastAsia"/>
                <w:color w:val="000000"/>
              </w:rPr>
              <w:t xml:space="preserve">和</w:t>
            </w:r>
            <w:r>
              <w:rPr>
                <w:color w:val="000000"/>
              </w:rPr>
              <w:t xml:space="preserve">JS完整语法</w:t>
            </w:r>
            <w:r>
              <w:rPr>
                <w:rFonts w:hint="eastAsia"/>
                <w:color w:val="000000"/>
              </w:rPr>
              <w:t xml:space="preserve">。支持</w:t>
            </w:r>
            <w:r>
              <w:rPr>
                <w:color w:val="000000"/>
              </w:rPr>
              <w:t xml:space="preserve">JAVA OGNL语义攻击防护</w:t>
            </w:r>
            <w:r>
              <w:rPr>
                <w:rFonts w:hint="eastAsia"/>
                <w:color w:val="000000"/>
              </w:rPr>
              <w:t xml:space="preserve">，</w:t>
            </w:r>
            <w:r>
              <w:rPr>
                <w:color w:val="000000"/>
              </w:rPr>
              <w:t xml:space="preserve">检测OGNL完整语法</w:t>
            </w:r>
            <w:r>
              <w:rPr>
                <w:rFonts w:hint="eastAsia"/>
                <w:color w:val="000000"/>
              </w:rPr>
              <w:t xml:space="preserve">。</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Bot访问检测</w:t>
            </w:r>
            <w:r>
              <w:rPr>
                <w:color w:val="000000"/>
              </w:rPr>
            </w:r>
            <w:r/>
          </w:p>
        </w:tc>
        <w:tc>
          <w:tcPr>
            <w:tcW w:w="4188" w:type="pct"/>
            <w:vAlign w:val="top"/>
            <w:textDirection w:val="lrTb"/>
            <w:noWrap w:val="false"/>
          </w:tcPr>
          <w:p>
            <w:pPr>
              <w:pStyle w:val="852"/>
              <w:rPr>
                <w:color w:val="000000"/>
              </w:rPr>
            </w:pPr>
            <w:r>
              <w:rPr>
                <w:rFonts w:hint="eastAsia"/>
                <w:color w:val="000000"/>
              </w:rPr>
              <w:t xml:space="preserve">内置多种类型的Bot检测，包括：内容抓取、健康检查、恶意攻击、网站监控、搜索引擎、漏洞扫描等类型，Bot种类不少于100个。</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用户（IP/账号）行为异常识别</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支持账号、IP地址等不同统计分析维度，可以针对上述维度的API接口异常调用行为进行统计分析及呈现。</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top"/>
            <w:textDirection w:val="lrTb"/>
            <w:noWrap w:val="false"/>
          </w:tcPr>
          <w:p>
            <w:pPr>
              <w:pStyle w:val="852"/>
              <w:rPr>
                <w:color w:val="000000"/>
              </w:rPr>
            </w:pPr>
            <w:r>
              <w:rPr>
                <w:rFonts w:hint="eastAsia"/>
                <w:color w:val="000000"/>
              </w:rPr>
              <w:t xml:space="preserve">账户多地访问：同一账户在多地同时访问，可能存在账号信息泄露等风险。</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top"/>
            <w:textDirection w:val="lrTb"/>
            <w:noWrap w:val="false"/>
          </w:tcPr>
          <w:p>
            <w:pPr>
              <w:pStyle w:val="852"/>
              <w:rPr>
                <w:color w:val="000000"/>
              </w:rPr>
            </w:pPr>
            <w:r>
              <w:rPr>
                <w:rFonts w:hint="eastAsia"/>
                <w:color w:val="000000"/>
              </w:rPr>
              <w:t xml:space="preserve">支持根据用户应用实际业务场景，自定义异常API调用访问模型，进行分析呈现，无需功能升级及代码开发。</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接口恶意调用行为</w:t>
            </w:r>
            <w:r>
              <w:rPr>
                <w:color w:val="000000"/>
              </w:rPr>
            </w:r>
            <w:r/>
          </w:p>
        </w:tc>
        <w:tc>
          <w:tcPr>
            <w:tcW w:w="4188" w:type="pct"/>
            <w:vAlign w:val="center"/>
            <w:textDirection w:val="lrTb"/>
            <w:noWrap w:val="false"/>
          </w:tcPr>
          <w:p>
            <w:pPr>
              <w:pStyle w:val="852"/>
              <w:rPr>
                <w:color w:val="000000"/>
              </w:rPr>
            </w:pPr>
            <w:r>
              <w:rPr>
                <w:rFonts w:hint="eastAsia"/>
                <w:color w:val="000000"/>
              </w:rPr>
              <w:t xml:space="preserve">支持对接口的暴力破解、撞库、接口高频请求行为检测及识别。</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API参数自学习</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支持通过流量学习功能自动学习API参数：参数名称，参数位置，参数类型，取值范围，长度范围。</w:t>
            </w:r>
            <w:r>
              <w:rPr>
                <w:color w:val="000000"/>
              </w:rPr>
            </w:r>
            <w:r/>
          </w:p>
        </w:tc>
      </w:tr>
      <w:tr>
        <w:trPr>
          <w:cantSplit/>
          <w:trHeight w:val="20"/>
        </w:trPr>
        <w:tc>
          <w:tcPr>
            <w:tcW w:w="812" w:type="pct"/>
            <w:vAlign w:val="center"/>
            <w:vMerge w:val="restart"/>
            <w:textDirection w:val="lrTb"/>
            <w:noWrap w:val="false"/>
          </w:tcPr>
          <w:p>
            <w:pPr>
              <w:pStyle w:val="852"/>
              <w:jc w:val="center"/>
              <w:rPr>
                <w:color w:val="000000"/>
              </w:rPr>
            </w:pPr>
            <w:r>
              <w:rPr>
                <w:rFonts w:hint="eastAsia"/>
                <w:color w:val="000000"/>
              </w:rPr>
              <w:t xml:space="preserve">敏感数据识别</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支持对API接口的回传报文进行内容识别，支持识别各类隐私信息，包括：身份证号码、手机号、银行卡、车牌号码、统一社会信用代码、护照号码、IEMI、电子邮箱、姓名、URL、MAC地址、IP地址等。。</w:t>
            </w:r>
            <w:r>
              <w:rPr>
                <w:color w:val="000000"/>
              </w:rPr>
            </w:r>
            <w:r/>
          </w:p>
        </w:tc>
      </w:tr>
      <w:tr>
        <w:trPr>
          <w:cantSplit/>
          <w:trHeight w:val="20"/>
        </w:trPr>
        <w:tc>
          <w:tcPr>
            <w:tcW w:w="812" w:type="pct"/>
            <w:vAlign w:val="center"/>
            <w:vMerge w:val="continue"/>
            <w:textDirection w:val="lrTb"/>
            <w:noWrap w:val="false"/>
          </w:tcPr>
          <w:p>
            <w:pPr>
              <w:pStyle w:val="852"/>
              <w:jc w:val="center"/>
              <w:rPr>
                <w:color w:val="000000"/>
              </w:rPr>
            </w:pPr>
            <w:r>
              <w:rPr>
                <w:color w:val="000000"/>
              </w:rPr>
            </w:r>
            <w:r/>
          </w:p>
        </w:tc>
        <w:tc>
          <w:tcPr>
            <w:tcW w:w="4188" w:type="pct"/>
            <w:vAlign w:val="top"/>
            <w:textDirection w:val="lrTb"/>
            <w:noWrap w:val="false"/>
          </w:tcPr>
          <w:p>
            <w:pPr>
              <w:pStyle w:val="852"/>
              <w:rPr>
                <w:color w:val="000000"/>
              </w:rPr>
            </w:pPr>
            <w:r>
              <w:rPr>
                <w:rFonts w:hint="eastAsia"/>
                <w:color w:val="000000"/>
              </w:rPr>
              <w:t xml:space="preserve">支持通过自定义规则（例如关键字或正则表达式）实现对其它敏感数据的检测识别 </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指纹标识</w:t>
            </w:r>
            <w:r>
              <w:rPr>
                <w:color w:val="000000"/>
              </w:rPr>
            </w:r>
            <w:r/>
          </w:p>
        </w:tc>
        <w:tc>
          <w:tcPr>
            <w:tcW w:w="4188" w:type="pct"/>
            <w:vAlign w:val="top"/>
            <w:textDirection w:val="lrTb"/>
            <w:noWrap w:val="false"/>
          </w:tcPr>
          <w:p>
            <w:pPr>
              <w:pStyle w:val="852"/>
              <w:rPr>
                <w:color w:val="000000"/>
              </w:rPr>
            </w:pPr>
            <w:r>
              <w:rPr>
                <w:rFonts w:hint="eastAsia"/>
                <w:color w:val="000000"/>
              </w:rPr>
              <w:t xml:space="preserve">针对使用手机App访问的客户端，通过集成</w:t>
            </w:r>
            <w:r>
              <w:rPr>
                <w:color w:val="000000"/>
              </w:rPr>
              <w:t xml:space="preserve">SDK</w:t>
            </w:r>
            <w:r>
              <w:rPr>
                <w:rFonts w:hint="eastAsia"/>
                <w:color w:val="000000"/>
              </w:rPr>
              <w:t xml:space="preserve">代码收集客户端环境信息，为每个API客户端生成唯一的指纹标识。</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环境监控拦截</w:t>
            </w:r>
            <w:r>
              <w:rPr>
                <w:color w:val="000000"/>
              </w:rPr>
            </w:r>
            <w:r/>
          </w:p>
        </w:tc>
        <w:tc>
          <w:tcPr>
            <w:tcW w:w="4188" w:type="pct"/>
            <w:vAlign w:val="top"/>
            <w:textDirection w:val="lrTb"/>
            <w:noWrap w:val="false"/>
          </w:tcPr>
          <w:p>
            <w:pPr>
              <w:pStyle w:val="852"/>
              <w:rPr>
                <w:color w:val="000000"/>
              </w:rPr>
            </w:pPr>
            <w:r>
              <w:rPr>
                <w:rFonts w:hint="eastAsia"/>
                <w:color w:val="000000"/>
              </w:rPr>
              <w:t xml:space="preserve">可以基于</w:t>
            </w:r>
            <w:r>
              <w:rPr>
                <w:color w:val="000000"/>
              </w:rPr>
              <w:t xml:space="preserve">API</w:t>
            </w:r>
            <w:r>
              <w:rPr>
                <w:rFonts w:hint="eastAsia"/>
                <w:color w:val="000000"/>
              </w:rPr>
              <w:t xml:space="preserve">客户端运行时的环境特征数据实现拦截，包括：A</w:t>
            </w:r>
            <w:r>
              <w:rPr>
                <w:color w:val="000000"/>
              </w:rPr>
              <w:t xml:space="preserve">PI</w:t>
            </w:r>
            <w:r>
              <w:rPr>
                <w:rFonts w:hint="eastAsia"/>
                <w:color w:val="000000"/>
              </w:rPr>
              <w:t xml:space="preserve">客户端指纹，User-Agent等，实现针对性拦截。</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可编程对抗</w:t>
            </w:r>
            <w:r>
              <w:rPr>
                <w:color w:val="000000"/>
              </w:rPr>
            </w:r>
            <w:r/>
          </w:p>
        </w:tc>
        <w:tc>
          <w:tcPr>
            <w:tcW w:w="4188" w:type="pct"/>
            <w:vAlign w:val="top"/>
            <w:textDirection w:val="lrTb"/>
            <w:noWrap w:val="false"/>
          </w:tcPr>
          <w:p>
            <w:pPr>
              <w:pStyle w:val="852"/>
              <w:rPr>
                <w:color w:val="000000"/>
              </w:rPr>
            </w:pPr>
            <w:r>
              <w:rPr>
                <w:rFonts w:hint="eastAsia"/>
                <w:color w:val="000000"/>
              </w:rPr>
              <w:t xml:space="preserve">当请求触发防护规则时，可以设定多种拦截策略，如：阻挡，延时等；且可配置上述拦截策略按百分比随机响应，提升攻击者的对抗分析难度。</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异常行为监控</w:t>
            </w:r>
            <w:r>
              <w:rPr>
                <w:color w:val="000000"/>
              </w:rPr>
            </w:r>
            <w:r/>
          </w:p>
        </w:tc>
        <w:tc>
          <w:tcPr>
            <w:tcW w:w="4188" w:type="pct"/>
            <w:vAlign w:val="top"/>
            <w:textDirection w:val="lrTb"/>
            <w:noWrap w:val="false"/>
          </w:tcPr>
          <w:p>
            <w:pPr>
              <w:pStyle w:val="852"/>
              <w:rPr>
                <w:color w:val="000000"/>
              </w:rPr>
            </w:pPr>
            <w:r>
              <w:rPr>
                <w:rFonts w:hint="eastAsia"/>
                <w:color w:val="000000"/>
              </w:rPr>
              <w:t xml:space="preserve">根据API的异常行为进行基于referer、请求方式、参数、频率等进行多维度组合定义防护。</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威胁模型</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支持针对A</w:t>
            </w:r>
            <w:r>
              <w:rPr>
                <w:color w:val="000000"/>
              </w:rPr>
              <w:t xml:space="preserve">PI</w:t>
            </w:r>
            <w:r>
              <w:rPr>
                <w:rFonts w:hint="eastAsia"/>
                <w:color w:val="000000"/>
              </w:rPr>
              <w:t xml:space="preserve">业务常用业务建立业务威胁模型，形成API业务威胁展示平台，建立的API威胁模型不少于2个，包括撞库、爬虫。</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报表功能</w:t>
            </w:r>
            <w:r>
              <w:rPr>
                <w:color w:val="000000"/>
              </w:rPr>
            </w:r>
            <w:r/>
          </w:p>
        </w:tc>
        <w:tc>
          <w:tcPr>
            <w:tcW w:w="4188" w:type="pct"/>
            <w:vAlign w:val="top"/>
            <w:textDirection w:val="lrTb"/>
            <w:noWrap w:val="false"/>
          </w:tcPr>
          <w:p>
            <w:pPr>
              <w:pStyle w:val="852"/>
              <w:rPr>
                <w:color w:val="000000"/>
              </w:rPr>
            </w:pPr>
            <w:r>
              <w:rPr>
                <w:rFonts w:hint="eastAsia"/>
                <w:color w:val="000000"/>
              </w:rPr>
              <w:t xml:space="preserve">支持多维度统计分析报表数据，其中包括API访问量、API资产数、高危资产数、API的WAF事件数、活跃资产数、敏感信息泄露事件数、非法请求事件数等内容。</w:t>
            </w:r>
            <w:r>
              <w:rPr>
                <w:color w:val="000000"/>
              </w:rPr>
            </w:r>
            <w:r/>
          </w:p>
        </w:tc>
      </w:tr>
      <w:tr>
        <w:trPr>
          <w:trHeight w:val="20"/>
        </w:trPr>
        <w:tc>
          <w:tcPr>
            <w:tcW w:w="812" w:type="pct"/>
            <w:vAlign w:val="center"/>
            <w:textDirection w:val="lrTb"/>
            <w:noWrap w:val="false"/>
          </w:tcPr>
          <w:p>
            <w:pPr>
              <w:pStyle w:val="852"/>
              <w:jc w:val="center"/>
              <w:rPr>
                <w:color w:val="000000"/>
              </w:rPr>
            </w:pPr>
            <w:r>
              <w:rPr>
                <w:rFonts w:hint="eastAsia"/>
                <w:color w:val="000000"/>
              </w:rPr>
              <w:t xml:space="preserve">质保服务要求</w:t>
            </w:r>
            <w:r>
              <w:rPr>
                <w:color w:val="000000"/>
              </w:rPr>
            </w:r>
            <w:r/>
          </w:p>
        </w:tc>
        <w:tc>
          <w:tcPr>
            <w:tcW w:w="4188" w:type="pct"/>
            <w:vAlign w:val="center"/>
            <w:textDirection w:val="lrTb"/>
            <w:noWrap w:val="false"/>
          </w:tcPr>
          <w:p>
            <w:pPr>
              <w:pStyle w:val="852"/>
              <w:rPr>
                <w:color w:val="000000"/>
              </w:rPr>
            </w:pPr>
            <w:r>
              <w:rPr>
                <w:rFonts w:hint="eastAsia"/>
                <w:color w:val="000000"/>
              </w:rPr>
              <w:t xml:space="preserve">要求提供原厂5年软硬件质保和工程师上门服务；</w:t>
            </w:r>
            <w:r>
              <w:rPr>
                <w:color w:val="000000"/>
              </w:rPr>
            </w:r>
            <w:r/>
          </w:p>
        </w:tc>
      </w:tr>
    </w:tbl>
    <w:p>
      <w:pPr>
        <w:pStyle w:val="734"/>
        <w:rPr>
          <w:color w:val="000000"/>
        </w:rPr>
      </w:pPr>
      <w:r>
        <w:rPr>
          <w:color w:val="000000"/>
        </w:rPr>
      </w:r>
      <w:r/>
    </w:p>
    <w:p>
      <w:pPr>
        <w:pStyle w:val="739"/>
        <w:numPr>
          <w:ilvl w:val="0"/>
          <w:numId w:val="31"/>
        </w:numPr>
        <w:keepLines/>
        <w:spacing w:before="320" w:after="200"/>
        <w:rPr>
          <w:rFonts w:hAnsi="宋体" w:cs="宋体"/>
        </w:rPr>
      </w:pPr>
      <w:r>
        <w:rPr>
          <w:rFonts w:hint="eastAsia" w:hAnsi="宋体" w:cs="宋体"/>
        </w:rPr>
        <w:t xml:space="preserve">项目实施要求</w:t>
      </w:r>
      <w:r>
        <w:rPr>
          <w:rFonts w:hAnsi="宋体" w:cs="宋体"/>
        </w:rPr>
      </w:r>
      <w:r/>
    </w:p>
    <w:p>
      <w:pPr>
        <w:pStyle w:val="741"/>
        <w:rPr>
          <w:rFonts w:ascii="宋体" w:hAnsi="宋体" w:cs="宋体"/>
          <w:i/>
          <w:iCs/>
          <w:color w:val="000000"/>
        </w:rPr>
      </w:pPr>
      <w:r>
        <w:rPr>
          <w:rFonts w:hint="eastAsia" w:ascii="宋体" w:hAnsi="宋体" w:cs="宋体"/>
          <w:color w:val="000000"/>
        </w:rPr>
        <w:t xml:space="preserve">2.1</w:t>
      </w:r>
      <w:r>
        <w:rPr>
          <w:rFonts w:ascii="宋体" w:hAnsi="宋体" w:cs="宋体"/>
          <w:color w:val="000000"/>
        </w:rPr>
        <w:t xml:space="preserve">.</w:t>
      </w:r>
      <w:r>
        <w:rPr>
          <w:rFonts w:hint="eastAsia" w:ascii="宋体" w:hAnsi="宋体" w:cs="宋体"/>
          <w:color w:val="000000"/>
        </w:rPr>
        <w:t xml:space="preserve">人力资源配置</w:t>
      </w:r>
      <w:r>
        <w:rPr>
          <w:rFonts w:ascii="宋体" w:hAnsi="宋体" w:cs="宋体"/>
          <w:i/>
          <w:iCs/>
          <w:color w:val="000000"/>
        </w:rPr>
      </w:r>
      <w:r/>
    </w:p>
    <w:p>
      <w:pPr>
        <w:pStyle w:val="734"/>
        <w:ind w:firstLine="420"/>
        <w:rPr>
          <w:color w:val="000000"/>
        </w:rPr>
      </w:pPr>
      <w:r>
        <w:rPr>
          <w:color w:val="000000"/>
        </w:rPr>
        <w:t xml:space="preserve">投标人须成立合理的实施团队，建立健全保障项目顺利实施的各项管理制度和质量保证体系。</w:t>
      </w:r>
      <w:r/>
    </w:p>
    <w:p>
      <w:pPr>
        <w:pStyle w:val="734"/>
        <w:ind w:firstLine="420"/>
        <w:rPr>
          <w:color w:val="000000"/>
        </w:rPr>
      </w:pPr>
      <w:r>
        <w:rPr>
          <w:color w:val="000000"/>
        </w:rPr>
        <w:t xml:space="preserve">投标人须指定专职于本项目的项目经理，配置相应的项目管理、系统分析、设计、开发、测试、集成、培训、质量保证等人员，保证有足够的高素质人员参加本项目的建设，确保工程顺利实施。</w:t>
      </w:r>
      <w:r/>
    </w:p>
    <w:p>
      <w:pPr>
        <w:pStyle w:val="734"/>
        <w:ind w:firstLine="420"/>
        <w:rPr>
          <w:color w:val="000000"/>
        </w:rPr>
      </w:pPr>
      <w:r>
        <w:rPr>
          <w:color w:val="000000"/>
        </w:rPr>
        <w:t xml:space="preserve">参与本项目的技术人员必须具有软件开发经验，能够与用户进行良好沟通，具备相关产品集成、应用和开发的能力。</w:t>
      </w:r>
      <w:r/>
    </w:p>
    <w:p>
      <w:pPr>
        <w:pStyle w:val="734"/>
        <w:ind w:firstLine="420"/>
        <w:rPr>
          <w:color w:val="000000"/>
        </w:rPr>
      </w:pPr>
      <w:r>
        <w:rPr>
          <w:color w:val="000000"/>
        </w:rPr>
        <w:t xml:space="preserve">参与本项目的技术人员必须对本平台及业务系统相关业务有所熟悉。</w:t>
      </w:r>
      <w:r/>
    </w:p>
    <w:p>
      <w:pPr>
        <w:pStyle w:val="734"/>
        <w:ind w:firstLine="420"/>
        <w:rPr>
          <w:color w:val="000000"/>
        </w:rPr>
      </w:pPr>
      <w:r>
        <w:rPr>
          <w:color w:val="000000"/>
        </w:rPr>
        <w:t xml:space="preserve">投标人应根据项目建设的具体内容和整体工期要求，向采购方提交切实可行的项目工作计划。</w:t>
      </w:r>
      <w:r/>
    </w:p>
    <w:p>
      <w:pPr>
        <w:pStyle w:val="741"/>
        <w:rPr>
          <w:rFonts w:ascii="宋体" w:hAnsi="宋体" w:cs="宋体"/>
          <w:i/>
          <w:iCs/>
          <w:color w:val="000000"/>
        </w:rPr>
      </w:pPr>
      <w:r>
        <w:rPr>
          <w:rFonts w:ascii="宋体" w:hAnsi="宋体" w:cs="宋体"/>
          <w:color w:val="000000"/>
        </w:rPr>
        <w:t xml:space="preserve">2.2.质量保证</w:t>
      </w:r>
      <w:r>
        <w:rPr>
          <w:rFonts w:ascii="宋体" w:hAnsi="宋体" w:cs="宋体"/>
          <w:i/>
          <w:iCs/>
          <w:color w:val="000000"/>
        </w:rPr>
      </w:r>
      <w:r/>
    </w:p>
    <w:p>
      <w:pPr>
        <w:pStyle w:val="734"/>
        <w:ind w:firstLine="420"/>
        <w:rPr>
          <w:color w:val="000000"/>
        </w:rPr>
      </w:pPr>
      <w:r>
        <w:rPr>
          <w:color w:val="000000"/>
        </w:rPr>
        <w:t xml:space="preserve">投标人须有针对本项目的质量保证体系和组织，并制订质量保证计划，列出项目实施过程中质量监督和保证执行的措施，要记录质量保证活动，并保存和维护这些记录。</w:t>
      </w:r>
      <w:r/>
    </w:p>
    <w:p>
      <w:pPr>
        <w:pStyle w:val="734"/>
        <w:ind w:firstLine="420"/>
        <w:rPr>
          <w:color w:val="000000"/>
        </w:rPr>
      </w:pPr>
      <w:r>
        <w:rPr>
          <w:color w:val="000000"/>
        </w:rPr>
        <w:t xml:space="preserve">本项目所涉及产品必须是符合国家技术规范和质量标准的合格产品，满足采购方的使用需求，并具有可靠的售后服务体系，质量可靠、使用安全。</w:t>
      </w:r>
      <w:r/>
    </w:p>
    <w:p>
      <w:pPr>
        <w:pStyle w:val="734"/>
        <w:ind w:firstLine="420"/>
        <w:rPr>
          <w:color w:val="000000"/>
        </w:rPr>
      </w:pPr>
      <w:r>
        <w:rPr>
          <w:color w:val="000000"/>
        </w:rPr>
        <w:t xml:space="preserve">系统的设计、开发和集成应符合现行国家计算机系统规范标准。</w:t>
      </w:r>
      <w:r/>
    </w:p>
    <w:p>
      <w:pPr>
        <w:pStyle w:val="734"/>
        <w:ind w:firstLine="420"/>
        <w:rPr>
          <w:color w:val="000000"/>
        </w:rPr>
      </w:pPr>
      <w:r>
        <w:rPr>
          <w:color w:val="000000"/>
        </w:rPr>
        <w:t xml:space="preserve">中标供应商须为维修和技术支持所未能解决的问题和故障提供正式的升级方案。</w:t>
      </w:r>
      <w:r/>
    </w:p>
    <w:p>
      <w:pPr>
        <w:pStyle w:val="734"/>
        <w:ind w:firstLine="420"/>
        <w:rPr>
          <w:color w:val="000000"/>
        </w:rPr>
      </w:pPr>
      <w:r>
        <w:rPr>
          <w:color w:val="000000"/>
        </w:rPr>
        <w:t xml:space="preserve">中标供应商有责任协助采购方解决硬件设备和软件系统在使用过程中碰到的问题，当需要时，中标供应商仍须对所提供产品本身的固有缺陷和瑕疵承担相应责任。</w:t>
      </w:r>
      <w:r/>
    </w:p>
    <w:p>
      <w:pPr>
        <w:pStyle w:val="741"/>
        <w:rPr>
          <w:rFonts w:ascii="宋体" w:hAnsi="宋体" w:cs="宋体"/>
          <w:i/>
          <w:iCs/>
          <w:color w:val="000000"/>
        </w:rPr>
      </w:pPr>
      <w:r>
        <w:rPr>
          <w:rFonts w:ascii="宋体" w:hAnsi="宋体" w:cs="宋体"/>
          <w:color w:val="000000"/>
        </w:rPr>
        <w:t xml:space="preserve">2.3.安全及保密要求</w:t>
      </w:r>
      <w:r>
        <w:rPr>
          <w:rFonts w:ascii="宋体" w:hAnsi="宋体" w:cs="宋体"/>
          <w:i/>
          <w:iCs/>
          <w:color w:val="000000"/>
        </w:rPr>
      </w:r>
      <w:r/>
    </w:p>
    <w:p>
      <w:pPr>
        <w:pStyle w:val="734"/>
        <w:ind w:firstLine="420"/>
        <w:rPr>
          <w:color w:val="000000"/>
        </w:rPr>
      </w:pPr>
      <w:r>
        <w:rPr>
          <w:color w:val="000000"/>
        </w:rPr>
        <w:t xml:space="preserve">系统建设必须遵循有关国家电子政务信息安全保障体系要求，按照国家法规实施安全等级保护，加强系统信息安全管理。</w:t>
      </w:r>
      <w:r/>
    </w:p>
    <w:p>
      <w:pPr>
        <w:pStyle w:val="741"/>
        <w:rPr>
          <w:rFonts w:ascii="宋体" w:hAnsi="宋体" w:cs="宋体"/>
          <w:i/>
          <w:iCs/>
          <w:color w:val="000000"/>
        </w:rPr>
      </w:pPr>
      <w:r>
        <w:rPr>
          <w:rFonts w:ascii="宋体" w:hAnsi="宋体" w:cs="宋体"/>
          <w:color w:val="000000"/>
        </w:rPr>
        <w:t xml:space="preserve">2.4.项目交付要求</w:t>
      </w:r>
      <w:r>
        <w:rPr>
          <w:rFonts w:ascii="宋体" w:hAnsi="宋体" w:cs="宋体"/>
          <w:i/>
          <w:iCs/>
          <w:color w:val="000000"/>
        </w:rPr>
      </w:r>
      <w:r/>
    </w:p>
    <w:p>
      <w:pPr>
        <w:pStyle w:val="734"/>
        <w:ind w:firstLine="420"/>
        <w:rPr>
          <w:color w:val="000000"/>
        </w:rPr>
      </w:pPr>
      <w:r>
        <w:rPr>
          <w:color w:val="000000"/>
        </w:rPr>
        <w:t xml:space="preserve">投标人应在投标文件中提供具体的项目交付说明、交付计划、交付物标准说明等。</w:t>
      </w:r>
      <w:r/>
    </w:p>
    <w:p>
      <w:pPr>
        <w:pStyle w:val="734"/>
        <w:ind w:firstLine="420"/>
        <w:rPr>
          <w:color w:val="000000"/>
        </w:rPr>
      </w:pPr>
      <w:r>
        <w:rPr>
          <w:color w:val="000000"/>
        </w:rPr>
        <w:t xml:space="preserve">投标人在本平台正式运行前必须提供以光盘为介质的完整的安装系统，包括标准二次开发接口、运行所必须的附加软件、与应用软件有关的电子文档等。</w:t>
      </w:r>
      <w:r/>
    </w:p>
    <w:p>
      <w:pPr>
        <w:pStyle w:val="734"/>
        <w:ind w:firstLine="420"/>
        <w:rPr>
          <w:color w:val="000000"/>
        </w:rPr>
      </w:pPr>
      <w:r>
        <w:rPr>
          <w:color w:val="000000"/>
        </w:rPr>
        <w:t xml:space="preserve">软件开发过程中，投标人应按照软件开发要求形成全面详尽的技术资料，包括可运行的程序、过程文档以及最终技术文档，以确保技术资料的一致性和完整性，在系统正式运行前提交完整的与应用系统相关的文档。所交付的文档至少包括：系统需求分析、概要设计、详细设计、数据库设计、测试报告、使用说明书/用户手册、系统维护说明书等。各种文档应当以光盘和书面两种形式交付。</w:t>
      </w:r>
      <w:r/>
    </w:p>
    <w:p>
      <w:pPr>
        <w:pStyle w:val="741"/>
        <w:rPr>
          <w:rFonts w:ascii="宋体" w:hAnsi="宋体" w:cs="宋体"/>
          <w:i/>
          <w:iCs/>
          <w:color w:val="000000"/>
        </w:rPr>
      </w:pPr>
      <w:r>
        <w:rPr>
          <w:rFonts w:ascii="宋体" w:hAnsi="宋体" w:cs="宋体"/>
          <w:color w:val="000000"/>
        </w:rPr>
        <w:t xml:space="preserve">2.5.项目验收要求</w:t>
      </w:r>
      <w:r>
        <w:rPr>
          <w:rFonts w:ascii="宋体" w:hAnsi="宋体" w:cs="宋体"/>
          <w:i/>
          <w:iCs/>
          <w:color w:val="000000"/>
        </w:rPr>
      </w:r>
      <w:r/>
    </w:p>
    <w:p>
      <w:pPr>
        <w:pStyle w:val="734"/>
        <w:ind w:firstLine="420"/>
        <w:rPr>
          <w:color w:val="000000"/>
        </w:rPr>
      </w:pPr>
      <w:r>
        <w:rPr>
          <w:color w:val="000000"/>
        </w:rPr>
        <w:t xml:space="preserve">以招标文件、投标文件、合同为验收依据；试运行完成后，中标方向甲方提交验收申请，验收方案由采购人最终确定，并在一个月内由甲方组织验收。根据采购人确定的最终验收方案，完成验收。</w:t>
      </w:r>
      <w:r/>
    </w:p>
    <w:p>
      <w:pPr>
        <w:pStyle w:val="734"/>
        <w:ind w:firstLine="420"/>
        <w:rPr>
          <w:color w:val="000000"/>
        </w:rPr>
      </w:pPr>
      <w:r>
        <w:rPr>
          <w:color w:val="000000"/>
        </w:rPr>
        <w:t xml:space="preserve">中标供应商应当负责在项目整体验收前将系统的全部各种相关的系统软件，各阶段开发文档，以及有关产品和系统说明书、安装手册、测试报告等文档汇集成册交付给采购方，如中标供应商不提供以上资料，采购方有权不办理项目整体验收程序。</w:t>
      </w:r>
      <w:r/>
    </w:p>
    <w:p>
      <w:pPr>
        <w:pStyle w:val="741"/>
        <w:rPr>
          <w:rFonts w:ascii="宋体" w:hAnsi="宋体" w:cs="宋体"/>
          <w:i/>
          <w:iCs/>
          <w:color w:val="000000"/>
        </w:rPr>
      </w:pPr>
      <w:r>
        <w:rPr>
          <w:rFonts w:ascii="宋体" w:hAnsi="宋体" w:cs="宋体"/>
          <w:color w:val="000000"/>
        </w:rPr>
        <w:t xml:space="preserve">2.6.培训要求</w:t>
      </w:r>
      <w:r>
        <w:rPr>
          <w:rFonts w:ascii="宋体" w:hAnsi="宋体" w:cs="宋体"/>
          <w:i/>
          <w:iCs/>
          <w:color w:val="000000"/>
        </w:rPr>
      </w:r>
      <w:r/>
    </w:p>
    <w:p>
      <w:pPr>
        <w:pStyle w:val="734"/>
        <w:ind w:firstLine="420"/>
        <w:rPr>
          <w:color w:val="000000"/>
        </w:rPr>
      </w:pPr>
      <w:r>
        <w:rPr>
          <w:color w:val="000000"/>
        </w:rPr>
        <w:t xml:space="preserve">中标供应商应针对业务人员培训、管理维护人员制定详细的培训计划。明确各项课程内容、参与人员、教材准备等。</w:t>
      </w:r>
      <w:r/>
    </w:p>
    <w:p>
      <w:pPr>
        <w:pStyle w:val="734"/>
        <w:ind w:firstLine="420"/>
        <w:rPr>
          <w:color w:val="000000"/>
        </w:rPr>
      </w:pPr>
      <w:r>
        <w:rPr>
          <w:color w:val="000000"/>
        </w:rPr>
        <w:t xml:space="preserve">培训地点，培训日期、参加培训人员、培训地点由采购方组织协调，中标供应商负责配合。</w:t>
      </w:r>
      <w:r/>
    </w:p>
    <w:p>
      <w:pPr>
        <w:pStyle w:val="741"/>
        <w:rPr>
          <w:rFonts w:ascii="宋体" w:hAnsi="宋体" w:cs="宋体"/>
          <w:i/>
          <w:iCs/>
          <w:color w:val="000000"/>
        </w:rPr>
      </w:pPr>
      <w:r>
        <w:rPr>
          <w:rFonts w:ascii="宋体" w:hAnsi="宋体" w:cs="宋体"/>
          <w:color w:val="000000"/>
        </w:rPr>
        <w:t xml:space="preserve">2.7.售后服务要求</w:t>
      </w:r>
      <w:r>
        <w:rPr>
          <w:rFonts w:ascii="宋体" w:hAnsi="宋体" w:cs="宋体"/>
          <w:i/>
          <w:iCs/>
          <w:color w:val="000000"/>
        </w:rPr>
      </w:r>
      <w:r/>
    </w:p>
    <w:p>
      <w:pPr>
        <w:pStyle w:val="734"/>
        <w:ind w:firstLine="420"/>
        <w:rPr>
          <w:color w:val="000000"/>
        </w:rPr>
      </w:pPr>
      <w:r>
        <w:rPr>
          <w:color w:val="000000"/>
        </w:rPr>
        <w:t xml:space="preserve">本项目整体质保期为三年，其中硬件设备提供五年原厂免费售后服务，软件提供三年免费售后服务。为确保工程在验收后正常运行，中标人为采购人的相关人员在工程完后进行免费的系统操作培训。中标人应无条件提供有关的技术咨询。中标人为采购人提供点对点服务。</w:t>
      </w:r>
      <w:r/>
    </w:p>
    <w:p>
      <w:pPr>
        <w:pStyle w:val="734"/>
        <w:ind w:firstLine="420"/>
        <w:rPr>
          <w:color w:val="000000"/>
        </w:rPr>
      </w:pPr>
      <w:r>
        <w:rPr>
          <w:color w:val="000000"/>
        </w:rPr>
        <w:t xml:space="preserve">中标人应成立维护小组具体承担维护服务工作，提供7×24小时服务，2小时内现场响应并到达现场，提交故障解决措施，在24小时内解决故障。业务系统发生重大故障时（影响业务正常开展），在1小时内响应并到达现场，提交故障解决措施，在12小时内解决故障。</w:t>
      </w:r>
      <w:r/>
    </w:p>
    <w:p>
      <w:pPr>
        <w:pStyle w:val="741"/>
        <w:rPr>
          <w:rFonts w:ascii="宋体" w:hAnsi="宋体" w:cs="宋体"/>
          <w:i/>
          <w:iCs/>
          <w:color w:val="000000"/>
        </w:rPr>
      </w:pPr>
      <w:r>
        <w:rPr>
          <w:rFonts w:ascii="宋体" w:hAnsi="宋体" w:cs="宋体"/>
          <w:color w:val="000000"/>
        </w:rPr>
        <w:t xml:space="preserve">2.8.知识产权要求</w:t>
      </w:r>
      <w:r>
        <w:rPr>
          <w:rFonts w:ascii="宋体" w:hAnsi="宋体" w:cs="宋体"/>
          <w:i/>
          <w:iCs/>
          <w:color w:val="000000"/>
        </w:rPr>
      </w:r>
      <w:r/>
    </w:p>
    <w:p>
      <w:pPr>
        <w:pStyle w:val="734"/>
        <w:ind w:firstLine="420"/>
        <w:rPr>
          <w:color w:val="000000"/>
        </w:rPr>
      </w:pPr>
      <w:r>
        <w:rPr>
          <w:color w:val="000000"/>
        </w:rPr>
        <w:t xml:space="preserve">中标供应商保证采购方在使用其交付物、服务及其任何部分时不受到第三方关于侵犯专利权、商标权或软件著作权等知识产权的指控。任何第三方如果提出侵权指控，中标供应商应承担可能发生的一切法律责任和费用。供应商承诺在项目各阶段涉及的各类产出物或交付物的知识产权均属于采购人，供应商须提供全部说明文档，进行无保留的知识转移及相关培训。</w:t>
      </w:r>
      <w:r/>
    </w:p>
    <w:p>
      <w:pPr>
        <w:pStyle w:val="734"/>
        <w:ind w:firstLine="420"/>
        <w:rPr>
          <w:color w:val="000000"/>
        </w:rPr>
      </w:pPr>
      <w:r>
        <w:rPr>
          <w:color w:val="000000"/>
        </w:rPr>
        <w:t xml:space="preserve">中标供应商为本项目定制开发的软件，该软件成果的全部知识产权归属甲方所有；乙方不得在未经甲方明确授权的情况下将成果转让、许可或以任何其他形式提供给其他方。</w:t>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34"/>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734"/>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734"/>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本项目工期12个月（含试运行3个月），硬件部署、软件开发、软件功能测试和系统联调9个月，上线试运行3个月</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szCs w:val="24"/>
        </w:rPr>
        <w:t xml:space="preserve">三年。硬件设备提供五年原厂免费售后服务，软件提供三年免费售后服务</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生效后十个工作日内支付合同金额的30%。系统上线试运行后十个工作日内支付合同金额的40%。系统验收合格并审计完成后十个工作日内支付至最终审定金额的95%。项目在整体质保三年期满后十个工作日内支付最终审定金额5%的尾款。</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 </w:t>
      </w:r>
      <w:r>
        <w:rPr>
          <w:rFonts w:hint="eastAsia" w:ascii="宋体" w:hAnsi="宋体"/>
          <w:bCs/>
          <w:color w:val="000000"/>
          <w:sz w:val="24"/>
          <w:szCs w:val="24"/>
        </w:rPr>
        <w:t xml:space="preserve">无锡</w:t>
      </w:r>
      <w:r>
        <w:rPr>
          <w:rFonts w:hint="eastAsia" w:ascii="宋体" w:hAnsi="宋体"/>
          <w:bCs/>
          <w:color w:val="000000"/>
          <w:sz w:val="24"/>
          <w:szCs w:val="24"/>
        </w:rPr>
        <w:t xml:space="preserve"> </w:t>
      </w:r>
      <w:r>
        <w:rPr>
          <w:rFonts w:hint="eastAsia" w:ascii="宋体" w:hAnsi="宋体"/>
          <w:bCs/>
          <w:color w:val="000000"/>
          <w:sz w:val="24"/>
          <w:szCs w:val="24"/>
        </w:rPr>
        <w:t xml:space="preserve"> ，具体地点以合同书约定为准。中标方必须按采购人要求将本项目中货物送到指定地点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34"/>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734"/>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734"/>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34"/>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734"/>
        <w:numPr>
          <w:ilvl w:val="1"/>
          <w:numId w:val="8"/>
        </w:numPr>
        <w:ind w:left="0" w:firstLine="525"/>
        <w:spacing w:line="360" w:lineRule="auto"/>
        <w:tabs>
          <w:tab w:val="left" w:pos="525" w:leader="none"/>
          <w:tab w:val="clear" w:pos="780"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734"/>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734"/>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734"/>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3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734"/>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205"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822"/>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822"/>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822"/>
        <w:spacing w:before="0" w:after="0" w:line="500" w:lineRule="exact"/>
        <w:rPr>
          <w:rFonts w:hint="eastAsia" w:cs="Arial"/>
          <w:color w:val="000000"/>
        </w:rPr>
      </w:pPr>
      <w:r>
        <w:rPr>
          <w:rFonts w:hint="eastAsia" w:cs="Arial"/>
          <w:color w:val="000000"/>
        </w:rPr>
        <w:t xml:space="preserve">比较与评价采用综合评分法。</w:t>
      </w:r>
      <w:r/>
    </w:p>
    <w:p>
      <w:pPr>
        <w:pStyle w:val="822"/>
        <w:spacing w:before="0" w:after="0" w:line="500" w:lineRule="exact"/>
        <w:rPr>
          <w:rStyle w:val="811"/>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w:t>
      </w:r>
      <w:r>
        <w:rPr>
          <w:rFonts w:hint="eastAsia" w:ascii="宋体" w:hAnsi="宋体"/>
          <w:bCs/>
          <w:color w:val="000000"/>
        </w:rPr>
        <w:t xml:space="preserve">按排名先后顺序选取3名中标候选人。</w:t>
      </w:r>
      <w:r>
        <w:rPr>
          <w:rStyle w:val="811"/>
          <w:rFonts w:ascii="Times New Roman" w:hAnsi="Times New Roman"/>
          <w:color w:val="000000"/>
        </w:rPr>
      </w:r>
      <w:r/>
    </w:p>
    <w:p>
      <w:pPr>
        <w:pStyle w:val="822"/>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22"/>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822"/>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734"/>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73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734"/>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734"/>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822"/>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b/>
          <w:color w:val="000000"/>
          <w:sz w:val="28"/>
          <w:szCs w:val="28"/>
        </w:rPr>
      </w:r>
      <w:r/>
    </w:p>
    <w:p>
      <w:pPr>
        <w:pStyle w:val="822"/>
        <w:ind w:firstLine="275"/>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822"/>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rPr>
        <w:t xml:space="preserve">（</w:t>
      </w:r>
      <w:r>
        <w:rPr>
          <w:rFonts w:hint="eastAsia" w:ascii="宋体" w:hAnsi="宋体"/>
          <w:b/>
          <w:color w:val="000000"/>
          <w:sz w:val="28"/>
          <w:szCs w:val="28"/>
        </w:rPr>
        <w:t xml:space="preserve">40</w:t>
      </w:r>
      <w:r>
        <w:rPr>
          <w:rFonts w:hint="eastAsia" w:ascii="宋体" w:hAnsi="宋体"/>
          <w:b/>
          <w:color w:val="000000"/>
          <w:sz w:val="28"/>
          <w:szCs w:val="28"/>
        </w:rPr>
        <w:t xml:space="preserve">分）</w:t>
      </w:r>
      <w:r>
        <w:rPr>
          <w:rFonts w:hint="eastAsia" w:ascii="宋体" w:hAnsi="宋体"/>
          <w:b/>
          <w:color w:val="000000"/>
          <w:sz w:val="28"/>
          <w:szCs w:val="28"/>
        </w:rPr>
      </w:r>
      <w:r/>
    </w:p>
    <w:p>
      <w:pPr>
        <w:pStyle w:val="734"/>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73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3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3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734"/>
        <w:ind w:firstLine="482"/>
        <w:spacing w:line="500" w:lineRule="exact"/>
        <w:tabs>
          <w:tab w:val="left" w:pos="945" w:leader="none"/>
          <w:tab w:val="left" w:pos="1155" w:leader="none"/>
        </w:tabs>
        <w:rPr>
          <w:rFonts w:ascii="宋体" w:hAnsi="宋体"/>
          <w:bCs/>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Cs/>
          <w:color w:val="000000"/>
          <w:sz w:val="24"/>
          <w:szCs w:val="24"/>
        </w:rPr>
      </w:r>
      <w:r/>
    </w:p>
    <w:p>
      <w:pPr>
        <w:pStyle w:val="734"/>
        <w:ind w:firstLine="480"/>
        <w:spacing w:line="360" w:lineRule="auto"/>
        <w:rPr>
          <w:rFonts w:ascii="宋体" w:hAnsi="宋体"/>
          <w:bCs/>
          <w:color w:val="000000"/>
          <w:sz w:val="24"/>
          <w:szCs w:val="24"/>
        </w:rPr>
      </w:pPr>
      <w:r>
        <w:rPr>
          <w:rFonts w:hint="eastAsia" w:ascii="宋体" w:hAnsi="宋体"/>
          <w:bCs/>
          <w:color w:val="000000"/>
          <w:sz w:val="24"/>
          <w:szCs w:val="24"/>
        </w:rPr>
        <w:t xml:space="preserve">2.1</w:t>
      </w:r>
      <w:r>
        <w:rPr>
          <w:rFonts w:ascii="宋体" w:hAnsi="宋体"/>
          <w:bCs/>
          <w:color w:val="000000"/>
          <w:sz w:val="24"/>
          <w:szCs w:val="24"/>
        </w:rPr>
        <w:t xml:space="preserve">项目负责人配置（</w:t>
      </w:r>
      <w:r>
        <w:rPr>
          <w:rFonts w:hint="eastAsia" w:ascii="宋体" w:hAnsi="宋体"/>
          <w:bCs/>
          <w:color w:val="000000"/>
          <w:sz w:val="24"/>
          <w:szCs w:val="24"/>
        </w:rPr>
        <w:t xml:space="preserve">1</w:t>
      </w:r>
      <w:r>
        <w:rPr>
          <w:rFonts w:ascii="宋体" w:hAnsi="宋体"/>
          <w:bCs/>
          <w:color w:val="000000"/>
          <w:sz w:val="24"/>
          <w:szCs w:val="24"/>
        </w:rPr>
        <w:t xml:space="preserve">分）：投标人为本项目配备一名项目负责人，该项目负责人具有高级信息系统项目管理师</w:t>
      </w:r>
      <w:r>
        <w:rPr>
          <w:rFonts w:hint="eastAsia" w:ascii="宋体" w:hAnsi="宋体"/>
          <w:bCs/>
          <w:color w:val="000000"/>
          <w:sz w:val="24"/>
          <w:szCs w:val="24"/>
        </w:rPr>
        <w:t xml:space="preserve">证得1分</w:t>
      </w: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bookmarkStart w:id="206" w:name="_Hlk169556847"/>
      <w:r>
        <w:rPr>
          <w:rFonts w:hint="eastAsia" w:ascii="宋体" w:hAnsi="宋体"/>
          <w:bCs/>
          <w:color w:val="000000"/>
          <w:sz w:val="24"/>
          <w:szCs w:val="24"/>
        </w:rPr>
        <w:t xml:space="preserve">2.2</w:t>
      </w:r>
      <w:r>
        <w:rPr>
          <w:rFonts w:ascii="宋体" w:hAnsi="宋体"/>
          <w:bCs/>
          <w:color w:val="000000"/>
          <w:sz w:val="24"/>
          <w:szCs w:val="24"/>
        </w:rPr>
        <w:t xml:space="preserve">项目其他团队成员配置（</w:t>
      </w:r>
      <w:r>
        <w:rPr>
          <w:rFonts w:hint="eastAsia" w:ascii="宋体" w:hAnsi="宋体"/>
          <w:bCs/>
          <w:color w:val="000000"/>
          <w:sz w:val="24"/>
          <w:szCs w:val="24"/>
        </w:rPr>
        <w:t xml:space="preserve">2</w:t>
      </w:r>
      <w:r>
        <w:rPr>
          <w:rFonts w:ascii="宋体" w:hAnsi="宋体"/>
          <w:bCs/>
          <w:color w:val="000000"/>
          <w:sz w:val="24"/>
          <w:szCs w:val="24"/>
        </w:rPr>
        <w:t xml:space="preserve">分）：除项目负责人外，项目成员具有信息系统项目管理师</w:t>
      </w:r>
      <w:r>
        <w:rPr>
          <w:rFonts w:hint="eastAsia" w:ascii="宋体" w:hAnsi="宋体"/>
          <w:bCs/>
          <w:color w:val="000000"/>
          <w:sz w:val="24"/>
          <w:szCs w:val="24"/>
        </w:rPr>
        <w:t xml:space="preserve">证</w:t>
      </w:r>
      <w:r>
        <w:rPr>
          <w:rFonts w:ascii="宋体" w:hAnsi="宋体"/>
          <w:bCs/>
          <w:color w:val="000000"/>
          <w:sz w:val="24"/>
          <w:szCs w:val="24"/>
        </w:rPr>
        <w:t xml:space="preserve">的得</w:t>
      </w:r>
      <w:r>
        <w:rPr>
          <w:rFonts w:hint="eastAsia" w:ascii="宋体" w:hAnsi="宋体"/>
          <w:bCs/>
          <w:color w:val="000000"/>
          <w:sz w:val="24"/>
          <w:szCs w:val="24"/>
        </w:rPr>
        <w:t xml:space="preserve">1</w:t>
      </w:r>
      <w:r>
        <w:rPr>
          <w:rFonts w:ascii="宋体" w:hAnsi="宋体"/>
          <w:bCs/>
          <w:color w:val="000000"/>
          <w:sz w:val="24"/>
          <w:szCs w:val="24"/>
        </w:rPr>
        <w:t xml:space="preserve">分</w:t>
      </w:r>
      <w:r>
        <w:rPr>
          <w:rFonts w:ascii="宋体" w:hAnsi="宋体"/>
          <w:bCs/>
          <w:color w:val="000000"/>
          <w:sz w:val="24"/>
          <w:szCs w:val="24"/>
        </w:rPr>
        <w:t xml:space="preserve">；具有信息安全保障人员</w:t>
      </w:r>
      <w:r>
        <w:rPr>
          <w:rFonts w:hint="eastAsia" w:ascii="宋体" w:hAnsi="宋体"/>
          <w:bCs/>
          <w:color w:val="000000"/>
          <w:sz w:val="24"/>
          <w:szCs w:val="24"/>
        </w:rPr>
        <w:t xml:space="preserve">证</w:t>
      </w:r>
      <w:r>
        <w:rPr>
          <w:rFonts w:ascii="宋体" w:hAnsi="宋体"/>
          <w:bCs/>
          <w:color w:val="000000"/>
          <w:sz w:val="24"/>
          <w:szCs w:val="24"/>
        </w:rPr>
        <w:t xml:space="preserve">的得</w:t>
      </w:r>
      <w:r>
        <w:rPr>
          <w:rFonts w:hint="eastAsia" w:ascii="宋体" w:hAnsi="宋体"/>
          <w:bCs/>
          <w:color w:val="000000"/>
          <w:sz w:val="24"/>
          <w:szCs w:val="24"/>
        </w:rPr>
        <w:t xml:space="preserve">1</w:t>
      </w:r>
      <w:r>
        <w:rPr>
          <w:rFonts w:ascii="宋体" w:hAnsi="宋体"/>
          <w:bCs/>
          <w:color w:val="000000"/>
          <w:sz w:val="24"/>
          <w:szCs w:val="24"/>
        </w:rPr>
        <w:t xml:space="preserve">分；1人具有多项能力认证的不重复得分</w:t>
      </w:r>
      <w:bookmarkEnd w:id="206"/>
      <w:r>
        <w:rPr>
          <w:rFonts w:hint="eastAsia" w:ascii="宋体" w:hAnsi="宋体"/>
          <w:bCs/>
          <w:color w:val="000000"/>
          <w:sz w:val="24"/>
          <w:szCs w:val="24"/>
        </w:rPr>
        <w:t xml:space="preserve">。</w:t>
      </w:r>
      <w:r>
        <w:rPr>
          <w:rFonts w:ascii="宋体" w:hAnsi="宋体"/>
          <w:bCs/>
          <w:color w:val="000000"/>
          <w:sz w:val="24"/>
          <w:szCs w:val="24"/>
        </w:rPr>
      </w:r>
      <w:r/>
    </w:p>
    <w:p>
      <w:pPr>
        <w:pStyle w:val="734"/>
        <w:ind w:left="482"/>
        <w:spacing w:line="500" w:lineRule="exact"/>
        <w:tabs>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3.</w:t>
      </w: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ascii="宋体" w:hAnsi="宋体"/>
          <w:b/>
          <w:bCs/>
          <w:color w:val="000000"/>
          <w:sz w:val="24"/>
          <w:szCs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3.1业绩（</w:t>
      </w:r>
      <w:r>
        <w:rPr>
          <w:rFonts w:hint="eastAsia" w:ascii="宋体" w:hAnsi="宋体"/>
          <w:color w:val="000000"/>
          <w:sz w:val="24"/>
        </w:rPr>
        <w:t xml:space="preserve">1</w:t>
      </w:r>
      <w:r>
        <w:rPr>
          <w:rFonts w:hint="eastAsia" w:ascii="宋体" w:hAnsi="宋体"/>
          <w:color w:val="000000"/>
          <w:sz w:val="24"/>
        </w:rPr>
        <w:t xml:space="preserve">分）投标人具有与本项目类似的成功案例，每提供一份有效合同复印件得</w:t>
      </w:r>
      <w:r>
        <w:rPr>
          <w:rFonts w:hint="eastAsia" w:ascii="宋体" w:hAnsi="宋体"/>
          <w:color w:val="000000"/>
          <w:sz w:val="24"/>
        </w:rPr>
        <w:t xml:space="preserve">0.5</w:t>
      </w:r>
      <w:r>
        <w:rPr>
          <w:rFonts w:hint="eastAsia" w:ascii="宋体" w:hAnsi="宋体"/>
          <w:color w:val="000000"/>
          <w:sz w:val="24"/>
        </w:rPr>
        <w:t xml:space="preserve">分，最高不超过</w:t>
      </w:r>
      <w:r>
        <w:rPr>
          <w:rFonts w:hint="eastAsia" w:ascii="宋体" w:hAnsi="宋体"/>
          <w:color w:val="000000"/>
          <w:sz w:val="24"/>
        </w:rPr>
        <w:t xml:space="preserve">1</w:t>
      </w:r>
      <w:r>
        <w:rPr>
          <w:rFonts w:hint="eastAsia" w:ascii="宋体" w:hAnsi="宋体"/>
          <w:color w:val="000000"/>
          <w:sz w:val="24"/>
        </w:rPr>
        <w:t xml:space="preserve">分；合同扫描件上传至投标系统中.</w:t>
      </w:r>
      <w:r>
        <w:rPr>
          <w:rFonts w:hint="eastAsia"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3.2认证证书（</w:t>
      </w:r>
      <w:r>
        <w:rPr>
          <w:rFonts w:hint="eastAsia" w:ascii="宋体" w:hAnsi="宋体"/>
          <w:color w:val="000000"/>
          <w:sz w:val="24"/>
        </w:rPr>
        <w:t xml:space="preserve">2</w:t>
      </w:r>
      <w:r>
        <w:rPr>
          <w:rFonts w:hint="eastAsia" w:ascii="宋体" w:hAnsi="宋体"/>
          <w:color w:val="000000"/>
          <w:sz w:val="24"/>
        </w:rPr>
        <w:t xml:space="preserve">分）投标人具有有效期内信息技术服务管理体系认证、信息安全管理体系认证、环境管理体系认证、中国职业健康安全管理体系认证，有一项得</w:t>
      </w:r>
      <w:r>
        <w:rPr>
          <w:rFonts w:hint="eastAsia" w:ascii="宋体" w:hAnsi="宋体"/>
          <w:color w:val="000000"/>
          <w:sz w:val="24"/>
        </w:rPr>
        <w:t xml:space="preserve">0.5</w:t>
      </w:r>
      <w:r>
        <w:rPr>
          <w:rFonts w:hint="eastAsia" w:ascii="宋体" w:hAnsi="宋体"/>
          <w:color w:val="000000"/>
          <w:sz w:val="24"/>
        </w:rPr>
        <w:t xml:space="preserve">分，最高得</w:t>
      </w:r>
      <w:r>
        <w:rPr>
          <w:rFonts w:hint="eastAsia" w:ascii="宋体" w:hAnsi="宋体"/>
          <w:color w:val="000000"/>
          <w:sz w:val="24"/>
        </w:rPr>
        <w:t xml:space="preserve">2</w:t>
      </w:r>
      <w:r>
        <w:rPr>
          <w:rFonts w:hint="eastAsia" w:ascii="宋体" w:hAnsi="宋体"/>
          <w:color w:val="000000"/>
          <w:sz w:val="24"/>
        </w:rPr>
        <w:t xml:space="preserve">分；</w:t>
      </w:r>
      <w:r>
        <w:rPr>
          <w:rFonts w:hint="eastAsia" w:ascii="宋体" w:hAnsi="宋体"/>
          <w:color w:val="000000"/>
          <w:sz w:val="24"/>
        </w:rPr>
        <w:t xml:space="preserve">上传证书扫描件至系统。同时还须提供该证书在“国家市场监督管理总局-全国认证认可信息公共服务平台”网站查询到的有效认证截图。</w:t>
      </w:r>
      <w:r>
        <w:rPr>
          <w:rFonts w:hint="eastAsia" w:ascii="宋体" w:hAnsi="宋体"/>
          <w:color w:val="000000"/>
          <w:sz w:val="24"/>
        </w:rPr>
      </w:r>
      <w:r/>
    </w:p>
    <w:p>
      <w:pPr>
        <w:pStyle w:val="734"/>
        <w:ind w:firstLine="482"/>
        <w:spacing w:line="500" w:lineRule="exact"/>
        <w:rPr>
          <w:rFonts w:hint="eastAsia" w:ascii="宋体" w:hAnsi="宋体"/>
          <w:b/>
          <w:bCs/>
          <w:color w:val="000000"/>
          <w:sz w:val="24"/>
          <w:szCs w:val="24"/>
        </w:rPr>
      </w:pPr>
      <w:r>
        <w:rPr>
          <w:rFonts w:hint="eastAsia" w:ascii="宋体" w:hAnsi="宋体"/>
          <w:b/>
          <w:bCs/>
          <w:color w:val="000000"/>
          <w:sz w:val="24"/>
          <w:szCs w:val="24"/>
        </w:rPr>
        <w:t xml:space="preserve">4.产品技术（4分）</w:t>
      </w:r>
      <w:r/>
    </w:p>
    <w:p>
      <w:pPr>
        <w:pStyle w:val="734"/>
        <w:ind w:firstLine="480"/>
        <w:spacing w:line="500" w:lineRule="exact"/>
        <w:rPr>
          <w:rFonts w:ascii="宋体" w:hAnsi="宋体"/>
          <w:color w:val="000000"/>
          <w:sz w:val="24"/>
        </w:rPr>
      </w:pPr>
      <w:r>
        <w:rPr>
          <w:rFonts w:hint="eastAsia" w:ascii="宋体" w:hAnsi="宋体"/>
          <w:color w:val="000000"/>
          <w:sz w:val="24"/>
        </w:rPr>
        <w:t xml:space="preserve">4.1</w:t>
      </w:r>
      <w:r>
        <w:rPr>
          <w:rFonts w:ascii="宋体" w:hAnsi="宋体"/>
          <w:color w:val="000000"/>
          <w:sz w:val="24"/>
        </w:rPr>
        <w:t xml:space="preserve">数据库安全运维系统（0.5分）：所投产品支持敏感数据扫描与访问审计，支持用户数据库中敏感信息的自动发现和手动添加，可定位敏感数据所在数据库名、实例名、表名、列名，支持内置规则一键复制，支持2倍速、3倍速、4倍速等查看会话回放；支持国密算法SM2/SM3/SM4的浏览器进行登录管理，如红莲花、密信等，以保证系统访问安全性。（投标时须提供功能界面截图证明，并加盖原厂商公章；否则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4.2</w:t>
      </w:r>
      <w:r>
        <w:rPr>
          <w:rFonts w:ascii="宋体" w:hAnsi="宋体"/>
          <w:color w:val="000000"/>
          <w:sz w:val="24"/>
        </w:rPr>
        <w:t xml:space="preserve">数据防勒索系统（0.5分）：所投产品支持信任应用保护策略，信任验证机制至少通过识别程序名、程序签名及安全标签（程序哈希值）三种方式对应用进行保护；支持引导区保护模式，通过锁住系统引导区，防止恶意指令或代码修改操作系统系统引导区，且客户端在离线模式下仍然具备数据安全保护能力，以保证系统访问安全性。（投标时须提供功能界面截图证明，并加盖原厂商公章；否则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4.3</w:t>
      </w:r>
      <w:r>
        <w:rPr>
          <w:rFonts w:ascii="宋体" w:hAnsi="宋体"/>
          <w:color w:val="000000"/>
          <w:sz w:val="24"/>
        </w:rPr>
        <w:t xml:space="preserve">安全态势感知设备（0.5分）：所投产品内置至少30种分析模型，包括但不限于失陷状态、FTP登录失败、敏感文件信息泄露、成功暴力破解、文件上传漏洞等，支持模型新增、编辑、删除、查看、启用、停用、置顶等操作，支持模型批量删除、批量启用、批量停用，支持导入导出自定义模型，支持导入内置模型，状态为启用的模型不允许操作，支持按照模型名称、模式、模型状态、模型分类、关注度进行过滤查询，以保证系统访问安全性。（投标时须提供功能界面截图证明，并加盖原厂商公章；否则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4.4</w:t>
      </w:r>
      <w:r>
        <w:rPr>
          <w:rFonts w:ascii="宋体" w:hAnsi="宋体"/>
          <w:color w:val="000000"/>
          <w:sz w:val="24"/>
        </w:rPr>
        <w:t xml:space="preserve">安全态势感知探针（0.5分）：所投产品支持僵尸主机与控制主机异常通信行为检测，具有独立的僵尸主机特征库，能够对10000种以上僵尸主机行为进行监测，包括僵尸网络行为、木马控制行为、蠕虫活动行为、挖矿行为、勒索软件行为、移动端木马控制行为、APT行为等多类型的僵尸主机行为；支持攻击检测规则库、应用识别库、URL分类规则库、僵尸主机规则库、威胁情报库、地理信息库，且各规则库相互独立，以保证系统访问安全性。（投标时须提供功能界面截图证明，并加盖原厂商公章；否则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4.5 </w:t>
      </w:r>
      <w:r>
        <w:rPr>
          <w:rFonts w:ascii="宋体" w:hAnsi="宋体"/>
          <w:color w:val="000000"/>
          <w:sz w:val="24"/>
        </w:rPr>
        <w:t xml:space="preserve">API安全网关（0.5分）：所投产品API资产列表支持swagger文件的导入和导出，支持对API 资产swagger、csv文件进行针对性的漏洞扫描和业务安全检测，对发现的所有风险问题都会提供完整并详细的风险评估报告；同时要求每次访问时，需要具有访问令牌，要求令牌动态变化，以保证系统访问安全性。（投标时须提供证书复印件证明，并加盖原厂商公章；否则不得分）</w:t>
      </w:r>
      <w:r/>
    </w:p>
    <w:p>
      <w:pPr>
        <w:pStyle w:val="734"/>
        <w:ind w:firstLine="480"/>
        <w:spacing w:line="500" w:lineRule="exact"/>
        <w:rPr>
          <w:rFonts w:ascii="宋体" w:hAnsi="宋体"/>
          <w:color w:val="000000"/>
          <w:sz w:val="24"/>
        </w:rPr>
      </w:pPr>
      <w:r/>
      <w:bookmarkStart w:id="207" w:name="_Hlk169559349"/>
      <w:r>
        <w:rPr>
          <w:rFonts w:hint="eastAsia" w:ascii="宋体" w:hAnsi="宋体"/>
          <w:color w:val="000000"/>
          <w:sz w:val="24"/>
        </w:rPr>
        <w:t xml:space="preserve">4.6</w:t>
      </w:r>
      <w:r>
        <w:rPr>
          <w:rFonts w:ascii="宋体" w:hAnsi="宋体"/>
          <w:color w:val="000000"/>
          <w:sz w:val="24"/>
        </w:rPr>
        <w:t xml:space="preserve">遥感数据支持能力（</w:t>
      </w:r>
      <w:r>
        <w:rPr>
          <w:rFonts w:hint="eastAsia" w:ascii="宋体" w:hAnsi="宋体"/>
          <w:color w:val="000000"/>
          <w:sz w:val="24"/>
        </w:rPr>
        <w:t xml:space="preserve">1.5</w:t>
      </w:r>
      <w:r>
        <w:rPr>
          <w:rFonts w:ascii="宋体" w:hAnsi="宋体"/>
          <w:color w:val="000000"/>
          <w:sz w:val="24"/>
        </w:rPr>
        <w:t xml:space="preserve">分）为确保本项目卫星遥感相关工作，投标人应可获取不少于3类国产亚米级遥感卫星数据，并提供相关授权证明可供本项目使用，每提供1类得</w:t>
      </w:r>
      <w:r>
        <w:rPr>
          <w:rFonts w:hint="eastAsia" w:ascii="宋体" w:hAnsi="宋体"/>
          <w:color w:val="000000"/>
          <w:sz w:val="24"/>
        </w:rPr>
        <w:t xml:space="preserve">0.5</w:t>
      </w:r>
      <w:r>
        <w:rPr>
          <w:rFonts w:ascii="宋体" w:hAnsi="宋体"/>
          <w:color w:val="000000"/>
          <w:sz w:val="24"/>
        </w:rPr>
        <w:t xml:space="preserve">分，最高得</w:t>
      </w:r>
      <w:r>
        <w:rPr>
          <w:rFonts w:hint="eastAsia" w:ascii="宋体" w:hAnsi="宋体"/>
          <w:color w:val="000000"/>
          <w:sz w:val="24"/>
        </w:rPr>
        <w:t xml:space="preserve">1.5</w:t>
      </w:r>
      <w:r>
        <w:rPr>
          <w:rFonts w:ascii="宋体" w:hAnsi="宋体"/>
          <w:color w:val="000000"/>
          <w:sz w:val="24"/>
        </w:rPr>
        <w:t xml:space="preserve">分，同一类卫星系列授权证明不重复计分，否则不得分。</w:t>
      </w:r>
      <w:r/>
    </w:p>
    <w:p>
      <w:pPr>
        <w:pStyle w:val="734"/>
        <w:ind w:left="482"/>
        <w:spacing w:line="500" w:lineRule="exact"/>
        <w:tabs>
          <w:tab w:val="left" w:pos="945" w:leader="none"/>
          <w:tab w:val="left" w:pos="1155" w:leader="none"/>
          <w:tab w:val="left" w:pos="3823" w:leader="none"/>
        </w:tabs>
        <w:rPr>
          <w:rFonts w:ascii="宋体" w:hAnsi="宋体"/>
          <w:b/>
          <w:bCs/>
          <w:color w:val="000000"/>
          <w:sz w:val="24"/>
          <w:szCs w:val="24"/>
        </w:rPr>
      </w:pPr>
      <w:r/>
      <w:bookmarkEnd w:id="207"/>
      <w:r>
        <w:rPr>
          <w:rFonts w:hint="eastAsia" w:ascii="宋体" w:hAnsi="宋体"/>
          <w:color w:val="000000"/>
          <w:sz w:val="24"/>
        </w:rPr>
        <w:t xml:space="preserve">5</w:t>
      </w: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734"/>
        <w:ind w:left="482"/>
        <w:spacing w:line="500" w:lineRule="exact"/>
        <w:tabs>
          <w:tab w:val="left" w:pos="945" w:leader="none"/>
          <w:tab w:val="left" w:pos="1155" w:leader="none"/>
        </w:tabs>
        <w:rPr>
          <w:rFonts w:ascii="宋体"/>
          <w:b/>
          <w:bCs/>
          <w:color w:val="000000"/>
          <w:sz w:val="24"/>
          <w:szCs w:val="24"/>
        </w:rPr>
      </w:pPr>
      <w:r>
        <w:rPr>
          <w:rFonts w:hint="eastAsia" w:ascii="宋体" w:hAnsi="宋体"/>
          <w:b/>
          <w:bCs/>
          <w:color w:val="000000"/>
          <w:sz w:val="24"/>
          <w:szCs w:val="24"/>
        </w:rPr>
        <w:t xml:space="preserve">6.</w:t>
      </w:r>
      <w:r>
        <w:rPr>
          <w:rFonts w:hint="eastAsia" w:ascii="宋体" w:hAnsi="宋体"/>
          <w:b/>
          <w:bCs/>
          <w:color w:val="000000"/>
          <w:sz w:val="24"/>
          <w:szCs w:val="24"/>
        </w:rPr>
        <w:t xml:space="preserve">演示（</w:t>
      </w:r>
      <w:r>
        <w:rPr>
          <w:rFonts w:hint="eastAsia" w:ascii="宋体" w:hAnsi="宋体"/>
          <w:b/>
          <w:bCs/>
          <w:color w:val="000000"/>
          <w:sz w:val="24"/>
          <w:szCs w:val="24"/>
        </w:rPr>
        <w:t xml:space="preserve">8</w:t>
      </w:r>
      <w:r>
        <w:rPr>
          <w:rFonts w:hint="eastAsia" w:ascii="宋体" w:hAnsi="宋体"/>
          <w:b/>
          <w:bCs/>
          <w:color w:val="000000"/>
          <w:sz w:val="24"/>
          <w:szCs w:val="24"/>
        </w:rPr>
        <w:t xml:space="preserve">分）：</w:t>
      </w:r>
      <w:r>
        <w:rPr>
          <w:rFonts w:hint="eastAsia" w:ascii="宋体" w:hAnsi="宋体"/>
          <w:bCs/>
          <w:color w:val="000000"/>
          <w:sz w:val="24"/>
          <w:szCs w:val="24"/>
        </w:rPr>
        <w:t xml:space="preserve">演示必须是目前正在运行的真实环境或模拟环境，不得使用PPT演示稿或录屏、截图等其他方式演示。演示时间不超过15分钟，无演示不得分。本项目演示为投标人在线提供演示，投标人无需到现场，关于在线演示操作，详见</w:t>
      </w:r>
      <w:r>
        <w:rPr>
          <w:rFonts w:hint="eastAsia" w:ascii="宋体" w:hAnsi="宋体"/>
          <w:bCs/>
          <w:color w:val="000000"/>
          <w:sz w:val="24"/>
          <w:szCs w:val="24"/>
        </w:rPr>
        <w:t xml:space="preserve">《操作手册》</w:t>
      </w:r>
      <w:r>
        <w:rPr>
          <w:rFonts w:hint="eastAsia" w:ascii="宋体" w:hAnsi="宋体"/>
          <w:bCs/>
          <w:color w:val="000000"/>
          <w:sz w:val="24"/>
          <w:szCs w:val="24"/>
        </w:rPr>
        <w:t xml:space="preserve">。投标人提供演示的须自行配备好演示所需设备（包括：电脑、摄像头、耳机、麦克风、网络环境等），并确保有人随时响应演示请求以及演示时网络的通畅，不能按时响应演示请求的视为无演示，不得分。</w:t>
      </w:r>
      <w:r>
        <w:rPr>
          <w:rFonts w:ascii="宋体"/>
          <w:b/>
          <w:bCs/>
          <w:color w:val="000000"/>
          <w:sz w:val="24"/>
          <w:szCs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6.1  </w:t>
      </w:r>
      <w:r>
        <w:rPr>
          <w:rFonts w:hint="eastAsia" w:ascii="宋体" w:hAnsi="宋体"/>
          <w:color w:val="000000"/>
          <w:sz w:val="24"/>
        </w:rPr>
        <w:t xml:space="preserve">高程地形（0.5分）孪生引擎加载全球高程地形，并叠加无锡高分辨率高程地形；且支持全局和局部地形高程的压平（0.5分）</w:t>
      </w:r>
      <w:r>
        <w:rPr>
          <w:rFonts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6.2  </w:t>
      </w:r>
      <w:r>
        <w:rPr>
          <w:rFonts w:hint="eastAsia" w:ascii="宋体" w:hAnsi="宋体"/>
          <w:color w:val="000000"/>
          <w:sz w:val="24"/>
        </w:rPr>
        <w:t xml:space="preserve">影像加载（1.5分）孪生引擎在线加载天地图、星图地球、高德地图、江苏省天地图图源底图（0.5分）；支持CGCS2000、WGS84、GCJ02投影坐标系图源（0.5分），且支持不同图源无偏移叠加（0.5分）</w:t>
      </w:r>
      <w:r>
        <w:rPr>
          <w:rFonts w:hint="eastAsia" w:ascii="宋体" w:hAnsi="宋体"/>
          <w:color w:val="000000"/>
          <w:sz w:val="24"/>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6.3矢量加载（1分）孪生引擎动态加载shp格式行政区划矢量数据，在三维场景中动态生成模型（1分）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6.4栅格加载（0.5分）孪生引擎动态加载tif格式栅格水文气象数据，在三维场景中实现三维可视化分析渲染，并显示当前tif的水文气象数据（0.5分）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6.5气象环境仿真（2分）孪生引擎接入实时气象环境数据，支持一天不同时间段光照时空仿真效果（0.5分）；支持晴天、多云、雨、雪、霾不同天气仿真效果（0.5分）；支持不同季节植被着色差异效果（0.5分）；支持风力风向对植被产生扰动效果（0.5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6.6监测预警（0.5分）综合展示水、陆、空、天四种途径的监测情况，包含国省考断面、湖体、卫星遥感和无人机并能查询对应点位数据信息（0.5分）。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6.7一点一档（0.5分）展示水质断面一点一档信息，包括站点简介、监测数据、水质日历和达标余量（0.5分）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6.8一河一档（0.5分）展示河流一河一档信息，包括基本情况、入河排口情况、河流通量分析，并能对超标数据进行溯源分析和展示（0.5分）</w:t>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6.9安全度夏（0.5分）展示安全度夏综合分析，包括防控级别、水华面积、湖泛面积和蓝藻处置统计（0.5分）。</w:t>
      </w:r>
      <w:r/>
    </w:p>
    <w:p>
      <w:pPr>
        <w:pStyle w:val="734"/>
        <w:ind w:firstLine="480"/>
        <w:spacing w:line="500" w:lineRule="exact"/>
        <w:rPr>
          <w:rFonts w:ascii="宋体" w:hAnsi="宋体"/>
          <w:color w:val="000000"/>
          <w:sz w:val="24"/>
        </w:rPr>
      </w:pPr>
      <w:r>
        <w:rPr>
          <w:rFonts w:hint="eastAsia" w:ascii="宋体" w:hAnsi="宋体"/>
          <w:color w:val="000000"/>
          <w:sz w:val="24"/>
        </w:rPr>
        <w:t xml:space="preserve">6.10治太工程（0.5分）在GIS地图中查看项目的区域分布和项目信息详情；且可根据项目分类来查看对应重点工程项目，统计区域项目完成情况（0.5分）</w:t>
      </w:r>
      <w:r>
        <w:rPr>
          <w:rFonts w:ascii="宋体" w:hAnsi="宋体"/>
          <w:color w:val="000000"/>
          <w:sz w:val="24"/>
        </w:rPr>
      </w:r>
      <w:r/>
    </w:p>
    <w:p>
      <w:pPr>
        <w:pStyle w:val="822"/>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rPr>
        <w:t xml:space="preserve">（</w:t>
      </w:r>
      <w:r>
        <w:rPr>
          <w:rFonts w:hint="eastAsia" w:ascii="宋体" w:hAnsi="宋体"/>
          <w:b/>
          <w:color w:val="000000"/>
          <w:sz w:val="28"/>
          <w:szCs w:val="28"/>
        </w:rPr>
        <w:t xml:space="preserve">60</w:t>
      </w:r>
      <w:r>
        <w:rPr>
          <w:rFonts w:hint="eastAsia" w:ascii="宋体" w:hAnsi="宋体"/>
          <w:b/>
          <w:color w:val="000000"/>
          <w:sz w:val="28"/>
          <w:szCs w:val="28"/>
        </w:rPr>
        <w:t xml:space="preserve">分）</w:t>
      </w:r>
      <w:r/>
    </w:p>
    <w:p>
      <w:pPr>
        <w:pStyle w:val="822"/>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w:t>
      </w:r>
      <w:r>
        <w:rPr>
          <w:rFonts w:hint="eastAsia" w:ascii="宋体" w:hAnsi="宋体"/>
          <w:b/>
          <w:color w:val="000000"/>
          <w:sz w:val="28"/>
          <w:szCs w:val="28"/>
          <w:u w:val="single"/>
        </w:rPr>
        <w:t xml:space="preserve">技术部分属于暗标，投标人在制作技术部分相关内容时不得有体现投标人身份的内容，否则投标无效</w:t>
      </w:r>
      <w:r>
        <w:rPr>
          <w:rFonts w:hint="eastAsia" w:ascii="宋体" w:hAnsi="宋体"/>
          <w:b/>
          <w:color w:val="000000"/>
          <w:sz w:val="28"/>
          <w:szCs w:val="28"/>
          <w:u w:val="single"/>
        </w:rPr>
        <w:t xml:space="preserve">。</w:t>
      </w:r>
      <w:r>
        <w:rPr>
          <w:rFonts w:hint="eastAsia" w:ascii="宋体" w:hAnsi="宋体"/>
          <w:b/>
          <w:color w:val="000000"/>
          <w:sz w:val="28"/>
          <w:szCs w:val="28"/>
          <w:u w:val="single"/>
        </w:rPr>
      </w:r>
      <w:r/>
    </w:p>
    <w:p>
      <w:pPr>
        <w:pStyle w:val="734"/>
        <w:ind w:firstLine="480"/>
        <w:spacing w:line="500" w:lineRule="exact"/>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项目方案（</w:t>
      </w:r>
      <w:r>
        <w:rPr>
          <w:rFonts w:hint="eastAsia" w:ascii="宋体" w:hAnsi="宋体"/>
          <w:color w:val="000000"/>
          <w:sz w:val="24"/>
        </w:rPr>
        <w:t xml:space="preserve">60</w:t>
      </w:r>
      <w:r>
        <w:rPr>
          <w:rFonts w:hint="eastAsia" w:ascii="宋体" w:hAnsi="宋体"/>
          <w:color w:val="000000"/>
          <w:sz w:val="24"/>
        </w:rPr>
        <w:t xml:space="preserve">分）：</w:t>
      </w:r>
      <w:r>
        <w:rPr>
          <w:rFonts w:hint="eastAsia" w:ascii="宋体" w:hAnsi="宋体"/>
          <w:color w:val="000000"/>
          <w:sz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color w:val="000000"/>
          <w:sz w:val="24"/>
        </w:rPr>
      </w:r>
      <w:r/>
    </w:p>
    <w:p>
      <w:pPr>
        <w:pStyle w:val="734"/>
        <w:ind w:firstLine="480"/>
        <w:spacing w:line="500" w:lineRule="exact"/>
        <w:rPr>
          <w:rFonts w:ascii="宋体" w:hAnsi="宋体"/>
          <w:color w:val="000000"/>
          <w:sz w:val="24"/>
        </w:rPr>
      </w:pPr>
      <w:r>
        <w:rPr>
          <w:rFonts w:hint="eastAsia" w:ascii="宋体" w:hAnsi="宋体"/>
          <w:color w:val="000000"/>
          <w:sz w:val="24"/>
        </w:rPr>
        <w:t xml:space="preserve">7.1</w:t>
      </w:r>
      <w:r>
        <w:rPr>
          <w:rFonts w:ascii="宋体" w:hAnsi="宋体"/>
          <w:color w:val="000000"/>
          <w:sz w:val="24"/>
        </w:rPr>
        <w:t xml:space="preserve">需求理解方案（</w:t>
      </w:r>
      <w:r>
        <w:rPr>
          <w:rFonts w:hint="eastAsia" w:ascii="宋体" w:hAnsi="宋体"/>
          <w:color w:val="000000"/>
          <w:sz w:val="24"/>
        </w:rPr>
        <w:t xml:space="preserve">6</w:t>
      </w:r>
      <w:r>
        <w:rPr>
          <w:rFonts w:ascii="宋体" w:hAnsi="宋体"/>
          <w:color w:val="000000"/>
          <w:sz w:val="24"/>
        </w:rPr>
        <w:t xml:space="preserve">分）投标人</w:t>
      </w:r>
      <w:r>
        <w:rPr>
          <w:rFonts w:hint="eastAsia" w:ascii="宋体" w:hAnsi="宋体"/>
          <w:color w:val="000000"/>
          <w:sz w:val="24"/>
        </w:rPr>
        <w:t xml:space="preserve">须</w:t>
      </w:r>
      <w:r>
        <w:rPr>
          <w:rFonts w:ascii="宋体" w:hAnsi="宋体"/>
          <w:color w:val="000000"/>
          <w:sz w:val="24"/>
        </w:rPr>
        <w:t xml:space="preserve">对本项目的</w:t>
      </w:r>
      <w:r>
        <w:rPr>
          <w:rFonts w:hint="eastAsia" w:ascii="宋体" w:hAnsi="宋体"/>
          <w:color w:val="000000"/>
          <w:sz w:val="24"/>
        </w:rPr>
        <w:t xml:space="preserve">项目</w:t>
      </w:r>
      <w:r>
        <w:rPr>
          <w:rFonts w:ascii="宋体" w:hAnsi="宋体"/>
          <w:color w:val="000000"/>
          <w:sz w:val="24"/>
        </w:rPr>
        <w:t xml:space="preserve">背景、</w:t>
      </w:r>
      <w:r>
        <w:rPr>
          <w:rFonts w:hint="eastAsia" w:ascii="宋体" w:hAnsi="宋体"/>
          <w:color w:val="000000"/>
          <w:sz w:val="24"/>
        </w:rPr>
        <w:t xml:space="preserve">建设目标与内容、</w:t>
      </w:r>
      <w:r>
        <w:rPr>
          <w:rFonts w:ascii="宋体" w:hAnsi="宋体"/>
          <w:color w:val="000000"/>
          <w:sz w:val="24"/>
        </w:rPr>
        <w:t xml:space="preserve">技术</w:t>
      </w:r>
      <w:r>
        <w:rPr>
          <w:rFonts w:hint="eastAsia" w:ascii="宋体" w:hAnsi="宋体"/>
          <w:color w:val="000000"/>
          <w:sz w:val="24"/>
        </w:rPr>
        <w:t xml:space="preserve">参数</w:t>
      </w:r>
      <w:r>
        <w:rPr>
          <w:rFonts w:ascii="宋体" w:hAnsi="宋体"/>
          <w:color w:val="000000"/>
          <w:sz w:val="24"/>
        </w:rPr>
        <w:t xml:space="preserve">要求</w:t>
      </w:r>
      <w:r>
        <w:rPr>
          <w:rFonts w:hint="eastAsia" w:ascii="宋体" w:hAnsi="宋体"/>
          <w:color w:val="000000"/>
          <w:sz w:val="24"/>
        </w:rPr>
        <w:t xml:space="preserve">等进行深入理解，形成需求理解方案</w:t>
      </w:r>
      <w:r>
        <w:rPr>
          <w:rFonts w:ascii="宋体" w:hAnsi="宋体"/>
          <w:color w:val="000000"/>
          <w:sz w:val="24"/>
        </w:rPr>
        <w:t xml:space="preserve">。（方案完整详实、合理、可行且符合实际要求：（</w:t>
      </w:r>
      <w:r>
        <w:rPr>
          <w:rFonts w:hint="eastAsia" w:ascii="宋体" w:hAnsi="宋体"/>
          <w:color w:val="000000"/>
          <w:sz w:val="24"/>
        </w:rPr>
        <w:t xml:space="preserve">6</w:t>
      </w:r>
      <w:r>
        <w:rPr>
          <w:rFonts w:ascii="宋体" w:hAnsi="宋体"/>
          <w:color w:val="000000"/>
          <w:sz w:val="24"/>
        </w:rPr>
        <w:t xml:space="preserve">）分，方案基本可行、合理、较为符合实际情况：（</w:t>
      </w:r>
      <w:r>
        <w:rPr>
          <w:rFonts w:hint="eastAsia" w:ascii="宋体" w:hAnsi="宋体"/>
          <w:color w:val="000000"/>
          <w:sz w:val="24"/>
        </w:rPr>
        <w:t xml:space="preserve">4</w:t>
      </w:r>
      <w:r>
        <w:rPr>
          <w:rFonts w:ascii="宋体" w:hAnsi="宋体"/>
          <w:color w:val="000000"/>
          <w:sz w:val="24"/>
        </w:rPr>
        <w:t xml:space="preserve">）分，方案不够可行、不够合理：（</w:t>
      </w:r>
      <w:r>
        <w:rPr>
          <w:rFonts w:hint="eastAsia" w:ascii="宋体" w:hAnsi="宋体"/>
          <w:color w:val="000000"/>
          <w:sz w:val="24"/>
        </w:rPr>
        <w:t xml:space="preserve">2</w:t>
      </w:r>
      <w:r>
        <w:rPr>
          <w:rFonts w:ascii="宋体" w:hAnsi="宋体"/>
          <w:color w:val="000000"/>
          <w:sz w:val="24"/>
        </w:rPr>
        <w:t xml:space="preserve">）分，未提供方案不得分）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7.2</w:t>
      </w:r>
      <w:r>
        <w:rPr>
          <w:rFonts w:ascii="宋体" w:hAnsi="宋体"/>
          <w:color w:val="000000"/>
          <w:sz w:val="24"/>
        </w:rPr>
        <w:t xml:space="preserve">项目建设方案（</w:t>
      </w:r>
      <w:r>
        <w:rPr>
          <w:rFonts w:hint="eastAsia" w:ascii="宋体" w:hAnsi="宋体"/>
          <w:color w:val="000000"/>
          <w:sz w:val="24"/>
        </w:rPr>
        <w:t xml:space="preserve">25</w:t>
      </w:r>
      <w:r>
        <w:rPr>
          <w:rFonts w:ascii="宋体" w:hAnsi="宋体"/>
          <w:color w:val="000000"/>
          <w:sz w:val="24"/>
        </w:rPr>
        <w:t xml:space="preserve">分）投标人</w:t>
      </w:r>
      <w:r>
        <w:rPr>
          <w:rFonts w:hint="eastAsia" w:ascii="宋体" w:hAnsi="宋体"/>
          <w:color w:val="000000"/>
          <w:sz w:val="24"/>
        </w:rPr>
        <w:t xml:space="preserve">须</w:t>
      </w:r>
      <w:r>
        <w:rPr>
          <w:rFonts w:ascii="宋体" w:hAnsi="宋体"/>
          <w:color w:val="000000"/>
          <w:sz w:val="24"/>
        </w:rPr>
        <w:t xml:space="preserve">根据技术参数要求提供符合项目建设目标</w:t>
      </w:r>
      <w:r>
        <w:rPr>
          <w:rFonts w:hint="eastAsia" w:ascii="宋体" w:hAnsi="宋体"/>
          <w:color w:val="000000"/>
          <w:sz w:val="24"/>
        </w:rPr>
        <w:t xml:space="preserve">与内容、</w:t>
      </w:r>
      <w:r>
        <w:rPr>
          <w:rFonts w:ascii="宋体" w:hAnsi="宋体"/>
          <w:color w:val="000000"/>
          <w:sz w:val="24"/>
        </w:rPr>
        <w:t xml:space="preserve">用户需求</w:t>
      </w:r>
      <w:r>
        <w:rPr>
          <w:rFonts w:hint="eastAsia" w:ascii="宋体" w:hAnsi="宋体"/>
          <w:color w:val="000000"/>
          <w:sz w:val="24"/>
        </w:rPr>
        <w:t xml:space="preserve">，</w:t>
      </w:r>
      <w:r>
        <w:rPr>
          <w:rFonts w:ascii="宋体" w:hAnsi="宋体"/>
          <w:color w:val="000000"/>
          <w:sz w:val="24"/>
        </w:rPr>
        <w:t xml:space="preserve">技术架构先进的项目建设方案，至少包含：</w:t>
      </w:r>
      <w:r>
        <w:rPr>
          <w:rFonts w:hint="eastAsia" w:ascii="宋体" w:hAnsi="宋体"/>
          <w:color w:val="000000"/>
          <w:sz w:val="24"/>
        </w:rPr>
        <w:t xml:space="preserve">①</w:t>
      </w:r>
      <w:r>
        <w:rPr>
          <w:rFonts w:ascii="宋体" w:hAnsi="宋体"/>
          <w:color w:val="000000"/>
          <w:sz w:val="24"/>
        </w:rPr>
        <w:t xml:space="preserve">项目涉及关键技术路线、</w:t>
      </w:r>
      <w:r>
        <w:rPr>
          <w:rFonts w:hint="eastAsia" w:ascii="宋体" w:hAnsi="宋体"/>
          <w:color w:val="000000"/>
          <w:sz w:val="24"/>
        </w:rPr>
        <w:t xml:space="preserve">②</w:t>
      </w:r>
      <w:r>
        <w:rPr>
          <w:rFonts w:ascii="宋体" w:hAnsi="宋体"/>
          <w:color w:val="000000"/>
          <w:sz w:val="24"/>
        </w:rPr>
        <w:t xml:space="preserve">系统架构、</w:t>
      </w:r>
      <w:r>
        <w:rPr>
          <w:rFonts w:hint="eastAsia" w:ascii="宋体" w:hAnsi="宋体"/>
          <w:color w:val="000000"/>
          <w:sz w:val="24"/>
        </w:rPr>
        <w:t xml:space="preserve">③</w:t>
      </w:r>
      <w:r>
        <w:rPr>
          <w:rFonts w:ascii="宋体" w:hAnsi="宋体"/>
          <w:color w:val="000000"/>
          <w:sz w:val="24"/>
        </w:rPr>
        <w:t xml:space="preserve">技术架构、</w:t>
      </w:r>
      <w:r>
        <w:rPr>
          <w:rFonts w:hint="eastAsia" w:ascii="宋体" w:hAnsi="宋体"/>
          <w:color w:val="000000"/>
          <w:sz w:val="24"/>
        </w:rPr>
        <w:t xml:space="preserve">④</w:t>
      </w:r>
      <w:r>
        <w:rPr>
          <w:rFonts w:ascii="宋体" w:hAnsi="宋体"/>
          <w:color w:val="000000"/>
          <w:sz w:val="24"/>
        </w:rPr>
        <w:t xml:space="preserve">主要功能阐述、</w:t>
      </w:r>
      <w:r>
        <w:rPr>
          <w:rFonts w:hint="eastAsia" w:ascii="宋体" w:hAnsi="宋体"/>
          <w:color w:val="000000"/>
          <w:sz w:val="24"/>
        </w:rPr>
        <w:t xml:space="preserve">⑤卫星遥感服务、⑥系统集成服务、⑦</w:t>
      </w:r>
      <w:r>
        <w:rPr>
          <w:rFonts w:ascii="宋体" w:hAnsi="宋体"/>
          <w:color w:val="000000"/>
          <w:sz w:val="24"/>
        </w:rPr>
        <w:t xml:space="preserve">预期效果等。（方案完整详实、合理、可行且符合实际要求：（</w:t>
      </w:r>
      <w:r>
        <w:rPr>
          <w:rFonts w:hint="eastAsia" w:ascii="宋体" w:hAnsi="宋体"/>
          <w:color w:val="000000"/>
          <w:sz w:val="24"/>
        </w:rPr>
        <w:t xml:space="preserve">25</w:t>
      </w:r>
      <w:r>
        <w:rPr>
          <w:rFonts w:ascii="宋体" w:hAnsi="宋体"/>
          <w:color w:val="000000"/>
          <w:sz w:val="24"/>
        </w:rPr>
        <w:t xml:space="preserve">）分，方案基本可行、合理、较为符合实际情况：（</w:t>
      </w:r>
      <w:r>
        <w:rPr>
          <w:rFonts w:hint="eastAsia" w:ascii="宋体" w:hAnsi="宋体"/>
          <w:color w:val="000000"/>
          <w:sz w:val="24"/>
        </w:rPr>
        <w:t xml:space="preserve">20</w:t>
      </w:r>
      <w:r>
        <w:rPr>
          <w:rFonts w:ascii="宋体" w:hAnsi="宋体"/>
          <w:color w:val="000000"/>
          <w:sz w:val="24"/>
        </w:rPr>
        <w:t xml:space="preserve">）分，方案不够可行、不够合理：（</w:t>
      </w:r>
      <w:r>
        <w:rPr>
          <w:rFonts w:hint="eastAsia" w:ascii="宋体" w:hAnsi="宋体"/>
          <w:color w:val="000000"/>
          <w:sz w:val="24"/>
        </w:rPr>
        <w:t xml:space="preserve">15</w:t>
      </w:r>
      <w:r>
        <w:rPr>
          <w:rFonts w:ascii="宋体" w:hAnsi="宋体"/>
          <w:color w:val="000000"/>
          <w:sz w:val="24"/>
        </w:rPr>
        <w:t xml:space="preserve">）分，未提供方案不得分）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.3</w:t>
      </w:r>
      <w:r>
        <w:rPr>
          <w:rFonts w:ascii="宋体" w:hAnsi="宋体"/>
          <w:color w:val="000000"/>
          <w:sz w:val="24"/>
        </w:rPr>
        <w:t xml:space="preserve">系统安全方案（</w:t>
      </w:r>
      <w:r>
        <w:rPr>
          <w:rFonts w:hint="eastAsia" w:ascii="宋体" w:hAnsi="宋体"/>
          <w:color w:val="000000"/>
          <w:sz w:val="24"/>
        </w:rPr>
        <w:t xml:space="preserve">15</w:t>
      </w:r>
      <w:r>
        <w:rPr>
          <w:rFonts w:ascii="宋体" w:hAnsi="宋体"/>
          <w:color w:val="000000"/>
          <w:sz w:val="24"/>
        </w:rPr>
        <w:t xml:space="preserve">分）投标人须对系统安全进行全面阐述，包括但不限于网络安全方案</w:t>
      </w:r>
      <w:r>
        <w:rPr>
          <w:rFonts w:hint="eastAsia" w:ascii="宋体" w:hAnsi="宋体"/>
          <w:color w:val="000000"/>
          <w:sz w:val="24"/>
        </w:rPr>
        <w:t xml:space="preserve">、数据安全方案等</w:t>
      </w:r>
      <w:r>
        <w:rPr>
          <w:rFonts w:ascii="宋体" w:hAnsi="宋体"/>
          <w:color w:val="000000"/>
          <w:sz w:val="24"/>
        </w:rPr>
        <w:t xml:space="preserve">。（方案完整详实、合理、可行且符合实际要求：（</w:t>
      </w:r>
      <w:r>
        <w:rPr>
          <w:rFonts w:hint="eastAsia" w:ascii="宋体" w:hAnsi="宋体"/>
          <w:color w:val="000000"/>
          <w:sz w:val="24"/>
        </w:rPr>
        <w:t xml:space="preserve">15</w:t>
      </w:r>
      <w:r>
        <w:rPr>
          <w:rFonts w:ascii="宋体" w:hAnsi="宋体"/>
          <w:color w:val="000000"/>
          <w:sz w:val="24"/>
        </w:rPr>
        <w:t xml:space="preserve">）分，方案基本可行、合理、较为符合实际情况：（</w:t>
      </w:r>
      <w:r>
        <w:rPr>
          <w:rFonts w:hint="eastAsia" w:ascii="宋体" w:hAnsi="宋体"/>
          <w:color w:val="000000"/>
          <w:sz w:val="24"/>
        </w:rPr>
        <w:t xml:space="preserve">13</w:t>
      </w:r>
      <w:r>
        <w:rPr>
          <w:rFonts w:ascii="宋体" w:hAnsi="宋体"/>
          <w:color w:val="000000"/>
          <w:sz w:val="24"/>
        </w:rPr>
        <w:t xml:space="preserve">）分，方案不够可行、不够合理：（</w:t>
      </w:r>
      <w:r>
        <w:rPr>
          <w:rFonts w:hint="eastAsia" w:ascii="宋体" w:hAnsi="宋体"/>
          <w:color w:val="000000"/>
          <w:sz w:val="24"/>
        </w:rPr>
        <w:t xml:space="preserve">11</w:t>
      </w:r>
      <w:r>
        <w:rPr>
          <w:rFonts w:ascii="宋体" w:hAnsi="宋体"/>
          <w:color w:val="000000"/>
          <w:sz w:val="24"/>
        </w:rPr>
        <w:t xml:space="preserve">）分，未提供方案不得分）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.4</w:t>
      </w:r>
      <w:r>
        <w:rPr>
          <w:rFonts w:ascii="宋体" w:hAnsi="宋体"/>
          <w:color w:val="000000"/>
          <w:sz w:val="24"/>
        </w:rPr>
        <w:t xml:space="preserve">项目实施方案（</w:t>
      </w:r>
      <w:r>
        <w:rPr>
          <w:rFonts w:hint="eastAsia" w:ascii="宋体" w:hAnsi="宋体"/>
          <w:color w:val="000000"/>
          <w:sz w:val="24"/>
        </w:rPr>
        <w:t xml:space="preserve">7</w:t>
      </w:r>
      <w:r>
        <w:rPr>
          <w:rFonts w:ascii="宋体" w:hAnsi="宋体"/>
          <w:color w:val="000000"/>
          <w:sz w:val="24"/>
        </w:rPr>
        <w:t xml:space="preserve">分）为了保证项目顺利推进，要求提供详细的项目实施管理方案，内容包括但不限于实施的管理制度、项目范围控制、项目进度控制、项目风险控制、项目资源控制等内容。（方案完整详实、合理、可行且符合实际要求：（</w:t>
      </w:r>
      <w:r>
        <w:rPr>
          <w:rFonts w:hint="eastAsia" w:ascii="宋体" w:hAnsi="宋体"/>
          <w:color w:val="000000"/>
          <w:sz w:val="24"/>
        </w:rPr>
        <w:t xml:space="preserve">7</w:t>
      </w:r>
      <w:r>
        <w:rPr>
          <w:rFonts w:ascii="宋体" w:hAnsi="宋体"/>
          <w:color w:val="000000"/>
          <w:sz w:val="24"/>
        </w:rPr>
        <w:t xml:space="preserve">）分，方案基本可行、合理、较为符合实际情况：（</w:t>
      </w:r>
      <w:r>
        <w:rPr>
          <w:rFonts w:hint="eastAsia" w:ascii="宋体" w:hAnsi="宋体"/>
          <w:color w:val="000000"/>
          <w:sz w:val="24"/>
        </w:rPr>
        <w:t xml:space="preserve">5</w:t>
      </w:r>
      <w:r>
        <w:rPr>
          <w:rFonts w:ascii="宋体" w:hAnsi="宋体"/>
          <w:color w:val="000000"/>
          <w:sz w:val="24"/>
        </w:rPr>
        <w:t xml:space="preserve">）分，方案不够可行、不够合理：（</w:t>
      </w:r>
      <w:r>
        <w:rPr>
          <w:rFonts w:hint="eastAsia" w:ascii="宋体" w:hAnsi="宋体"/>
          <w:color w:val="000000"/>
          <w:sz w:val="24"/>
        </w:rPr>
        <w:t xml:space="preserve">3</w:t>
      </w:r>
      <w:r>
        <w:rPr>
          <w:rFonts w:ascii="宋体" w:hAnsi="宋体"/>
          <w:color w:val="000000"/>
          <w:sz w:val="24"/>
        </w:rPr>
        <w:t xml:space="preserve">）分，未提供方案不得分）</w:t>
      </w:r>
      <w:r/>
    </w:p>
    <w:p>
      <w:pPr>
        <w:pStyle w:val="734"/>
        <w:ind w:firstLine="480"/>
        <w:spacing w:line="5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.5</w:t>
      </w:r>
      <w:r>
        <w:rPr>
          <w:rFonts w:ascii="宋体" w:hAnsi="宋体"/>
          <w:color w:val="000000"/>
          <w:sz w:val="24"/>
        </w:rPr>
        <w:t xml:space="preserve">售后服务方案（</w:t>
      </w:r>
      <w:r>
        <w:rPr>
          <w:rFonts w:hint="eastAsia" w:ascii="宋体" w:hAnsi="宋体"/>
          <w:color w:val="000000"/>
          <w:sz w:val="24"/>
        </w:rPr>
        <w:t xml:space="preserve">7</w:t>
      </w:r>
      <w:r>
        <w:rPr>
          <w:rFonts w:ascii="宋体" w:hAnsi="宋体"/>
          <w:color w:val="000000"/>
          <w:sz w:val="24"/>
        </w:rPr>
        <w:t xml:space="preserve">分）售后服务方案包括但不限于服务体系、服务内容、应急处理方案</w:t>
      </w:r>
      <w:r>
        <w:rPr>
          <w:rFonts w:hint="eastAsia" w:ascii="宋体" w:hAnsi="宋体"/>
          <w:color w:val="000000"/>
          <w:sz w:val="24"/>
        </w:rPr>
        <w:t xml:space="preserve">以及</w:t>
      </w:r>
      <w:r>
        <w:rPr>
          <w:rFonts w:ascii="宋体" w:hAnsi="宋体"/>
          <w:color w:val="000000"/>
          <w:sz w:val="24"/>
        </w:rPr>
        <w:t xml:space="preserve">软件</w:t>
      </w:r>
      <w:r>
        <w:rPr>
          <w:rFonts w:hint="eastAsia" w:ascii="宋体" w:hAnsi="宋体"/>
          <w:color w:val="000000"/>
          <w:sz w:val="24"/>
        </w:rPr>
        <w:t xml:space="preserve">售后服务承诺，服务承诺包括但不限于响应时间、</w:t>
      </w:r>
      <w:r>
        <w:rPr>
          <w:rFonts w:ascii="宋体" w:hAnsi="宋体"/>
          <w:color w:val="000000"/>
          <w:sz w:val="24"/>
        </w:rPr>
        <w:t xml:space="preserve">专业技术人员保障等。（方案完整详实、合理、可行且符合实际要求：（</w:t>
      </w:r>
      <w:r>
        <w:rPr>
          <w:rFonts w:hint="eastAsia" w:ascii="宋体" w:hAnsi="宋体"/>
          <w:color w:val="000000"/>
          <w:sz w:val="24"/>
        </w:rPr>
        <w:t xml:space="preserve">7</w:t>
      </w:r>
      <w:r>
        <w:rPr>
          <w:rFonts w:ascii="宋体" w:hAnsi="宋体"/>
          <w:color w:val="000000"/>
          <w:sz w:val="24"/>
        </w:rPr>
        <w:t xml:space="preserve">）分，方案基本可行、合理、较为符合实际情况：（</w:t>
      </w:r>
      <w:r>
        <w:rPr>
          <w:rFonts w:hint="eastAsia" w:ascii="宋体" w:hAnsi="宋体"/>
          <w:color w:val="000000"/>
          <w:sz w:val="24"/>
        </w:rPr>
        <w:t xml:space="preserve">5</w:t>
      </w:r>
      <w:r>
        <w:rPr>
          <w:rFonts w:ascii="宋体" w:hAnsi="宋体"/>
          <w:color w:val="000000"/>
          <w:sz w:val="24"/>
        </w:rPr>
        <w:t xml:space="preserve">）分，方案不够可行、不够合理：（</w:t>
      </w:r>
      <w:r>
        <w:rPr>
          <w:rFonts w:hint="eastAsia" w:ascii="宋体" w:hAnsi="宋体"/>
          <w:color w:val="000000"/>
          <w:sz w:val="24"/>
        </w:rPr>
        <w:t xml:space="preserve">3</w:t>
      </w:r>
      <w:r>
        <w:rPr>
          <w:rFonts w:ascii="宋体" w:hAnsi="宋体"/>
          <w:color w:val="000000"/>
          <w:sz w:val="24"/>
        </w:rPr>
        <w:t xml:space="preserve">）分，未提供方案不得分）</w:t>
      </w:r>
      <w:r/>
    </w:p>
    <w:p>
      <w:pPr>
        <w:pStyle w:val="734"/>
        <w:ind w:left="482"/>
        <w:spacing w:line="500" w:lineRule="exact"/>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r>
      <w:r/>
    </w:p>
    <w:p>
      <w:pPr>
        <w:pStyle w:val="822"/>
        <w:spacing w:before="0" w:after="0" w:line="500" w:lineRule="exact"/>
        <w:rPr>
          <w:rFonts w:hint="eastAsia" w:ascii="宋体" w:hAnsi="宋体"/>
          <w:color w:val="000000"/>
        </w:rPr>
      </w:pPr>
      <w:r>
        <w:rPr>
          <w:rFonts w:hint="eastAsia" w:ascii="宋体" w:hAnsi="宋体"/>
          <w:color w:val="000000"/>
        </w:rPr>
      </w:r>
      <w:r/>
    </w:p>
    <w:p>
      <w:pPr>
        <w:pStyle w:val="822"/>
        <w:spacing w:before="0" w:after="0" w:line="500" w:lineRule="exact"/>
        <w:rPr>
          <w:rFonts w:ascii="黑体" w:eastAsia="黑体"/>
          <w:bCs/>
          <w:color w:val="000000"/>
          <w:sz w:val="36"/>
          <w:szCs w:val="36"/>
        </w:rPr>
      </w:pPr>
      <w:r>
        <w:rPr>
          <w:rFonts w:ascii="宋体" w:hAnsi="宋体"/>
          <w:color w:val="000000"/>
        </w:rPr>
        <w:br w:type="page" w:clear="all"/>
      </w:r>
      <w:r>
        <w:rPr>
          <w:rFonts w:ascii="黑体" w:eastAsia="黑体"/>
          <w:bCs/>
          <w:color w:val="000000"/>
          <w:sz w:val="36"/>
          <w:szCs w:val="36"/>
        </w:rPr>
      </w:r>
      <w:r/>
    </w:p>
    <w:p>
      <w:pPr>
        <w:pStyle w:val="734"/>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205"/>
      <w:r>
        <w:rPr>
          <w:rFonts w:hint="eastAsia" w:ascii="黑体" w:eastAsia="黑体"/>
          <w:bCs/>
          <w:color w:val="000000"/>
          <w:sz w:val="36"/>
          <w:szCs w:val="36"/>
        </w:rPr>
        <w:t xml:space="preserve">投标文件内容与格式</w:t>
      </w:r>
      <w:r/>
    </w:p>
    <w:p>
      <w:pPr>
        <w:pStyle w:val="822"/>
        <w:ind w:firstLine="602"/>
        <w:spacing w:before="0" w:after="0" w:line="500" w:lineRule="exact"/>
        <w:rPr>
          <w:rFonts w:hint="eastAsia" w:cs="Arial"/>
          <w:b/>
          <w:color w:val="000000"/>
          <w:sz w:val="30"/>
          <w:szCs w:val="30"/>
        </w:rPr>
      </w:pPr>
      <w:r/>
      <w:bookmarkStart w:id="208" w:name="_Hlt26955039"/>
      <w:r/>
      <w:bookmarkEnd w:id="208"/>
      <w:r/>
      <w:bookmarkStart w:id="209" w:name="_Toc49090576"/>
      <w:r/>
      <w:bookmarkStart w:id="210" w:name="_Toc120614282"/>
      <w:r/>
      <w:bookmarkStart w:id="211" w:name="_Toc26554094"/>
      <w:r/>
      <w:bookmarkStart w:id="212" w:name="_Hlt26671244"/>
      <w:r/>
      <w:bookmarkEnd w:id="212"/>
      <w:r>
        <w:rPr>
          <w:rFonts w:hint="eastAsia" w:cs="Arial"/>
          <w:b/>
          <w:color w:val="000000"/>
          <w:sz w:val="30"/>
          <w:szCs w:val="30"/>
        </w:rPr>
        <w:t xml:space="preserve">第一部分  投标文件内容</w:t>
      </w:r>
      <w:r/>
    </w:p>
    <w:p>
      <w:pPr>
        <w:pStyle w:val="822"/>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2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822"/>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82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11"/>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82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82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82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7</w:t>
            </w:r>
            <w:r/>
          </w:p>
        </w:tc>
        <w:tc>
          <w:tcPr>
            <w:tcW w:w="6104" w:type="dxa"/>
            <w:vAlign w:val="center"/>
            <w:textDirection w:val="lrTb"/>
            <w:noWrap w:val="false"/>
          </w:tcPr>
          <w:p>
            <w:pPr>
              <w:pStyle w:val="822"/>
              <w:ind w:firstLine="0"/>
              <w:spacing w:before="0" w:after="0" w:line="240" w:lineRule="auto"/>
              <w:rPr>
                <w:rFonts w:hint="eastAsia" w:ascii="宋体" w:hAnsi="宋体" w:cs="宋体"/>
                <w:bCs/>
                <w:color w:val="000000"/>
              </w:rPr>
            </w:pPr>
            <w:r>
              <w:rPr>
                <w:rFonts w:hint="eastAsia" w:ascii="宋体" w:hAnsi="宋体" w:cs="宋体"/>
                <w:bCs/>
                <w:color w:val="000000"/>
              </w:rPr>
              <w:t xml:space="preserve">满足中小企业政策的证明文件（如有中小企业政策要求的）。</w:t>
            </w:r>
            <w:r>
              <w:rPr>
                <w:rFonts w:hint="eastAsia" w:ascii="宋体" w:hAnsi="宋体" w:cs="宋体"/>
                <w:bCs/>
                <w:color w:val="000000"/>
              </w:rPr>
            </w:r>
            <w:r/>
          </w:p>
        </w:tc>
        <w:tc>
          <w:tcPr>
            <w:tcW w:w="2449" w:type="dxa"/>
            <w:vAlign w:val="center"/>
            <w:textDirection w:val="lrTb"/>
            <w:noWrap w:val="false"/>
          </w:tcPr>
          <w:p>
            <w:pPr>
              <w:pStyle w:val="822"/>
              <w:ind w:firstLine="0"/>
              <w:jc w:val="center"/>
              <w:spacing w:before="0" w:after="0" w:line="240" w:lineRule="auto"/>
              <w:rPr>
                <w:rFonts w:ascii="宋体" w:hAnsi="宋体" w:cs="宋体"/>
                <w:bCs/>
                <w:color w:val="000000"/>
              </w:rPr>
            </w:pPr>
            <w:r>
              <w:rPr>
                <w:rFonts w:hint="eastAsia" w:ascii="宋体" w:hAnsi="宋体" w:cs="宋体"/>
                <w:bCs/>
                <w:color w:val="000000"/>
              </w:rPr>
              <w:t xml:space="preserve">落实政府采购政策需满足的资格要求，详见第一章《投标邀请》</w:t>
            </w:r>
            <w:r>
              <w:rPr>
                <w:rFonts w:ascii="宋体" w:hAnsi="宋体" w:cs="宋体"/>
                <w:bCs/>
                <w:color w:val="000000"/>
              </w:rPr>
            </w:r>
            <w:r/>
          </w:p>
        </w:tc>
      </w:tr>
      <w:tr>
        <w:trPr>
          <w:trHeight w:val="726"/>
        </w:trPr>
        <w:tc>
          <w:tcPr>
            <w:tcW w:w="719" w:type="dxa"/>
            <w:vAlign w:val="center"/>
            <w:textDirection w:val="lrTb"/>
            <w:noWrap w:val="false"/>
          </w:tcPr>
          <w:p>
            <w:pPr>
              <w:pStyle w:val="82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822"/>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color w:val="000000"/>
              </w:rPr>
              <w:t xml:space="preserve">（如有特定资格要求的）</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822"/>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82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822"/>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《联合体协议》（如接受联合体投标且投标人为联合体时须提供，格式自拟）。</w:t>
            </w:r>
            <w:r>
              <w:rPr>
                <w:rFonts w:hint="eastAsia" w:ascii="宋体" w:hAnsi="宋体" w:cs="宋体"/>
                <w:color w:val="000000"/>
              </w:rPr>
            </w:r>
            <w:r/>
          </w:p>
        </w:tc>
      </w:tr>
    </w:tbl>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4"/>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w:t>
      </w:r>
      <w:r>
        <w:rPr>
          <w:rFonts w:hint="eastAsia" w:ascii="宋体" w:hAnsi="宋体"/>
          <w:color w:val="000000"/>
          <w:sz w:val="24"/>
          <w:szCs w:val="24"/>
        </w:rPr>
        <w:t xml:space="preserve">，如本项目落实政府采购政策需满足的资格要求中有中小企业政策要求的</w:t>
      </w:r>
      <w:r>
        <w:rPr>
          <w:rFonts w:hint="eastAsia" w:ascii="宋体" w:hAnsi="宋体"/>
          <w:color w:val="000000"/>
          <w:sz w:val="24"/>
          <w:szCs w:val="24"/>
        </w:rPr>
        <w:t xml:space="preserve">（详见第一章《投标邀请》），必须提供相应证明文件，否则投标文件无效。</w:t>
      </w:r>
      <w:r/>
    </w:p>
    <w:p>
      <w:pPr>
        <w:pStyle w:val="734"/>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734"/>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w:t>
      </w:r>
      <w:r>
        <w:rPr>
          <w:rFonts w:hint="eastAsia" w:ascii="宋体" w:hAnsi="宋体"/>
          <w:color w:val="000000"/>
          <w:sz w:val="24"/>
          <w:szCs w:val="24"/>
        </w:rPr>
        <w:t xml:space="preserve">7（如有要求）、8（如有要求）</w:t>
      </w:r>
      <w:r>
        <w:rPr>
          <w:rFonts w:hint="eastAsia" w:ascii="宋体" w:hAnsi="宋体"/>
          <w:color w:val="000000"/>
          <w:sz w:val="24"/>
          <w:szCs w:val="24"/>
        </w:rPr>
        <w:t xml:space="preserve">项，联合体各方均须提供。</w:t>
      </w:r>
      <w:r/>
    </w:p>
    <w:p>
      <w:pPr>
        <w:pStyle w:val="734"/>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pStyle w:val="734"/>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822"/>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（“苏采云”系统中给定格式）</w:t>
            </w:r>
            <w:r>
              <w:rPr>
                <w:rFonts w:hint="eastAsia" w:ascii="宋体" w:hAnsi="宋体" w:cs="Arial"/>
                <w:color w:val="000000"/>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822"/>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822"/>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822"/>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822"/>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822"/>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822"/>
              <w:ind w:firstLine="0"/>
              <w:jc w:val="both"/>
              <w:spacing w:before="0" w:after="0" w:line="240" w:lineRule="auto"/>
              <w:rPr>
                <w:rFonts w:hint="eastAsia" w:cs="Arial"/>
                <w:color w:val="000000"/>
              </w:rPr>
            </w:pPr>
            <w:r>
              <w:rPr>
                <w:rFonts w:hint="eastAsia" w:cs="Arial"/>
                <w:color w:val="000000"/>
              </w:rPr>
            </w:r>
            <w:r/>
          </w:p>
        </w:tc>
      </w:tr>
    </w:tbl>
    <w:p>
      <w:pPr>
        <w:pStyle w:val="73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73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p>
    <w:p>
      <w:pPr>
        <w:pStyle w:val="734"/>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734"/>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第6项按《采购需求》中的相应要求（如有）进行提供。</w:t>
      </w:r>
      <w:r>
        <w:rPr>
          <w:rFonts w:hint="eastAsia" w:ascii="宋体" w:hAnsi="宋体" w:cs="宋体"/>
          <w:color w:val="000000"/>
          <w:sz w:val="24"/>
          <w:szCs w:val="24"/>
        </w:rPr>
      </w:r>
      <w:r/>
    </w:p>
    <w:p>
      <w:pPr>
        <w:pStyle w:val="734"/>
        <w:ind w:left="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734"/>
        <w:rPr>
          <w:rFonts w:hint="eastAsia"/>
          <w:b/>
          <w:color w:val="000000"/>
          <w:sz w:val="28"/>
          <w:szCs w:val="28"/>
        </w:rPr>
      </w:pPr>
      <w:r>
        <w:rPr>
          <w:rFonts w:hint="eastAsia"/>
          <w:b/>
          <w:color w:val="000000"/>
          <w:sz w:val="28"/>
          <w:szCs w:val="28"/>
        </w:rPr>
        <w:t xml:space="preserve">（二）其他证明文件</w:t>
      </w:r>
      <w:r/>
    </w:p>
    <w:p>
      <w:pPr>
        <w:pStyle w:val="734"/>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734"/>
        <w:ind w:left="480"/>
        <w:spacing w:line="500" w:lineRule="exact"/>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ascii="宋体" w:hAnsi="宋体" w:cs="宋体"/>
          <w:color w:val="000000"/>
          <w:sz w:val="24"/>
          <w:szCs w:val="24"/>
        </w:rPr>
      </w:r>
      <w:r/>
    </w:p>
    <w:p>
      <w:pPr>
        <w:pStyle w:val="734"/>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822"/>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73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JSZC-320200-JZCG-G2024-0178</w:t>
      </w:r>
      <w:r>
        <w:rPr>
          <w:rFonts w:ascii="黑体" w:hAnsi="华文中宋" w:eastAsia="黑体"/>
          <w:bCs/>
          <w:color w:val="000000"/>
          <w:sz w:val="30"/>
          <w:szCs w:val="30"/>
        </w:rPr>
      </w:r>
      <w:r/>
    </w:p>
    <w:p>
      <w:pPr>
        <w:pStyle w:val="73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太湖治理数字化平台项目（软件平台建设）</w:t>
      </w:r>
      <w:r>
        <w:rPr>
          <w:rFonts w:hint="eastAsia" w:ascii="黑体" w:hAnsi="华文中宋" w:eastAsia="黑体"/>
          <w:bCs/>
          <w:color w:val="000000"/>
          <w:sz w:val="30"/>
          <w:szCs w:val="30"/>
        </w:rPr>
      </w:r>
      <w:r/>
    </w:p>
    <w:p>
      <w:pPr>
        <w:pStyle w:val="73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73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734"/>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734"/>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820"/>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JSZC-320200-JZCG-G2024-0178</w:t>
      </w:r>
      <w:r>
        <w:rPr>
          <w:rFonts w:hint="eastAsia" w:ascii="宋体" w:hAnsi="宋体"/>
          <w:bCs/>
          <w:color w:val="000000"/>
          <w:sz w:val="24"/>
          <w:szCs w:val="24"/>
        </w:rPr>
        <w:t xml:space="preserve">项目，兹授权：</w:t>
      </w:r>
      <w:r>
        <w:rPr>
          <w:rFonts w:hint="eastAsia"/>
          <w:color w:val="000000"/>
          <w:sz w:val="24"/>
          <w:szCs w:val="24"/>
        </w:rPr>
      </w:r>
      <w:r/>
    </w:p>
    <w:p>
      <w:pPr>
        <w:pStyle w:val="820"/>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820"/>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820"/>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820"/>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20"/>
        <w:ind w:firstLine="480"/>
        <w:rPr>
          <w:rFonts w:hint="eastAsia"/>
          <w:color w:val="000000"/>
          <w:sz w:val="24"/>
          <w:szCs w:val="24"/>
        </w:rPr>
      </w:pPr>
      <w:r>
        <w:rPr>
          <w:rFonts w:hint="eastAsia"/>
          <w:color w:val="000000"/>
          <w:sz w:val="24"/>
          <w:szCs w:val="24"/>
        </w:rPr>
        <w:t xml:space="preserve">特此授权委托。</w:t>
      </w:r>
      <w:r/>
    </w:p>
    <w:p>
      <w:pPr>
        <w:pStyle w:val="820"/>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820"/>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820"/>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820"/>
        <w:ind w:firstLine="0"/>
        <w:rPr>
          <w:rFonts w:hint="eastAsia"/>
          <w:color w:val="000000"/>
          <w:sz w:val="24"/>
          <w:szCs w:val="24"/>
        </w:rPr>
      </w:pPr>
      <w:r>
        <w:rPr>
          <w:rFonts w:hint="eastAsia"/>
          <w:color w:val="000000"/>
          <w:sz w:val="24"/>
          <w:szCs w:val="24"/>
        </w:rPr>
        <w:t xml:space="preserve">说明：</w:t>
      </w:r>
      <w:r/>
    </w:p>
    <w:p>
      <w:pPr>
        <w:pStyle w:val="820"/>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820"/>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820"/>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820"/>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820"/>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734"/>
        <w:jc w:val="center"/>
        <w:rPr>
          <w:rFonts w:ascii="黑体" w:eastAsia="黑体"/>
          <w:bCs/>
          <w:color w:val="000000"/>
          <w:sz w:val="28"/>
          <w:szCs w:val="28"/>
        </w:rPr>
        <w:outlineLvl w:val="0"/>
      </w:pPr>
      <w:r/>
      <w:bookmarkStart w:id="213" w:name="报价方关于资格的声明函（格式）"/>
      <w:r/>
      <w:bookmarkEnd w:id="213"/>
      <w:r>
        <w:rPr>
          <w:rFonts w:hint="eastAsia" w:ascii="黑体" w:eastAsia="黑体"/>
          <w:bCs/>
          <w:color w:val="000000"/>
          <w:sz w:val="28"/>
          <w:szCs w:val="28"/>
        </w:rPr>
        <w:t xml:space="preserve">资格声明函</w:t>
      </w:r>
      <w:r>
        <w:rPr>
          <w:rFonts w:ascii="黑体" w:eastAsia="黑体"/>
          <w:bCs/>
          <w:color w:val="000000"/>
          <w:sz w:val="28"/>
          <w:szCs w:val="28"/>
        </w:rPr>
      </w:r>
      <w:r/>
    </w:p>
    <w:p>
      <w:pPr>
        <w:pStyle w:val="734"/>
        <w:jc w:val="center"/>
        <w:spacing w:line="480" w:lineRule="auto"/>
        <w:rPr>
          <w:rFonts w:ascii="宋体"/>
          <w:bCs/>
          <w:color w:val="000000"/>
          <w:sz w:val="24"/>
          <w:szCs w:val="24"/>
        </w:rPr>
      </w:pPr>
      <w:r>
        <w:rPr>
          <w:rFonts w:ascii="宋体"/>
          <w:bCs/>
          <w:color w:val="000000"/>
          <w:sz w:val="24"/>
          <w:szCs w:val="24"/>
        </w:rPr>
      </w:r>
      <w:r/>
    </w:p>
    <w:p>
      <w:pPr>
        <w:pStyle w:val="734"/>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3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JSZC-320200-JZCG-G2024-0178</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73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34"/>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734"/>
        <w:spacing w:line="480" w:lineRule="auto"/>
        <w:rPr>
          <w:rFonts w:ascii="宋体"/>
          <w:bCs/>
          <w:color w:val="000000"/>
          <w:sz w:val="24"/>
          <w:szCs w:val="24"/>
        </w:rPr>
      </w:pPr>
      <w:r>
        <w:rPr>
          <w:rFonts w:ascii="宋体"/>
          <w:bCs/>
          <w:color w:val="000000"/>
          <w:sz w:val="24"/>
          <w:szCs w:val="24"/>
        </w:rPr>
      </w:r>
      <w:r/>
    </w:p>
    <w:p>
      <w:pPr>
        <w:pStyle w:val="73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34"/>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734"/>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734"/>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34"/>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734"/>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4"/>
        <w:ind w:firstLine="420"/>
        <w:spacing w:line="360" w:lineRule="auto"/>
        <w:rPr>
          <w:rFonts w:hint="eastAsia"/>
          <w:color w:val="000000"/>
        </w:rPr>
      </w:pPr>
      <w:r>
        <w:rPr>
          <w:rFonts w:hint="eastAsia"/>
          <w:color w:val="000000"/>
        </w:rPr>
      </w:r>
      <w:r/>
    </w:p>
    <w:p>
      <w:pPr>
        <w:pStyle w:val="734"/>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34"/>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734"/>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734"/>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734"/>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734"/>
        <w:ind w:firstLine="482"/>
        <w:spacing w:line="440" w:lineRule="exact"/>
        <w:rPr>
          <w:rFonts w:ascii="Arial" w:hAnsi="Arial"/>
          <w:b/>
          <w:color w:val="000000"/>
          <w:sz w:val="24"/>
        </w:rPr>
      </w:pPr>
      <w:r>
        <w:rPr>
          <w:rFonts w:ascii="Arial" w:hAnsi="Arial"/>
          <w:b/>
          <w:color w:val="000000"/>
          <w:sz w:val="24"/>
        </w:rPr>
      </w:r>
      <w:r/>
    </w:p>
    <w:p>
      <w:pPr>
        <w:pStyle w:val="73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34"/>
        <w:jc w:val="center"/>
        <w:rPr>
          <w:rFonts w:ascii="黑体" w:eastAsia="黑体"/>
          <w:bCs/>
          <w:color w:val="000000"/>
          <w:sz w:val="28"/>
          <w:szCs w:val="28"/>
        </w:rPr>
      </w:pPr>
      <w:r>
        <w:rPr>
          <w:rFonts w:ascii="黑体" w:eastAsia="黑体"/>
          <w:bCs/>
          <w:color w:val="000000"/>
          <w:sz w:val="28"/>
          <w:szCs w:val="28"/>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3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34"/>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734"/>
        <w:spacing w:line="360" w:lineRule="auto"/>
        <w:rPr>
          <w:rFonts w:hint="eastAsia"/>
          <w:b/>
          <w:color w:val="000000"/>
          <w:sz w:val="30"/>
          <w:szCs w:val="30"/>
        </w:rPr>
      </w:pPr>
      <w:r>
        <w:rPr>
          <w:rFonts w:hint="eastAsia"/>
          <w:b/>
          <w:color w:val="000000"/>
          <w:sz w:val="30"/>
          <w:szCs w:val="30"/>
        </w:rPr>
      </w:r>
      <w:r/>
    </w:p>
    <w:p>
      <w:pPr>
        <w:pStyle w:val="73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34"/>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34"/>
        <w:ind w:firstLine="480"/>
        <w:spacing w:line="400" w:lineRule="exact"/>
        <w:rPr>
          <w:rFonts w:ascii="宋体"/>
          <w:bCs/>
          <w:color w:val="000000"/>
          <w:sz w:val="24"/>
          <w:szCs w:val="24"/>
        </w:rPr>
      </w:pPr>
      <w:r>
        <w:rPr>
          <w:rFonts w:ascii="宋体"/>
          <w:bCs/>
          <w:color w:val="000000"/>
          <w:sz w:val="24"/>
          <w:szCs w:val="24"/>
        </w:rPr>
      </w:r>
      <w:r/>
    </w:p>
    <w:p>
      <w:pPr>
        <w:pStyle w:val="734"/>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JSZC-320200-JZCG-G2024-0178</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734"/>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09"/>
          <w:bCs/>
          <w:color w:val="000000"/>
        </w:rPr>
      </w:pPr>
      <w:r>
        <w:rPr>
          <w:rFonts w:hint="eastAsia" w:ascii="宋体" w:hAnsi="宋体"/>
          <w:bCs/>
          <w:color w:val="000000"/>
          <w:sz w:val="24"/>
          <w:szCs w:val="24"/>
        </w:rPr>
        <w:t xml:space="preserve">我方愿意提供无锡市公共资源交易中心在招标文件中要求的文件、资料。</w:t>
      </w:r>
      <w:r>
        <w:rPr>
          <w:rStyle w:val="809"/>
          <w:bCs/>
          <w:color w:val="000000"/>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734"/>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34"/>
        <w:ind w:firstLine="720"/>
        <w:spacing w:line="400" w:lineRule="exact"/>
        <w:rPr>
          <w:rFonts w:ascii="宋体"/>
          <w:bCs/>
          <w:color w:val="000000"/>
          <w:sz w:val="24"/>
          <w:szCs w:val="24"/>
        </w:rPr>
      </w:pPr>
      <w:r>
        <w:rPr>
          <w:rFonts w:ascii="宋体"/>
          <w:bCs/>
          <w:color w:val="000000"/>
          <w:sz w:val="24"/>
          <w:szCs w:val="24"/>
        </w:rPr>
      </w:r>
      <w:r/>
    </w:p>
    <w:p>
      <w:pPr>
        <w:pStyle w:val="73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3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3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34"/>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734"/>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734"/>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JSZC-320200-JZCG-G2024-0178</w:t>
      </w:r>
      <w:r>
        <w:rPr>
          <w:rFonts w:hint="eastAsia" w:ascii="宋体" w:hAnsi="宋体"/>
          <w:color w:val="000000"/>
          <w:sz w:val="24"/>
          <w:szCs w:val="24"/>
        </w:rPr>
        <w:t xml:space="preserve">在此承诺：</w:t>
      </w:r>
      <w:r>
        <w:rPr>
          <w:rFonts w:ascii="宋体" w:hAnsi="宋体"/>
          <w:color w:val="000000"/>
          <w:sz w:val="24"/>
          <w:szCs w:val="24"/>
        </w:rPr>
      </w:r>
      <w:r/>
    </w:p>
    <w:p>
      <w:pPr>
        <w:pStyle w:val="734"/>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734"/>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34"/>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734"/>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r>
      <w:r/>
    </w:p>
    <w:p>
      <w:pPr>
        <w:pStyle w:val="734"/>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734"/>
        <w:ind w:firstLine="480"/>
        <w:spacing w:line="480" w:lineRule="auto"/>
        <w:rPr>
          <w:rFonts w:hint="eastAsia" w:ascii="宋体"/>
          <w:bCs/>
          <w:color w:val="000000"/>
          <w:sz w:val="24"/>
          <w:szCs w:val="24"/>
        </w:rPr>
      </w:pPr>
      <w:r>
        <w:rPr>
          <w:rFonts w:hint="eastAsia" w:ascii="宋体"/>
          <w:bCs/>
          <w:color w:val="000000"/>
          <w:sz w:val="24"/>
          <w:szCs w:val="24"/>
        </w:rPr>
      </w:r>
      <w:r/>
    </w:p>
    <w:p>
      <w:pPr>
        <w:pStyle w:val="734"/>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734"/>
        <w:ind w:firstLine="5400"/>
        <w:spacing w:line="480" w:lineRule="auto"/>
        <w:rPr>
          <w:rFonts w:ascii="宋体" w:hAnsi="宋体"/>
          <w:bCs/>
          <w:color w:val="000000"/>
          <w:sz w:val="24"/>
          <w:szCs w:val="24"/>
        </w:rPr>
      </w:pPr>
      <w:r>
        <w:rPr>
          <w:rFonts w:ascii="宋体" w:hAnsi="宋体"/>
          <w:bCs/>
          <w:color w:val="000000"/>
          <w:sz w:val="24"/>
          <w:szCs w:val="24"/>
        </w:rPr>
      </w:r>
      <w:r/>
    </w:p>
    <w:p>
      <w:pPr>
        <w:pStyle w:val="734"/>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734"/>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734"/>
        <w:spacing w:line="360" w:lineRule="auto"/>
        <w:rPr>
          <w:rFonts w:hint="eastAsia"/>
          <w:b/>
          <w:color w:val="000000"/>
          <w:sz w:val="28"/>
          <w:szCs w:val="28"/>
        </w:rPr>
      </w:pPr>
      <w:r>
        <w:rPr>
          <w:rFonts w:hint="eastAsia"/>
          <w:b/>
          <w:color w:val="000000"/>
          <w:sz w:val="28"/>
          <w:szCs w:val="28"/>
        </w:rPr>
        <w:t xml:space="preserve">八、开标一览表：</w:t>
      </w:r>
      <w:r/>
    </w:p>
    <w:p>
      <w:pPr>
        <w:pStyle w:val="734"/>
        <w:ind w:firstLine="482"/>
        <w:spacing w:line="440" w:lineRule="exact"/>
        <w:rPr>
          <w:rFonts w:hint="eastAsia" w:ascii="Arial" w:hAnsi="Arial"/>
          <w:b/>
          <w:color w:val="000000"/>
          <w:sz w:val="24"/>
        </w:rPr>
      </w:pPr>
      <w:r>
        <w:rPr>
          <w:rFonts w:hint="eastAsia" w:ascii="Arial" w:hAnsi="Arial"/>
          <w:b/>
          <w:color w:val="000000"/>
          <w:sz w:val="24"/>
        </w:rPr>
      </w:r>
      <w:r/>
    </w:p>
    <w:p>
      <w:pPr>
        <w:pStyle w:val="73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34"/>
        <w:jc w:val="center"/>
        <w:rPr>
          <w:rFonts w:ascii="黑体" w:eastAsia="黑体"/>
          <w:bCs/>
          <w:color w:val="000000"/>
          <w:sz w:val="28"/>
          <w:szCs w:val="28"/>
        </w:rPr>
        <w:outlineLvl w:val="0"/>
      </w:pPr>
      <w:r>
        <w:rPr>
          <w:rFonts w:ascii="黑体" w:eastAsia="黑体"/>
          <w:bCs/>
          <w:color w:val="000000"/>
          <w:sz w:val="28"/>
          <w:szCs w:val="28"/>
        </w:rPr>
      </w:r>
      <w:r/>
    </w:p>
    <w:p>
      <w:pPr>
        <w:pStyle w:val="734"/>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黑体" w:eastAsia="黑体"/>
          <w:bCs/>
          <w:color w:val="000000"/>
          <w:sz w:val="24"/>
          <w:szCs w:val="24"/>
        </w:rPr>
        <w:t xml:space="preserve">JSZC-320200-JZCG-G2024-0178</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48"/>
              <w:jc w:val="center"/>
              <w:spacing w:line="400" w:lineRule="exact"/>
              <w:rPr>
                <w:rFonts w:hAnsi="宋体"/>
                <w:bCs/>
                <w:color w:val="000000"/>
                <w:szCs w:val="24"/>
              </w:rPr>
            </w:pPr>
            <w:r>
              <w:rPr>
                <w:rFonts w:hint="eastAsia" w:hAnsi="宋体"/>
                <w:bCs/>
                <w:color w:val="000000"/>
                <w:szCs w:val="24"/>
              </w:rPr>
              <w:t xml:space="preserve">太湖治理数字化平台项目（软件平台建设）</w:t>
            </w:r>
            <w:r>
              <w:rPr>
                <w:rFonts w:hAnsi="宋体"/>
                <w:bCs/>
                <w:color w:val="000000"/>
                <w:szCs w:val="24"/>
              </w:rPr>
            </w:r>
            <w:r/>
          </w:p>
        </w:tc>
        <w:tc>
          <w:tcPr>
            <w:tcW w:w="3188" w:type="dxa"/>
            <w:vAlign w:val="center"/>
            <w:textDirection w:val="lrTb"/>
            <w:noWrap w:val="false"/>
          </w:tcPr>
          <w:p>
            <w:pPr>
              <w:pStyle w:val="84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734"/>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34"/>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34"/>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734"/>
        <w:spacing w:line="360" w:lineRule="auto"/>
        <w:rPr>
          <w:rFonts w:hint="eastAsia"/>
          <w:b/>
          <w:color w:val="000000"/>
          <w:sz w:val="30"/>
          <w:szCs w:val="30"/>
        </w:rPr>
      </w:pPr>
      <w:r>
        <w:rPr>
          <w:rFonts w:hint="eastAsia"/>
          <w:b/>
          <w:color w:val="000000"/>
          <w:sz w:val="30"/>
          <w:szCs w:val="30"/>
        </w:rPr>
      </w:r>
      <w:r/>
    </w:p>
    <w:p>
      <w:pPr>
        <w:pStyle w:val="734"/>
        <w:jc w:val="center"/>
        <w:spacing w:line="400" w:lineRule="exact"/>
        <w:rPr>
          <w:rFonts w:ascii="黑体" w:eastAsia="黑体"/>
          <w:bCs/>
          <w:color w:val="000000"/>
          <w:sz w:val="28"/>
          <w:szCs w:val="28"/>
        </w:rPr>
        <w:outlineLvl w:val="0"/>
      </w:pPr>
      <w:r/>
      <w:bookmarkEnd w:id="209"/>
      <w:r/>
      <w:bookmarkEnd w:id="210"/>
      <w:r/>
      <w:bookmarkEnd w:id="211"/>
      <w:r/>
      <w:bookmarkStart w:id="214"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73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JSZC-320200-JZCG-G2024-0178</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734"/>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34"/>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734"/>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734"/>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734"/>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734"/>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734"/>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734"/>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34"/>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8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4"/>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734"/>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734"/>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734"/>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84"/>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734"/>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734"/>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734"/>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734"/>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734"/>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734"/>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734"/>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734"/>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734"/>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734"/>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84"/>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734"/>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734"/>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734"/>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734"/>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734"/>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34"/>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34"/>
        <w:spacing w:line="400" w:lineRule="exact"/>
        <w:rPr>
          <w:rFonts w:hint="eastAsia" w:ascii="宋体" w:hAnsi="宋体"/>
          <w:b/>
          <w:color w:val="000000"/>
        </w:rPr>
        <w:outlineLvl w:val="0"/>
      </w:pPr>
      <w:r>
        <w:rPr>
          <w:rFonts w:hint="eastAsia" w:ascii="宋体" w:hAnsi="宋体"/>
          <w:b/>
          <w:color w:val="000000"/>
        </w:rPr>
      </w:r>
      <w:r/>
    </w:p>
    <w:p>
      <w:pPr>
        <w:pStyle w:val="734"/>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734"/>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734"/>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734"/>
        <w:spacing w:line="400" w:lineRule="exact"/>
        <w:rPr>
          <w:rFonts w:ascii="宋体" w:hAnsi="宋体" w:cs="宋体"/>
          <w:color w:val="000000"/>
          <w:lang w:val="zh-CN"/>
        </w:rPr>
        <w:outlineLvl w:val="0"/>
      </w:pPr>
      <w:r>
        <w:rPr>
          <w:rFonts w:ascii="宋体" w:hAnsi="宋体" w:cs="宋体"/>
          <w:color w:val="000000"/>
          <w:lang w:val="zh-CN"/>
        </w:rPr>
        <w:t xml:space="preserve"> </w:t>
      </w:r>
      <w:r>
        <w:rPr>
          <w:rFonts w:ascii="宋体" w:hAnsi="宋体" w:cs="宋体"/>
          <w:color w:val="000000"/>
          <w:lang w:val="zh-CN"/>
        </w:rPr>
      </w:r>
      <w:r/>
    </w:p>
    <w:p>
      <w:pPr>
        <w:pStyle w:val="734"/>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734"/>
        <w:ind w:firstLine="490"/>
        <w:jc w:val="center"/>
        <w:rPr>
          <w:rFonts w:ascii="黑体" w:eastAsia="黑体"/>
          <w:bCs/>
          <w:color w:val="000000"/>
          <w:sz w:val="28"/>
          <w:szCs w:val="28"/>
        </w:rPr>
        <w:outlineLvl w:val="0"/>
      </w:pPr>
      <w:r>
        <w:rPr>
          <w:rFonts w:ascii="黑体" w:eastAsia="黑体"/>
          <w:bCs/>
          <w:color w:val="000000"/>
          <w:sz w:val="28"/>
          <w:szCs w:val="28"/>
        </w:rPr>
      </w:r>
      <w:r/>
    </w:p>
    <w:p>
      <w:pPr>
        <w:pStyle w:val="73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3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34"/>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JSZC-320200-JZCG-G2024-0178</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rPr>
                <w:rFonts w:ascii="宋体"/>
                <w:bCs/>
                <w:color w:val="000000"/>
              </w:rPr>
            </w:pPr>
            <w:r>
              <w:rPr>
                <w:rFonts w:ascii="宋体"/>
                <w:bCs/>
                <w:color w:val="000000"/>
              </w:rPr>
            </w:r>
            <w:r/>
          </w:p>
        </w:tc>
      </w:tr>
    </w:tbl>
    <w:p>
      <w:pPr>
        <w:pStyle w:val="73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34"/>
        <w:rPr>
          <w:rFonts w:ascii="宋体"/>
          <w:bCs/>
          <w:color w:val="000000"/>
          <w:sz w:val="30"/>
        </w:rPr>
      </w:pPr>
      <w:r>
        <w:rPr>
          <w:rFonts w:ascii="宋体"/>
          <w:bCs/>
          <w:color w:val="000000"/>
          <w:sz w:val="30"/>
        </w:rPr>
      </w:r>
      <w:r/>
    </w:p>
    <w:p>
      <w:pPr>
        <w:pStyle w:val="734"/>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3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734"/>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14"/>
      <w:r/>
      <w:bookmarkStart w:id="215" w:name="_Hlt26671374"/>
      <w:r/>
      <w:bookmarkEnd w:id="215"/>
      <w:r/>
      <w:bookmarkStart w:id="216" w:name="_格式2__法定代表人授权书"/>
      <w:r/>
      <w:bookmarkEnd w:id="216"/>
      <w:r/>
      <w:bookmarkStart w:id="217" w:name="_Hlt26955066"/>
      <w:r/>
      <w:bookmarkEnd w:id="217"/>
      <w:r/>
      <w:bookmarkStart w:id="218" w:name="_Hlt26609389"/>
      <w:r/>
      <w:bookmarkEnd w:id="218"/>
      <w:r>
        <w:rPr>
          <w:rFonts w:hint="eastAsia" w:ascii="宋体" w:hAnsi="宋体"/>
          <w:bCs/>
          <w:color w:val="000000"/>
          <w:sz w:val="24"/>
          <w:szCs w:val="24"/>
        </w:rPr>
      </w:r>
      <w:r/>
    </w:p>
    <w:p>
      <w:pPr>
        <w:pStyle w:val="734"/>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734"/>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734"/>
        <w:spacing w:line="400" w:lineRule="exact"/>
        <w:rPr>
          <w:rFonts w:ascii="黑体" w:eastAsia="黑体"/>
          <w:bCs/>
          <w:color w:val="000000"/>
          <w:sz w:val="28"/>
          <w:szCs w:val="28"/>
        </w:rPr>
      </w:pPr>
      <w:r>
        <w:rPr>
          <w:rFonts w:ascii="黑体" w:eastAsia="黑体"/>
          <w:bCs/>
          <w:color w:val="000000"/>
          <w:sz w:val="28"/>
          <w:szCs w:val="28"/>
        </w:rPr>
      </w:r>
      <w:r/>
    </w:p>
    <w:p>
      <w:pPr>
        <w:pStyle w:val="734"/>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734"/>
        <w:jc w:val="center"/>
        <w:spacing w:line="400" w:lineRule="exact"/>
        <w:rPr>
          <w:rFonts w:ascii="黑体" w:eastAsia="黑体"/>
          <w:bCs/>
          <w:color w:val="000000"/>
          <w:sz w:val="28"/>
          <w:szCs w:val="28"/>
        </w:rPr>
      </w:pPr>
      <w:r>
        <w:rPr>
          <w:rFonts w:ascii="黑体" w:eastAsia="黑体"/>
          <w:bCs/>
          <w:color w:val="000000"/>
          <w:sz w:val="28"/>
          <w:szCs w:val="28"/>
        </w:rPr>
      </w:r>
      <w:r/>
    </w:p>
    <w:p>
      <w:pPr>
        <w:pStyle w:val="734"/>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JSZC-320200-JZCG-G2024-0178</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34"/>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734"/>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734"/>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734"/>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734"/>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734"/>
              <w:rPr>
                <w:rFonts w:ascii="黑体" w:eastAsia="黑体"/>
                <w:bCs/>
                <w:color w:val="000000"/>
                <w:sz w:val="24"/>
                <w:szCs w:val="24"/>
              </w:rPr>
              <w:outlineLvl w:val="0"/>
            </w:pPr>
            <w:r>
              <w:rPr>
                <w:rFonts w:ascii="黑体" w:eastAsia="黑体"/>
                <w:bCs/>
                <w:color w:val="000000"/>
                <w:sz w:val="24"/>
                <w:szCs w:val="24"/>
              </w:rPr>
            </w:r>
            <w:r/>
          </w:p>
        </w:tc>
      </w:tr>
    </w:tbl>
    <w:p>
      <w:pPr>
        <w:pStyle w:val="734"/>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734"/>
        <w:rPr>
          <w:rFonts w:hint="eastAsia" w:ascii="宋体" w:hAnsi="宋体"/>
          <w:bCs/>
          <w:color w:val="000000"/>
        </w:rPr>
      </w:pPr>
      <w:r>
        <w:rPr>
          <w:rFonts w:hint="eastAsia" w:ascii="宋体" w:hAnsi="宋体"/>
          <w:bCs/>
          <w:color w:val="000000"/>
        </w:rPr>
      </w:r>
      <w:r/>
    </w:p>
    <w:p>
      <w:pPr>
        <w:pStyle w:val="734"/>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34"/>
        <w:ind w:firstLine="420"/>
        <w:rPr>
          <w:rFonts w:hint="eastAsia"/>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rFonts w:hint="eastAsia"/>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7"/>
        <w:rFonts w:ascii="宋体" w:hAnsi="宋体"/>
      </w:rPr>
      <w:framePr w:wrap="around" w:vAnchor="text" w:hAnchor="margin" w:xAlign="center" w:y="1"/>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５７</w:t>
    </w:r>
    <w:r>
      <w:rPr>
        <w:rFonts w:ascii="宋体" w:hAnsi="宋体"/>
      </w:rPr>
      <w:fldChar w:fldCharType="end"/>
    </w:r>
    <w:r>
      <w:rPr>
        <w:rStyle w:val="807"/>
        <w:rFonts w:ascii="宋体" w:hAnsi="宋体"/>
      </w:rPr>
    </w:r>
    <w:r/>
  </w:p>
  <w:p>
    <w:pPr>
      <w:pStyle w:val="782"/>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rPr>
        <w:rStyle w:val="807"/>
      </w:rPr>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73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34"/>
        <w:ind w:left="0" w:firstLine="0"/>
      </w:pPr>
    </w:lvl>
    <w:lvl w:ilvl="1">
      <w:start w:val="1"/>
      <w:numFmt w:val="decimal"/>
      <w:isLgl w:val="false"/>
      <w:suff w:val="space"/>
      <w:lvlText w:val="%1.%2"/>
      <w:lvlJc w:val="left"/>
      <w:pPr>
        <w:pStyle w:val="734"/>
        <w:ind w:left="0" w:firstLine="0"/>
      </w:pPr>
    </w:lvl>
    <w:lvl w:ilvl="2">
      <w:start w:val="1"/>
      <w:numFmt w:val="decimal"/>
      <w:isLgl w:val="false"/>
      <w:suff w:val="space"/>
      <w:lvlText w:val="%1.%2.%3"/>
      <w:lvlJc w:val="left"/>
      <w:pPr>
        <w:pStyle w:val="734"/>
        <w:ind w:left="0" w:firstLine="0"/>
      </w:pPr>
    </w:lvl>
    <w:lvl w:ilvl="3">
      <w:start w:val="1"/>
      <w:numFmt w:val="decimal"/>
      <w:isLgl w:val="false"/>
      <w:suff w:val="space"/>
      <w:lvlText w:val="%1.%2.%3.%4"/>
      <w:lvlJc w:val="left"/>
      <w:pPr>
        <w:pStyle w:val="734"/>
        <w:ind w:left="0" w:firstLine="0"/>
      </w:pPr>
    </w:lvl>
    <w:lvl w:ilvl="4">
      <w:start w:val="1"/>
      <w:numFmt w:val="decimal"/>
      <w:isLgl w:val="false"/>
      <w:suff w:val="space"/>
      <w:lvlText w:val="%1.%2.%3.%4.%5"/>
      <w:lvlJc w:val="left"/>
      <w:pPr>
        <w:pStyle w:val="734"/>
        <w:ind w:left="0" w:firstLine="0"/>
      </w:pPr>
    </w:lvl>
    <w:lvl w:ilvl="5">
      <w:start w:val="1"/>
      <w:numFmt w:val="decimal"/>
      <w:isLgl w:val="false"/>
      <w:suff w:val="space"/>
      <w:lvlText w:val="%1.%2.%3.%4.%5.%6"/>
      <w:lvlJc w:val="left"/>
      <w:pPr>
        <w:pStyle w:val="734"/>
        <w:ind w:left="0" w:firstLine="0"/>
      </w:pPr>
    </w:lvl>
    <w:lvl w:ilvl="6">
      <w:start w:val="1"/>
      <w:numFmt w:val="decimal"/>
      <w:isLgl w:val="false"/>
      <w:suff w:val="space"/>
      <w:lvlText w:val="%1.%2.%3.%4.%5.%6.%7"/>
      <w:lvlJc w:val="left"/>
      <w:pPr>
        <w:pStyle w:val="734"/>
        <w:ind w:left="0" w:firstLine="0"/>
      </w:pPr>
    </w:lvl>
    <w:lvl w:ilvl="7">
      <w:start w:val="1"/>
      <w:numFmt w:val="decimal"/>
      <w:isLgl w:val="false"/>
      <w:suff w:val="space"/>
      <w:lvlText w:val="%1.%2.%3.%4.%5.%6.%7.%8"/>
      <w:lvlJc w:val="left"/>
      <w:pPr>
        <w:pStyle w:val="734"/>
        <w:ind w:left="0" w:firstLine="0"/>
      </w:pPr>
    </w:lvl>
    <w:lvl w:ilvl="8">
      <w:start w:val="1"/>
      <w:numFmt w:val="decimal"/>
      <w:isLgl w:val="false"/>
      <w:suff w:val="space"/>
      <w:lvlText w:val="%1.%2.%3.%4.%5.%6.%7.%8.%9"/>
      <w:lvlJc w:val="left"/>
      <w:pPr>
        <w:pStyle w:val="734"/>
        <w:ind w:left="0" w:firstLine="0"/>
      </w:pPr>
    </w:lvl>
  </w:abstractNum>
  <w:abstractNum w:abstractNumId="5">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73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pStyle w:val="734"/>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12">
    <w:multiLevelType w:val="hybridMultilevel"/>
    <w:lvl w:ilvl="0">
      <w:start w:val="1"/>
      <w:numFmt w:val="upperLetter"/>
      <w:pStyle w:val="814"/>
      <w:isLgl w:val="false"/>
      <w:suff w:val="tab"/>
      <w:lvlText w:val="附录%1."/>
      <w:lvlJc w:val="left"/>
      <w:pPr>
        <w:pStyle w:val="7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17">
    <w:multiLevelType w:val="hybridMultilevel"/>
    <w:lvl w:ilvl="0">
      <w:start w:val="1"/>
      <w:numFmt w:val="decimal"/>
      <w:isLgl w:val="false"/>
      <w:suff w:val="tab"/>
      <w:lvlText w:val="%1．"/>
      <w:lvlJc w:val="left"/>
      <w:pPr>
        <w:pStyle w:val="734"/>
        <w:ind w:left="902" w:hanging="420"/>
      </w:pPr>
      <w:rPr>
        <w:rFonts w:hint="eastAsia" w:cs="Times New Roman"/>
      </w:rPr>
    </w:lvl>
    <w:lvl w:ilvl="1">
      <w:start w:val="1"/>
      <w:numFmt w:val="lowerLetter"/>
      <w:isLgl w:val="false"/>
      <w:suff w:val="tab"/>
      <w:lvlText w:val="%2)"/>
      <w:lvlJc w:val="left"/>
      <w:pPr>
        <w:pStyle w:val="734"/>
        <w:ind w:left="1322" w:hanging="420"/>
      </w:pPr>
    </w:lvl>
    <w:lvl w:ilvl="2">
      <w:start w:val="1"/>
      <w:numFmt w:val="lowerRoman"/>
      <w:isLgl w:val="false"/>
      <w:suff w:val="tab"/>
      <w:lvlText w:val="%3."/>
      <w:lvlJc w:val="right"/>
      <w:pPr>
        <w:pStyle w:val="734"/>
        <w:ind w:left="1742" w:hanging="420"/>
      </w:pPr>
    </w:lvl>
    <w:lvl w:ilvl="3">
      <w:start w:val="1"/>
      <w:numFmt w:val="decimal"/>
      <w:isLgl w:val="false"/>
      <w:suff w:val="tab"/>
      <w:lvlText w:val="%4."/>
      <w:lvlJc w:val="left"/>
      <w:pPr>
        <w:pStyle w:val="734"/>
        <w:ind w:left="2162" w:hanging="420"/>
      </w:pPr>
    </w:lvl>
    <w:lvl w:ilvl="4">
      <w:start w:val="1"/>
      <w:numFmt w:val="lowerLetter"/>
      <w:isLgl w:val="false"/>
      <w:suff w:val="tab"/>
      <w:lvlText w:val="%5)"/>
      <w:lvlJc w:val="left"/>
      <w:pPr>
        <w:pStyle w:val="734"/>
        <w:ind w:left="2582" w:hanging="420"/>
      </w:pPr>
    </w:lvl>
    <w:lvl w:ilvl="5">
      <w:start w:val="1"/>
      <w:numFmt w:val="lowerRoman"/>
      <w:isLgl w:val="false"/>
      <w:suff w:val="tab"/>
      <w:lvlText w:val="%6."/>
      <w:lvlJc w:val="right"/>
      <w:pPr>
        <w:pStyle w:val="734"/>
        <w:ind w:left="3002" w:hanging="420"/>
      </w:pPr>
    </w:lvl>
    <w:lvl w:ilvl="6">
      <w:start w:val="1"/>
      <w:numFmt w:val="decimal"/>
      <w:isLgl w:val="false"/>
      <w:suff w:val="tab"/>
      <w:lvlText w:val="%7."/>
      <w:lvlJc w:val="left"/>
      <w:pPr>
        <w:pStyle w:val="734"/>
        <w:ind w:left="3422" w:hanging="420"/>
      </w:pPr>
    </w:lvl>
    <w:lvl w:ilvl="7">
      <w:start w:val="1"/>
      <w:numFmt w:val="lowerLetter"/>
      <w:isLgl w:val="false"/>
      <w:suff w:val="tab"/>
      <w:lvlText w:val="%8)"/>
      <w:lvlJc w:val="left"/>
      <w:pPr>
        <w:pStyle w:val="734"/>
        <w:ind w:left="3842" w:hanging="420"/>
      </w:pPr>
    </w:lvl>
    <w:lvl w:ilvl="8">
      <w:start w:val="1"/>
      <w:numFmt w:val="lowerRoman"/>
      <w:isLgl w:val="false"/>
      <w:suff w:val="tab"/>
      <w:lvlText w:val="%9."/>
      <w:lvlJc w:val="right"/>
      <w:pPr>
        <w:pStyle w:val="734"/>
        <w:ind w:left="4262" w:hanging="420"/>
      </w:pPr>
    </w:lvl>
  </w:abstractNum>
  <w:abstractNum w:abstractNumId="18">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9">
    <w:multiLevelType w:val="hybridMultilevel"/>
    <w:lvl w:ilvl="0">
      <w:start w:val="3"/>
      <w:numFmt w:val="decimal"/>
      <w:isLgl w:val="false"/>
      <w:suff w:val="tab"/>
      <w:lvlText w:val="%1."/>
      <w:lvlJc w:val="left"/>
      <w:pPr>
        <w:pStyle w:val="734"/>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21">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条"/>
      <w:lvlJc w:val="left"/>
      <w:pPr>
        <w:pStyle w:val="734"/>
        <w:ind w:left="1505" w:hanging="945"/>
        <w:tabs>
          <w:tab w:val="num" w:pos="1505" w:leader="none"/>
        </w:tabs>
      </w:pPr>
      <w:rPr>
        <w:rFonts w:hint="eastAsia"/>
      </w:rPr>
    </w:lvl>
    <w:lvl w:ilvl="1">
      <w:start w:val="1"/>
      <w:numFmt w:val="decimal"/>
      <w:isLgl w:val="false"/>
      <w:suff w:val="tab"/>
      <w:lvlText w:val="%2、"/>
      <w:lvlJc w:val="left"/>
      <w:pPr>
        <w:pStyle w:val="734"/>
        <w:ind w:left="1340" w:hanging="360"/>
        <w:tabs>
          <w:tab w:val="num" w:pos="1340" w:leader="none"/>
        </w:tabs>
      </w:pPr>
      <w:rPr>
        <w:rFonts w:hint="eastAsia"/>
      </w:rPr>
    </w:lvl>
    <w:lvl w:ilvl="2">
      <w:start w:val="1"/>
      <w:numFmt w:val="japaneseCounting"/>
      <w:isLgl w:val="false"/>
      <w:suff w:val="tab"/>
      <w:lvlText w:val="%3、"/>
      <w:lvlJc w:val="left"/>
      <w:pPr>
        <w:pStyle w:val="734"/>
        <w:ind w:left="1820" w:hanging="420"/>
        <w:tabs>
          <w:tab w:val="num" w:pos="1820" w:leader="none"/>
        </w:tabs>
      </w:pPr>
      <w:rPr>
        <w:rFonts w:hint="eastAsia"/>
      </w:rPr>
    </w:lvl>
    <w:lvl w:ilvl="3">
      <w:start w:val="1"/>
      <w:numFmt w:val="decimal"/>
      <w:isLgl w:val="false"/>
      <w:suff w:val="tab"/>
      <w:lvlText w:val="%4."/>
      <w:lvlJc w:val="left"/>
      <w:pPr>
        <w:pStyle w:val="734"/>
        <w:ind w:left="2240" w:hanging="420"/>
        <w:tabs>
          <w:tab w:val="num" w:pos="2240" w:leader="none"/>
        </w:tabs>
      </w:pPr>
    </w:lvl>
    <w:lvl w:ilvl="4">
      <w:start w:val="1"/>
      <w:numFmt w:val="lowerLetter"/>
      <w:isLgl w:val="false"/>
      <w:suff w:val="tab"/>
      <w:lvlText w:val="%5)"/>
      <w:lvlJc w:val="left"/>
      <w:pPr>
        <w:pStyle w:val="734"/>
        <w:ind w:left="2660" w:hanging="420"/>
        <w:tabs>
          <w:tab w:val="num" w:pos="2660" w:leader="none"/>
        </w:tabs>
      </w:pPr>
    </w:lvl>
    <w:lvl w:ilvl="5">
      <w:start w:val="1"/>
      <w:numFmt w:val="lowerRoman"/>
      <w:isLgl w:val="false"/>
      <w:suff w:val="tab"/>
      <w:lvlText w:val="%6."/>
      <w:lvlJc w:val="right"/>
      <w:pPr>
        <w:pStyle w:val="734"/>
        <w:ind w:left="3080" w:hanging="420"/>
        <w:tabs>
          <w:tab w:val="num" w:pos="3080" w:leader="none"/>
        </w:tabs>
      </w:pPr>
    </w:lvl>
    <w:lvl w:ilvl="6">
      <w:start w:val="1"/>
      <w:numFmt w:val="decimal"/>
      <w:isLgl w:val="false"/>
      <w:suff w:val="tab"/>
      <w:lvlText w:val="%7."/>
      <w:lvlJc w:val="left"/>
      <w:pPr>
        <w:pStyle w:val="734"/>
        <w:ind w:left="3500" w:hanging="420"/>
        <w:tabs>
          <w:tab w:val="num" w:pos="3500" w:leader="none"/>
        </w:tabs>
      </w:pPr>
    </w:lvl>
    <w:lvl w:ilvl="7">
      <w:start w:val="1"/>
      <w:numFmt w:val="lowerLetter"/>
      <w:isLgl w:val="false"/>
      <w:suff w:val="tab"/>
      <w:lvlText w:val="%8)"/>
      <w:lvlJc w:val="left"/>
      <w:pPr>
        <w:pStyle w:val="734"/>
        <w:ind w:left="3920" w:hanging="420"/>
        <w:tabs>
          <w:tab w:val="num" w:pos="3920" w:leader="none"/>
        </w:tabs>
      </w:pPr>
    </w:lvl>
    <w:lvl w:ilvl="8">
      <w:start w:val="1"/>
      <w:numFmt w:val="lowerRoman"/>
      <w:isLgl w:val="false"/>
      <w:suff w:val="tab"/>
      <w:lvlText w:val="%9."/>
      <w:lvlJc w:val="right"/>
      <w:pPr>
        <w:pStyle w:val="734"/>
        <w:ind w:left="4340" w:hanging="420"/>
        <w:tabs>
          <w:tab w:val="num" w:pos="4340" w:leader="none"/>
        </w:tabs>
      </w:pPr>
    </w:lvl>
  </w:abstractNum>
  <w:abstractNum w:abstractNumId="23">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24">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25">
    <w:multiLevelType w:val="hybridMultilevel"/>
    <w:lvl w:ilvl="0">
      <w:start w:val="1"/>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8"/>
      <w:numFmt w:val="japaneseCounting"/>
      <w:isLgl w:val="false"/>
      <w:suff w:val="tab"/>
      <w:lvlText w:val="（%1）"/>
      <w:lvlJc w:val="left"/>
      <w:pPr>
        <w:pStyle w:val="734"/>
        <w:ind w:left="1239" w:hanging="720"/>
      </w:pPr>
      <w:rPr>
        <w:rFonts w:hAnsi="宋体"/>
      </w:rPr>
    </w:lvl>
    <w:lvl w:ilvl="1">
      <w:start w:val="1"/>
      <w:numFmt w:val="lowerLetter"/>
      <w:isLgl w:val="false"/>
      <w:suff w:val="tab"/>
      <w:lvlText w:val="%2)"/>
      <w:lvlJc w:val="left"/>
      <w:pPr>
        <w:pStyle w:val="734"/>
        <w:ind w:left="1359" w:hanging="420"/>
      </w:pPr>
    </w:lvl>
    <w:lvl w:ilvl="2">
      <w:start w:val="1"/>
      <w:numFmt w:val="lowerRoman"/>
      <w:isLgl w:val="false"/>
      <w:suff w:val="tab"/>
      <w:lvlText w:val="%3."/>
      <w:lvlJc w:val="right"/>
      <w:pPr>
        <w:pStyle w:val="734"/>
        <w:ind w:left="1779" w:hanging="420"/>
      </w:pPr>
    </w:lvl>
    <w:lvl w:ilvl="3">
      <w:start w:val="1"/>
      <w:numFmt w:val="decimal"/>
      <w:isLgl w:val="false"/>
      <w:suff w:val="tab"/>
      <w:lvlText w:val="%4."/>
      <w:lvlJc w:val="left"/>
      <w:pPr>
        <w:pStyle w:val="734"/>
        <w:ind w:left="2199" w:hanging="420"/>
      </w:pPr>
    </w:lvl>
    <w:lvl w:ilvl="4">
      <w:start w:val="1"/>
      <w:numFmt w:val="lowerLetter"/>
      <w:isLgl w:val="false"/>
      <w:suff w:val="tab"/>
      <w:lvlText w:val="%5)"/>
      <w:lvlJc w:val="left"/>
      <w:pPr>
        <w:pStyle w:val="734"/>
        <w:ind w:left="2619" w:hanging="420"/>
      </w:pPr>
    </w:lvl>
    <w:lvl w:ilvl="5">
      <w:start w:val="1"/>
      <w:numFmt w:val="lowerRoman"/>
      <w:isLgl w:val="false"/>
      <w:suff w:val="tab"/>
      <w:lvlText w:val="%6."/>
      <w:lvlJc w:val="right"/>
      <w:pPr>
        <w:pStyle w:val="734"/>
        <w:ind w:left="3039" w:hanging="420"/>
      </w:pPr>
    </w:lvl>
    <w:lvl w:ilvl="6">
      <w:start w:val="1"/>
      <w:numFmt w:val="decimal"/>
      <w:isLgl w:val="false"/>
      <w:suff w:val="tab"/>
      <w:lvlText w:val="%7."/>
      <w:lvlJc w:val="left"/>
      <w:pPr>
        <w:pStyle w:val="734"/>
        <w:ind w:left="3459" w:hanging="420"/>
      </w:pPr>
    </w:lvl>
    <w:lvl w:ilvl="7">
      <w:start w:val="1"/>
      <w:numFmt w:val="lowerLetter"/>
      <w:isLgl w:val="false"/>
      <w:suff w:val="tab"/>
      <w:lvlText w:val="%8)"/>
      <w:lvlJc w:val="left"/>
      <w:pPr>
        <w:pStyle w:val="734"/>
        <w:ind w:left="3879" w:hanging="420"/>
      </w:pPr>
    </w:lvl>
    <w:lvl w:ilvl="8">
      <w:start w:val="1"/>
      <w:numFmt w:val="lowerRoman"/>
      <w:isLgl w:val="false"/>
      <w:suff w:val="tab"/>
      <w:lvlText w:val="%9."/>
      <w:lvlJc w:val="right"/>
      <w:pPr>
        <w:pStyle w:val="734"/>
        <w:ind w:left="4299" w:hanging="420"/>
      </w:pPr>
    </w:lvl>
  </w:abstractNum>
  <w:abstractNum w:abstractNumId="27">
    <w:multiLevelType w:val="hybridMultilevel"/>
    <w:lvl w:ilvl="0">
      <w:start w:val="1"/>
      <w:numFmt w:val="decimal"/>
      <w:pStyle w:val="831"/>
      <w:isLgl w:val="false"/>
      <w:suff w:val="tab"/>
      <w:lvlText w:val="%1."/>
      <w:lvlJc w:val="left"/>
      <w:pPr>
        <w:pStyle w:val="734"/>
        <w:ind w:left="709" w:hanging="709"/>
        <w:tabs>
          <w:tab w:val="num" w:pos="709" w:leader="none"/>
        </w:tabs>
      </w:pPr>
      <w:rPr>
        <w:rFonts w:hint="eastAsia"/>
      </w:rPr>
    </w:lvl>
    <w:lvl w:ilvl="1">
      <w:start w:val="1"/>
      <w:numFmt w:val="decimal"/>
      <w:isLgl w:val="false"/>
      <w:suff w:val="tab"/>
      <w:lvlText w:val="%1.%2"/>
      <w:lvlJc w:val="left"/>
      <w:pPr>
        <w:pStyle w:val="734"/>
        <w:ind w:left="709" w:hanging="709"/>
        <w:tabs>
          <w:tab w:val="num" w:pos="709" w:leader="none"/>
        </w:tabs>
      </w:pPr>
      <w:rPr>
        <w:rFonts w:hint="eastAsia"/>
      </w:rPr>
    </w:lvl>
    <w:lvl w:ilvl="2">
      <w:start w:val="1"/>
      <w:numFmt w:val="decimal"/>
      <w:isLgl w:val="false"/>
      <w:suff w:val="tab"/>
      <w:lvlText w:val="%1.%2.%3."/>
      <w:lvlJc w:val="left"/>
      <w:pPr>
        <w:pStyle w:val="734"/>
        <w:ind w:left="425" w:hanging="425"/>
        <w:tabs>
          <w:tab w:val="num" w:pos="425"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isLgl w:val="false"/>
      <w:suff w:val="tab"/>
      <w:lvlText w:val="%1.%2.%3.%4.%5."/>
      <w:lvlJc w:val="left"/>
      <w:pPr>
        <w:pStyle w:val="734"/>
        <w:ind w:left="992" w:hanging="992"/>
        <w:tabs>
          <w:tab w:val="num" w:pos="992" w:leader="none"/>
        </w:tabs>
      </w:pPr>
      <w:rPr>
        <w:rFonts w:hint="eastAsia"/>
      </w:rPr>
    </w:lvl>
    <w:lvl w:ilvl="5">
      <w:start w:val="1"/>
      <w:numFmt w:val="decimal"/>
      <w:isLgl w:val="false"/>
      <w:suff w:val="tab"/>
      <w:lvlText w:val="%1.%2.%3.%4.%5.%6."/>
      <w:lvlJc w:val="left"/>
      <w:pPr>
        <w:pStyle w:val="734"/>
        <w:ind w:left="1134" w:hanging="1134"/>
        <w:tabs>
          <w:tab w:val="num" w:pos="1134"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28">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29">
    <w:multiLevelType w:val="hybridMultilevel"/>
    <w:lvl w:ilvl="0">
      <w:start w:val="1"/>
      <w:numFmt w:val="decimal"/>
      <w:isLgl w:val="false"/>
      <w:suff w:val="tab"/>
      <w:lvlText w:val="%1."/>
      <w:lvlJc w:val="left"/>
      <w:pPr>
        <w:pStyle w:val="734"/>
        <w:ind w:left="902" w:hanging="420"/>
      </w:pPr>
    </w:lvl>
    <w:lvl w:ilvl="1">
      <w:start w:val="1"/>
      <w:numFmt w:val="lowerLetter"/>
      <w:isLgl w:val="false"/>
      <w:suff w:val="tab"/>
      <w:lvlText w:val="%2)"/>
      <w:lvlJc w:val="left"/>
      <w:pPr>
        <w:pStyle w:val="734"/>
        <w:ind w:left="1322" w:hanging="420"/>
      </w:pPr>
    </w:lvl>
    <w:lvl w:ilvl="2">
      <w:start w:val="1"/>
      <w:numFmt w:val="lowerRoman"/>
      <w:isLgl w:val="false"/>
      <w:suff w:val="tab"/>
      <w:lvlText w:val="%3."/>
      <w:lvlJc w:val="right"/>
      <w:pPr>
        <w:pStyle w:val="734"/>
        <w:ind w:left="1742" w:hanging="420"/>
      </w:pPr>
    </w:lvl>
    <w:lvl w:ilvl="3">
      <w:start w:val="1"/>
      <w:numFmt w:val="decimal"/>
      <w:isLgl w:val="false"/>
      <w:suff w:val="tab"/>
      <w:lvlText w:val="%4."/>
      <w:lvlJc w:val="left"/>
      <w:pPr>
        <w:pStyle w:val="734"/>
        <w:ind w:left="2162" w:hanging="420"/>
      </w:pPr>
    </w:lvl>
    <w:lvl w:ilvl="4">
      <w:start w:val="1"/>
      <w:numFmt w:val="lowerLetter"/>
      <w:isLgl w:val="false"/>
      <w:suff w:val="tab"/>
      <w:lvlText w:val="%5)"/>
      <w:lvlJc w:val="left"/>
      <w:pPr>
        <w:pStyle w:val="734"/>
        <w:ind w:left="2582" w:hanging="420"/>
      </w:pPr>
    </w:lvl>
    <w:lvl w:ilvl="5">
      <w:start w:val="1"/>
      <w:numFmt w:val="lowerRoman"/>
      <w:isLgl w:val="false"/>
      <w:suff w:val="tab"/>
      <w:lvlText w:val="%6."/>
      <w:lvlJc w:val="right"/>
      <w:pPr>
        <w:pStyle w:val="734"/>
        <w:ind w:left="3002" w:hanging="420"/>
      </w:pPr>
    </w:lvl>
    <w:lvl w:ilvl="6">
      <w:start w:val="1"/>
      <w:numFmt w:val="decimal"/>
      <w:isLgl w:val="false"/>
      <w:suff w:val="tab"/>
      <w:lvlText w:val="%7."/>
      <w:lvlJc w:val="left"/>
      <w:pPr>
        <w:pStyle w:val="734"/>
        <w:ind w:left="3422" w:hanging="420"/>
      </w:pPr>
    </w:lvl>
    <w:lvl w:ilvl="7">
      <w:start w:val="1"/>
      <w:numFmt w:val="lowerLetter"/>
      <w:isLgl w:val="false"/>
      <w:suff w:val="tab"/>
      <w:lvlText w:val="%8)"/>
      <w:lvlJc w:val="left"/>
      <w:pPr>
        <w:pStyle w:val="734"/>
        <w:ind w:left="3842" w:hanging="420"/>
      </w:pPr>
    </w:lvl>
    <w:lvl w:ilvl="8">
      <w:start w:val="1"/>
      <w:numFmt w:val="lowerRoman"/>
      <w:isLgl w:val="false"/>
      <w:suff w:val="tab"/>
      <w:lvlText w:val="%9."/>
      <w:lvlJc w:val="right"/>
      <w:pPr>
        <w:pStyle w:val="734"/>
        <w:ind w:left="4262" w:hanging="420"/>
      </w:pPr>
    </w:lvl>
  </w:abstractNum>
  <w:abstractNum w:abstractNumId="30">
    <w:multiLevelType w:val="hybridMultilevel"/>
    <w:lvl w:ilvl="0">
      <w:start w:val="1"/>
      <w:numFmt w:val="decimal"/>
      <w:isLgl w:val="false"/>
      <w:suff w:val="space"/>
      <w:lvlText w:val="%1"/>
      <w:lvlJc w:val="left"/>
      <w:pPr>
        <w:pStyle w:val="734"/>
        <w:ind w:left="0" w:firstLine="0"/>
      </w:pPr>
    </w:lvl>
    <w:lvl w:ilvl="1">
      <w:start w:val="1"/>
      <w:numFmt w:val="decimal"/>
      <w:isLgl w:val="false"/>
      <w:suff w:val="space"/>
      <w:lvlText w:val="%1.%2"/>
      <w:lvlJc w:val="left"/>
      <w:pPr>
        <w:pStyle w:val="734"/>
        <w:ind w:left="0" w:firstLine="0"/>
      </w:pPr>
    </w:lvl>
    <w:lvl w:ilvl="2">
      <w:start w:val="1"/>
      <w:numFmt w:val="decimal"/>
      <w:isLgl w:val="false"/>
      <w:suff w:val="space"/>
      <w:lvlText w:val="%1.%2.%3"/>
      <w:lvlJc w:val="left"/>
      <w:pPr>
        <w:pStyle w:val="734"/>
        <w:ind w:left="0" w:firstLine="0"/>
      </w:pPr>
    </w:lvl>
    <w:lvl w:ilvl="3">
      <w:start w:val="1"/>
      <w:numFmt w:val="decimal"/>
      <w:isLgl w:val="false"/>
      <w:suff w:val="space"/>
      <w:lvlText w:val="%1.%2.%3.%4"/>
      <w:lvlJc w:val="left"/>
      <w:pPr>
        <w:pStyle w:val="734"/>
        <w:ind w:left="0" w:firstLine="0"/>
      </w:pPr>
    </w:lvl>
    <w:lvl w:ilvl="4">
      <w:start w:val="1"/>
      <w:numFmt w:val="decimal"/>
      <w:isLgl w:val="false"/>
      <w:suff w:val="space"/>
      <w:lvlText w:val="%1.%2.%3.%4.%5"/>
      <w:lvlJc w:val="left"/>
      <w:pPr>
        <w:pStyle w:val="734"/>
        <w:ind w:left="0" w:firstLine="0"/>
      </w:pPr>
    </w:lvl>
    <w:lvl w:ilvl="5">
      <w:start w:val="1"/>
      <w:numFmt w:val="decimal"/>
      <w:isLgl w:val="false"/>
      <w:suff w:val="space"/>
      <w:lvlText w:val="%1.%2.%3.%4.%5.%6"/>
      <w:lvlJc w:val="left"/>
      <w:pPr>
        <w:pStyle w:val="734"/>
        <w:ind w:left="0" w:firstLine="0"/>
      </w:pPr>
    </w:lvl>
    <w:lvl w:ilvl="6">
      <w:start w:val="1"/>
      <w:numFmt w:val="decimal"/>
      <w:isLgl w:val="false"/>
      <w:suff w:val="space"/>
      <w:lvlText w:val="%1.%2.%3.%4.%5.%6.%7"/>
      <w:lvlJc w:val="left"/>
      <w:pPr>
        <w:pStyle w:val="734"/>
        <w:ind w:left="0" w:firstLine="0"/>
      </w:pPr>
    </w:lvl>
    <w:lvl w:ilvl="7">
      <w:start w:val="1"/>
      <w:numFmt w:val="decimal"/>
      <w:isLgl w:val="false"/>
      <w:suff w:val="space"/>
      <w:lvlText w:val="%1.%2.%3.%4.%5.%6.%7.%8"/>
      <w:lvlJc w:val="left"/>
      <w:pPr>
        <w:pStyle w:val="734"/>
        <w:ind w:left="0" w:firstLine="0"/>
      </w:pPr>
    </w:lvl>
    <w:lvl w:ilvl="8">
      <w:start w:val="1"/>
      <w:numFmt w:val="decimal"/>
      <w:isLgl w:val="false"/>
      <w:suff w:val="space"/>
      <w:lvlText w:val="%1.%2.%3.%4.%5.%6.%7.%8.%9"/>
      <w:lvlJc w:val="left"/>
      <w:pPr>
        <w:pStyle w:val="734"/>
        <w:ind w:left="0" w:firstLine="0"/>
      </w:pPr>
    </w:lvl>
  </w:abstractNum>
  <w:abstractNum w:abstractNumId="31">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2">
    <w:multiLevelType w:val="hybridMultilevel"/>
    <w:lvl w:ilvl="0">
      <w:start w:val="1"/>
      <w:numFmt w:val="japaneseCounting"/>
      <w:isLgl w:val="false"/>
      <w:suff w:val="tab"/>
      <w:lvlText w:val="（%1）"/>
      <w:lvlJc w:val="left"/>
      <w:pPr>
        <w:pStyle w:val="734"/>
        <w:ind w:left="1080" w:hanging="1080"/>
        <w:tabs>
          <w:tab w:val="num" w:pos="1080" w:leader="none"/>
        </w:tabs>
      </w:pPr>
      <w:rPr>
        <w:rFonts w:hint="eastAsia" w:cs="Times New Roman"/>
      </w:rPr>
    </w:lvl>
    <w:lvl w:ilvl="1">
      <w:start w:val="1"/>
      <w:numFmt w:val="decimal"/>
      <w:isLgl w:val="false"/>
      <w:suff w:val="tab"/>
      <w:lvlText w:val="%2."/>
      <w:lvlJc w:val="left"/>
      <w:pPr>
        <w:pStyle w:val="73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34"/>
        <w:ind w:left="1260" w:hanging="420"/>
        <w:tabs>
          <w:tab w:val="num" w:pos="126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33">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4">
    <w:multiLevelType w:val="hybridMultilevel"/>
    <w:lvl w:ilvl="0">
      <w:start w:val="1"/>
      <w:numFmt w:val="chineseCountingThousand"/>
      <w:isLgl w:val="false"/>
      <w:suff w:val="nothing"/>
      <w:lvlText w:val="第%1章 "/>
      <w:lvlJc w:val="left"/>
      <w:pPr>
        <w:pStyle w:val="734"/>
        <w:ind w:left="0" w:firstLine="0"/>
      </w:pPr>
      <w:rPr>
        <w:rFonts w:hint="eastAsia"/>
      </w:rPr>
    </w:lvl>
    <w:lvl w:ilvl="1">
      <w:start w:val="1"/>
      <w:numFmt w:val="decimal"/>
      <w:isLgl w:val="false"/>
      <w:suff w:val="nothing"/>
      <w:lvlText w:val="%2、"/>
      <w:lvlJc w:val="left"/>
      <w:pPr>
        <w:pStyle w:val="734"/>
        <w:ind w:left="0" w:firstLine="0"/>
      </w:pPr>
      <w:rPr>
        <w:rFonts w:hint="eastAsia"/>
      </w:rPr>
    </w:lvl>
    <w:lvl w:ilvl="2">
      <w:start w:val="1"/>
      <w:numFmt w:val="decimal"/>
      <w:isLgl w:val="false"/>
      <w:suff w:val="nothing"/>
      <w:lvlText w:val="%2.%3 "/>
      <w:lvlJc w:val="left"/>
      <w:pPr>
        <w:pStyle w:val="734"/>
        <w:ind w:left="0" w:firstLine="0"/>
      </w:pPr>
      <w:rPr>
        <w:rFonts w:hint="eastAsia"/>
      </w:rPr>
    </w:lvl>
    <w:lvl w:ilvl="3">
      <w:start w:val="1"/>
      <w:numFmt w:val="decimal"/>
      <w:isLgl w:val="false"/>
      <w:suff w:val="nothing"/>
      <w:lvlText w:val="%2.%3.%4 "/>
      <w:lvlJc w:val="left"/>
      <w:pPr>
        <w:pStyle w:val="734"/>
        <w:ind w:left="0" w:firstLine="0"/>
      </w:pPr>
      <w:rPr>
        <w:rFonts w:hint="eastAsia"/>
      </w:rPr>
    </w:lvl>
    <w:lvl w:ilvl="4">
      <w:start w:val="1"/>
      <w:numFmt w:val="decimal"/>
      <w:isLgl w:val="false"/>
      <w:suff w:val="nothing"/>
      <w:lvlText w:val="%2.%3.%4.%5 "/>
      <w:lvlJc w:val="left"/>
      <w:pPr>
        <w:pStyle w:val="734"/>
        <w:ind w:left="0" w:firstLine="0"/>
      </w:pPr>
      <w:rPr>
        <w:rFonts w:hint="eastAsia"/>
      </w:rPr>
    </w:lvl>
    <w:lvl w:ilvl="5">
      <w:start w:val="1"/>
      <w:numFmt w:val="decimal"/>
      <w:pStyle w:val="740"/>
      <w:isLgl w:val="false"/>
      <w:suff w:val="nothing"/>
      <w:lvlText w:val=""/>
      <w:lvlJc w:val="left"/>
      <w:pPr>
        <w:pStyle w:val="734"/>
        <w:ind w:left="0" w:firstLine="0"/>
      </w:pPr>
      <w:rPr>
        <w:rFonts w:hint="eastAsia"/>
      </w:rPr>
    </w:lvl>
    <w:lvl w:ilvl="6">
      <w:start w:val="1"/>
      <w:numFmt w:val="decimal"/>
      <w:pStyle w:val="741"/>
      <w:isLgl w:val="false"/>
      <w:suff w:val="nothing"/>
      <w:lvlText w:val=""/>
      <w:lvlJc w:val="left"/>
      <w:pPr>
        <w:pStyle w:val="734"/>
        <w:ind w:left="0" w:firstLine="0"/>
      </w:pPr>
      <w:rPr>
        <w:rFonts w:hint="eastAsia"/>
      </w:rPr>
    </w:lvl>
    <w:lvl w:ilvl="7">
      <w:start w:val="1"/>
      <w:numFmt w:val="decimal"/>
      <w:pStyle w:val="742"/>
      <w:isLgl w:val="false"/>
      <w:suff w:val="nothing"/>
      <w:lvlText w:val=""/>
      <w:lvlJc w:val="left"/>
      <w:pPr>
        <w:pStyle w:val="734"/>
        <w:ind w:left="0" w:firstLine="0"/>
      </w:pPr>
      <w:rPr>
        <w:rFonts w:hint="eastAsia"/>
      </w:rPr>
    </w:lvl>
    <w:lvl w:ilvl="8">
      <w:start w:val="1"/>
      <w:numFmt w:val="decimal"/>
      <w:pStyle w:val="743"/>
      <w:isLgl w:val="false"/>
      <w:suff w:val="nothing"/>
      <w:lvlText w:val=""/>
      <w:lvlJc w:val="left"/>
      <w:pPr>
        <w:pStyle w:val="734"/>
        <w:ind w:left="0" w:firstLine="0"/>
      </w:pPr>
      <w:rPr>
        <w:rFonts w:hint="eastAsia"/>
      </w:rPr>
    </w:lvl>
  </w:abstractNum>
  <w:abstractNum w:abstractNumId="35">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846" w:hanging="420"/>
        <w:tabs>
          <w:tab w:val="num" w:pos="846"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6">
    <w:multiLevelType w:val="hybridMultilevel"/>
    <w:lvl w:ilvl="0">
      <w:start w:val="1"/>
      <w:numFmt w:val="decimalEnclosedCircleChinese"/>
      <w:isLgl w:val="false"/>
      <w:suff w:val="nothing"/>
      <w:lvlText w:val="%1　"/>
      <w:lvlJc w:val="left"/>
      <w:pPr>
        <w:pStyle w:val="73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japaneseCounting"/>
      <w:isLgl w:val="false"/>
      <w:suff w:val="tab"/>
      <w:lvlText w:val="%1、"/>
      <w:lvlJc w:val="left"/>
      <w:pPr>
        <w:pStyle w:val="73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4"/>
        <w:ind w:left="840" w:hanging="420"/>
        <w:tabs>
          <w:tab w:val="num" w:pos="840" w:leader="none"/>
        </w:tabs>
      </w:pPr>
      <w:rPr>
        <w:rFonts w:cs="Times New Roman"/>
      </w:rPr>
    </w:lvl>
    <w:lvl w:ilvl="2">
      <w:start w:val="10"/>
      <w:numFmt w:val="decimal"/>
      <w:isLgl w:val="false"/>
      <w:suff w:val="tab"/>
      <w:lvlText w:val="%3."/>
      <w:lvlJc w:val="left"/>
      <w:pPr>
        <w:pStyle w:val="734"/>
        <w:ind w:left="1200" w:hanging="360"/>
        <w:tabs>
          <w:tab w:val="num" w:pos="1200" w:leader="none"/>
        </w:tabs>
      </w:pPr>
      <w:rPr>
        <w:rFonts w:cs="Times New Roman"/>
      </w:rPr>
    </w:lvl>
    <w:lvl w:ilvl="3">
      <w:start w:val="1"/>
      <w:numFmt w:val="decimal"/>
      <w:isLgl w:val="false"/>
      <w:suff w:val="tab"/>
      <w:lvlText w:val="%4."/>
      <w:lvlJc w:val="left"/>
      <w:pPr>
        <w:pStyle w:val="734"/>
        <w:ind w:left="1680" w:hanging="420"/>
        <w:tabs>
          <w:tab w:val="num" w:pos="1680" w:leader="none"/>
        </w:tabs>
      </w:pPr>
      <w:rPr>
        <w:rFonts w:cs="Times New Roman"/>
      </w:rPr>
    </w:lvl>
    <w:lvl w:ilvl="4">
      <w:start w:val="1"/>
      <w:numFmt w:val="lowerLetter"/>
      <w:isLgl w:val="false"/>
      <w:suff w:val="tab"/>
      <w:lvlText w:val="%5)"/>
      <w:lvlJc w:val="left"/>
      <w:pPr>
        <w:pStyle w:val="734"/>
        <w:ind w:left="2100" w:hanging="420"/>
        <w:tabs>
          <w:tab w:val="num" w:pos="2100" w:leader="none"/>
        </w:tabs>
      </w:pPr>
      <w:rPr>
        <w:rFonts w:cs="Times New Roman"/>
      </w:rPr>
    </w:lvl>
    <w:lvl w:ilvl="5">
      <w:start w:val="1"/>
      <w:numFmt w:val="lowerRoman"/>
      <w:isLgl w:val="false"/>
      <w:suff w:val="tab"/>
      <w:lvlText w:val="%6."/>
      <w:lvlJc w:val="right"/>
      <w:pPr>
        <w:pStyle w:val="734"/>
        <w:ind w:left="2520" w:hanging="420"/>
        <w:tabs>
          <w:tab w:val="num" w:pos="2520" w:leader="none"/>
        </w:tabs>
      </w:pPr>
      <w:rPr>
        <w:rFonts w:cs="Times New Roman"/>
      </w:rPr>
    </w:lvl>
    <w:lvl w:ilvl="6">
      <w:start w:val="1"/>
      <w:numFmt w:val="decimal"/>
      <w:isLgl w:val="false"/>
      <w:suff w:val="tab"/>
      <w:lvlText w:val="%7."/>
      <w:lvlJc w:val="left"/>
      <w:pPr>
        <w:pStyle w:val="734"/>
        <w:ind w:left="2940" w:hanging="420"/>
        <w:tabs>
          <w:tab w:val="num" w:pos="2940" w:leader="none"/>
        </w:tabs>
      </w:pPr>
      <w:rPr>
        <w:rFonts w:cs="Times New Roman"/>
      </w:rPr>
    </w:lvl>
    <w:lvl w:ilvl="7">
      <w:start w:val="1"/>
      <w:numFmt w:val="lowerLetter"/>
      <w:isLgl w:val="false"/>
      <w:suff w:val="tab"/>
      <w:lvlText w:val="%8)"/>
      <w:lvlJc w:val="left"/>
      <w:pPr>
        <w:pStyle w:val="734"/>
        <w:ind w:left="3360" w:hanging="420"/>
        <w:tabs>
          <w:tab w:val="num" w:pos="3360" w:leader="none"/>
        </w:tabs>
      </w:pPr>
      <w:rPr>
        <w:rFonts w:cs="Times New Roman"/>
      </w:rPr>
    </w:lvl>
    <w:lvl w:ilvl="8">
      <w:start w:val="1"/>
      <w:numFmt w:val="lowerRoman"/>
      <w:isLgl w:val="false"/>
      <w:suff w:val="tab"/>
      <w:lvlText w:val="%9."/>
      <w:lvlJc w:val="right"/>
      <w:pPr>
        <w:pStyle w:val="734"/>
        <w:ind w:left="3780" w:hanging="420"/>
        <w:tabs>
          <w:tab w:val="num" w:pos="3780" w:leader="none"/>
        </w:tabs>
      </w:pPr>
      <w:rPr>
        <w:rFonts w:cs="Times New Roman"/>
      </w:rPr>
    </w:lvl>
  </w:abstractNum>
  <w:abstractNum w:abstractNumId="38">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39">
    <w:multiLevelType w:val="hybridMultilevel"/>
    <w:lvl w:ilvl="0">
      <w:start w:val="1"/>
      <w:numFmt w:val="decimal"/>
      <w:isLgl w:val="false"/>
      <w:suff w:val="tab"/>
      <w:lvlText w:val="（%1）"/>
      <w:lvlJc w:val="left"/>
      <w:pPr>
        <w:pStyle w:val="734"/>
        <w:ind w:left="720" w:hanging="720"/>
        <w:tabs>
          <w:tab w:val="num" w:pos="720" w:leader="none"/>
        </w:tabs>
      </w:pPr>
      <w:rPr>
        <w:rFonts w:hint="eastAsia" w:cs="Times New Roman"/>
      </w:rPr>
    </w:lvl>
    <w:lvl w:ilvl="1">
      <w:start w:val="2"/>
      <w:numFmt w:val="decimal"/>
      <w:isLgl w:val="false"/>
      <w:suff w:val="tab"/>
      <w:lvlText w:val="%2."/>
      <w:lvlJc w:val="left"/>
      <w:pPr>
        <w:pStyle w:val="734"/>
        <w:ind w:left="1770" w:hanging="360"/>
        <w:tabs>
          <w:tab w:val="num" w:pos="1770" w:leader="none"/>
        </w:tabs>
      </w:pPr>
      <w:rPr>
        <w:rFonts w:cs="Times New Roman"/>
      </w:rPr>
    </w:lvl>
    <w:lvl w:ilvl="2">
      <w:start w:val="1"/>
      <w:numFmt w:val="lowerRoman"/>
      <w:isLgl w:val="false"/>
      <w:suff w:val="tab"/>
      <w:lvlText w:val="%3."/>
      <w:lvlJc w:val="right"/>
      <w:pPr>
        <w:pStyle w:val="734"/>
        <w:ind w:left="2250" w:hanging="420"/>
        <w:tabs>
          <w:tab w:val="num" w:pos="2250" w:leader="none"/>
        </w:tabs>
      </w:pPr>
      <w:rPr>
        <w:rFonts w:cs="Times New Roman"/>
      </w:rPr>
    </w:lvl>
    <w:lvl w:ilvl="3">
      <w:start w:val="1"/>
      <w:numFmt w:val="decimal"/>
      <w:isLgl w:val="false"/>
      <w:suff w:val="tab"/>
      <w:lvlText w:val="%4."/>
      <w:lvlJc w:val="left"/>
      <w:pPr>
        <w:pStyle w:val="734"/>
        <w:ind w:left="2670" w:hanging="420"/>
        <w:tabs>
          <w:tab w:val="num" w:pos="2670" w:leader="none"/>
        </w:tabs>
      </w:pPr>
      <w:rPr>
        <w:rFonts w:cs="Times New Roman"/>
      </w:rPr>
    </w:lvl>
    <w:lvl w:ilvl="4">
      <w:start w:val="1"/>
      <w:numFmt w:val="lowerLetter"/>
      <w:isLgl w:val="false"/>
      <w:suff w:val="tab"/>
      <w:lvlText w:val="%5)"/>
      <w:lvlJc w:val="left"/>
      <w:pPr>
        <w:pStyle w:val="734"/>
        <w:ind w:left="3090" w:hanging="420"/>
        <w:tabs>
          <w:tab w:val="num" w:pos="3090" w:leader="none"/>
        </w:tabs>
      </w:pPr>
      <w:rPr>
        <w:rFonts w:cs="Times New Roman"/>
      </w:rPr>
    </w:lvl>
    <w:lvl w:ilvl="5">
      <w:start w:val="1"/>
      <w:numFmt w:val="lowerRoman"/>
      <w:isLgl w:val="false"/>
      <w:suff w:val="tab"/>
      <w:lvlText w:val="%6."/>
      <w:lvlJc w:val="right"/>
      <w:pPr>
        <w:pStyle w:val="734"/>
        <w:ind w:left="3510" w:hanging="420"/>
        <w:tabs>
          <w:tab w:val="num" w:pos="3510" w:leader="none"/>
        </w:tabs>
      </w:pPr>
      <w:rPr>
        <w:rFonts w:cs="Times New Roman"/>
      </w:rPr>
    </w:lvl>
    <w:lvl w:ilvl="6">
      <w:start w:val="1"/>
      <w:numFmt w:val="decimal"/>
      <w:isLgl w:val="false"/>
      <w:suff w:val="tab"/>
      <w:lvlText w:val="%7."/>
      <w:lvlJc w:val="left"/>
      <w:pPr>
        <w:pStyle w:val="734"/>
        <w:ind w:left="3930" w:hanging="420"/>
        <w:tabs>
          <w:tab w:val="num" w:pos="3930" w:leader="none"/>
        </w:tabs>
      </w:pPr>
      <w:rPr>
        <w:rFonts w:cs="Times New Roman"/>
      </w:rPr>
    </w:lvl>
    <w:lvl w:ilvl="7">
      <w:start w:val="1"/>
      <w:numFmt w:val="lowerLetter"/>
      <w:isLgl w:val="false"/>
      <w:suff w:val="tab"/>
      <w:lvlText w:val="%8)"/>
      <w:lvlJc w:val="left"/>
      <w:pPr>
        <w:pStyle w:val="734"/>
        <w:ind w:left="4350" w:hanging="420"/>
        <w:tabs>
          <w:tab w:val="num" w:pos="4350" w:leader="none"/>
        </w:tabs>
      </w:pPr>
      <w:rPr>
        <w:rFonts w:cs="Times New Roman"/>
      </w:rPr>
    </w:lvl>
    <w:lvl w:ilvl="8">
      <w:start w:val="1"/>
      <w:numFmt w:val="lowerRoman"/>
      <w:isLgl w:val="false"/>
      <w:suff w:val="tab"/>
      <w:lvlText w:val="%9."/>
      <w:lvlJc w:val="right"/>
      <w:pPr>
        <w:pStyle w:val="734"/>
        <w:ind w:left="4770" w:hanging="420"/>
        <w:tabs>
          <w:tab w:val="num" w:pos="4770" w:leader="none"/>
        </w:tabs>
      </w:pPr>
      <w:rPr>
        <w:rFonts w:cs="Times New Roman"/>
      </w:rPr>
    </w:lvl>
  </w:abstractNum>
  <w:abstractNum w:abstractNumId="40">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41">
    <w:multiLevelType w:val="hybridMultilevel"/>
    <w:lvl w:ilvl="0">
      <w:start w:val="1"/>
      <w:numFmt w:val="decimal"/>
      <w:isLgl w:val="false"/>
      <w:suff w:val="tab"/>
      <w:lvlText w:val="%1."/>
      <w:lvlJc w:val="left"/>
      <w:pPr>
        <w:pStyle w:val="734"/>
        <w:ind w:left="510" w:hanging="360"/>
        <w:tabs>
          <w:tab w:val="num" w:pos="510" w:leader="none"/>
        </w:tabs>
      </w:pPr>
      <w:rPr>
        <w:rFonts w:hint="eastAsia" w:cs="Times New Roman"/>
      </w:rPr>
    </w:lvl>
    <w:lvl w:ilvl="1">
      <w:start w:val="1"/>
      <w:numFmt w:val="decimal"/>
      <w:isLgl w:val="false"/>
      <w:suff w:val="tab"/>
      <w:lvlText w:val="%2．"/>
      <w:lvlJc w:val="left"/>
      <w:pPr>
        <w:pStyle w:val="734"/>
        <w:ind w:left="1290" w:hanging="720"/>
        <w:tabs>
          <w:tab w:val="num" w:pos="1290" w:leader="none"/>
        </w:tabs>
      </w:pPr>
      <w:rPr>
        <w:rFonts w:hint="eastAsia" w:cs="Times New Roman"/>
      </w:rPr>
    </w:lvl>
    <w:lvl w:ilvl="2">
      <w:start w:val="3"/>
      <w:numFmt w:val="decimal"/>
      <w:isLgl w:val="false"/>
      <w:suff w:val="tab"/>
      <w:lvlText w:val="（%3）"/>
      <w:lvlJc w:val="left"/>
      <w:pPr>
        <w:pStyle w:val="734"/>
        <w:ind w:left="1140" w:hanging="720"/>
        <w:tabs>
          <w:tab w:val="num" w:pos="1140" w:leader="none"/>
        </w:tabs>
      </w:pPr>
      <w:rPr>
        <w:rFonts w:hint="eastAsia" w:cs="Times New Roman"/>
      </w:rPr>
    </w:lvl>
    <w:lvl w:ilvl="3">
      <w:start w:val="1"/>
      <w:numFmt w:val="decimal"/>
      <w:isLgl w:val="false"/>
      <w:suff w:val="tab"/>
      <w:lvlText w:val="（%4）"/>
      <w:lvlJc w:val="left"/>
      <w:pPr>
        <w:pStyle w:val="73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4"/>
        <w:ind w:left="2250" w:hanging="420"/>
        <w:tabs>
          <w:tab w:val="num" w:pos="2250" w:leader="none"/>
        </w:tabs>
      </w:pPr>
      <w:rPr>
        <w:rFonts w:hint="eastAsia"/>
        <w:b/>
        <w:lang w:val="en-US"/>
      </w:rPr>
    </w:lvl>
    <w:lvl w:ilvl="5">
      <w:start w:val="10"/>
      <w:numFmt w:val="japaneseCounting"/>
      <w:isLgl w:val="false"/>
      <w:suff w:val="tab"/>
      <w:lvlText w:val="（%6）"/>
      <w:lvlJc w:val="left"/>
      <w:pPr>
        <w:pStyle w:val="734"/>
        <w:ind w:left="2970" w:hanging="720"/>
      </w:pPr>
      <w:rPr>
        <w:rFonts w:cs="Times New Roman"/>
      </w:rPr>
    </w:lvl>
    <w:lvl w:ilvl="6">
      <w:start w:val="1"/>
      <w:numFmt w:val="decimal"/>
      <w:isLgl w:val="false"/>
      <w:suff w:val="tab"/>
      <w:lvlText w:val="（%7）"/>
      <w:lvlJc w:val="left"/>
      <w:pPr>
        <w:pStyle w:val="73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34"/>
        <w:ind w:left="3510" w:hanging="420"/>
        <w:tabs>
          <w:tab w:val="num" w:pos="3510" w:leader="none"/>
        </w:tabs>
      </w:pPr>
      <w:rPr>
        <w:rFonts w:cs="Times New Roman"/>
      </w:rPr>
    </w:lvl>
    <w:lvl w:ilvl="8">
      <w:start w:val="1"/>
      <w:numFmt w:val="lowerRoman"/>
      <w:isLgl w:val="false"/>
      <w:suff w:val="tab"/>
      <w:lvlText w:val="%9."/>
      <w:lvlJc w:val="right"/>
      <w:pPr>
        <w:pStyle w:val="734"/>
        <w:ind w:left="3930" w:hanging="420"/>
        <w:tabs>
          <w:tab w:val="num" w:pos="3930" w:leader="none"/>
        </w:tabs>
      </w:pPr>
      <w:rPr>
        <w:rFonts w:cs="Times New Roman"/>
      </w:rPr>
    </w:lvl>
  </w:abstractNum>
  <w:abstractNum w:abstractNumId="42">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japaneseCounting"/>
      <w:isLgl w:val="false"/>
      <w:suff w:val="tab"/>
      <w:lvlText w:val="第%1章"/>
      <w:lvlJc w:val="left"/>
      <w:pPr>
        <w:pStyle w:val="73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4"/>
  </w:num>
  <w:num w:numId="2">
    <w:abstractNumId w:val="12"/>
  </w:num>
  <w:num w:numId="3">
    <w:abstractNumId w:val="27"/>
  </w:num>
  <w:num w:numId="4">
    <w:abstractNumId w:val="43"/>
  </w:num>
  <w:num w:numId="5">
    <w:abstractNumId w:val="39"/>
  </w:num>
  <w:num w:numId="6">
    <w:abstractNumId w:val="26"/>
  </w:num>
  <w:num w:numId="7">
    <w:abstractNumId w:val="15"/>
  </w:num>
  <w:num w:numId="8">
    <w:abstractNumId w:val="5"/>
  </w:num>
  <w:num w:numId="9">
    <w:abstractNumId w:val="35"/>
  </w:num>
  <w:num w:numId="10">
    <w:abstractNumId w:val="10"/>
  </w:num>
  <w:num w:numId="11">
    <w:abstractNumId w:val="42"/>
  </w:num>
  <w:num w:numId="12">
    <w:abstractNumId w:val="1"/>
  </w:num>
  <w:num w:numId="13">
    <w:abstractNumId w:val="37"/>
  </w:num>
  <w:num w:numId="14">
    <w:abstractNumId w:val="22"/>
  </w:num>
  <w:num w:numId="15">
    <w:abstractNumId w:val="32"/>
  </w:num>
  <w:num w:numId="16">
    <w:abstractNumId w:val="16"/>
  </w:num>
  <w:num w:numId="17">
    <w:abstractNumId w:val="20"/>
  </w:num>
  <w:num w:numId="18">
    <w:abstractNumId w:val="24"/>
  </w:num>
  <w:num w:numId="19">
    <w:abstractNumId w:val="41"/>
  </w:num>
  <w:num w:numId="20">
    <w:abstractNumId w:val="31"/>
  </w:num>
  <w:num w:numId="21">
    <w:abstractNumId w:val="40"/>
  </w:num>
  <w:num w:numId="22">
    <w:abstractNumId w:val="38"/>
  </w:num>
  <w:num w:numId="23">
    <w:abstractNumId w:val="17"/>
  </w:num>
  <w:num w:numId="24">
    <w:abstractNumId w:val="11"/>
  </w:num>
  <w:num w:numId="25">
    <w:abstractNumId w:val="28"/>
  </w:num>
  <w:num w:numId="26">
    <w:abstractNumId w:val="33"/>
  </w:num>
  <w:num w:numId="27">
    <w:abstractNumId w:val="29"/>
  </w:num>
  <w:num w:numId="28">
    <w:abstractNumId w:val="23"/>
  </w:num>
  <w:num w:numId="29">
    <w:abstractNumId w:val="18"/>
  </w:num>
  <w:num w:numId="30">
    <w:abstractNumId w:val="6"/>
  </w:num>
  <w:num w:numId="31">
    <w:abstractNumId w:val="25"/>
  </w:num>
  <w:num w:numId="32">
    <w:abstractNumId w:val="4"/>
  </w:num>
  <w:num w:numId="33">
    <w:abstractNumId w:val="30"/>
  </w:num>
  <w:num w:numId="34">
    <w:abstractNumId w:val="13"/>
  </w:num>
  <w:num w:numId="35">
    <w:abstractNumId w:val="7"/>
  </w:num>
  <w:num w:numId="36">
    <w:abstractNumId w:val="9"/>
  </w:num>
  <w:num w:numId="37">
    <w:abstractNumId w:val="36"/>
  </w:num>
  <w:num w:numId="38">
    <w:abstractNumId w:val="0"/>
  </w:num>
  <w:num w:numId="39">
    <w:abstractNumId w:val="3"/>
  </w:num>
  <w:num w:numId="40">
    <w:abstractNumId w:val="2"/>
  </w:num>
  <w:num w:numId="41">
    <w:abstractNumId w:val="21"/>
  </w:num>
  <w:num w:numId="42">
    <w:abstractNumId w:val="19"/>
  </w:num>
  <w:num w:numId="43">
    <w:abstractNumId w:val="14"/>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rFonts w:ascii="Times New Roman" w:hAnsi="Times New Roman"/>
      <w:sz w:val="21"/>
      <w:szCs w:val="21"/>
      <w:lang w:val="en-US" w:eastAsia="zh-CN" w:bidi="ar-SA"/>
    </w:rPr>
  </w:style>
  <w:style w:type="paragraph" w:styleId="735">
    <w:name w:val="标题 1"/>
    <w:basedOn w:val="734"/>
    <w:next w:val="734"/>
    <w:link w:val="747"/>
    <w:qFormat/>
    <w:pPr>
      <w:jc w:val="center"/>
      <w:keepNext/>
      <w:outlineLvl w:val="0"/>
    </w:pPr>
    <w:rPr>
      <w:rFonts w:ascii="楷体_GB2312" w:eastAsia="楷体_GB2312"/>
      <w:sz w:val="28"/>
      <w:szCs w:val="28"/>
      <w:lang w:val="en-US" w:eastAsia="en-US"/>
    </w:rPr>
  </w:style>
  <w:style w:type="paragraph" w:styleId="736">
    <w:name w:val="标题 2"/>
    <w:basedOn w:val="734"/>
    <w:next w:val="749"/>
    <w:link w:val="74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37">
    <w:name w:val="标题 3"/>
    <w:basedOn w:val="734"/>
    <w:next w:val="749"/>
    <w:link w:val="751"/>
    <w:qFormat/>
    <w:pPr>
      <w:keepLines/>
      <w:keepNext/>
      <w:spacing w:before="260" w:after="260" w:line="416" w:lineRule="auto"/>
      <w:outlineLvl w:val="2"/>
    </w:pPr>
    <w:rPr>
      <w:b/>
      <w:bCs/>
      <w:sz w:val="32"/>
      <w:szCs w:val="32"/>
      <w:lang w:val="en-US" w:eastAsia="en-US"/>
    </w:rPr>
  </w:style>
  <w:style w:type="paragraph" w:styleId="738">
    <w:name w:val="标题 4"/>
    <w:basedOn w:val="734"/>
    <w:next w:val="749"/>
    <w:link w:val="752"/>
    <w:qFormat/>
    <w:pPr>
      <w:keepLines/>
      <w:keepNext/>
      <w:spacing w:before="280" w:after="290" w:line="376" w:lineRule="auto"/>
      <w:outlineLvl w:val="3"/>
    </w:pPr>
    <w:rPr>
      <w:rFonts w:ascii="Arial" w:hAnsi="Arial" w:eastAsia="黑体"/>
      <w:b/>
      <w:bCs/>
      <w:sz w:val="28"/>
      <w:szCs w:val="28"/>
      <w:lang w:val="en-US" w:eastAsia="en-US"/>
    </w:rPr>
  </w:style>
  <w:style w:type="paragraph" w:styleId="739">
    <w:name w:val="标题 5"/>
    <w:basedOn w:val="734"/>
    <w:next w:val="749"/>
    <w:link w:val="753"/>
    <w:uiPriority w:val="9"/>
    <w:qFormat/>
    <w:pPr>
      <w:keepNext/>
      <w:outlineLvl w:val="4"/>
    </w:pPr>
    <w:rPr>
      <w:rFonts w:ascii="宋体"/>
      <w:color w:val="000000"/>
      <w:sz w:val="28"/>
      <w:szCs w:val="28"/>
      <w:lang w:val="en-US" w:eastAsia="en-US"/>
    </w:rPr>
  </w:style>
  <w:style w:type="paragraph" w:styleId="740">
    <w:name w:val="标题 6"/>
    <w:basedOn w:val="734"/>
    <w:next w:val="734"/>
    <w:link w:val="754"/>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41">
    <w:name w:val="标题 7"/>
    <w:basedOn w:val="734"/>
    <w:next w:val="734"/>
    <w:link w:val="755"/>
    <w:uiPriority w:val="9"/>
    <w:qFormat/>
    <w:pPr>
      <w:numPr>
        <w:ilvl w:val="6"/>
        <w:numId w:val="1"/>
      </w:numPr>
      <w:keepLines/>
      <w:keepNext/>
      <w:spacing w:before="240" w:after="64" w:line="320" w:lineRule="auto"/>
      <w:outlineLvl w:val="6"/>
    </w:pPr>
    <w:rPr>
      <w:b/>
      <w:bCs/>
      <w:sz w:val="24"/>
      <w:szCs w:val="24"/>
      <w:lang w:val="en-US" w:eastAsia="en-US"/>
    </w:rPr>
  </w:style>
  <w:style w:type="paragraph" w:styleId="742">
    <w:name w:val="标题 8"/>
    <w:basedOn w:val="734"/>
    <w:next w:val="734"/>
    <w:link w:val="756"/>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43">
    <w:name w:val="标题 9"/>
    <w:basedOn w:val="734"/>
    <w:next w:val="734"/>
    <w:link w:val="757"/>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numbering" w:styleId="746">
    <w:name w:val="无列表"/>
    <w:next w:val="746"/>
    <w:link w:val="734"/>
    <w:uiPriority w:val="99"/>
    <w:semiHidden/>
    <w:unhideWhenUsed/>
  </w:style>
  <w:style w:type="character" w:styleId="747">
    <w:name w:val="标题 1 Char"/>
    <w:next w:val="747"/>
    <w:link w:val="735"/>
    <w:rPr>
      <w:rFonts w:ascii="楷体_GB2312" w:hAnsi="Times New Roman" w:eastAsia="楷体_GB2312" w:cs="Times New Roman"/>
      <w:sz w:val="28"/>
      <w:szCs w:val="28"/>
    </w:rPr>
  </w:style>
  <w:style w:type="character" w:styleId="748">
    <w:name w:val="标题 2 Char"/>
    <w:next w:val="748"/>
    <w:link w:val="736"/>
    <w:rPr>
      <w:rFonts w:ascii="Arial" w:hAnsi="Arial" w:eastAsia="幼圆" w:cs="Arial"/>
      <w:b/>
      <w:bCs/>
      <w:sz w:val="44"/>
      <w:szCs w:val="44"/>
    </w:rPr>
  </w:style>
  <w:style w:type="paragraph" w:styleId="749">
    <w:name w:val="正文缩进"/>
    <w:basedOn w:val="734"/>
    <w:next w:val="749"/>
    <w:link w:val="750"/>
    <w:pPr>
      <w:ind w:firstLine="420"/>
    </w:pPr>
    <w:rPr>
      <w:sz w:val="20"/>
      <w:lang w:val="en-US" w:eastAsia="en-US"/>
    </w:rPr>
  </w:style>
  <w:style w:type="character" w:styleId="750">
    <w:name w:val="正文缩进 Char"/>
    <w:next w:val="750"/>
    <w:link w:val="749"/>
    <w:rPr>
      <w:rFonts w:ascii="Times New Roman" w:hAnsi="Times New Roman" w:eastAsia="宋体" w:cs="Times New Roman"/>
      <w:szCs w:val="21"/>
    </w:rPr>
  </w:style>
  <w:style w:type="character" w:styleId="751">
    <w:name w:val="标题 3 Char"/>
    <w:next w:val="751"/>
    <w:link w:val="737"/>
    <w:rPr>
      <w:rFonts w:ascii="Times New Roman" w:hAnsi="Times New Roman" w:eastAsia="宋体" w:cs="Times New Roman"/>
      <w:b/>
      <w:bCs/>
      <w:sz w:val="32"/>
      <w:szCs w:val="32"/>
    </w:rPr>
  </w:style>
  <w:style w:type="character" w:styleId="752">
    <w:name w:val="标题 4 Char"/>
    <w:next w:val="752"/>
    <w:link w:val="738"/>
    <w:rPr>
      <w:rFonts w:ascii="Arial" w:hAnsi="Arial" w:eastAsia="黑体" w:cs="Arial"/>
      <w:b/>
      <w:bCs/>
      <w:sz w:val="28"/>
      <w:szCs w:val="28"/>
    </w:rPr>
  </w:style>
  <w:style w:type="character" w:styleId="753">
    <w:name w:val="标题 5 Char"/>
    <w:next w:val="753"/>
    <w:link w:val="739"/>
    <w:rPr>
      <w:rFonts w:ascii="宋体" w:hAnsi="Times New Roman" w:eastAsia="宋体" w:cs="Times New Roman"/>
      <w:color w:val="000000"/>
      <w:sz w:val="28"/>
      <w:szCs w:val="28"/>
    </w:rPr>
  </w:style>
  <w:style w:type="character" w:styleId="754">
    <w:name w:val="标题 6 Char"/>
    <w:next w:val="754"/>
    <w:link w:val="740"/>
    <w:rPr>
      <w:rFonts w:ascii="Arial" w:hAnsi="Arial" w:eastAsia="黑体" w:cs="Times New Roman"/>
      <w:b/>
      <w:bCs/>
      <w:sz w:val="24"/>
      <w:szCs w:val="24"/>
    </w:rPr>
  </w:style>
  <w:style w:type="character" w:styleId="755">
    <w:name w:val="标题 7 Char"/>
    <w:next w:val="755"/>
    <w:link w:val="741"/>
    <w:rPr>
      <w:rFonts w:ascii="Times New Roman" w:hAnsi="Times New Roman" w:eastAsia="宋体" w:cs="Times New Roman"/>
      <w:b/>
      <w:bCs/>
      <w:sz w:val="24"/>
      <w:szCs w:val="24"/>
    </w:rPr>
  </w:style>
  <w:style w:type="character" w:styleId="756">
    <w:name w:val="标题 8 Char"/>
    <w:next w:val="756"/>
    <w:link w:val="742"/>
    <w:rPr>
      <w:rFonts w:ascii="Arial" w:hAnsi="Arial" w:eastAsia="黑体" w:cs="Times New Roman"/>
      <w:sz w:val="24"/>
      <w:szCs w:val="24"/>
    </w:rPr>
  </w:style>
  <w:style w:type="character" w:styleId="757">
    <w:name w:val="标题 9 Char"/>
    <w:next w:val="757"/>
    <w:link w:val="743"/>
    <w:rPr>
      <w:rFonts w:ascii="Arial" w:hAnsi="Arial" w:eastAsia="黑体" w:cs="Times New Roman"/>
      <w:szCs w:val="21"/>
    </w:rPr>
  </w:style>
  <w:style w:type="paragraph" w:styleId="758">
    <w:name w:val="列表 3"/>
    <w:basedOn w:val="734"/>
    <w:next w:val="758"/>
    <w:link w:val="734"/>
    <w:pPr>
      <w:ind w:left="100" w:hanging="200"/>
    </w:pPr>
  </w:style>
  <w:style w:type="paragraph" w:styleId="759">
    <w:name w:val="目录 7"/>
    <w:basedOn w:val="734"/>
    <w:next w:val="734"/>
    <w:link w:val="734"/>
    <w:semiHidden/>
    <w:pPr>
      <w:ind w:left="1260"/>
      <w:jc w:val="left"/>
    </w:pPr>
  </w:style>
  <w:style w:type="paragraph" w:styleId="760">
    <w:name w:val="文档结构图"/>
    <w:basedOn w:val="734"/>
    <w:next w:val="760"/>
    <w:link w:val="761"/>
    <w:semiHidden/>
    <w:pPr>
      <w:shd w:val="clear" w:color="auto" w:fill="000080"/>
    </w:pPr>
    <w:rPr>
      <w:sz w:val="20"/>
      <w:lang w:val="en-US" w:eastAsia="en-US"/>
    </w:rPr>
  </w:style>
  <w:style w:type="character" w:styleId="761">
    <w:name w:val="文档结构图 Char"/>
    <w:next w:val="761"/>
    <w:link w:val="760"/>
    <w:semiHidden/>
    <w:rPr>
      <w:rFonts w:ascii="Times New Roman" w:hAnsi="Times New Roman" w:eastAsia="宋体" w:cs="Times New Roman"/>
      <w:szCs w:val="21"/>
      <w:shd w:val="clear" w:color="auto" w:fill="000080"/>
    </w:rPr>
  </w:style>
  <w:style w:type="paragraph" w:styleId="762">
    <w:name w:val="批注文字"/>
    <w:basedOn w:val="734"/>
    <w:next w:val="762"/>
    <w:link w:val="763"/>
    <w:qFormat/>
    <w:pPr>
      <w:jc w:val="left"/>
    </w:pPr>
    <w:rPr>
      <w:sz w:val="20"/>
      <w:lang w:val="en-US" w:eastAsia="en-US"/>
    </w:rPr>
  </w:style>
  <w:style w:type="character" w:styleId="763">
    <w:name w:val="批注文字 Char"/>
    <w:next w:val="763"/>
    <w:link w:val="762"/>
    <w:semiHidden/>
    <w:rPr>
      <w:rFonts w:ascii="Times New Roman" w:hAnsi="Times New Roman" w:eastAsia="宋体" w:cs="Times New Roman"/>
      <w:szCs w:val="21"/>
    </w:rPr>
  </w:style>
  <w:style w:type="paragraph" w:styleId="764">
    <w:name w:val="正文文本 3"/>
    <w:basedOn w:val="734"/>
    <w:next w:val="764"/>
    <w:link w:val="765"/>
    <w:rPr>
      <w:rFonts w:ascii="仿宋_GB2312" w:hAnsi="Arial" w:eastAsia="仿宋_GB2312"/>
      <w:sz w:val="32"/>
      <w:szCs w:val="32"/>
      <w:lang w:val="en-US" w:eastAsia="en-US"/>
    </w:rPr>
  </w:style>
  <w:style w:type="character" w:styleId="765">
    <w:name w:val="正文文本 3 Char"/>
    <w:next w:val="765"/>
    <w:link w:val="764"/>
    <w:rPr>
      <w:rFonts w:ascii="仿宋_GB2312" w:hAnsi="Arial" w:eastAsia="仿宋_GB2312" w:cs="Times New Roman"/>
      <w:sz w:val="32"/>
      <w:szCs w:val="32"/>
    </w:rPr>
  </w:style>
  <w:style w:type="paragraph" w:styleId="766">
    <w:name w:val="正文文本"/>
    <w:basedOn w:val="734"/>
    <w:next w:val="766"/>
    <w:link w:val="767"/>
    <w:rPr>
      <w:rFonts w:ascii="楷体_GB2312" w:hAnsi="Arial" w:eastAsia="楷体_GB2312"/>
      <w:sz w:val="28"/>
      <w:szCs w:val="28"/>
      <w:lang w:val="en-US" w:eastAsia="en-US"/>
    </w:rPr>
  </w:style>
  <w:style w:type="character" w:styleId="767">
    <w:name w:val="正文文本 Char"/>
    <w:next w:val="767"/>
    <w:link w:val="766"/>
    <w:rPr>
      <w:rFonts w:ascii="楷体_GB2312" w:hAnsi="Arial" w:eastAsia="楷体_GB2312" w:cs="Times New Roman"/>
      <w:sz w:val="28"/>
      <w:szCs w:val="28"/>
    </w:rPr>
  </w:style>
  <w:style w:type="paragraph" w:styleId="768">
    <w:name w:val="正文文本缩进"/>
    <w:basedOn w:val="734"/>
    <w:next w:val="768"/>
    <w:link w:val="769"/>
    <w:pPr>
      <w:ind w:firstLine="645"/>
    </w:pPr>
    <w:rPr>
      <w:rFonts w:ascii="楷体_GB2312" w:eastAsia="楷体_GB2312"/>
      <w:sz w:val="32"/>
      <w:szCs w:val="32"/>
      <w:lang w:val="en-US" w:eastAsia="en-US"/>
    </w:rPr>
  </w:style>
  <w:style w:type="character" w:styleId="769">
    <w:name w:val="正文文本缩进 Char"/>
    <w:next w:val="769"/>
    <w:link w:val="768"/>
    <w:rPr>
      <w:rFonts w:ascii="楷体_GB2312" w:hAnsi="Times New Roman" w:eastAsia="楷体_GB2312" w:cs="Times New Roman"/>
      <w:sz w:val="32"/>
      <w:szCs w:val="32"/>
    </w:rPr>
  </w:style>
  <w:style w:type="paragraph" w:styleId="770">
    <w:name w:val="列表 2"/>
    <w:basedOn w:val="734"/>
    <w:next w:val="770"/>
    <w:link w:val="734"/>
    <w:pPr>
      <w:ind w:left="100" w:hanging="200"/>
    </w:pPr>
  </w:style>
  <w:style w:type="paragraph" w:styleId="771">
    <w:name w:val="目录 5"/>
    <w:basedOn w:val="734"/>
    <w:next w:val="734"/>
    <w:link w:val="734"/>
    <w:semiHidden/>
    <w:pPr>
      <w:ind w:left="840"/>
      <w:jc w:val="left"/>
    </w:pPr>
  </w:style>
  <w:style w:type="paragraph" w:styleId="772">
    <w:name w:val="目录 3"/>
    <w:basedOn w:val="734"/>
    <w:next w:val="734"/>
    <w:link w:val="734"/>
    <w:semiHidden/>
    <w:pPr>
      <w:ind w:left="420"/>
      <w:jc w:val="left"/>
    </w:pPr>
    <w:rPr>
      <w:i/>
      <w:iCs/>
      <w:szCs w:val="24"/>
    </w:rPr>
  </w:style>
  <w:style w:type="paragraph" w:styleId="773">
    <w:name w:val="纯文本"/>
    <w:basedOn w:val="734"/>
    <w:next w:val="773"/>
    <w:link w:val="774"/>
    <w:rPr>
      <w:rFonts w:ascii="宋体" w:hAnsi="Courier New"/>
      <w:sz w:val="20"/>
      <w:lang w:val="en-US" w:eastAsia="en-US"/>
    </w:rPr>
  </w:style>
  <w:style w:type="character" w:styleId="774">
    <w:name w:val="纯文本 Char"/>
    <w:next w:val="774"/>
    <w:link w:val="773"/>
    <w:rPr>
      <w:rFonts w:ascii="宋体" w:hAnsi="Courier New" w:eastAsia="宋体" w:cs="Courier New"/>
      <w:szCs w:val="21"/>
    </w:rPr>
  </w:style>
  <w:style w:type="paragraph" w:styleId="775">
    <w:name w:val="目录 8"/>
    <w:basedOn w:val="734"/>
    <w:next w:val="734"/>
    <w:link w:val="734"/>
    <w:semiHidden/>
    <w:pPr>
      <w:ind w:left="1470"/>
      <w:jc w:val="left"/>
    </w:pPr>
  </w:style>
  <w:style w:type="paragraph" w:styleId="776">
    <w:name w:val="日期"/>
    <w:basedOn w:val="734"/>
    <w:next w:val="734"/>
    <w:link w:val="777"/>
    <w:rPr>
      <w:sz w:val="24"/>
      <w:szCs w:val="24"/>
      <w:lang w:val="en-US" w:eastAsia="en-US"/>
    </w:rPr>
  </w:style>
  <w:style w:type="character" w:styleId="777">
    <w:name w:val="日期 Char"/>
    <w:next w:val="777"/>
    <w:link w:val="776"/>
    <w:rPr>
      <w:rFonts w:ascii="Times New Roman" w:hAnsi="Times New Roman" w:eastAsia="宋体" w:cs="Times New Roman"/>
      <w:sz w:val="24"/>
      <w:szCs w:val="24"/>
    </w:rPr>
  </w:style>
  <w:style w:type="paragraph" w:styleId="778">
    <w:name w:val="正文文本缩进 2"/>
    <w:basedOn w:val="734"/>
    <w:next w:val="778"/>
    <w:link w:val="779"/>
    <w:pPr>
      <w:ind w:left="630" w:firstLine="645"/>
    </w:pPr>
    <w:rPr>
      <w:rFonts w:ascii="Arial" w:hAnsi="Arial" w:eastAsia="仿宋_GB2312"/>
      <w:sz w:val="32"/>
      <w:szCs w:val="32"/>
      <w:lang w:val="en-US" w:eastAsia="en-US"/>
    </w:rPr>
  </w:style>
  <w:style w:type="character" w:styleId="779">
    <w:name w:val="正文文本缩进 2 Char"/>
    <w:next w:val="779"/>
    <w:link w:val="778"/>
    <w:rPr>
      <w:rFonts w:ascii="Arial" w:hAnsi="Arial" w:eastAsia="仿宋_GB2312" w:cs="Arial"/>
      <w:sz w:val="32"/>
      <w:szCs w:val="32"/>
    </w:rPr>
  </w:style>
  <w:style w:type="paragraph" w:styleId="780">
    <w:name w:val="批注框文本"/>
    <w:basedOn w:val="734"/>
    <w:next w:val="780"/>
    <w:link w:val="781"/>
    <w:rPr>
      <w:sz w:val="18"/>
      <w:szCs w:val="18"/>
      <w:lang w:val="en-US" w:eastAsia="en-US"/>
    </w:rPr>
  </w:style>
  <w:style w:type="character" w:styleId="781">
    <w:name w:val="批注框文本 Char"/>
    <w:next w:val="781"/>
    <w:link w:val="780"/>
    <w:rPr>
      <w:rFonts w:ascii="Times New Roman" w:hAnsi="Times New Roman" w:eastAsia="宋体" w:cs="Times New Roman"/>
      <w:sz w:val="18"/>
      <w:szCs w:val="18"/>
    </w:rPr>
  </w:style>
  <w:style w:type="paragraph" w:styleId="782">
    <w:name w:val="页脚"/>
    <w:basedOn w:val="734"/>
    <w:next w:val="782"/>
    <w:link w:val="783"/>
    <w:qFormat/>
    <w:pPr>
      <w:jc w:val="left"/>
      <w:tabs>
        <w:tab w:val="center" w:pos="4153" w:leader="none"/>
        <w:tab w:val="right" w:pos="8306" w:leader="none"/>
      </w:tabs>
    </w:pPr>
    <w:rPr>
      <w:sz w:val="18"/>
      <w:szCs w:val="18"/>
      <w:lang w:val="en-US" w:eastAsia="en-US"/>
    </w:rPr>
  </w:style>
  <w:style w:type="character" w:styleId="783">
    <w:name w:val="页脚 Char"/>
    <w:next w:val="783"/>
    <w:link w:val="782"/>
    <w:qFormat/>
    <w:rPr>
      <w:rFonts w:ascii="Times New Roman" w:hAnsi="Times New Roman" w:eastAsia="宋体" w:cs="Times New Roman"/>
      <w:sz w:val="18"/>
      <w:szCs w:val="18"/>
    </w:rPr>
  </w:style>
  <w:style w:type="paragraph" w:styleId="784">
    <w:name w:val="页眉"/>
    <w:basedOn w:val="734"/>
    <w:next w:val="784"/>
    <w:link w:val="785"/>
    <w:qFormat/>
    <w:pPr>
      <w:jc w:val="center"/>
      <w:tabs>
        <w:tab w:val="center" w:pos="4153" w:leader="none"/>
        <w:tab w:val="right" w:pos="8306" w:leader="none"/>
      </w:tabs>
      <w:pBdr>
        <w:bottom w:val="single" w:color="000000" w:sz="6" w:space="1"/>
      </w:pBdr>
    </w:pPr>
    <w:rPr>
      <w:sz w:val="18"/>
      <w:szCs w:val="18"/>
      <w:lang w:val="en-US" w:eastAsia="en-US"/>
    </w:rPr>
  </w:style>
  <w:style w:type="character" w:styleId="785">
    <w:name w:val="页眉 Char"/>
    <w:next w:val="785"/>
    <w:link w:val="784"/>
    <w:qFormat/>
    <w:rPr>
      <w:rFonts w:ascii="Times New Roman" w:hAnsi="Times New Roman" w:eastAsia="宋体" w:cs="Times New Roman"/>
      <w:sz w:val="18"/>
      <w:szCs w:val="18"/>
    </w:rPr>
  </w:style>
  <w:style w:type="paragraph" w:styleId="786">
    <w:name w:val="目录 1"/>
    <w:basedOn w:val="734"/>
    <w:next w:val="734"/>
    <w:link w:val="734"/>
    <w:semiHidden/>
    <w:pPr>
      <w:jc w:val="left"/>
      <w:spacing w:before="120" w:after="120" w:line="400" w:lineRule="exact"/>
      <w:tabs>
        <w:tab w:val="right" w:pos="8720" w:leader="dot"/>
      </w:tabs>
    </w:pPr>
    <w:rPr>
      <w:rFonts w:ascii="宋体" w:hAnsi="宋体"/>
      <w:caps/>
      <w:sz w:val="24"/>
      <w:szCs w:val="24"/>
    </w:rPr>
  </w:style>
  <w:style w:type="paragraph" w:styleId="787">
    <w:name w:val="目录 4"/>
    <w:basedOn w:val="734"/>
    <w:next w:val="734"/>
    <w:link w:val="734"/>
    <w:semiHidden/>
    <w:pPr>
      <w:ind w:left="630"/>
      <w:jc w:val="left"/>
    </w:pPr>
  </w:style>
  <w:style w:type="paragraph" w:styleId="788">
    <w:name w:val="列表"/>
    <w:basedOn w:val="734"/>
    <w:next w:val="788"/>
    <w:link w:val="734"/>
    <w:pPr>
      <w:ind w:left="200" w:hanging="200"/>
    </w:pPr>
  </w:style>
  <w:style w:type="paragraph" w:styleId="789">
    <w:name w:val="目录 6"/>
    <w:basedOn w:val="734"/>
    <w:next w:val="734"/>
    <w:link w:val="734"/>
    <w:semiHidden/>
    <w:pPr>
      <w:ind w:left="1050"/>
      <w:jc w:val="left"/>
    </w:pPr>
  </w:style>
  <w:style w:type="paragraph" w:styleId="790">
    <w:name w:val="正文文本缩进 3"/>
    <w:basedOn w:val="734"/>
    <w:next w:val="790"/>
    <w:link w:val="791"/>
    <w:pPr>
      <w:ind w:left="645" w:firstLine="645"/>
    </w:pPr>
    <w:rPr>
      <w:rFonts w:ascii="Arial" w:hAnsi="Arial" w:eastAsia="仿宋_GB2312"/>
      <w:color w:val="ffff00"/>
      <w:sz w:val="32"/>
      <w:szCs w:val="32"/>
      <w:lang w:val="en-US" w:eastAsia="en-US"/>
    </w:rPr>
  </w:style>
  <w:style w:type="character" w:styleId="791">
    <w:name w:val="正文文本缩进 3 Char"/>
    <w:next w:val="791"/>
    <w:link w:val="790"/>
    <w:rPr>
      <w:rFonts w:ascii="Arial" w:hAnsi="Arial" w:eastAsia="仿宋_GB2312" w:cs="Arial"/>
      <w:color w:val="ffff00"/>
      <w:sz w:val="32"/>
      <w:szCs w:val="32"/>
    </w:rPr>
  </w:style>
  <w:style w:type="paragraph" w:styleId="792">
    <w:name w:val="图表目录"/>
    <w:basedOn w:val="734"/>
    <w:next w:val="734"/>
    <w:link w:val="734"/>
    <w:semiHidden/>
    <w:pPr>
      <w:ind w:left="840" w:hanging="420"/>
    </w:pPr>
  </w:style>
  <w:style w:type="paragraph" w:styleId="793">
    <w:name w:val="目录 2"/>
    <w:basedOn w:val="734"/>
    <w:next w:val="734"/>
    <w:link w:val="734"/>
    <w:semiHidden/>
    <w:pPr>
      <w:ind w:left="210"/>
      <w:jc w:val="left"/>
    </w:pPr>
    <w:rPr>
      <w:smallCaps/>
      <w:szCs w:val="24"/>
    </w:rPr>
  </w:style>
  <w:style w:type="paragraph" w:styleId="794">
    <w:name w:val="目录 9"/>
    <w:basedOn w:val="734"/>
    <w:next w:val="734"/>
    <w:link w:val="734"/>
    <w:semiHidden/>
    <w:pPr>
      <w:ind w:left="1680"/>
      <w:jc w:val="left"/>
    </w:pPr>
  </w:style>
  <w:style w:type="paragraph" w:styleId="795">
    <w:name w:val="正文文本 2"/>
    <w:basedOn w:val="734"/>
    <w:next w:val="795"/>
    <w:link w:val="796"/>
    <w:pPr>
      <w:jc w:val="center"/>
      <w:widowControl/>
    </w:pPr>
    <w:rPr>
      <w:rFonts w:ascii="楷体_GB2312" w:eastAsia="楷体_GB2312"/>
      <w:sz w:val="28"/>
      <w:szCs w:val="28"/>
      <w:lang w:val="en-US" w:eastAsia="en-US"/>
    </w:rPr>
  </w:style>
  <w:style w:type="character" w:styleId="796">
    <w:name w:val="正文文本 2 Char"/>
    <w:next w:val="796"/>
    <w:link w:val="795"/>
    <w:rPr>
      <w:rFonts w:ascii="楷体_GB2312" w:hAnsi="Times New Roman" w:eastAsia="楷体_GB2312" w:cs="Times New Roman"/>
      <w:sz w:val="28"/>
      <w:szCs w:val="28"/>
    </w:rPr>
  </w:style>
  <w:style w:type="paragraph" w:styleId="797">
    <w:name w:val="普通(网站)"/>
    <w:basedOn w:val="734"/>
    <w:next w:val="797"/>
    <w:link w:val="734"/>
    <w:uiPriority w:val="99"/>
    <w:pPr>
      <w:jc w:val="left"/>
      <w:spacing w:before="100" w:beforeAutospacing="1" w:after="100" w:afterAutospacing="1"/>
      <w:widowControl/>
    </w:pPr>
    <w:rPr>
      <w:rFonts w:ascii="宋体" w:hAnsi="宋体" w:cs="宋体"/>
      <w:sz w:val="24"/>
      <w:szCs w:val="24"/>
    </w:rPr>
  </w:style>
  <w:style w:type="paragraph" w:styleId="798">
    <w:name w:val="索引 1"/>
    <w:basedOn w:val="734"/>
    <w:next w:val="734"/>
    <w:link w:val="734"/>
    <w:semiHidden/>
    <w:pPr>
      <w:spacing w:line="240" w:lineRule="atLeast"/>
    </w:pPr>
    <w:rPr>
      <w:b/>
      <w:bCs/>
    </w:rPr>
  </w:style>
  <w:style w:type="paragraph" w:styleId="799">
    <w:name w:val="批注主题"/>
    <w:basedOn w:val="762"/>
    <w:next w:val="762"/>
    <w:link w:val="800"/>
    <w:semiHidden/>
    <w:rPr>
      <w:b/>
      <w:bCs/>
    </w:rPr>
  </w:style>
  <w:style w:type="character" w:styleId="800">
    <w:name w:val="批注主题 Char"/>
    <w:next w:val="800"/>
    <w:link w:val="799"/>
    <w:semiHidden/>
    <w:rPr>
      <w:rFonts w:ascii="Times New Roman" w:hAnsi="Times New Roman" w:eastAsia="宋体" w:cs="Times New Roman"/>
      <w:b/>
      <w:bCs/>
      <w:szCs w:val="21"/>
    </w:rPr>
  </w:style>
  <w:style w:type="paragraph" w:styleId="801">
    <w:name w:val="正文首行缩进"/>
    <w:basedOn w:val="734"/>
    <w:next w:val="801"/>
    <w:link w:val="802"/>
    <w:pPr>
      <w:ind w:firstLine="200"/>
      <w:spacing w:line="360" w:lineRule="auto"/>
    </w:pPr>
    <w:rPr>
      <w:rFonts w:ascii="仿宋_GB2312" w:eastAsia="仿宋_GB2312"/>
      <w:sz w:val="30"/>
      <w:szCs w:val="30"/>
      <w:lang w:val="en-US" w:eastAsia="en-US"/>
    </w:rPr>
  </w:style>
  <w:style w:type="character" w:styleId="802">
    <w:name w:val="正文首行缩进 Char"/>
    <w:next w:val="802"/>
    <w:link w:val="801"/>
    <w:rPr>
      <w:rFonts w:ascii="仿宋_GB2312" w:hAnsi="Times New Roman" w:eastAsia="仿宋_GB2312" w:cs="Times New Roman"/>
      <w:sz w:val="30"/>
      <w:szCs w:val="30"/>
    </w:rPr>
  </w:style>
  <w:style w:type="paragraph" w:styleId="803">
    <w:name w:val="正文首行缩进 2"/>
    <w:basedOn w:val="768"/>
    <w:next w:val="803"/>
    <w:link w:val="804"/>
    <w:pPr>
      <w:ind w:firstLine="420"/>
      <w:spacing w:line="360" w:lineRule="auto"/>
    </w:pPr>
    <w:rPr>
      <w:rFonts w:ascii="宋体" w:hAnsi="宋体" w:eastAsia="宋体"/>
      <w:szCs w:val="20"/>
    </w:rPr>
  </w:style>
  <w:style w:type="character" w:styleId="804">
    <w:name w:val="正文首行缩进 2 Char"/>
    <w:next w:val="804"/>
    <w:link w:val="803"/>
    <w:rPr>
      <w:rFonts w:ascii="宋体" w:hAnsi="宋体" w:eastAsia="宋体" w:cs="Times New Roman"/>
      <w:sz w:val="32"/>
      <w:szCs w:val="20"/>
    </w:rPr>
  </w:style>
  <w:style w:type="table" w:styleId="805">
    <w:name w:val="网格型"/>
    <w:basedOn w:val="745"/>
    <w:next w:val="805"/>
    <w:link w:val="734"/>
    <w:uiPriority w:val="59"/>
    <w:qFormat/>
    <w:pPr>
      <w:jc w:val="both"/>
      <w:widowControl w:val="off"/>
    </w:pPr>
    <w:rPr>
      <w:rFonts w:ascii="Times New Roman" w:hAnsi="Times New Roman" w:eastAsia="宋体" w:cs="Times New Roman"/>
      <w:sz w:val="20"/>
      <w:szCs w:val="20"/>
    </w:rPr>
    <w:tblPr/>
  </w:style>
  <w:style w:type="character" w:styleId="806">
    <w:name w:val="要点"/>
    <w:next w:val="806"/>
    <w:link w:val="734"/>
    <w:qFormat/>
    <w:rPr>
      <w:b/>
      <w:bCs/>
    </w:rPr>
  </w:style>
  <w:style w:type="character" w:styleId="807">
    <w:name w:val="页码"/>
    <w:next w:val="807"/>
    <w:link w:val="734"/>
  </w:style>
  <w:style w:type="character" w:styleId="808">
    <w:name w:val="已访问的超链接"/>
    <w:next w:val="808"/>
    <w:link w:val="734"/>
    <w:rPr>
      <w:color w:val="800080"/>
      <w:u w:val="single"/>
    </w:rPr>
  </w:style>
  <w:style w:type="character" w:styleId="809">
    <w:name w:val="HTML 打字机"/>
    <w:next w:val="809"/>
    <w:link w:val="734"/>
    <w:uiPriority w:val="99"/>
    <w:rPr>
      <w:rFonts w:ascii="宋体" w:hAnsi="宋体" w:eastAsia="宋体" w:cs="宋体"/>
      <w:sz w:val="24"/>
      <w:szCs w:val="24"/>
    </w:rPr>
  </w:style>
  <w:style w:type="character" w:styleId="810">
    <w:name w:val="超链接"/>
    <w:next w:val="810"/>
    <w:link w:val="734"/>
    <w:rPr>
      <w:color w:val="0000ff"/>
      <w:u w:val="single"/>
    </w:rPr>
  </w:style>
  <w:style w:type="character" w:styleId="811">
    <w:name w:val="批注引用"/>
    <w:next w:val="811"/>
    <w:link w:val="734"/>
    <w:qFormat/>
    <w:rPr>
      <w:sz w:val="21"/>
      <w:szCs w:val="21"/>
    </w:rPr>
  </w:style>
  <w:style w:type="character" w:styleId="812">
    <w:name w:val="font5 Char"/>
    <w:next w:val="812"/>
    <w:link w:val="734"/>
    <w:rPr>
      <w:rFonts w:ascii="宋体" w:hAnsi="宋体" w:eastAsia="宋体"/>
      <w:sz w:val="28"/>
      <w:szCs w:val="28"/>
      <w:lang w:val="en-US" w:eastAsia="zh-CN" w:bidi="ar-SA"/>
    </w:rPr>
  </w:style>
  <w:style w:type="character" w:styleId="813">
    <w:name w:val="二级目录 Char"/>
    <w:next w:val="813"/>
    <w:link w:val="814"/>
    <w:rPr>
      <w:b/>
      <w:sz w:val="30"/>
      <w:szCs w:val="28"/>
      <w:lang w:val="en-US" w:eastAsia="zh-CN" w:bidi="ar-SA"/>
    </w:rPr>
  </w:style>
  <w:style w:type="paragraph" w:styleId="814">
    <w:name w:val="二级目录"/>
    <w:next w:val="734"/>
    <w:link w:val="813"/>
    <w:pPr>
      <w:numPr>
        <w:ilvl w:val="0"/>
        <w:numId w:val="2"/>
      </w:numPr>
      <w:tabs>
        <w:tab w:val="left" w:pos="907" w:leader="none"/>
        <w:tab w:val="left" w:pos="1145" w:leader="none"/>
      </w:tabs>
      <w:outlineLvl w:val="1"/>
    </w:pPr>
    <w:rPr>
      <w:b/>
      <w:sz w:val="30"/>
      <w:szCs w:val="28"/>
      <w:lang w:val="en-US" w:eastAsia="zh-CN" w:bidi="ar-SA"/>
    </w:rPr>
  </w:style>
  <w:style w:type="character" w:styleId="815">
    <w:name w:val="列出段落 Char,Bullet List Char,numbered Char,FooterText Char,List Paragraph1 Char,Paragraphe de liste1 Char"/>
    <w:next w:val="815"/>
    <w:link w:val="816"/>
    <w:rPr>
      <w:rFonts w:ascii="Calibri" w:hAnsi="Calibri"/>
      <w:sz w:val="24"/>
      <w:szCs w:val="24"/>
      <w:lang w:eastAsia="en-US" w:bidi="en-US"/>
    </w:rPr>
  </w:style>
  <w:style w:type="paragraph" w:styleId="816">
    <w:name w:val="列出段落1"/>
    <w:basedOn w:val="734"/>
    <w:next w:val="816"/>
    <w:link w:val="815"/>
    <w:qFormat/>
    <w:pPr>
      <w:contextualSpacing/>
      <w:ind w:left="720"/>
      <w:jc w:val="left"/>
      <w:widowControl/>
    </w:pPr>
    <w:rPr>
      <w:rFonts w:ascii="Calibri" w:hAnsi="Calibri"/>
      <w:sz w:val="24"/>
      <w:szCs w:val="24"/>
      <w:lang w:val="en-US" w:eastAsia="en-US" w:bidi="en-US"/>
    </w:rPr>
  </w:style>
  <w:style w:type="paragraph" w:styleId="817">
    <w:name w:val="Body Text(ch)"/>
    <w:basedOn w:val="734"/>
    <w:next w:val="766"/>
    <w:link w:val="734"/>
    <w:pPr>
      <w:spacing w:after="120"/>
    </w:pPr>
    <w:rPr>
      <w:rFonts w:ascii="宋体" w:hAnsi="Arial"/>
      <w:bCs/>
      <w:iCs/>
      <w:szCs w:val="24"/>
    </w:rPr>
  </w:style>
  <w:style w:type="paragraph" w:styleId="818">
    <w:name w:val="xl27"/>
    <w:basedOn w:val="734"/>
    <w:next w:val="818"/>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9">
    <w:name w:val="xl26"/>
    <w:basedOn w:val="734"/>
    <w:next w:val="819"/>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0">
    <w:name w:val="Char"/>
    <w:basedOn w:val="734"/>
    <w:next w:val="820"/>
    <w:link w:val="734"/>
    <w:pPr>
      <w:ind w:firstLine="200"/>
      <w:tabs>
        <w:tab w:val="left" w:pos="360" w:leader="none"/>
      </w:tabs>
    </w:pPr>
    <w:rPr>
      <w:sz w:val="28"/>
      <w:szCs w:val="30"/>
    </w:rPr>
  </w:style>
  <w:style w:type="paragraph" w:styleId="821">
    <w:name w:val=" Char"/>
    <w:basedOn w:val="760"/>
    <w:next w:val="821"/>
    <w:link w:val="734"/>
    <w:rPr>
      <w:rFonts w:ascii="Tahoma" w:hAnsi="Tahoma"/>
      <w:sz w:val="24"/>
      <w:szCs w:val="24"/>
    </w:rPr>
  </w:style>
  <w:style w:type="paragraph" w:styleId="822">
    <w:name w:val="普通正文"/>
    <w:basedOn w:val="734"/>
    <w:next w:val="822"/>
    <w:link w:val="734"/>
    <w:pPr>
      <w:ind w:firstLine="480"/>
      <w:jc w:val="left"/>
      <w:spacing w:before="120" w:after="120" w:line="360" w:lineRule="auto"/>
    </w:pPr>
    <w:rPr>
      <w:rFonts w:ascii="Arial" w:hAnsi="Arial"/>
      <w:sz w:val="24"/>
      <w:szCs w:val="24"/>
    </w:rPr>
  </w:style>
  <w:style w:type="paragraph" w:styleId="823">
    <w:name w:val="table_lines"/>
    <w:basedOn w:val="734"/>
    <w:next w:val="823"/>
    <w:link w:val="734"/>
    <w:pPr>
      <w:jc w:val="left"/>
      <w:widowControl/>
    </w:pPr>
    <w:rPr>
      <w:sz w:val="20"/>
      <w:szCs w:val="20"/>
      <w:lang w:val="de-DE" w:eastAsia="de-DE"/>
    </w:rPr>
  </w:style>
  <w:style w:type="paragraph" w:styleId="824">
    <w:name w:val="附录1"/>
    <w:next w:val="824"/>
    <w:link w:val="7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5">
    <w:name w:val="font7"/>
    <w:basedOn w:val="734"/>
    <w:next w:val="825"/>
    <w:link w:val="734"/>
    <w:pPr>
      <w:jc w:val="left"/>
      <w:spacing w:before="100" w:beforeAutospacing="1" w:after="100" w:afterAutospacing="1"/>
      <w:widowControl/>
    </w:pPr>
    <w:rPr>
      <w:rFonts w:hint="eastAsia" w:ascii="宋体" w:hAnsi="宋体"/>
      <w:sz w:val="18"/>
      <w:szCs w:val="18"/>
    </w:rPr>
  </w:style>
  <w:style w:type="paragraph" w:styleId="826">
    <w:name w:val=" Char Char Char Char"/>
    <w:basedOn w:val="760"/>
    <w:next w:val="826"/>
    <w:link w:val="734"/>
    <w:pPr>
      <w:spacing w:line="360" w:lineRule="auto"/>
    </w:pPr>
    <w:rPr>
      <w:rFonts w:ascii="Tahoma" w:hAnsi="Tahoma"/>
      <w:sz w:val="24"/>
      <w:szCs w:val="24"/>
    </w:rPr>
  </w:style>
  <w:style w:type="paragraph" w:styleId="827">
    <w:name w:val="列出段落"/>
    <w:basedOn w:val="734"/>
    <w:next w:val="827"/>
    <w:link w:val="734"/>
    <w:uiPriority w:val="99"/>
    <w:qFormat/>
    <w:pPr>
      <w:contextualSpacing/>
      <w:ind w:left="720"/>
      <w:jc w:val="left"/>
      <w:widowControl/>
    </w:pPr>
    <w:rPr>
      <w:rFonts w:ascii="Calibri" w:hAnsi="Calibri"/>
      <w:sz w:val="24"/>
      <w:szCs w:val="24"/>
      <w:lang w:eastAsia="en-US" w:bidi="en-US"/>
    </w:rPr>
  </w:style>
  <w:style w:type="paragraph" w:styleId="828">
    <w:name w:val="4"/>
    <w:basedOn w:val="734"/>
    <w:next w:val="790"/>
    <w:link w:val="734"/>
    <w:pPr>
      <w:ind w:firstLine="420"/>
      <w:spacing w:line="360" w:lineRule="auto"/>
    </w:pPr>
    <w:rPr>
      <w:color w:val="ff0000"/>
      <w:sz w:val="24"/>
      <w:szCs w:val="24"/>
    </w:rPr>
  </w:style>
  <w:style w:type="paragraph" w:styleId="829">
    <w:name w:val="普通 (Web)"/>
    <w:basedOn w:val="734"/>
    <w:next w:val="829"/>
    <w:link w:val="734"/>
    <w:pPr>
      <w:jc w:val="left"/>
      <w:spacing w:before="100" w:beforeAutospacing="1" w:after="100" w:afterAutospacing="1"/>
      <w:widowControl/>
    </w:pPr>
    <w:rPr>
      <w:rFonts w:ascii="宋体" w:hAnsi="宋体"/>
      <w:sz w:val="24"/>
      <w:szCs w:val="24"/>
    </w:rPr>
  </w:style>
  <w:style w:type="paragraph" w:styleId="830">
    <w:name w:val=" Char Char Char Char Char Char Char Char Char Char"/>
    <w:basedOn w:val="734"/>
    <w:next w:val="830"/>
    <w:link w:val="734"/>
    <w:pPr>
      <w:spacing w:line="360" w:lineRule="auto"/>
    </w:pPr>
    <w:rPr>
      <w:sz w:val="24"/>
      <w:szCs w:val="20"/>
    </w:rPr>
  </w:style>
  <w:style w:type="paragraph" w:styleId="831">
    <w:name w:val="样式1"/>
    <w:basedOn w:val="734"/>
    <w:next w:val="831"/>
    <w:link w:val="734"/>
    <w:pPr>
      <w:numPr>
        <w:ilvl w:val="0"/>
        <w:numId w:val="3"/>
      </w:numPr>
      <w:tabs>
        <w:tab w:val="left" w:pos="709" w:leader="none"/>
      </w:tabs>
    </w:pPr>
    <w:rPr>
      <w:rFonts w:ascii="宋体" w:hAnsi="宋体"/>
    </w:rPr>
  </w:style>
  <w:style w:type="paragraph" w:styleId="832">
    <w:name w:val="font6"/>
    <w:basedOn w:val="734"/>
    <w:next w:val="832"/>
    <w:link w:val="734"/>
    <w:pPr>
      <w:jc w:val="left"/>
      <w:spacing w:before="100" w:beforeAutospacing="1" w:after="100" w:afterAutospacing="1"/>
      <w:widowControl/>
    </w:pPr>
    <w:rPr>
      <w:rFonts w:hint="eastAsia" w:ascii="宋体" w:hAnsi="宋体"/>
      <w:sz w:val="28"/>
      <w:szCs w:val="28"/>
      <w:u w:val="single"/>
    </w:rPr>
  </w:style>
  <w:style w:type="paragraph" w:styleId="833">
    <w:name w:val="xl25"/>
    <w:basedOn w:val="734"/>
    <w:next w:val="833"/>
    <w:link w:val="7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4">
    <w:name w:val="图标"/>
    <w:basedOn w:val="734"/>
    <w:next w:val="734"/>
    <w:link w:val="73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5">
    <w:name w:val="标题3"/>
    <w:basedOn w:val="734"/>
    <w:next w:val="734"/>
    <w:link w:val="734"/>
    <w:pPr>
      <w:ind w:firstLine="624"/>
      <w:spacing w:line="590" w:lineRule="atLeast"/>
    </w:pPr>
    <w:rPr>
      <w:rFonts w:ascii="方正黑体_GBK" w:eastAsia="方正黑体_GBK"/>
      <w:sz w:val="32"/>
      <w:szCs w:val="32"/>
    </w:rPr>
  </w:style>
  <w:style w:type="paragraph" w:styleId="836">
    <w:name w:val="xl24"/>
    <w:basedOn w:val="734"/>
    <w:next w:val="836"/>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7">
    <w:name w:val="xl29"/>
    <w:basedOn w:val="734"/>
    <w:next w:val="837"/>
    <w:link w:val="73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8">
    <w:name w:val="Char Char Char Char Char Char Char Char"/>
    <w:basedOn w:val="734"/>
    <w:next w:val="838"/>
    <w:link w:val="734"/>
    <w:pPr>
      <w:jc w:val="left"/>
      <w:spacing w:after="160" w:line="240" w:lineRule="exact"/>
      <w:widowControl/>
    </w:pPr>
    <w:rPr>
      <w:rFonts w:ascii="Verdana" w:hAnsi="Verdana"/>
      <w:sz w:val="20"/>
      <w:szCs w:val="20"/>
      <w:lang w:eastAsia="en-US"/>
    </w:rPr>
  </w:style>
  <w:style w:type="paragraph" w:styleId="839">
    <w:name w:val="xl28"/>
    <w:basedOn w:val="734"/>
    <w:next w:val="839"/>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0">
    <w:name w:val=" Char Char Char Char Char Char Char Char"/>
    <w:basedOn w:val="734"/>
    <w:next w:val="840"/>
    <w:link w:val="734"/>
    <w:pPr>
      <w:jc w:val="left"/>
      <w:spacing w:after="160" w:line="240" w:lineRule="exact"/>
      <w:widowControl/>
    </w:pPr>
    <w:rPr>
      <w:rFonts w:ascii="Verdana" w:hAnsi="Verdana"/>
      <w:sz w:val="20"/>
      <w:szCs w:val="20"/>
      <w:lang w:eastAsia="en-US"/>
    </w:rPr>
  </w:style>
  <w:style w:type="paragraph" w:styleId="841">
    <w:name w:val="xl30"/>
    <w:basedOn w:val="734"/>
    <w:next w:val="841"/>
    <w:link w:val="734"/>
    <w:pPr>
      <w:jc w:val="center"/>
      <w:spacing w:before="100" w:beforeAutospacing="1" w:after="100" w:afterAutospacing="1"/>
      <w:widowControl/>
    </w:pPr>
    <w:rPr>
      <w:rFonts w:ascii="宋体" w:hAnsi="宋体"/>
      <w:b/>
      <w:bCs/>
      <w:sz w:val="36"/>
      <w:szCs w:val="36"/>
    </w:rPr>
  </w:style>
  <w:style w:type="paragraph" w:styleId="842">
    <w:name w:val="Char Char Char Char"/>
    <w:basedOn w:val="760"/>
    <w:next w:val="842"/>
    <w:link w:val="734"/>
    <w:pPr>
      <w:spacing w:line="360" w:lineRule="auto"/>
    </w:pPr>
    <w:rPr>
      <w:rFonts w:ascii="Tahoma" w:hAnsi="Tahoma"/>
      <w:sz w:val="24"/>
      <w:szCs w:val="24"/>
    </w:rPr>
  </w:style>
  <w:style w:type="paragraph" w:styleId="843">
    <w:name w:val="table_1stline"/>
    <w:basedOn w:val="734"/>
    <w:next w:val="843"/>
    <w:link w:val="734"/>
    <w:pPr>
      <w:jc w:val="left"/>
      <w:spacing w:before="120"/>
      <w:widowControl/>
    </w:pPr>
    <w:rPr>
      <w:bCs/>
      <w:sz w:val="20"/>
      <w:szCs w:val="20"/>
      <w:lang w:val="de-DE" w:eastAsia="de-DE"/>
    </w:rPr>
  </w:style>
  <w:style w:type="paragraph" w:styleId="844">
    <w:name w:val="font5"/>
    <w:basedOn w:val="734"/>
    <w:next w:val="844"/>
    <w:link w:val="734"/>
    <w:pPr>
      <w:jc w:val="left"/>
      <w:spacing w:before="100" w:beforeAutospacing="1" w:after="100" w:afterAutospacing="1"/>
      <w:widowControl/>
    </w:pPr>
    <w:rPr>
      <w:rFonts w:hint="eastAsia" w:ascii="宋体" w:hAnsi="宋体"/>
      <w:sz w:val="28"/>
      <w:szCs w:val="28"/>
    </w:rPr>
  </w:style>
  <w:style w:type="paragraph" w:styleId="845">
    <w:name w:val="标题1"/>
    <w:basedOn w:val="734"/>
    <w:next w:val="734"/>
    <w:link w:val="734"/>
    <w:pPr>
      <w:jc w:val="center"/>
      <w:spacing w:line="700" w:lineRule="atLeast"/>
      <w:tabs>
        <w:tab w:val="left" w:pos="9193" w:leader="none"/>
        <w:tab w:val="left" w:pos="9827" w:leader="none"/>
      </w:tabs>
    </w:pPr>
    <w:rPr>
      <w:rFonts w:ascii="方正小标宋_GBK" w:eastAsia="方正小标宋_GBK"/>
      <w:sz w:val="44"/>
      <w:szCs w:val="20"/>
    </w:rPr>
  </w:style>
  <w:style w:type="paragraph" w:styleId="846">
    <w:name w:val="修订"/>
    <w:next w:val="846"/>
    <w:link w:val="734"/>
    <w:uiPriority w:val="99"/>
    <w:semiHidden/>
    <w:rPr>
      <w:rFonts w:ascii="Times New Roman" w:hAnsi="Times New Roman"/>
      <w:sz w:val="21"/>
      <w:szCs w:val="21"/>
      <w:lang w:val="en-US" w:eastAsia="zh-CN" w:bidi="ar-SA"/>
    </w:rPr>
  </w:style>
  <w:style w:type="paragraph" w:styleId="847">
    <w:name w:val="无间隔"/>
    <w:next w:val="847"/>
    <w:link w:val="734"/>
    <w:uiPriority w:val="99"/>
    <w:qFormat/>
    <w:pPr>
      <w:jc w:val="both"/>
      <w:widowControl w:val="off"/>
    </w:pPr>
    <w:rPr>
      <w:rFonts w:ascii="Times New Roman" w:hAnsi="Times New Roman"/>
      <w:sz w:val="21"/>
      <w:szCs w:val="21"/>
      <w:lang w:val="en-US" w:eastAsia="zh-CN" w:bidi="ar-SA"/>
    </w:rPr>
  </w:style>
  <w:style w:type="paragraph" w:styleId="848">
    <w:name w:val="普通文字"/>
    <w:basedOn w:val="734"/>
    <w:next w:val="734"/>
    <w:link w:val="734"/>
    <w:uiPriority w:val="99"/>
    <w:rPr>
      <w:rFonts w:ascii="宋体" w:hAnsi="Times New Roman" w:eastAsia="宋体" w:cs="Times New Roman"/>
      <w:sz w:val="24"/>
      <w:szCs w:val="20"/>
      <w:u w:val="none"/>
    </w:rPr>
  </w:style>
  <w:style w:type="paragraph" w:styleId="849">
    <w:name w:val="目录 111"/>
    <w:basedOn w:val="734"/>
    <w:next w:val="734"/>
    <w:link w:val="734"/>
    <w:uiPriority w:val="39"/>
    <w:unhideWhenUsed/>
    <w:qFormat/>
    <w:pPr>
      <w:jc w:val="left"/>
      <w:spacing w:after="100" w:line="259" w:lineRule="auto"/>
      <w:widowControl/>
    </w:pPr>
    <w:rPr>
      <w:rFonts w:ascii="Calibri" w:hAnsi="Calibri" w:eastAsia="宋体"/>
      <w:sz w:val="22"/>
      <w:szCs w:val="22"/>
    </w:rPr>
  </w:style>
  <w:style w:type="character" w:styleId="850">
    <w:name w:val="强调"/>
    <w:next w:val="850"/>
    <w:link w:val="734"/>
    <w:uiPriority w:val="20"/>
    <w:qFormat/>
    <w:rPr>
      <w:i/>
      <w:iCs/>
    </w:rPr>
  </w:style>
  <w:style w:type="paragraph" w:styleId="851">
    <w:name w:val="标题 41"/>
    <w:basedOn w:val="734"/>
    <w:next w:val="734"/>
    <w:link w:val="734"/>
    <w:qFormat/>
    <w:pPr>
      <w:keepLines/>
      <w:keepNext/>
      <w:spacing w:before="280" w:after="290" w:line="372" w:lineRule="auto"/>
      <w:outlineLvl w:val="3"/>
    </w:pPr>
    <w:rPr>
      <w:rFonts w:ascii="Arial" w:hAnsi="Arial" w:eastAsia="黑体"/>
      <w:b/>
      <w:sz w:val="28"/>
      <w:szCs w:val="24"/>
    </w:rPr>
  </w:style>
  <w:style w:type="paragraph" w:styleId="852">
    <w:name w:val="表格样式"/>
    <w:basedOn w:val="734"/>
    <w:next w:val="852"/>
    <w:link w:val="734"/>
    <w:qFormat/>
    <w:rPr>
      <w:rFonts w:ascii="Calibri" w:hAnsi="Calibri"/>
      <w:szCs w:val="24"/>
    </w:rPr>
  </w:style>
  <w:style w:type="paragraph" w:styleId="853">
    <w:name w:val="段落正文"/>
    <w:basedOn w:val="734"/>
    <w:next w:val="853"/>
    <w:link w:val="734"/>
    <w:qFormat/>
    <w:pPr>
      <w:ind w:firstLine="200"/>
    </w:pPr>
    <w:rPr>
      <w:rFonts w:ascii="Calibri" w:hAnsi="Calibri"/>
      <w:szCs w:val="24"/>
    </w:rPr>
  </w:style>
  <w:style w:type="paragraph" w:styleId="854">
    <w:name w:val="居中正文"/>
    <w:basedOn w:val="734"/>
    <w:next w:val="854"/>
    <w:link w:val="734"/>
    <w:qFormat/>
    <w:pPr>
      <w:jc w:val="center"/>
    </w:pPr>
    <w:rPr>
      <w:rFonts w:ascii="Calibri" w:hAnsi="Calibri"/>
      <w:szCs w:val="24"/>
    </w:rPr>
  </w:style>
  <w:style w:type="paragraph" w:styleId="855">
    <w:name w:val="修订1"/>
    <w:next w:val="855"/>
    <w:link w:val="734"/>
    <w:hidden/>
    <w:uiPriority w:val="99"/>
    <w:unhideWhenUsed/>
    <w:qFormat/>
    <w:rPr>
      <w:sz w:val="21"/>
      <w:szCs w:val="24"/>
      <w:lang w:val="en-US" w:eastAsia="zh-CN" w:bidi="ar-SA"/>
    </w:rPr>
  </w:style>
  <w:style w:type="character" w:styleId="19918" w:default="1">
    <w:name w:val="Default Paragraph Font"/>
    <w:uiPriority w:val="1"/>
    <w:semiHidden/>
    <w:unhideWhenUsed/>
  </w:style>
  <w:style w:type="numbering" w:styleId="19919" w:default="1">
    <w:name w:val="No List"/>
    <w:uiPriority w:val="99"/>
    <w:semiHidden/>
    <w:unhideWhenUsed/>
  </w:style>
  <w:style w:type="table" w:styleId="19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509</cp:revision>
  <dcterms:created xsi:type="dcterms:W3CDTF">2023-03-16T02:16:00Z</dcterms:created>
  <dcterms:modified xsi:type="dcterms:W3CDTF">2024-08-19T02:30:51Z</dcterms:modified>
  <cp:version>917504</cp:version>
</cp:coreProperties>
</file>