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r>
      <w:r/>
    </w:p>
    <w:p>
      <w:pPr>
        <w:jc w:val="center"/>
        <w:keepLines w:val="0"/>
        <w:keepNext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center"/>
        <w:keepLines w:val="0"/>
        <w:keepNext w:val="0"/>
        <w:pageBreakBefore w:val="0"/>
        <w:spacing w:line="360" w:lineRule="auto"/>
        <w:widowControl w:val="off"/>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r>
      <w:r/>
    </w:p>
    <w:p>
      <w:pPr>
        <w:ind w:firstLine="630"/>
        <w:keepLines w:val="0"/>
        <w:keepNext w:val="0"/>
        <w:pageBreakBefore w:val="0"/>
        <w:spacing w:line="360" w:lineRule="auto"/>
        <w:widowControl w:val="off"/>
        <w:tabs>
          <w:tab w:val="left" w:pos="3570" w:leader="none"/>
        </w:tabs>
        <w:rPr>
          <w:rFonts w:hint="eastAsia" w:ascii="宋体" w:hAnsi="宋体"/>
          <w:color w:val="auto"/>
          <w:highlight w:val="none"/>
        </w:rPr>
      </w:pPr>
      <w:r>
        <w:rPr>
          <w:rFonts w:ascii="宋体" w:hAnsi="宋体"/>
          <w:color w:val="auto"/>
          <w:highlight w:val="none"/>
        </w:rPr>
        <w:tab/>
      </w:r>
      <w:r/>
    </w:p>
    <w:p>
      <w:pPr>
        <w:ind w:firstLine="63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r>
      <w:r/>
    </w:p>
    <w:p>
      <w:pPr>
        <w:ind w:right="1280"/>
        <w:keepLines w:val="0"/>
        <w:keepNext w:val="0"/>
        <w:pageBreakBefore w:val="0"/>
        <w:spacing w:line="360" w:lineRule="auto"/>
        <w:widowControl w:val="off"/>
        <w:rPr>
          <w:rFonts w:hint="eastAsia" w:ascii="宋体" w:hAnsi="宋体"/>
          <w:color w:val="auto"/>
          <w:sz w:val="32"/>
          <w:highlight w:val="none"/>
        </w:rPr>
      </w:pPr>
      <w:r>
        <w:rPr>
          <w:rFonts w:hint="eastAsia" w:ascii="宋体" w:hAnsi="宋体"/>
          <w:color w:val="auto"/>
          <w:sz w:val="32"/>
          <w:highlight w:val="none"/>
        </w:rPr>
      </w:r>
      <w:r/>
    </w:p>
    <w:p>
      <w:pPr>
        <w:ind w:firstLine="1084"/>
        <w:keepLines w:val="0"/>
        <w:keepNext w:val="0"/>
        <w:pageBreakBefore w:val="0"/>
        <w:spacing w:line="360" w:lineRule="auto"/>
        <w:widowControl w:val="off"/>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lang w:eastAsia="zh-CN"/>
        </w:rPr>
        <w:t xml:space="preserve">JSZC-320585-YXCZ-G2025-0020</w:t>
      </w:r>
      <w:r/>
    </w:p>
    <w:p>
      <w:pPr>
        <w:ind w:firstLine="1084"/>
        <w:keepLines w:val="0"/>
        <w:keepNext w:val="0"/>
        <w:pageBreakBefore w:val="0"/>
        <w:spacing w:line="360" w:lineRule="auto"/>
        <w:widowControl w:val="off"/>
        <w:rPr>
          <w:rFonts w:hint="eastAsia" w:ascii="宋体" w:hAnsi="宋体" w:eastAsia="宋体"/>
          <w:b/>
          <w:color w:val="auto"/>
          <w:sz w:val="32"/>
          <w:szCs w:val="36"/>
          <w:highlight w:val="none"/>
          <w:lang w:eastAsia="zh-CN"/>
        </w:rPr>
      </w:pPr>
      <w:r>
        <w:rPr>
          <w:rFonts w:hint="eastAsia" w:ascii="宋体" w:hAnsi="宋体"/>
          <w:b/>
          <w:color w:val="auto"/>
          <w:sz w:val="36"/>
          <w:szCs w:val="36"/>
          <w:highlight w:val="none"/>
        </w:rPr>
        <w:t xml:space="preserve">项目名称：</w:t>
      </w:r>
      <w:r>
        <w:rPr>
          <w:rFonts w:hint="eastAsia" w:ascii="宋体" w:hAnsi="宋体"/>
          <w:b/>
          <w:color w:val="auto"/>
          <w:sz w:val="36"/>
          <w:szCs w:val="36"/>
          <w:highlight w:val="none"/>
          <w:lang w:eastAsia="zh-CN"/>
        </w:rPr>
        <w:t xml:space="preserve">2025年交警交通设施维护项目</w:t>
      </w:r>
      <w:r/>
    </w:p>
    <w:p>
      <w:pPr>
        <w:ind w:firstLine="1084"/>
        <w:keepLines w:val="0"/>
        <w:keepNext w:val="0"/>
        <w:pageBreakBefore w:val="0"/>
        <w:spacing w:line="360" w:lineRule="auto"/>
        <w:widowControl w:val="off"/>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采购单位：</w:t>
      </w:r>
      <w:r>
        <w:rPr>
          <w:rFonts w:hint="eastAsia" w:ascii="宋体" w:hAnsi="宋体"/>
          <w:b/>
          <w:color w:val="auto"/>
          <w:sz w:val="36"/>
          <w:szCs w:val="36"/>
          <w:highlight w:val="none"/>
          <w:lang w:eastAsia="zh-CN"/>
        </w:rPr>
        <w:t xml:space="preserve">太仓市浮桥镇人民政府</w:t>
      </w:r>
      <w:r/>
    </w:p>
    <w:p>
      <w:pPr>
        <w:ind w:firstLine="1084"/>
        <w:keepLines w:val="0"/>
        <w:keepNext w:val="0"/>
        <w:pageBreakBefore w:val="0"/>
        <w:spacing w:line="360" w:lineRule="auto"/>
        <w:widowControl w:val="off"/>
        <w:rPr>
          <w:rFonts w:hint="eastAsia" w:ascii="宋体" w:hAnsi="宋体"/>
          <w:b/>
          <w:color w:val="auto"/>
          <w:sz w:val="36"/>
          <w:szCs w:val="36"/>
          <w:highlight w:val="none"/>
        </w:rPr>
      </w:pPr>
      <w:r>
        <w:rPr>
          <w:rFonts w:hint="eastAsia" w:ascii="宋体" w:hAnsi="宋体"/>
          <w:b/>
          <w:color w:val="auto"/>
          <w:sz w:val="36"/>
          <w:szCs w:val="36"/>
          <w:highlight w:val="none"/>
        </w:rPr>
        <w:t xml:space="preserve">采购项目类别：服务类</w:t>
      </w:r>
      <w:r/>
    </w:p>
    <w:p>
      <w:pPr>
        <w:ind w:firstLine="1084"/>
        <w:keepLines w:val="0"/>
        <w:keepNext w:val="0"/>
        <w:pageBreakBefore w:val="0"/>
        <w:spacing w:line="360" w:lineRule="auto"/>
        <w:widowControl w:val="off"/>
        <w:rPr>
          <w:rFonts w:hint="eastAsia" w:ascii="宋体" w:hAnsi="宋体"/>
          <w:b/>
          <w:color w:val="auto"/>
          <w:sz w:val="36"/>
          <w:szCs w:val="36"/>
          <w:highlight w:val="none"/>
        </w:rPr>
      </w:pPr>
      <w:r>
        <w:rPr>
          <w:rFonts w:hint="eastAsia" w:ascii="宋体" w:hAnsi="宋体"/>
          <w:b/>
          <w:color w:val="auto"/>
          <w:sz w:val="36"/>
          <w:szCs w:val="36"/>
          <w:highlight w:val="none"/>
        </w:rPr>
        <w:t xml:space="preserve">标的所属行业：</w:t>
      </w:r>
      <w:r>
        <w:rPr>
          <w:rFonts w:hint="eastAsia" w:ascii="宋体" w:hAnsi="宋体"/>
          <w:b/>
          <w:color w:val="auto"/>
          <w:sz w:val="36"/>
          <w:szCs w:val="36"/>
          <w:highlight w:val="none"/>
          <w:lang w:eastAsia="zh-CN"/>
        </w:rPr>
        <w:t xml:space="preserve">（十六）其他未列明行业</w:t>
      </w:r>
      <w:r>
        <w:rPr>
          <w:rFonts w:ascii="宋体" w:hAnsi="宋体"/>
          <w:b/>
          <w:color w:val="auto"/>
          <w:sz w:val="36"/>
          <w:szCs w:val="36"/>
          <w:highlight w:val="none"/>
        </w:rPr>
        <w:t xml:space="preserve"> </w:t>
      </w:r>
      <w:r/>
    </w:p>
    <w:p>
      <w:pPr>
        <w:pStyle w:val="804"/>
        <w:ind w:firstLine="0"/>
        <w:keepLines w:val="0"/>
        <w:keepNext w:val="0"/>
        <w:pageBreakBefore w:val="0"/>
        <w:widowControl w:val="off"/>
        <w:rPr>
          <w:color w:val="auto"/>
          <w:highlight w:val="none"/>
        </w:rPr>
      </w:pPr>
      <w:r>
        <w:rPr>
          <w:color w:val="auto"/>
          <w:highlight w:val="none"/>
        </w:rPr>
      </w:r>
      <w:r/>
    </w:p>
    <w:p>
      <w:pPr>
        <w:pStyle w:val="804"/>
        <w:ind w:firstLine="0"/>
        <w:keepLines w:val="0"/>
        <w:keepNext w:val="0"/>
        <w:pageBreakBefore w:val="0"/>
        <w:widowControl w:val="off"/>
        <w:rPr>
          <w:color w:val="auto"/>
          <w:highlight w:val="none"/>
        </w:rPr>
      </w:pPr>
      <w:r>
        <w:rPr>
          <w:color w:val="auto"/>
          <w:highlight w:val="none"/>
        </w:rPr>
      </w:r>
      <w:r/>
    </w:p>
    <w:p>
      <w:pPr>
        <w:pStyle w:val="804"/>
        <w:keepLines w:val="0"/>
        <w:keepNext w:val="0"/>
        <w:pageBreakBefore w:val="0"/>
        <w:widowControl w:val="off"/>
        <w:rPr>
          <w:color w:val="auto"/>
          <w:highlight w:val="none"/>
        </w:rPr>
      </w:pPr>
      <w:r>
        <w:rPr>
          <w:color w:val="auto"/>
          <w:highlight w:val="none"/>
        </w:rPr>
      </w:r>
      <w:r/>
    </w:p>
    <w:p>
      <w:pPr>
        <w:pStyle w:val="804"/>
        <w:keepLines w:val="0"/>
        <w:keepNext w:val="0"/>
        <w:pageBreakBefore w:val="0"/>
        <w:widowControl w:val="off"/>
        <w:rPr>
          <w:color w:val="auto"/>
          <w:highlight w:val="none"/>
        </w:rPr>
      </w:pPr>
      <w:r>
        <w:rPr>
          <w:color w:val="auto"/>
          <w:highlight w:val="none"/>
        </w:rPr>
      </w:r>
      <w:r/>
    </w:p>
    <w:p>
      <w:pPr>
        <w:pStyle w:val="804"/>
        <w:keepLines w:val="0"/>
        <w:keepNext w:val="0"/>
        <w:pageBreakBefore w:val="0"/>
        <w:widowControl w:val="off"/>
        <w:rPr>
          <w:color w:val="auto"/>
          <w:highlight w:val="none"/>
        </w:rPr>
      </w:pPr>
      <w:r>
        <w:rPr>
          <w:color w:val="auto"/>
          <w:highlight w:val="none"/>
        </w:rPr>
      </w:r>
      <w:r/>
    </w:p>
    <w:p>
      <w:pPr>
        <w:jc w:val="center"/>
        <w:keepLines w:val="0"/>
        <w:keepNext w:val="0"/>
        <w:pageBreakBefore w:val="0"/>
        <w:spacing w:line="360" w:lineRule="auto"/>
        <w:widowControl w:val="off"/>
        <w:rPr>
          <w:rFonts w:hint="eastAsia" w:ascii="宋体" w:hAnsi="宋体"/>
          <w:color w:val="auto"/>
          <w:sz w:val="36"/>
          <w:szCs w:val="36"/>
          <w:highlight w:val="none"/>
        </w:rPr>
      </w:pPr>
      <w:r>
        <w:rPr>
          <w:rFonts w:hint="eastAsia" w:ascii="宋体" w:hAnsi="宋体"/>
          <w:color w:val="auto"/>
          <w:sz w:val="44"/>
          <w:szCs w:val="44"/>
          <w:highlight w:val="none"/>
        </w:rPr>
        <w:t xml:space="preserve"> </w:t>
      </w:r>
      <w:r>
        <w:rPr>
          <w:rFonts w:hint="eastAsia" w:ascii="宋体" w:hAnsi="宋体"/>
          <w:color w:val="auto"/>
          <w:sz w:val="36"/>
          <w:szCs w:val="36"/>
          <w:highlight w:val="none"/>
        </w:rPr>
        <w:t xml:space="preserve">苏州乐鑫诚项目管理有限公司</w:t>
      </w:r>
      <w:r/>
    </w:p>
    <w:p>
      <w:pPr>
        <w:jc w:val="center"/>
        <w:keepLines w:val="0"/>
        <w:keepNext w:val="0"/>
        <w:pageBreakBefore w:val="0"/>
        <w:spacing w:before="305" w:line="360" w:lineRule="auto"/>
        <w:widowControl w:val="off"/>
        <w:rPr>
          <w:rFonts w:hint="eastAsia" w:ascii="宋体" w:hAnsi="宋体"/>
          <w:color w:val="auto"/>
          <w:sz w:val="44"/>
          <w:szCs w:val="44"/>
          <w:highlight w:val="none"/>
        </w:rPr>
      </w:pPr>
      <w:r>
        <w:rPr>
          <w:rFonts w:hint="eastAsia" w:ascii="宋体" w:hAnsi="宋体"/>
          <w:color w:val="auto"/>
          <w:sz w:val="36"/>
          <w:szCs w:val="36"/>
          <w:highlight w:val="none"/>
        </w:rPr>
        <w:t xml:space="preserve">2</w:t>
      </w:r>
      <w:r>
        <w:rPr>
          <w:rFonts w:ascii="宋体" w:hAnsi="宋体"/>
          <w:color w:val="auto"/>
          <w:sz w:val="36"/>
          <w:szCs w:val="36"/>
          <w:highlight w:val="none"/>
        </w:rPr>
        <w:t xml:space="preserve">02</w:t>
      </w:r>
      <w:r>
        <w:rPr>
          <w:rFonts w:hint="eastAsia" w:ascii="宋体" w:hAnsi="宋体"/>
          <w:color w:val="auto"/>
          <w:sz w:val="36"/>
          <w:szCs w:val="36"/>
          <w:highlight w:val="none"/>
        </w:rPr>
        <w:t xml:space="preserve">5年0</w:t>
      </w:r>
      <w:r>
        <w:rPr>
          <w:rFonts w:hint="eastAsia" w:ascii="宋体" w:hAnsi="宋体"/>
          <w:color w:val="auto"/>
          <w:sz w:val="36"/>
          <w:szCs w:val="36"/>
          <w:highlight w:val="none"/>
          <w:lang w:val="en-US" w:eastAsia="zh-CN"/>
        </w:rPr>
        <w:t xml:space="preserve">9</w:t>
      </w:r>
      <w:r>
        <w:rPr>
          <w:rFonts w:hint="eastAsia" w:ascii="宋体" w:hAnsi="宋体"/>
          <w:color w:val="auto"/>
          <w:sz w:val="36"/>
          <w:szCs w:val="36"/>
          <w:highlight w:val="none"/>
        </w:rPr>
        <w:t xml:space="preserve">月</w:t>
      </w:r>
      <w:r>
        <w:rPr>
          <w:rFonts w:ascii="宋体" w:hAnsi="宋体"/>
          <w:color w:val="auto"/>
          <w:sz w:val="24"/>
          <w:szCs w:val="24"/>
          <w:highlight w:val="none"/>
        </w:rPr>
        <w:br w:type="page" w:clear="all"/>
      </w:r>
      <w:bookmarkStart w:id="0" w:name="_Toc158691765"/>
      <w:r>
        <w:rPr>
          <w:rFonts w:ascii="宋体" w:hAnsi="宋体"/>
          <w:b/>
          <w:color w:val="auto"/>
          <w:sz w:val="36"/>
          <w:szCs w:val="36"/>
          <w:highlight w:val="none"/>
        </w:rPr>
        <w:t xml:space="preserve">目   录</w:t>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olor w:val="auto"/>
          <w:sz w:val="30"/>
          <w:szCs w:val="30"/>
          <w:highlight w:val="none"/>
        </w:rPr>
        <w:t xml:space="preserve">第一部分：招标公告</w:t>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olor w:val="auto"/>
          <w:sz w:val="30"/>
          <w:szCs w:val="30"/>
          <w:highlight w:val="none"/>
        </w:rPr>
        <w:t xml:space="preserve">第二部分：投标人须知</w:t>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olor w:val="auto"/>
          <w:sz w:val="30"/>
          <w:szCs w:val="30"/>
          <w:highlight w:val="none"/>
        </w:rPr>
        <w:t xml:space="preserve">第三部分：项目需求</w:t>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olor w:val="auto"/>
          <w:sz w:val="30"/>
          <w:szCs w:val="30"/>
          <w:highlight w:val="none"/>
        </w:rPr>
        <w:t xml:space="preserve">第四部分：投标文件格式</w:t>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olor w:val="auto"/>
          <w:sz w:val="30"/>
          <w:szCs w:val="30"/>
          <w:highlight w:val="none"/>
        </w:rPr>
        <w:t xml:space="preserve">第五部分：评标方法与评标标准</w:t>
      </w:r>
      <w:r/>
    </w:p>
    <w:p>
      <w:pPr>
        <w:ind w:firstLine="600"/>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color w:val="auto"/>
          <w:sz w:val="30"/>
          <w:szCs w:val="30"/>
          <w:highlight w:val="none"/>
        </w:rPr>
        <w:t xml:space="preserve">第六部分：合同主要条款</w:t>
      </w:r>
      <w:r/>
    </w:p>
    <w:p>
      <w:pPr>
        <w:pStyle w:val="1063"/>
        <w:keepLines w:val="0"/>
        <w:keepNext w:val="0"/>
        <w:pageBreakBefore w:val="0"/>
        <w:widowControl w:val="off"/>
        <w:rPr>
          <w:rFonts w:hint="eastAsia"/>
          <w:color w:val="auto"/>
          <w:szCs w:val="24"/>
          <w:highlight w:val="none"/>
        </w:rPr>
      </w:pPr>
      <w:r/>
      <w:bookmarkStart w:id="1" w:name="_Toc467507028"/>
      <w:r/>
      <w:bookmarkStart w:id="2" w:name="_Toc315868049"/>
      <w:r/>
      <w:bookmarkStart w:id="3" w:name="_Toc315875312"/>
      <w:r/>
      <w:r/>
    </w:p>
    <w:p>
      <w:pPr>
        <w:pStyle w:val="1063"/>
        <w:keepLines w:val="0"/>
        <w:keepNext w:val="0"/>
        <w:pageBreakBefore w:val="0"/>
        <w:widowControl w:val="off"/>
        <w:rPr>
          <w:rFonts w:hint="eastAsia"/>
          <w:color w:val="auto"/>
          <w:szCs w:val="24"/>
          <w:highlight w:val="none"/>
        </w:rPr>
      </w:pPr>
      <w:r>
        <w:rPr>
          <w:rFonts w:hint="eastAsia"/>
          <w:color w:val="auto"/>
          <w:szCs w:val="24"/>
          <w:highlight w:val="none"/>
        </w:rPr>
      </w:r>
      <w:r/>
    </w:p>
    <w:p>
      <w:pPr>
        <w:pStyle w:val="1063"/>
        <w:keepLines w:val="0"/>
        <w:keepNext w:val="0"/>
        <w:pageBreakBefore w:val="0"/>
        <w:widowControl w:val="off"/>
        <w:rPr>
          <w:rFonts w:hint="eastAsia"/>
          <w:color w:val="auto"/>
          <w:szCs w:val="24"/>
          <w:highlight w:val="none"/>
        </w:rPr>
      </w:pPr>
      <w:r>
        <w:rPr>
          <w:rFonts w:hint="eastAsia"/>
          <w:color w:val="auto"/>
          <w:szCs w:val="24"/>
          <w:highlight w:val="none"/>
        </w:rPr>
      </w:r>
      <w:r/>
    </w:p>
    <w:p>
      <w:pPr>
        <w:pStyle w:val="1063"/>
        <w:keepLines w:val="0"/>
        <w:keepNext w:val="0"/>
        <w:pageBreakBefore w:val="0"/>
        <w:widowControl w:val="off"/>
        <w:rPr>
          <w:rFonts w:hint="eastAsia"/>
          <w:color w:val="auto"/>
          <w:szCs w:val="24"/>
          <w:highlight w:val="none"/>
        </w:rPr>
      </w:pPr>
      <w:r>
        <w:rPr>
          <w:rFonts w:hint="eastAsia"/>
          <w:color w:val="auto"/>
          <w:szCs w:val="24"/>
          <w:highlight w:val="none"/>
        </w:rPr>
      </w:r>
      <w:r/>
    </w:p>
    <w:p>
      <w:pPr>
        <w:pStyle w:val="1063"/>
        <w:keepLines w:val="0"/>
        <w:keepNext w:val="0"/>
        <w:pageBreakBefore w:val="0"/>
        <w:widowControl w:val="off"/>
        <w:rPr>
          <w:rFonts w:hint="eastAsia"/>
          <w:color w:val="auto"/>
          <w:szCs w:val="24"/>
          <w:highlight w:val="none"/>
        </w:rPr>
      </w:pPr>
      <w:r>
        <w:rPr>
          <w:rFonts w:hint="eastAsia"/>
          <w:color w:val="auto"/>
          <w:szCs w:val="24"/>
          <w:highlight w:val="none"/>
        </w:rPr>
      </w:r>
      <w:r/>
    </w:p>
    <w:p>
      <w:pPr>
        <w:pStyle w:val="1063"/>
        <w:keepLines w:val="0"/>
        <w:keepNext w:val="0"/>
        <w:pageBreakBefore w:val="0"/>
        <w:widowControl w:val="off"/>
        <w:rPr>
          <w:rFonts w:hint="eastAsia"/>
          <w:color w:val="auto"/>
          <w:szCs w:val="24"/>
          <w:highlight w:val="none"/>
        </w:rPr>
      </w:pPr>
      <w:r>
        <w:rPr>
          <w:rFonts w:hint="eastAsia"/>
          <w:color w:val="auto"/>
          <w:szCs w:val="24"/>
          <w:highlight w:val="none"/>
        </w:rPr>
      </w:r>
      <w:r/>
    </w:p>
    <w:p>
      <w:pPr>
        <w:pStyle w:val="1063"/>
        <w:jc w:val="center"/>
        <w:keepLines w:val="0"/>
        <w:keepNext w:val="0"/>
        <w:pageBreakBefore w:val="0"/>
        <w:widowControl w:val="off"/>
        <w:rPr>
          <w:rFonts w:hint="eastAsia" w:ascii="仿宋" w:hAnsi="仿宋" w:eastAsia="仿宋" w:cs="仿宋"/>
          <w:b/>
          <w:color w:val="auto"/>
          <w:sz w:val="44"/>
          <w:szCs w:val="44"/>
          <w:highlight w:val="none"/>
        </w:rPr>
      </w:pPr>
      <w:r>
        <w:rPr>
          <w:color w:val="auto"/>
          <w:szCs w:val="24"/>
          <w:highlight w:val="none"/>
        </w:rPr>
        <w:br w:type="page" w:clear="all"/>
      </w:r>
      <w:bookmarkEnd w:id="0"/>
      <w:r/>
      <w:bookmarkEnd w:id="1"/>
      <w:r/>
      <w:bookmarkEnd w:id="2"/>
      <w:r/>
      <w:bookmarkEnd w:id="3"/>
      <w:r>
        <w:rPr>
          <w:rFonts w:hint="eastAsia" w:ascii="仿宋" w:hAnsi="仿宋" w:eastAsia="仿宋" w:cs="仿宋"/>
          <w:b/>
          <w:color w:val="auto"/>
          <w:sz w:val="44"/>
          <w:szCs w:val="44"/>
          <w:highlight w:val="none"/>
        </w:rPr>
        <w:t xml:space="preserve">第一部分  招标公告</w:t>
      </w:r>
      <w:bookmarkStart w:id="4" w:name="OLE_LINK2"/>
      <w:r/>
      <w:bookmarkStart w:id="5" w:name="OLE_LINK4"/>
      <w:r/>
      <w:bookmarkStart w:id="6" w:name="OLE_LINK3"/>
      <w:r/>
      <w:bookmarkStart w:id="7" w:name="OLE_LINK1"/>
      <w:r/>
      <w:r/>
    </w:p>
    <w:p>
      <w:pPr>
        <w:pStyle w:val="803"/>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2025年交警交通设施维护项目</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JSZC-320585-YXCZ-G2025-0020</w:t>
      </w:r>
      <w:r>
        <w:rPr>
          <w:rFonts w:hint="eastAsia" w:ascii="仿宋" w:hAnsi="仿宋" w:eastAsia="仿宋" w:cs="仿宋"/>
          <w:color w:val="auto"/>
          <w:sz w:val="24"/>
          <w:szCs w:val="24"/>
          <w:highlight w:val="none"/>
        </w:rPr>
        <w:t xml:space="preserve">招标项目的潜在投标人应在苏采云系统获取招标文件，并于2025-</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 （北京时间）前递交投标文件。</w:t>
      </w:r>
      <w:r/>
    </w:p>
    <w:p>
      <w:pPr>
        <w:pStyle w:val="803"/>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JSZC-320585-YXCZ-G2025-0020</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2025年交警交通设施维护项目</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400</w:t>
      </w:r>
      <w:r>
        <w:rPr>
          <w:rFonts w:hint="eastAsia" w:ascii="仿宋" w:hAnsi="仿宋" w:eastAsia="仿宋" w:cs="仿宋"/>
          <w:color w:val="auto"/>
          <w:sz w:val="24"/>
          <w:szCs w:val="24"/>
          <w:highlight w:val="none"/>
        </w:rPr>
        <w:t xml:space="preserve">万元</w:t>
      </w:r>
      <w:r/>
    </w:p>
    <w:p>
      <w:pPr>
        <w:pStyle w:val="803"/>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shd w:val="clear" w:color="auto" w:fill="ffffff"/>
        </w:rPr>
        <w:t xml:space="preserve">最高限价：</w:t>
      </w:r>
      <w:r>
        <w:rPr>
          <w:rFonts w:hint="eastAsia" w:ascii="仿宋" w:hAnsi="仿宋" w:eastAsia="仿宋" w:cs="仿宋"/>
          <w:color w:val="auto"/>
          <w:sz w:val="24"/>
          <w:szCs w:val="24"/>
          <w:highlight w:val="none"/>
          <w:lang w:val="en-US" w:eastAsia="zh-CN"/>
        </w:rPr>
        <w:t xml:space="preserve">详见项目需求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w:t>
      </w:r>
      <w:r>
        <w:rPr>
          <w:rFonts w:hint="eastAsia" w:ascii="仿宋" w:hAnsi="仿宋" w:eastAsia="仿宋" w:cs="仿宋"/>
          <w:color w:val="auto"/>
          <w:sz w:val="24"/>
          <w:szCs w:val="24"/>
          <w:highlight w:val="none"/>
          <w:lang w:eastAsia="zh-CN"/>
        </w:rPr>
        <w:t xml:space="preserve">交警交通设施维护</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highlight w:val="none"/>
        </w:rPr>
        <w:t xml:space="preserve">具体要求详见第三部分项目需求。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期限：</w:t>
      </w:r>
      <w:r>
        <w:rPr>
          <w:rFonts w:hint="eastAsia" w:ascii="仿宋" w:hAnsi="仿宋" w:eastAsia="仿宋" w:cs="仿宋"/>
          <w:color w:val="auto"/>
          <w:sz w:val="24"/>
          <w:szCs w:val="24"/>
          <w:highlight w:val="none"/>
          <w:lang w:val="en-US" w:eastAsia="zh-CN"/>
        </w:rPr>
        <w:t xml:space="preserve">一年或累计结算金额达到肆佰万元整项目终止。</w:t>
      </w:r>
      <w:r/>
    </w:p>
    <w:p>
      <w:pPr>
        <w:pStyle w:val="796"/>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本项目（是/否）接受联合体投标：不接受联合体</w:t>
      </w:r>
      <w:r/>
    </w:p>
    <w:p>
      <w:pPr>
        <w:pStyle w:val="803"/>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二、申请人的资格要求</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（一）满足《中华人民共和国政府采购法》第二十二条规定：</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1.具有独立承担民事责任的能力（提供法人或者其他组织的营业执照等证明文件，自然人的身份证明）；</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2.具有良好的商业信誉和健全的财务会计制度（提供最近一期的财务状况报告，其他组织、自然人提供银行出具的资信证明）；</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3.具有履行合同所必需的设备和专业技术能力（提供履行合同所必需的设备和专业技术能力的证明材料）；</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4.具有履行合同所必需的设备和专业技术能力（提供履行合同所必需的设备和专业技术能力的证明材料）；</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6.法律、行政法规规定的其他条件。</w:t>
      </w:r>
      <w:r/>
    </w:p>
    <w:p>
      <w:pPr>
        <w:pStyle w:val="803"/>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（二）落实政府采购政策需满足的资格要求：</w:t>
      </w:r>
      <w:r/>
    </w:p>
    <w:p>
      <w:pPr>
        <w:pStyle w:val="803"/>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highlight w:val="none"/>
        </w:rPr>
        <w:t xml:space="preserve">本项目专门面向中小企业采购，</w:t>
      </w:r>
      <w:r>
        <w:rPr>
          <w:rFonts w:hint="eastAsia" w:ascii="仿宋" w:hAnsi="仿宋" w:eastAsia="仿宋" w:cs="仿宋"/>
          <w:bCs/>
          <w:color w:val="auto"/>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03"/>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（三）本项目的特定资格要求：</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1.具有有效期内行政主管部门颁发的公路交通工程专业承包公路安全设施分项和公路机电工程分项专业承包</w:t>
      </w:r>
      <w:r>
        <w:rPr>
          <w:rFonts w:hint="eastAsia" w:ascii="仿宋" w:hAnsi="仿宋" w:eastAsia="仿宋" w:cs="仿宋"/>
          <w:bCs/>
          <w:color w:val="auto"/>
          <w:sz w:val="24"/>
          <w:highlight w:val="none"/>
        </w:rPr>
        <w:t xml:space="preserve">二级(含)以上资质</w:t>
      </w:r>
      <w:r>
        <w:rPr>
          <w:rFonts w:hint="eastAsia" w:ascii="仿宋" w:hAnsi="仿宋" w:eastAsia="仿宋" w:cs="仿宋"/>
          <w:bCs/>
          <w:color w:val="auto"/>
          <w:sz w:val="24"/>
          <w:highlight w:val="none"/>
          <w:lang w:val="en-US" w:eastAsia="zh-CN"/>
        </w:rPr>
        <w:t xml:space="preserve">及安全生产许可证。</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（四）拒绝下述供应商参加本次采购活动：</w:t>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3.法人的分支机构不得参加投标（除银行、保险、石油石化、电力、电信等行业特殊情况外）。</w:t>
      </w:r>
      <w:r/>
    </w:p>
    <w:p>
      <w:pPr>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03"/>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三、获取招标文件</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时间：自招标文件公告发布之日起5个工作日</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地点：苏采云政府采购一体化平台</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方式：自行下载</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售价：0.00元</w:t>
      </w:r>
      <w:r/>
    </w:p>
    <w:p>
      <w:pPr>
        <w:pStyle w:val="803"/>
        <w:ind w:firstLine="482"/>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b/>
          <w:color w:val="auto"/>
          <w:sz w:val="24"/>
          <w:szCs w:val="24"/>
          <w:highlight w:val="none"/>
        </w:rPr>
        <w:t xml:space="preserve">四、提交投标文件截止时间、开标时间和地点</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时间：</w:t>
      </w:r>
      <w:r>
        <w:rPr>
          <w:rFonts w:hint="eastAsia" w:ascii="仿宋" w:hAnsi="仿宋" w:eastAsia="仿宋" w:cs="仿宋"/>
          <w:color w:val="auto"/>
          <w:sz w:val="24"/>
          <w:szCs w:val="24"/>
          <w:highlight w:val="none"/>
        </w:rPr>
        <w:t xml:space="preserve">2025-</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0 </w:t>
      </w:r>
      <w:r>
        <w:rPr>
          <w:rFonts w:hint="eastAsia" w:ascii="仿宋" w:hAnsi="仿宋" w:eastAsia="仿宋" w:cs="仿宋"/>
          <w:bCs/>
          <w:color w:val="auto"/>
          <w:sz w:val="24"/>
          <w:highlight w:val="none"/>
        </w:rPr>
        <w:t xml:space="preserve"> （北京时间）</w:t>
      </w:r>
      <w:r/>
    </w:p>
    <w:p>
      <w:pPr>
        <w:pStyle w:val="803"/>
        <w:ind w:firstLine="480"/>
        <w:keepLines w:val="0"/>
        <w:keepNext w:val="0"/>
        <w:pageBreakBefore w:val="0"/>
        <w:spacing w:line="360"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地点：苏采云政府采购一体化平台</w:t>
      </w:r>
      <w:r/>
    </w:p>
    <w:p>
      <w:pPr>
        <w:pStyle w:val="803"/>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五、公告期限</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803"/>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1.本项目需要使用CA数字证书制作、上传电子投标文件完成电子投标，请供应商在参加投标活动前办理好CA数字证书申领及电子签章等操作。</w:t>
      </w:r>
      <w:r/>
    </w:p>
    <w:p>
      <w:pPr>
        <w:ind w:firstLine="482"/>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Style w:val="845"/>
          <w:rFonts w:hint="eastAsia" w:ascii="仿宋" w:hAnsi="仿宋" w:eastAsia="仿宋" w:cs="仿宋"/>
          <w:color w:val="auto"/>
          <w:sz w:val="24"/>
          <w:szCs w:val="24"/>
          <w:highlight w:val="none"/>
          <w:shd w:val="clear" w:color="auto" w:fill="ffffff"/>
        </w:rPr>
        <w:t xml:space="preserve">2.本项目采用不见面开标，投标人开标时无需到开标现场进行解密，采取网上开标大厅解密电子投标文件，投标人远程解密要求如下：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2）投标人登录苏采云系统，点击开标大厅，选择开标项目，完成不见面开标流程。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3）投标截止时间后根据系统提示解密电子投标文件。</w:t>
      </w:r>
      <w:r>
        <w:rPr>
          <w:rStyle w:val="845"/>
          <w:rFonts w:hint="eastAsia" w:ascii="仿宋" w:hAnsi="仿宋" w:eastAsia="仿宋" w:cs="仿宋"/>
          <w:color w:val="auto"/>
          <w:sz w:val="24"/>
          <w:szCs w:val="24"/>
          <w:highlight w:val="none"/>
          <w:shd w:val="clear" w:color="auto" w:fill="ffffff"/>
        </w:rPr>
        <w:t xml:space="preserve">解密时间为15分钟，</w:t>
      </w:r>
      <w:r>
        <w:rPr>
          <w:rFonts w:hint="eastAsia" w:ascii="仿宋" w:hAnsi="仿宋" w:eastAsia="仿宋" w:cs="仿宋"/>
          <w:color w:val="auto"/>
          <w:sz w:val="24"/>
          <w:szCs w:val="24"/>
          <w:highlight w:val="none"/>
          <w:shd w:val="clear" w:color="auto" w:fill="ffffff"/>
        </w:rPr>
        <w:t xml:space="preserve">未在规定时间内完成解密，其投标文件将被拒绝，不参与后续投标流程。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w:t>
      </w:r>
      <w:r>
        <w:rPr>
          <w:rStyle w:val="845"/>
          <w:rFonts w:hint="eastAsia" w:ascii="仿宋" w:hAnsi="仿宋" w:eastAsia="仿宋" w:cs="仿宋"/>
          <w:color w:val="auto"/>
          <w:sz w:val="24"/>
          <w:szCs w:val="24"/>
          <w:highlight w:val="none"/>
          <w:shd w:val="clear" w:color="auto" w:fill="ffffff"/>
        </w:rPr>
        <w:t xml:space="preserve">有关苏采云系统驱动安装，</w:t>
      </w:r>
      <w:r>
        <w:rPr>
          <w:rFonts w:hint="eastAsia" w:ascii="仿宋" w:hAnsi="仿宋" w:eastAsia="仿宋" w:cs="仿宋"/>
          <w:color w:val="auto"/>
          <w:sz w:val="24"/>
          <w:szCs w:val="24"/>
          <w:highlight w:val="none"/>
          <w:shd w:val="clear" w:color="auto" w:fill="ffffff"/>
        </w:rPr>
        <w:t xml:space="preserve">登录苏州政府采购网，点击页面底部苏采云图标，进入苏采云政府采购一体化平台，点击“驱动下载”，下载</w:t>
      </w:r>
      <w:r>
        <w:rPr>
          <w:rStyle w:val="845"/>
          <w:rFonts w:hint="eastAsia" w:ascii="仿宋" w:hAnsi="仿宋" w:eastAsia="仿宋" w:cs="仿宋"/>
          <w:color w:val="auto"/>
          <w:sz w:val="24"/>
          <w:szCs w:val="24"/>
          <w:highlight w:val="none"/>
          <w:shd w:val="clear" w:color="auto" w:fill="ffffff"/>
        </w:rPr>
        <w:t xml:space="preserve">“政务CA、方正签章控件驱动安装包及安装说明”</w:t>
      </w:r>
      <w:r>
        <w:rPr>
          <w:rFonts w:hint="eastAsia" w:ascii="仿宋" w:hAnsi="仿宋" w:eastAsia="仿宋" w:cs="仿宋"/>
          <w:color w:val="auto"/>
          <w:sz w:val="24"/>
          <w:szCs w:val="24"/>
          <w:highlight w:val="none"/>
          <w:shd w:val="clear" w:color="auto" w:fill="ffffff"/>
        </w:rPr>
        <w:t xml:space="preserve">文件，按要求安装驱动。</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w:t>
      </w:r>
      <w:r>
        <w:rPr>
          <w:rStyle w:val="845"/>
          <w:rFonts w:hint="eastAsia" w:ascii="仿宋" w:hAnsi="仿宋" w:eastAsia="仿宋" w:cs="仿宋"/>
          <w:color w:val="auto"/>
          <w:sz w:val="24"/>
          <w:szCs w:val="24"/>
          <w:highlight w:val="none"/>
          <w:shd w:val="clear" w:color="auto" w:fill="ffffff"/>
        </w:rPr>
        <w:t xml:space="preserve">有关供应商注册、报名、下载电子招标文件、制作上传电子投标文件</w:t>
      </w:r>
      <w:r>
        <w:rPr>
          <w:rFonts w:hint="eastAsia" w:ascii="仿宋" w:hAnsi="仿宋" w:eastAsia="仿宋" w:cs="仿宋"/>
          <w:color w:val="auto"/>
          <w:sz w:val="24"/>
          <w:szCs w:val="24"/>
          <w:highlight w:val="none"/>
          <w:shd w:val="clear" w:color="auto" w:fill="ffffff"/>
        </w:rPr>
        <w:t xml:space="preserve">、不见面开标及其他注意事项登录苏州政府采购网，在“下载中心”栏目下载“</w:t>
      </w:r>
      <w:r>
        <w:rPr>
          <w:rStyle w:val="845"/>
          <w:rFonts w:hint="eastAsia" w:ascii="仿宋" w:hAnsi="仿宋" w:eastAsia="仿宋" w:cs="仿宋"/>
          <w:color w:val="auto"/>
          <w:sz w:val="24"/>
          <w:szCs w:val="24"/>
          <w:highlight w:val="none"/>
          <w:shd w:val="clear" w:color="auto" w:fill="ffffff"/>
        </w:rPr>
        <w:t xml:space="preserve">苏采云系统供应商操作手册”</w:t>
      </w:r>
      <w:r>
        <w:rPr>
          <w:rFonts w:hint="eastAsia" w:ascii="仿宋" w:hAnsi="仿宋" w:eastAsia="仿宋" w:cs="仿宋"/>
          <w:color w:val="auto"/>
          <w:sz w:val="24"/>
          <w:szCs w:val="24"/>
          <w:highlight w:val="none"/>
          <w:shd w:val="clear" w:color="auto" w:fill="ffffff"/>
        </w:rPr>
        <w:t xml:space="preserve">查阅。</w:t>
      </w:r>
      <w:r/>
    </w:p>
    <w:p>
      <w:pPr>
        <w:ind w:firstLine="482"/>
        <w:jc w:val="left"/>
        <w:keepLines w:val="0"/>
        <w:keepNext w:val="0"/>
        <w:pageBreakBefore w:val="0"/>
        <w:spacing w:line="360" w:lineRule="auto"/>
        <w:shd w:val="clear" w:color="auto" w:fill="ffffff"/>
        <w:widowControl w:val="off"/>
        <w:rPr>
          <w:rStyle w:val="845"/>
          <w:rFonts w:hint="eastAsia" w:ascii="仿宋" w:hAnsi="仿宋" w:eastAsia="仿宋" w:cs="仿宋"/>
          <w:color w:val="auto"/>
          <w:sz w:val="24"/>
          <w:szCs w:val="24"/>
          <w:highlight w:val="none"/>
          <w:shd w:val="clear" w:color="auto" w:fill="ffffff"/>
        </w:rPr>
      </w:pPr>
      <w:r>
        <w:rPr>
          <w:rStyle w:val="845"/>
          <w:rFonts w:hint="eastAsia" w:ascii="仿宋" w:hAnsi="仿宋" w:eastAsia="仿宋" w:cs="仿宋"/>
          <w:color w:val="auto"/>
          <w:sz w:val="24"/>
          <w:szCs w:val="24"/>
          <w:highlight w:val="none"/>
          <w:shd w:val="clear" w:color="auto" w:fill="ffffff"/>
        </w:rPr>
        <w:t xml:space="preserve">5.有关办理CA数字申领及电子签章事项，登录苏州政府采购网，点击页面底部苏采云图标，进入苏采云政府采购一体化平台，下载“新CA办理指南”文件查阅。</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6.有关电子投标制作技术疑问，请咨询苏采云软件公司客服：18261002950、0512-69820854、0519-86722802</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7.政府采购监督电话：0512-53512539</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8.本次招标投标保证金：本项目无须缴纳投标保证金。</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9.政府采购履约资金扶持政策：中标供应商可凭政府采购合同办理融资贷款，详情请见江苏政府采购网‘政采贷’专栏。</w:t>
      </w:r>
      <w:r/>
    </w:p>
    <w:p>
      <w:pPr>
        <w:ind w:firstLine="471"/>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pStyle w:val="803"/>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七、对本次招标提出询问，请按以下方式联系</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bookmarkStart w:id="8" w:name="_Hlk69823300"/>
      <w:r>
        <w:rPr>
          <w:rFonts w:hint="eastAsia" w:ascii="仿宋" w:hAnsi="仿宋" w:eastAsia="仿宋" w:cs="仿宋"/>
          <w:color w:val="auto"/>
          <w:sz w:val="24"/>
          <w:szCs w:val="24"/>
          <w:highlight w:val="none"/>
        </w:rPr>
        <w:t xml:space="preserve">名称：</w:t>
      </w:r>
      <w:bookmarkEnd w:id="8"/>
      <w:r>
        <w:rPr>
          <w:rFonts w:hint="eastAsia" w:ascii="仿宋" w:hAnsi="仿宋" w:eastAsia="仿宋" w:cs="仿宋"/>
          <w:color w:val="auto"/>
          <w:sz w:val="24"/>
          <w:szCs w:val="24"/>
          <w:highlight w:val="none"/>
          <w:lang w:eastAsia="zh-CN"/>
        </w:rPr>
        <w:t xml:space="preserve">太仓市浮桥镇人民政府</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太仓市浮桥镇北环路12号</w:t>
      </w:r>
      <w:r/>
    </w:p>
    <w:p>
      <w:pPr>
        <w:pStyle w:val="80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黄晓诚</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13913766003</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名称：苏州乐鑫诚项目管理有限公司</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地址：太仓市北京东路77号中德大厦B座9楼</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联系方式：15162590330</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项目联系人：樊爽</w:t>
      </w:r>
      <w:r/>
    </w:p>
    <w:p>
      <w:pPr>
        <w:ind w:firstLine="47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电话：15162590330</w:t>
      </w:r>
      <w:bookmarkEnd w:id="4"/>
      <w:r/>
      <w:bookmarkEnd w:id="5"/>
      <w:r/>
      <w:bookmarkEnd w:id="6"/>
      <w:r/>
      <w:bookmarkEnd w:id="7"/>
      <w:r/>
      <w:r/>
    </w:p>
    <w:p>
      <w:pPr>
        <w:pStyle w:val="879"/>
        <w:keepLines w:val="0"/>
        <w:keepNext w:val="0"/>
        <w:pageBreakBefore w:val="0"/>
        <w:widowControl w:val="off"/>
        <w:rPr>
          <w:color w:val="auto"/>
          <w:highlight w:val="none"/>
        </w:rPr>
      </w:pPr>
      <w:r>
        <w:rPr>
          <w:color w:val="auto"/>
          <w:highlight w:val="none"/>
        </w:rPr>
      </w:r>
      <w:r/>
    </w:p>
    <w:p>
      <w:pPr>
        <w:keepLines w:val="0"/>
        <w:keepNext w:val="0"/>
        <w:pageBreakBefore w:val="0"/>
        <w:widowControl w:val="off"/>
        <w:rPr>
          <w:rFonts w:hint="eastAsia" w:ascii="仿宋" w:hAnsi="仿宋" w:eastAsia="仿宋" w:cs="仿宋"/>
          <w:b/>
          <w:color w:val="auto"/>
          <w:sz w:val="44"/>
          <w:szCs w:val="44"/>
          <w:highlight w:val="none"/>
        </w:rPr>
      </w:pPr>
      <w:r/>
      <w:bookmarkStart w:id="9" w:name="_Toc315868051"/>
      <w:r/>
      <w:bookmarkStart w:id="10" w:name="_Toc158691767"/>
      <w:r/>
      <w:bookmarkStart w:id="11" w:name="_Toc315875314"/>
      <w:r/>
      <w:bookmarkStart w:id="12" w:name="_Toc467507030"/>
      <w:r>
        <w:rPr>
          <w:rFonts w:hint="eastAsia" w:ascii="仿宋" w:hAnsi="仿宋" w:eastAsia="仿宋" w:cs="仿宋"/>
          <w:b/>
          <w:color w:val="auto"/>
          <w:sz w:val="44"/>
          <w:szCs w:val="44"/>
          <w:highlight w:val="none"/>
        </w:rPr>
        <w:br w:type="page" w:clear="all"/>
      </w:r>
      <w:r/>
    </w:p>
    <w:p>
      <w:pPr>
        <w:pStyle w:val="804"/>
        <w:ind w:firstLine="0"/>
        <w:jc w:val="center"/>
        <w:keepLines w:val="0"/>
        <w:keepNext w:val="0"/>
        <w:pageBreakBefore w:val="0"/>
        <w:spacing w:line="360" w:lineRule="auto"/>
        <w:widowControl w:val="off"/>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第二部分  投标人须知</w:t>
      </w:r>
      <w:bookmarkEnd w:id="9"/>
      <w:r/>
      <w:bookmarkEnd w:id="10"/>
      <w:r/>
      <w:bookmarkEnd w:id="11"/>
      <w:r/>
      <w:bookmarkEnd w:id="12"/>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一、说明和释义</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 说明</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1.1本招标文件仅适用于苏州乐鑫诚项目管理有限公司组织的招标活动。</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1.2本次招标活动及因本次招标产生的合同受中国法律制约和保护。</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1.3本招标文件的解释权属于苏州乐鑫诚项目管理有限公司。</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 词语释义</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2.1采购代理机构：具体组织实施招标活动的法人。本项目采购代理机构是苏州乐鑫诚项目管理有限公司。</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2.2投标人：经认定有资格响应招标，参加投标竞争的法人或其他组织和自然人。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2.3响应：投标人根据采购人或采购代理机构发布的招标文件，编制投标文件并按规定投标的行为。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2.5甲方（采购方）：合同中明确规定的实际购买货物和服务的法人或其他组织和自然人（采购人）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2.6乙方（供应商）：合同中规定的向采购方提供货物和服务的法人或其他组织和自然人（中标人）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2.7货物：系指乙方按招标采购文件规定，应向甲方提供的一切设备、备品、备件、工具、手册及其它有关技术资料和材料。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2.9知识产权：指专利权、商标权、著作权等无形财产专有权的统称。</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2.11交货地点：合同中明确约定的乙方提交的货物和服务最终到达地点。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合同价款：根据合同规定，乙方在正确地履行合同义务后甲方应支付乙方的价款。</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产地：货物开采、生长、生产、最终制造、加工或提供服务的来源地。</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2.14不可抗力：不能预见、不能避免并且不能克服的客观情况。</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 实质性响应：满足有关本次采购标的、数量、质量、价款或者报酬、履行期限、履行地点和方式、违约责任和解决争议方法等要求。</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2.17进口产品：指通过中国海关报关验收进入中国境内且产自境外的产品。</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2.18书面形式：指书面文字、合同书、信件和传真等可以有形地表现所载内容的形式。</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 投标人</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 合格投标人的基本条件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3.1符合《中华人民共和国政府采购法》第二十二条第一款之规定；</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3.2满足本文件实质性条款的规定。</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4．合格投标人的特定条件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按招标公告规定。</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 投标人代表</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5.1指全权代表投标人参加投标活动并签署投标文件的人，如果投标人代表不是法人代表，须持有《法人代表授权委托书》（详见统一格式）。</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联合投标</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6.1按招标公告规定。</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 投标费用 </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本次招标项目不收取标书费，但收取中标服务费，请投标人在投标时充分考虑这一因素。</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 招标文件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 招标文件的澄清</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9.1投标人在获取招标文件后，若有疑问，应于网上投标截止时间之前，向采购代理机构提出，采购代理机构将予以解答。</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9.2如有必要，问题答复将以“变更公告”形式由采购代理机构按照本须知第10条的规定发出。</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10.招标文件的修改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10.1采购人无论出于自己的考虑，还是出于对投标人提问的澄清，均可对已发出的招标文件用</w:t>
      </w:r>
      <w:r>
        <w:rPr>
          <w:rFonts w:hint="eastAsia" w:ascii="仿宋" w:hAnsi="仿宋" w:eastAsia="仿宋" w:cs="仿宋"/>
          <w:color w:val="auto"/>
          <w:sz w:val="24"/>
          <w:szCs w:val="24"/>
          <w:highlight w:val="none"/>
          <w:lang w:val="zh-CN"/>
        </w:rPr>
        <w:t xml:space="preserve">补充文件的方式</w:t>
      </w:r>
      <w:r>
        <w:rPr>
          <w:rFonts w:hint="eastAsia" w:ascii="仿宋" w:hAnsi="仿宋" w:eastAsia="仿宋" w:cs="仿宋"/>
          <w:color w:val="auto"/>
          <w:sz w:val="24"/>
          <w:szCs w:val="24"/>
          <w:highlight w:val="none"/>
        </w:rPr>
        <w:t xml:space="preserve">进行必要澄清或者修改。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10.3招标文件的更正（含澄清、修改等）内容与原招标文件在同一内容上表述不一致时，以发出日期最接近开标时间的公告为准。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10.5招标文件若有最新的答疑文件，投标供应商必须下载并使用该文件制作新的电子投标文件，否则将无法完成电子投标文件的上传及投标。</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11.质疑</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11.3上述应知其权益受到损害之日是指：</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11.3.1对采购文件提出质疑的，为获取采购文件或者采购文件公告期限届满之日起计算；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11.3.2对采购过程提出质疑的，自采购程序环节结束之日起计算；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11.3.3对中标结果提出质疑的，自中标结果公告期限届满之日起计算。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供应商提出质疑应当提交质疑函和必要的证明材料。质疑函应当包括下列内容：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 供应商的姓名或者名称、地址、邮编、联系人及联系电话；</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 质疑项目的名称、编号；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 具体、明确的质疑事项和与质疑事项相关的请求；</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 事实依据；</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必要的法律依据；</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 提出质疑的日期。</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color w:val="auto"/>
          <w:sz w:val="24"/>
          <w:szCs w:val="24"/>
          <w:highlight w:val="none"/>
        </w:rPr>
        <w:t xml:space="preserve">要求，质疑函范本在财政部官网上提供下载。</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 提交质疑函同时应当附如下证明材料：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11.6.1对采购文件提出质疑的供应商提供参加本项目的“交易文件下载确认单”；</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11.6.2质疑供应商的营业执照复印件加盖单位公章；</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11.6.3质疑供应商法定代表人身份证复印件加盖单位公章；</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11.9 供应商如对本项目提出质疑须在法定质疑期内一次性提出针对同一采购程序环节的质疑。</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11.10接受质疑函联系方式见采购公告联系事项。</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 投标文件说明</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12、提示与要求</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12.2无论是否递交投标文件，投标人都应将招标文件及以后的所有通知、文件等视为保密文件。</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 投标文件计量单位和使用文字</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13.1投标文件中所使用的计量单位，除招标文件中有特殊要求外，均应使用中华人民共和国法定计量单位。</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 知识产权</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 投标文件的组成和顺序</w:t>
      </w:r>
      <w:r/>
    </w:p>
    <w:p>
      <w:pPr>
        <w:ind w:firstLine="12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15.1报价部分（详见投标文件格式）：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15.1.1封面；</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15.1.2《开标一览表》(统一格式)；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15.1.3投标报价明细表</w:t>
      </w:r>
      <w:r>
        <w:rPr>
          <w:rFonts w:hint="eastAsia" w:ascii="仿宋" w:hAnsi="仿宋" w:eastAsia="仿宋" w:cs="仿宋"/>
          <w:color w:val="auto"/>
          <w:sz w:val="24"/>
          <w:szCs w:val="24"/>
          <w:highlight w:val="none"/>
          <w:lang w:eastAsia="zh-CN"/>
        </w:rPr>
        <w:t xml:space="preserve">。</w:t>
      </w:r>
      <w:r/>
    </w:p>
    <w:p>
      <w:pPr>
        <w:ind w:firstLine="12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15.2资质证明和技术部分</w:t>
      </w:r>
      <w:r/>
    </w:p>
    <w:p>
      <w:pPr>
        <w:ind w:firstLine="361"/>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15.2.1资质证明文件部分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15.2.1.1投标函（详见投标文件格式）；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15.2.1.2关于资格文件的声明函（详见投标文件格式）；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15.2.1.3投标单位营业执照副本或三证合一营业执照复印件；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15.2.1.4投标人参加本次政府采购活动前的财务状况报告或者银行出具的资信证明；</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15.2.1.5投标人根据项目需求提供履行合同所必需的设备和专业技术能力的证明材料；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15.2.1.6投标人参加本次政府采购活动前半年（至少一个月）依法缴纳税收和社会保障资金的证明材料；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15.2.1.7投标人参加政府采购活动前三年在经营活动中没有重大违法记录的书面申明（详见投标文件格式）；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15.2.1.8投标人证明其符合招标文件规定的投标人特定资格条件的证书、证明和文件材料；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15.2.1.9投标人基本情况表（详见投标文件格式）；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15.2.1.10投标人法定代表人身份证复印件；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15.2.1.11投标人法定代表人授权委托书原件（如有授权）（详见投标文件格式）；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15.2.1.12投标人授权代理人身份证复印件（如有授权）；</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15.2.1.13中小企业声明函；</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15.2.1.14残疾人福利性单位声明函（如有）；</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15.2.1.15其他可以证明投标人资信、资质和货物、服务质量的证书、文件、推荐信等资料；（如有）</w:t>
      </w:r>
      <w:r/>
    </w:p>
    <w:p>
      <w:pPr>
        <w:ind w:firstLine="361"/>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15.2.2技术部分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15.2.2.1技术（服务）要求偏离表（详见投标文件格式）；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15.2.2.2商务要求偏离表（详见投标文件格式）；</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15.2.2.3项目的技术及服务方案；</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15.2.2.4类似项目业绩一览表及相关证明材料；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15.2.2.5投入本项目技术（服务）人员一览表及相关证明材料；</w:t>
      </w:r>
      <w:r/>
    </w:p>
    <w:p>
      <w:pPr>
        <w:ind w:firstLine="36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15.2.2.6投入本项目</w:t>
      </w:r>
      <w:r>
        <w:rPr>
          <w:rFonts w:hint="eastAsia" w:ascii="仿宋" w:hAnsi="仿宋" w:eastAsia="仿宋" w:cs="仿宋"/>
          <w:color w:val="auto"/>
          <w:sz w:val="24"/>
          <w:szCs w:val="24"/>
          <w:highlight w:val="none"/>
          <w:lang w:val="en-US" w:eastAsia="zh-CN"/>
        </w:rPr>
        <w:t xml:space="preserve">车辆设备一览表及相关证明材料；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招标文件及评分标准中要求提供的其他相关材料；</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15.2.2.7其他需投标人对本次投标的详细说明（投标人视各自的情况自行编制）.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keepLines w:val="0"/>
        <w:keepNext w:val="0"/>
        <w:pageBreakBefore w:val="0"/>
        <w:spacing w:line="360" w:lineRule="auto"/>
        <w:widowControl w:val="off"/>
        <w:rPr>
          <w:rFonts w:hint="eastAsia" w:ascii="仿宋" w:hAnsi="仿宋" w:eastAsia="仿宋" w:cs="仿宋"/>
          <w:dstrike/>
          <w:color w:val="auto"/>
          <w:sz w:val="24"/>
          <w:szCs w:val="24"/>
          <w:highlight w:val="none"/>
        </w:rPr>
      </w:pPr>
      <w:r>
        <w:rPr>
          <w:rFonts w:hint="eastAsia" w:ascii="仿宋" w:hAnsi="仿宋" w:eastAsia="仿宋" w:cs="仿宋"/>
          <w:b/>
          <w:color w:val="auto"/>
          <w:sz w:val="24"/>
          <w:szCs w:val="24"/>
          <w:highlight w:val="none"/>
        </w:rPr>
        <w:t xml:space="preserve">15.3投标文件由15.1、15.2款规定的内容共同组成。</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 投标文件编制要求   </w:t>
      </w:r>
      <w:r/>
    </w:p>
    <w:p>
      <w:pPr>
        <w:ind w:firstLine="424"/>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
          <w:color w:val="auto"/>
          <w:sz w:val="24"/>
          <w:highlight w:val="none"/>
        </w:rPr>
        <w:t xml:space="preserve">电子投标文件编制要求：</w:t>
      </w:r>
      <w:r>
        <w:rPr>
          <w:rFonts w:hint="eastAsia" w:ascii="仿宋" w:hAnsi="仿宋" w:eastAsia="仿宋" w:cs="仿宋"/>
          <w:color w:val="auto"/>
          <w:sz w:val="24"/>
          <w:highlight w:val="none"/>
        </w:rPr>
        <w:t xml:space="preserve">投标人应使用</w:t>
      </w:r>
      <w:r>
        <w:rPr>
          <w:rFonts w:hint="eastAsia" w:ascii="仿宋" w:hAnsi="仿宋" w:eastAsia="仿宋" w:cs="仿宋"/>
          <w:b/>
          <w:color w:val="auto"/>
          <w:sz w:val="24"/>
          <w:highlight w:val="none"/>
        </w:rPr>
        <w:t xml:space="preserve">招标文件要求的投标文件制作软件制作电子投标文件</w:t>
      </w:r>
      <w:r>
        <w:rPr>
          <w:rFonts w:hint="eastAsia" w:ascii="仿宋" w:hAnsi="仿宋" w:eastAsia="仿宋" w:cs="仿宋"/>
          <w:color w:val="auto"/>
          <w:sz w:val="24"/>
          <w:highlight w:val="none"/>
        </w:rPr>
        <w:t xml:space="preserve">，电子投标文件按招标文件规定的格式制作，如果未按要求制作上传，可能导致投标无效。</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投标报价（编制）要求的说明</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一项投标内容只允许一个报价，采购代理机构不接受任何有选择性的投标报价。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17.4投标文件报价中的单价和总价全部采用人民币表示，除非合同的特殊条款另有规定。</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17.5最低的投标报价或最高的折扣比例是中标的重要条件，但不是中标的唯一条件。</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 投标保证金</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 投标文件的有效期</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19.1在本招标文件规定的开标之日起六十（60）天内，投标人所提交的投标文件应保持有效。</w:t>
      </w:r>
      <w:r>
        <w:rPr>
          <w:rFonts w:hint="eastAsia" w:ascii="仿宋" w:hAnsi="仿宋" w:eastAsia="仿宋" w:cs="仿宋"/>
          <w:b/>
          <w:color w:val="auto"/>
          <w:sz w:val="24"/>
          <w:szCs w:val="24"/>
          <w:highlight w:val="none"/>
        </w:rPr>
        <w:t xml:space="preserve">有效期短于这个规定期限的投标文件，将被认定为未实质性响应招标文件要求。</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 投标文件的提交、撤回和修改</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20. 投标文件的上传、提交</w:t>
      </w:r>
      <w:r/>
    </w:p>
    <w:p>
      <w:pPr>
        <w:keepLines w:val="0"/>
        <w:keepNext w:val="0"/>
        <w:pageBreakBefore w:val="0"/>
        <w:spacing w:line="360" w:lineRule="auto"/>
        <w:widowControl w:val="off"/>
        <w:tabs>
          <w:tab w:val="left" w:pos="426"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b/>
          <w:color w:val="auto"/>
          <w:sz w:val="24"/>
          <w:szCs w:val="24"/>
          <w:highlight w:val="none"/>
        </w:rPr>
        <w:t xml:space="preserve">1投标人应将制作好的加密电子投标文件按要求在投标截止时间前上传到交易系统平台中。</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 投标截止时间</w:t>
      </w:r>
      <w:r/>
    </w:p>
    <w:p>
      <w:pPr>
        <w:keepLines w:val="0"/>
        <w:keepNext w:val="0"/>
        <w:pageBreakBefore w:val="0"/>
        <w:spacing w:line="360" w:lineRule="auto"/>
        <w:widowControl w:val="off"/>
        <w:tabs>
          <w:tab w:val="left" w:pos="284"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21.1</w:t>
      </w:r>
      <w:r>
        <w:rPr>
          <w:rFonts w:hint="eastAsia" w:ascii="仿宋" w:hAnsi="仿宋" w:eastAsia="仿宋" w:cs="仿宋"/>
          <w:b/>
          <w:color w:val="auto"/>
          <w:sz w:val="24"/>
          <w:szCs w:val="24"/>
          <w:highlight w:val="none"/>
        </w:rPr>
        <w:t xml:space="preserve">电子投标文件必须按招标公告中规定的网上投标截止时间前提交</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否则投标无效</w:t>
      </w:r>
      <w:r>
        <w:rPr>
          <w:rFonts w:hint="eastAsia" w:ascii="仿宋" w:hAnsi="仿宋" w:eastAsia="仿宋" w:cs="仿宋"/>
          <w:color w:val="auto"/>
          <w:sz w:val="24"/>
          <w:szCs w:val="24"/>
          <w:highlight w:val="none"/>
        </w:rPr>
        <w:t xml:space="preserve">。</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21.3在投标截止时间止，采购代理机构于本项目（或标段）收到的电子投标文件少于三份的，采购代理机构有权宣布本项目（或标段）招标失败。</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 投标文件的修改和撤回</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22.1投标人在提交投标文件截止时间前，可对其投标文件进行撤回或修改。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23.2开标后投标人不得撤回投标。</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 开标</w:t>
      </w:r>
      <w:r/>
    </w:p>
    <w:p>
      <w:pPr>
        <w:ind w:firstLine="360"/>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23.1采购代理机构按采购公告规定的时间、地点主持不见面开标活动。开标仪式由采购代理机构、采购人等主持。</w:t>
      </w:r>
      <w:r/>
    </w:p>
    <w:p>
      <w:pPr>
        <w:ind w:firstLine="360"/>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23.2</w:t>
      </w:r>
      <w:r>
        <w:rPr>
          <w:rFonts w:hint="eastAsia" w:ascii="仿宋" w:hAnsi="仿宋" w:eastAsia="仿宋" w:cs="仿宋"/>
          <w:b/>
          <w:color w:val="auto"/>
          <w:sz w:val="24"/>
          <w:highlight w:val="none"/>
        </w:rPr>
        <w:t xml:space="preserve">参加开标的投标法定代表人或授权代理人须在项目开标前登录苏采云不见面开标系统，进入网上不见面开标大厅，做好相关准备工作。</w:t>
      </w:r>
      <w:r/>
    </w:p>
    <w:p>
      <w:pPr>
        <w:ind w:firstLine="363"/>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23.3</w:t>
      </w:r>
      <w:r>
        <w:rPr>
          <w:rFonts w:hint="eastAsia" w:ascii="仿宋" w:hAnsi="仿宋" w:eastAsia="仿宋" w:cs="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23.4采购代理机构在开标仪式上，将公布投标人的名称、投标价格，并将作唱标记录。</w:t>
      </w:r>
      <w:r/>
    </w:p>
    <w:p>
      <w:pPr>
        <w:ind w:firstLine="3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color w:val="auto"/>
          <w:sz w:val="24"/>
          <w:highlight w:val="none"/>
        </w:rPr>
        <w:t xml:space="preserve">应通过不见面开标大厅提出</w:t>
      </w:r>
      <w:r>
        <w:rPr>
          <w:rFonts w:hint="eastAsia" w:ascii="仿宋" w:hAnsi="仿宋" w:eastAsia="仿宋" w:cs="仿宋"/>
          <w:color w:val="auto"/>
          <w:sz w:val="24"/>
          <w:highlight w:val="none"/>
        </w:rPr>
        <w:t xml:space="preserve">询问或者回避申请。采购人、采购代理机构对投标人代表提出的询问或者回避申请应当及时处理。</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 评标委员会</w:t>
      </w:r>
      <w:r>
        <w:rPr>
          <w:rFonts w:hint="eastAsia" w:ascii="仿宋" w:hAnsi="仿宋" w:eastAsia="仿宋" w:cs="仿宋"/>
          <w:b/>
          <w:color w:val="auto"/>
          <w:sz w:val="24"/>
          <w:szCs w:val="24"/>
          <w:highlight w:val="none"/>
        </w:rPr>
        <w:tab/>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24.1评标委员会由采购人或委托采购代理机构依法组建，负责本项目的评标事务。</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24.2评标委员会独立履行下列职责：</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24.2.1审查投标文件是否符合招标文件的要求，并作出评价；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24.2.2可以要求投标供应商对投标文件有关事项作出解释或澄清；</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24.2.3推荐中标候选供应商名单，或者受采购人委托按照事先确定的办法直接确定中标供应商；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24.2.4向采购代理机构或者有关部门报告非法干预评标工作的行为；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24.3评标委员会成员应当履行下列义务：</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24.3.1遵纪守法，客观、公正、廉洁地履行职责；</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24.3.2按照招标文件规定的评标办法和评标标准进行评标，对评审意见承担个人责任；</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24.3.3对评标过程和结果，以及投标人的商业秘密保密；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24.3.4参与评标报告的起草；</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24.3.5配合采购代理机构答复投标供应商提出的质疑；</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24.3.6配合相关部门的投诉处理工作；</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 评标内容的保密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25.3在评标期间，采购代理机构将通过指定联络人与投标人进行联系。</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26.对投标文件初审</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26.1投标文件初审分为资格性检查和符合性检查。</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 </w:t>
      </w:r>
      <w:r>
        <w:rPr>
          <w:rFonts w:hint="eastAsia" w:ascii="仿宋" w:hAnsi="仿宋" w:eastAsia="仿宋" w:cs="仿宋"/>
          <w:color w:val="auto"/>
          <w:sz w:val="24"/>
          <w:szCs w:val="24"/>
          <w:highlight w:val="none"/>
          <w:lang w:val="zh-CN"/>
        </w:rPr>
        <w:t xml:space="preserve">关于信用记录查询：</w:t>
      </w:r>
      <w:r/>
    </w:p>
    <w:p>
      <w:pPr>
        <w:ind w:firstLine="505"/>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26.1.2.1</w:t>
      </w:r>
      <w:r>
        <w:rPr>
          <w:rFonts w:hint="eastAsia" w:ascii="仿宋" w:hAnsi="仿宋" w:eastAsia="仿宋" w:cs="仿宋"/>
          <w:color w:val="auto"/>
          <w:sz w:val="24"/>
          <w:szCs w:val="24"/>
          <w:highlight w:val="none"/>
          <w:lang w:val="zh-CN"/>
        </w:rPr>
        <w:t xml:space="preserve">查询时间：</w:t>
      </w:r>
      <w:r>
        <w:rPr>
          <w:rFonts w:hint="eastAsia" w:ascii="仿宋" w:hAnsi="仿宋" w:eastAsia="仿宋" w:cs="仿宋"/>
          <w:color w:val="auto"/>
          <w:sz w:val="24"/>
          <w:highlight w:val="none"/>
        </w:rPr>
        <w:t xml:space="preserve">评标开始前</w:t>
      </w:r>
      <w:r>
        <w:rPr>
          <w:rFonts w:hint="eastAsia" w:ascii="仿宋" w:hAnsi="仿宋" w:eastAsia="仿宋" w:cs="仿宋"/>
          <w:color w:val="auto"/>
          <w:sz w:val="24"/>
          <w:szCs w:val="24"/>
          <w:highlight w:val="none"/>
          <w:lang w:val="zh-CN"/>
        </w:rPr>
        <w:t xml:space="preserve">。</w:t>
      </w:r>
      <w:r/>
    </w:p>
    <w:p>
      <w:pPr>
        <w:ind w:firstLine="360"/>
        <w:keepLines w:val="0"/>
        <w:keepNext w:val="0"/>
        <w:pageBreakBefore w:val="0"/>
        <w:spacing w:line="439" w:lineRule="atLeast"/>
        <w:widowControl w:val="off"/>
        <w:rPr>
          <w:rFonts w:hint="eastAsia" w:ascii="仿宋" w:hAnsi="仿宋" w:eastAsia="仿宋" w:cs="仿宋"/>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26.1.2.2</w:t>
      </w:r>
      <w:r>
        <w:rPr>
          <w:rFonts w:hint="eastAsia" w:ascii="仿宋" w:hAnsi="仿宋" w:eastAsia="仿宋" w:cs="仿宋"/>
          <w:color w:val="auto"/>
          <w:sz w:val="24"/>
          <w:szCs w:val="24"/>
          <w:highlight w:val="none"/>
          <w:lang w:val="zh-CN"/>
        </w:rPr>
        <w:t xml:space="preserve">查询渠道：</w:t>
      </w:r>
      <w:r>
        <w:rPr>
          <w:rFonts w:hint="eastAsia" w:ascii="仿宋" w:hAnsi="仿宋" w:eastAsia="仿宋" w:cs="仿宋"/>
          <w:color w:val="auto"/>
          <w:sz w:val="24"/>
          <w:highlight w:val="none"/>
        </w:rPr>
        <w:t xml:space="preserve">通过“信用中国”网站、中国政府采购网等渠道查询相关主体信用记录。</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26.1.2.3</w:t>
      </w:r>
      <w:r>
        <w:rPr>
          <w:rFonts w:hint="eastAsia" w:ascii="仿宋" w:hAnsi="仿宋" w:eastAsia="仿宋" w:cs="仿宋"/>
          <w:color w:val="auto"/>
          <w:sz w:val="24"/>
          <w:szCs w:val="24"/>
          <w:highlight w:val="none"/>
          <w:lang w:val="zh-CN"/>
        </w:rPr>
        <w:t xml:space="preserve">查询证据留存方式：采购代理机构工作人员应根据失信信息，</w:t>
      </w:r>
      <w:r>
        <w:rPr>
          <w:rFonts w:hint="eastAsia" w:ascii="仿宋" w:hAnsi="仿宋" w:eastAsia="仿宋" w:cs="仿宋"/>
          <w:color w:val="auto"/>
          <w:sz w:val="24"/>
          <w:szCs w:val="24"/>
          <w:highlight w:val="none"/>
        </w:rPr>
        <w:t xml:space="preserve">登录</w:t>
      </w:r>
      <w:r>
        <w:rPr>
          <w:rFonts w:hint="eastAsia" w:ascii="仿宋" w:hAnsi="仿宋" w:eastAsia="仿宋" w:cs="仿宋"/>
          <w:color w:val="auto"/>
          <w:sz w:val="24"/>
          <w:szCs w:val="24"/>
          <w:highlight w:val="none"/>
          <w:lang w:val="zh-CN"/>
        </w:rPr>
        <w:t xml:space="preserve">到来源网站页面进行复核并打印，作为证据留存。</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26.1.2.4</w:t>
      </w:r>
      <w:r>
        <w:rPr>
          <w:rFonts w:hint="eastAsia" w:ascii="仿宋" w:hAnsi="仿宋" w:eastAsia="仿宋" w:cs="仿宋"/>
          <w:color w:val="auto"/>
          <w:sz w:val="24"/>
          <w:szCs w:val="24"/>
          <w:highlight w:val="none"/>
          <w:lang w:val="zh-CN"/>
        </w:rPr>
        <w:t xml:space="preserve">信用记录使用规则：评审小组在对供应商进行资格性审查时，应根据查询结果对供应商的不良信用记录逐项甄别确认。</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26.2.1 不同投标人的投标文件由同一单位或者个人编制；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26.2.2不同投</w:t>
      </w:r>
      <w:r>
        <w:rPr>
          <w:rFonts w:hint="eastAsia" w:ascii="仿宋" w:hAnsi="仿宋" w:eastAsia="仿宋" w:cs="仿宋"/>
          <w:color w:val="auto"/>
          <w:sz w:val="24"/>
          <w:szCs w:val="24"/>
          <w:highlight w:val="none"/>
        </w:rPr>
        <w:t xml:space="preserve">标人委托同一单位或者个人办理投标事宜；</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26.2.3不同投标人的投标文件载明的项目管理成员或者联系人员为同一人；</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26.2.4不同投标人的投标文件异常一致或者投标报价呈规律性差异；</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26.2.5不同投标人的投标文件相互混装；</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26.3在详细评标之前，</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将对确定为实质性响应的投标进行审核，看其是否有计算上或累加上的算术错误，修正错误的原则如下：</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26.6.1投标文件中开标一览表（报价表）内容与投标文件中相应内容不一致的，以开标一览表（报价表）为准；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26.6.2大写金额和小写金额不一致的，以大写金额为准；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26.6.3单价金额小数点或者百分比有明显错位的，以开标一览表的总价为准，并修改单价；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26.6.4总价金额与按单价汇总金额不一致的，以单价金额计算结果为准。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zh-CN"/>
        </w:rPr>
        <w:t xml:space="preserve">26.7</w:t>
      </w:r>
      <w:r>
        <w:rPr>
          <w:rFonts w:ascii="仿宋" w:hAnsi="仿宋" w:eastAsia="仿宋" w:cs="仿宋"/>
          <w:b/>
          <w:bCs/>
          <w:color w:val="auto"/>
          <w:sz w:val="24"/>
          <w:szCs w:val="24"/>
          <w:highlight w:val="none"/>
          <w:lang w:val="zh-CN"/>
        </w:rPr>
        <w:t xml:space="preserve">根据苏财购〔2025〕62号文件规定，评审中出现下列情形之一的，评审委员会应当启动异常低价投标（响应）审查程序：</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1</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投标（响应）报价低于采购项目预算50%的，即投标（响应）报价&lt;采购项目预算×50%；</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2</w:t>
      </w:r>
      <w:r>
        <w:rPr>
          <w:rFonts w:hint="eastAsia" w:ascii="仿宋" w:hAnsi="仿宋" w:eastAsia="仿宋" w:cs="仿宋"/>
          <w:b/>
          <w:bCs/>
          <w:color w:val="auto"/>
          <w:sz w:val="24"/>
          <w:szCs w:val="24"/>
          <w:highlight w:val="none"/>
        </w:rPr>
        <w:t xml:space="preserve">)投标（响应）报价低于采购项目最高限价45%的，即投标（响应）报价&lt;采购项目最高限价×45%</w:t>
      </w:r>
      <w:r>
        <w:rPr>
          <w:rFonts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3</w:t>
      </w:r>
      <w:r>
        <w:rPr>
          <w:rFonts w:hint="eastAsia" w:ascii="仿宋" w:hAnsi="仿宋" w:eastAsia="仿宋" w:cs="仿宋"/>
          <w:b/>
          <w:bCs/>
          <w:color w:val="auto"/>
          <w:sz w:val="24"/>
          <w:szCs w:val="24"/>
          <w:highlight w:val="none"/>
        </w:rPr>
        <w:t xml:space="preserve">)评审委员会认定的供应商报价过低、有可能影响产品质量或者不能诚信履约的其他情形。</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lang w:val="zh-CN"/>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26.8</w:t>
      </w:r>
      <w:r>
        <w:rPr>
          <w:rFonts w:hint="eastAsia" w:ascii="仿宋" w:hAnsi="仿宋" w:eastAsia="仿宋" w:cs="仿宋"/>
          <w:color w:val="auto"/>
          <w:sz w:val="24"/>
          <w:szCs w:val="24"/>
          <w:highlight w:val="none"/>
        </w:rPr>
        <w:t xml:space="preserve">对不同文字文本投标文件的解释发生异议的，以中文文本为准。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26.9</w:t>
      </w:r>
      <w:r>
        <w:rPr>
          <w:rFonts w:hint="eastAsia" w:ascii="仿宋" w:hAnsi="仿宋" w:eastAsia="仿宋" w:cs="仿宋"/>
          <w:color w:val="auto"/>
          <w:sz w:val="24"/>
          <w:szCs w:val="24"/>
          <w:highlight w:val="none"/>
          <w:lang w:val="zh-CN"/>
        </w:rPr>
        <w:t xml:space="preserve">评标委员会</w:t>
      </w:r>
      <w:r>
        <w:rPr>
          <w:rFonts w:hint="eastAsia" w:ascii="仿宋" w:hAnsi="仿宋" w:eastAsia="仿宋" w:cs="仿宋"/>
          <w:color w:val="auto"/>
          <w:sz w:val="24"/>
          <w:szCs w:val="24"/>
          <w:highlight w:val="none"/>
        </w:rPr>
        <w:t xml:space="preserve">对投标文件的判定，只依据投标内容本身，不依靠开标后的任何外来证明。</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26.10</w:t>
      </w:r>
      <w:r>
        <w:rPr>
          <w:rFonts w:hint="eastAsia" w:ascii="仿宋" w:hAnsi="仿宋" w:eastAsia="仿宋" w:cs="仿宋"/>
          <w:color w:val="auto"/>
          <w:sz w:val="24"/>
          <w:szCs w:val="24"/>
          <w:highlight w:val="none"/>
          <w:lang w:val="zh-CN"/>
        </w:rPr>
        <w:t xml:space="preserve">评标委员会</w:t>
      </w:r>
      <w:r>
        <w:rPr>
          <w:rFonts w:hint="eastAsia" w:ascii="仿宋" w:hAnsi="仿宋" w:eastAsia="仿宋" w:cs="仿宋"/>
          <w:color w:val="auto"/>
          <w:sz w:val="24"/>
          <w:szCs w:val="24"/>
          <w:highlight w:val="none"/>
        </w:rPr>
        <w:t xml:space="preserve">将拒绝被确定为非实质性响应的投标，投标人不能通过修正或撤销不符之处而使其投标成为实质性响应的投标。</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27.投标的澄清</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28.无效投标和废标</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28.1无效投标的具体情形有：  </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28.1.1投标文件未按招标文件要求签署、盖章或电子签章的；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28.1.2不具备招标文件中规定的资格要求的；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28.1.3报价超过招标文件中规定的预算金额或者最高限价的；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28.1.4</w:t>
      </w:r>
      <w:r>
        <w:rPr>
          <w:rFonts w:hint="eastAsia" w:ascii="仿宋" w:hAnsi="仿宋" w:eastAsia="仿宋" w:cs="仿宋"/>
          <w:b/>
          <w:bCs/>
          <w:color w:val="auto"/>
          <w:sz w:val="24"/>
          <w:szCs w:val="24"/>
          <w:highlight w:val="none"/>
        </w:rPr>
        <w:t xml:space="preserve">不同投标人的投标文件使用同一台电脑编制的</w:t>
      </w:r>
      <w:r>
        <w:rPr>
          <w:rFonts w:hint="eastAsia" w:ascii="仿宋" w:hAnsi="仿宋" w:eastAsia="仿宋" w:cs="仿宋"/>
          <w:color w:val="auto"/>
          <w:sz w:val="24"/>
          <w:szCs w:val="24"/>
          <w:highlight w:val="none"/>
        </w:rPr>
        <w:t xml:space="preserve">；</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28.1.5投标文件含有采购人不能接受的附加条件的；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28.1.6法律、法规和招标文件规定的其他无效情形。</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 在招标采购中，出现下列情形之一的，应予废标：</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28.2.1符合专业条件的供应商或者对招标文件作实质响应的供应商不足三家的；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28.2.2出现影响采购公正的违法、违规行为的；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28.2.3投标人的报价均超过了采购预算，采购人不能支付的；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28.2.4因重大变故，采购任务取消的。</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 废标后，采购人应当将废标理由通知所有投标人。</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 投标文件的评价和比较</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29.2.1服务的质量保证（保障）内容；</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29.2.2服务配备的人员；</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29.2.3投标者的资信情况和履约能力；</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29.2.4投标者提供的其他优惠条件；</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29.2.5参与本项目政府采购工作的态度及信誉；</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29.2.6最低的投标报价或最高的折扣比例是中标的重要条件，但不是唯一条件。</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 中标供应商的确认          </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30.2经评标委员会评审并确定中标供应商后，采购人或授权采购代理机构将在规定的时间内将中标结果在相关媒体上予以公告。</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30.4质疑函递交地点及联系方式详见公告内容</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 合同授予标准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中标通知书</w:t>
      </w:r>
      <w:r/>
    </w:p>
    <w:p>
      <w:pPr>
        <w:ind w:firstLine="360"/>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360"/>
        <w:keepLines w:val="0"/>
        <w:keepNext w:val="0"/>
        <w:pageBreakBefore w:val="0"/>
        <w:spacing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32.3中标通知书将成为合同的组成部分。</w:t>
      </w:r>
      <w:r/>
    </w:p>
    <w:p>
      <w:pPr>
        <w:ind w:firstLine="360"/>
        <w:keepLines w:val="0"/>
        <w:keepNext w:val="0"/>
        <w:pageBreakBefore w:val="0"/>
        <w:spacing w:line="360" w:lineRule="auto"/>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32.4采购代理机构对未中标供应商不承担解释未中标原因的义务。</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33.履约保证金</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33.1中标供应商按合同约定要求提交履约保证金。</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33.2履约保证金用以约束供应商在合同履行中的行为，弥补合同执行中由于自身行为可能给采购人带来的各种损失。</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33.3履约保证金（无息）将在中标供应商合同履行完毕且质保期满后，采购人在五个工作日内退返中标供应商。</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 合同的签订</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03"/>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34.2中标供应商应按中标通知书中规定，由法定代表人或授权代理人与采购人代表签订合同，否则按放弃中标权处理。</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34.3签订合同及合同条款应以招标文件和中标供应商的投标文件及其澄清文件为依据。</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467507037"/>
      <w:r/>
      <w:bookmarkStart w:id="16" w:name="_Toc315868058"/>
      <w:r/>
      <w:bookmarkStart w:id="17" w:name="_Toc158691774"/>
      <w:r/>
      <w:bookmarkStart w:id="18" w:name="_Toc315875321"/>
      <w:r>
        <w:rPr>
          <w:rFonts w:hint="eastAsia" w:ascii="仿宋" w:hAnsi="仿宋" w:eastAsia="仿宋" w:cs="仿宋"/>
          <w:b/>
          <w:color w:val="auto"/>
          <w:sz w:val="24"/>
          <w:highlight w:val="none"/>
        </w:rPr>
        <w:t xml:space="preserve">八、政府采购相关政策</w:t>
      </w:r>
      <w:r/>
    </w:p>
    <w:p>
      <w:pPr>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35.节能产品和环境标志产品</w:t>
      </w:r>
      <w:r/>
    </w:p>
    <w:p>
      <w:pPr>
        <w:ind w:firstLine="360"/>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auto"/>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keepLines w:val="0"/>
        <w:keepNext w:val="0"/>
        <w:pageBreakBefore w:val="0"/>
        <w:spacing w:line="43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36.中小企业相关政策：</w:t>
      </w:r>
      <w:r/>
    </w:p>
    <w:p>
      <w:pPr>
        <w:ind w:firstLine="482"/>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36.1本项目专门面向中小企业采购，执行以下相关政策：</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color w:val="auto"/>
          <w:sz w:val="24"/>
          <w:highlight w:val="none"/>
        </w:rPr>
        <w:t xml:space="preserve">否则视为投标无效。</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36.1.1中小企业划分：</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（1）符合中小企业划分标准的个体工商户，在政府采购活动中视同中小企业。</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（2）中小企业划分标准详见“工信部联企业〔2011〕300号通知”</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36.1.2残疾人福利性单位政策：</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keepLines w:val="0"/>
        <w:keepNext w:val="0"/>
        <w:pageBreakBefore w:val="0"/>
        <w:spacing w:line="499" w:lineRule="atLeast"/>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36.1.3监狱企业发展政策：</w:t>
      </w:r>
      <w:r/>
    </w:p>
    <w:p>
      <w:pPr>
        <w:ind w:firstLine="480"/>
        <w:keepLines w:val="0"/>
        <w:keepNext w:val="0"/>
        <w:pageBreakBefore w:val="0"/>
        <w:spacing w:line="499" w:lineRule="atLeas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keepLines w:val="0"/>
        <w:keepNext w:val="0"/>
        <w:pageBreakBefore w:val="0"/>
        <w:spacing w:line="499" w:lineRule="atLeas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36.1.4中标、成交供应商享受规定的中小企业扶持政策的，其声明函及相关证明材料应当随中标、成交结果同时公告，接受社会监督。</w:t>
      </w:r>
      <w:r/>
    </w:p>
    <w:p>
      <w:pPr>
        <w:ind w:firstLine="480"/>
        <w:keepLines w:val="0"/>
        <w:keepNext w:val="0"/>
        <w:pageBreakBefore w:val="0"/>
        <w:spacing w:line="499" w:lineRule="atLeast"/>
        <w:widowControl w:val="off"/>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36.1.5</w:t>
      </w:r>
      <w:r>
        <w:rPr>
          <w:rFonts w:hint="eastAsia" w:ascii="仿宋" w:hAnsi="仿宋" w:eastAsia="仿宋" w:cs="仿宋"/>
          <w:b/>
          <w:bCs/>
          <w:color w:val="auto"/>
          <w:sz w:val="24"/>
          <w:highlight w:val="none"/>
        </w:rPr>
        <w:t xml:space="preserve">专门面向中小企业采购的项目，不再执行价格评审优惠的扶持政策。</w:t>
      </w:r>
      <w:r/>
    </w:p>
    <w:p>
      <w:pPr>
        <w:keepLines w:val="0"/>
        <w:keepNext w:val="0"/>
        <w:pageBreakBefore w:val="0"/>
        <w:spacing w:line="499" w:lineRule="atLeast"/>
        <w:widowControl w:val="off"/>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九、其他事项</w:t>
      </w:r>
      <w:r/>
    </w:p>
    <w:p>
      <w:pPr>
        <w:keepLines w:val="0"/>
        <w:keepNext w:val="0"/>
        <w:pageBreakBefore w:val="0"/>
        <w:spacing w:line="499" w:lineRule="atLeast"/>
        <w:widowControl w:val="off"/>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37. 监督和公证</w:t>
      </w:r>
      <w:r/>
    </w:p>
    <w:p>
      <w:pPr>
        <w:ind w:firstLine="480"/>
        <w:keepLines w:val="0"/>
        <w:keepNext w:val="0"/>
        <w:pageBreakBefore w:val="0"/>
        <w:spacing w:line="499" w:lineRule="atLeas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37.1政府有关监督部门将对招投标全过程进行监督。</w:t>
      </w:r>
      <w:r/>
    </w:p>
    <w:p>
      <w:pPr>
        <w:keepLines w:val="0"/>
        <w:keepNext w:val="0"/>
        <w:pageBreakBefore w:val="0"/>
        <w:spacing w:line="499" w:lineRule="atLeast"/>
        <w:widowControl w:val="off"/>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38.未尽事宜</w:t>
      </w:r>
      <w:r/>
    </w:p>
    <w:p>
      <w:pPr>
        <w:ind w:firstLine="480"/>
        <w:keepLines w:val="0"/>
        <w:keepNext w:val="0"/>
        <w:pageBreakBefore w:val="0"/>
        <w:spacing w:line="499" w:lineRule="atLeast"/>
        <w:widowControl w:val="off"/>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38.1按《中华人民共和国政府采购法》及其他有关法律法规的规定执行。</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r>
      <w:r/>
    </w:p>
    <w:p>
      <w:pPr>
        <w:jc w:val="left"/>
        <w:keepLines w:val="0"/>
        <w:keepNext w:val="0"/>
        <w:pageBreakBefore w:val="0"/>
        <w:widowControl w:val="off"/>
        <w:rPr>
          <w:rFonts w:hint="eastAsia" w:ascii="宋体" w:hAnsi="宋体"/>
          <w:b/>
          <w:color w:val="auto"/>
          <w:sz w:val="44"/>
          <w:szCs w:val="44"/>
          <w:highlight w:val="none"/>
        </w:rPr>
      </w:pPr>
      <w:r>
        <w:rPr>
          <w:rFonts w:hint="eastAsia" w:ascii="宋体" w:hAnsi="宋体"/>
          <w:b/>
          <w:color w:val="auto"/>
          <w:sz w:val="44"/>
          <w:szCs w:val="44"/>
          <w:highlight w:val="none"/>
        </w:rPr>
      </w:r>
      <w:r/>
    </w:p>
    <w:p>
      <w:pPr>
        <w:keepLines w:val="0"/>
        <w:keepNext w:val="0"/>
        <w:pageBreakBefore w:val="0"/>
        <w:widowControl w:val="off"/>
        <w:rPr>
          <w:rFonts w:hint="eastAsia" w:ascii="宋体" w:hAnsi="宋体"/>
          <w:color w:val="auto"/>
          <w:highlight w:val="none"/>
        </w:rPr>
      </w:pPr>
      <w:r>
        <w:rPr>
          <w:rFonts w:hint="eastAsia" w:ascii="宋体" w:hAnsi="宋体"/>
          <w:color w:val="auto"/>
          <w:highlight w:val="none"/>
        </w:rPr>
        <w:br w:type="page" w:clear="all"/>
      </w:r>
      <w:r/>
    </w:p>
    <w:p>
      <w:pPr>
        <w:pStyle w:val="1176"/>
        <w:ind w:firstLine="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第三部分 项目需求</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rPr>
          <w:rFonts w:hint="eastAsia" w:ascii="仿宋" w:hAnsi="仿宋" w:eastAsia="仿宋" w:cs="仿宋"/>
          <w:b/>
          <w:bCs/>
          <w:color w:val="auto"/>
          <w:sz w:val="24"/>
          <w:szCs w:val="24"/>
          <w:highlight w:val="none"/>
          <w:lang w:val="zh-CN"/>
        </w:rPr>
        <w:t xml:space="preserve">采购</w:t>
      </w:r>
      <w:r>
        <w:rPr>
          <w:rFonts w:hint="eastAsia" w:ascii="仿宋" w:hAnsi="仿宋" w:eastAsia="仿宋" w:cs="仿宋"/>
          <w:b/>
          <w:bCs/>
          <w:color w:val="auto"/>
          <w:sz w:val="24"/>
          <w:szCs w:val="24"/>
          <w:highlight w:val="none"/>
        </w:rPr>
        <w:t xml:space="preserve">内容及单价</w:t>
      </w:r>
      <w:r>
        <w:rPr>
          <w:rFonts w:hint="eastAsia" w:ascii="仿宋" w:hAnsi="仿宋" w:eastAsia="仿宋" w:cs="仿宋"/>
          <w:b/>
          <w:bCs/>
          <w:color w:val="auto"/>
          <w:sz w:val="24"/>
          <w:szCs w:val="24"/>
          <w:highlight w:val="none"/>
          <w:lang w:val="en-US" w:eastAsia="zh-CN"/>
        </w:rPr>
        <w:t xml:space="preserve">最高</w:t>
      </w:r>
      <w:r>
        <w:rPr>
          <w:rFonts w:hint="eastAsia" w:ascii="仿宋" w:hAnsi="仿宋" w:eastAsia="仿宋" w:cs="仿宋"/>
          <w:b/>
          <w:bCs/>
          <w:color w:val="auto"/>
          <w:sz w:val="24"/>
          <w:szCs w:val="24"/>
          <w:highlight w:val="none"/>
        </w:rPr>
        <w:t xml:space="preserve">限价</w:t>
      </w:r>
      <w:r/>
    </w:p>
    <w:tbl>
      <w:tblPr>
        <w:tblStyle w:val="789"/>
        <w:tblW w:w="10104"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7"/>
        <w:gridCol w:w="2190"/>
        <w:gridCol w:w="3927"/>
        <w:gridCol w:w="828"/>
        <w:gridCol w:w="900"/>
        <w:gridCol w:w="1452"/>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单价最高限价（元）</w:t>
            </w:r>
            <w:r/>
          </w:p>
        </w:tc>
      </w:tr>
      <w:tr>
        <w:trPr>
          <w:trHeight w:val="437"/>
        </w:trPr>
        <w:tc>
          <w:tcPr>
            <w:gridSpan w:val="5"/>
            <w:shd w:val="clear" w:color="auto" w:fill="auto"/>
            <w:tcBorders>
              <w:top w:val="single" w:color="000000" w:sz="4" w:space="0"/>
              <w:left w:val="single" w:color="000000" w:sz="4" w:space="0"/>
              <w:bottom w:val="single" w:color="000000" w:sz="4" w:space="0"/>
              <w:right w:val="single" w:color="000000" w:sz="4" w:space="0"/>
            </w:tcBorders>
            <w:tcW w:w="86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一、标线</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冷喷漆</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振荡线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直行箭头、转弯箭头、直行转弯箭头</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热熔漆，厚度1.8mm,6m型箭头</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自行车图案</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减速让行标记</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菱形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机动车位导向箭头</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地面文字</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彩色路面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彩色陶瓷路面</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86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 、交通安全设施</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铝板厚度3mm，Ⅲ类反光膜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标志牌贴膜</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板面覆膜：Ⅲ类反光膜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主动发光标志</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不锈钢扎带</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标志牌立柱</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φ89*5，H=3500mm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标志牌立柱</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φ325mm*12mm*9000mm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预埋件，人工开挖</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根据图纸及现场要求</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C30</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突起路标</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TPU分道标</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塑料警示桩</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φ80mm，高度60cm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金属警示桩</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φ120mm，高度80cm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φ80cm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石球</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φ45cm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580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太阳能警示灯</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橡胶减速带，350mm*1000mm*50mm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二波防撞钢护栏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Gr-A-4E</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4320mm*310mm*85mm*4mm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三波防撞钢护栏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Gr-A-4E</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4320mm*506mm*85mm*4mm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460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立柱开孔</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Φ160</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高强度反光轮廓标</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高强度反光片</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圆头贴膜</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人行道边缘护栏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立柱间距：3000mm，护栏高度：900mm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w:t>
            </w:r>
            <w:r/>
          </w:p>
        </w:tc>
      </w:tr>
      <w:tr>
        <w:trPr>
          <w:trHeight w:val="201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蓝白隔离护栏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1、尺寸：1100mm*3000mm</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2、黄色单面轮廓标</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3、立柱：80mm*80mm*1.5mm，上横杆55mm*40mm*1.2mm，下横杆55mm*30mm*1.2mm，竖杆55mm*30mm*1.0mm，高分子复合底座</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310</w:t>
            </w:r>
            <w:r/>
          </w:p>
        </w:tc>
      </w:tr>
      <w:tr>
        <w:trPr>
          <w:trHeight w:val="1856"/>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灰色隔离护栏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1、尺寸：1150mm*3000mm</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2、黄色突起反光标志</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3、立柱：80mm*80mm*2.0mm，上横杆60mm*40mm*3.0mm方管，下横杆63mm*40mm*4.8mm槽钢，竖杆φ18mm圆钢，铸铁底座</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新泽西护栏</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H790mm*2000mm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龙门架1</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6米以内</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龙门架2</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6米-9米</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龙门架3</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9米以上</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路口智能哨兵系统</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设备尺寸560*310*150mm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道口事故预警系统</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主路、支路预警系统</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设备主体尺寸：2970*320*140（mm）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44000</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86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三、交通信号灯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智能联网型交通信号控制机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信号机应具备流量采集接口</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660mm*400mm*1350mm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控制机基础及预埋件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700mm*550mm*600mm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不等边八角H=7000mm，L=9000mm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不等边八角H=7000mm，L=8000mm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不等边八角H=7000mm，L=5000mm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单立柱H=5500mm,厚度5mm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人行灯信号灯立杆</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φ120mm*5mm*3200mm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含预埋件、基础1500mm*1800mm*2000mm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1280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含预埋件、基础</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500mm*500mm*600mm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φ400mm满屏灯、箭头灯带倒计时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φ300mm满屏灯、箭头灯带倒计时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机动车信号灯灯盘</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φ300mm满屏灯、箭头灯</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机动车信号灯灯盘</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φ400mm满屏灯、箭头灯</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含内嵌倒计时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人行灯灯盘</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太阳能黄闪灯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KVVR19*1.5</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KVVR4*2.5</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VV2*4</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开挖路面</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DN60</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硬质塑料PE管</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DN50管含开挖</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过路钢管</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DN100mm*5mm镀锌钢管</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施工手井</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两相位移动信号灯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四相位移动信号灯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信号灯倒计时</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600mm*800mm铝壳</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信号机主板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信号机灯控板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w:t>
            </w:r>
            <w:r/>
          </w:p>
        </w:tc>
      </w:tr>
      <w:tr>
        <w:trPr>
          <w:trHeight w:val="600"/>
        </w:trPr>
        <w:tc>
          <w:tcPr>
            <w:gridSpan w:val="5"/>
            <w:shd w:val="clear" w:color="auto" w:fill="auto"/>
            <w:tcBorders>
              <w:top w:val="single" w:color="000000" w:sz="4" w:space="0"/>
              <w:left w:val="single" w:color="000000" w:sz="4" w:space="0"/>
              <w:bottom w:val="single" w:color="000000" w:sz="4" w:space="0"/>
              <w:right w:val="none" w:color="000000" w:sz="4" w:space="0"/>
            </w:tcBorders>
            <w:tcW w:w="86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四、监控</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室外防水不锈钢机箱，</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含电源、接线排及电器元件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网络+电源防雷器二合一</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RVV3*1</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超五类八芯线CAT5e</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设备接入费</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按设备数量计算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86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五、其他</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维护等不牵扯到材料时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日常道路巡查</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登高车/吊机</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维护等不牵扯到材料时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设计出图</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设计出图，具体按路口计算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光纤通信线路</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路口交通信号控制机联网，具体按路口计算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7000</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交通设施综合责任险（保额不少300万）</w:t>
            </w:r>
            <w:r/>
          </w:p>
        </w:tc>
        <w:tc>
          <w:tcPr>
            <w:shd w:val="clear" w:color="auto" w:fill="auto"/>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港区（浮桥）辖区内所有交通设施投保保险</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15000</w:t>
            </w:r>
            <w:r/>
          </w:p>
        </w:tc>
      </w:tr>
    </w:tbl>
    <w:p>
      <w:pPr>
        <w:ind w:firstLine="422"/>
        <w:jc w:val="left"/>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注：</w:t>
      </w:r>
      <w:r>
        <w:rPr>
          <w:rFonts w:hint="eastAsia" w:ascii="仿宋" w:hAnsi="仿宋" w:eastAsia="仿宋" w:cs="仿宋"/>
          <w:b/>
          <w:bCs/>
          <w:color w:val="auto"/>
          <w:sz w:val="21"/>
          <w:szCs w:val="21"/>
          <w:highlight w:val="none"/>
          <w:lang w:val="en-US" w:eastAsia="zh-CN"/>
        </w:rPr>
        <w:t xml:space="preserve">1.以上清单内产品如涉及品牌仅供参考，不对投标人有任何限制。</w:t>
      </w:r>
      <w:r/>
    </w:p>
    <w:p>
      <w:pPr>
        <w:ind w:firstLine="422"/>
        <w:jc w:val="left"/>
        <w:keepLines w:val="0"/>
        <w:keepNext w:val="0"/>
        <w:pageBreakBefore w:val="0"/>
        <w:spacing w:line="36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color w:val="auto"/>
          <w:sz w:val="21"/>
          <w:szCs w:val="21"/>
          <w:highlight w:val="none"/>
        </w:rPr>
        <w:t xml:space="preserve">投标人按单项的单价限价报投标</w:t>
      </w:r>
      <w:r>
        <w:rPr>
          <w:rFonts w:hint="eastAsia" w:ascii="仿宋" w:hAnsi="仿宋" w:eastAsia="仿宋" w:cs="仿宋"/>
          <w:b/>
          <w:color w:val="auto"/>
          <w:sz w:val="21"/>
          <w:szCs w:val="21"/>
          <w:highlight w:val="none"/>
          <w:lang w:val="en-US" w:eastAsia="zh-CN"/>
        </w:rPr>
        <w:t xml:space="preserve">优惠率</w:t>
      </w:r>
      <w:r>
        <w:rPr>
          <w:rFonts w:hint="eastAsia" w:ascii="仿宋" w:hAnsi="仿宋" w:eastAsia="仿宋" w:cs="仿宋"/>
          <w:b/>
          <w:color w:val="auto"/>
          <w:sz w:val="21"/>
          <w:szCs w:val="21"/>
          <w:highlight w:val="none"/>
        </w:rPr>
        <w:t xml:space="preserve">，实际结算单价按照单价</w:t>
      </w:r>
      <w:r>
        <w:rPr>
          <w:rFonts w:hint="eastAsia" w:ascii="仿宋" w:hAnsi="仿宋" w:eastAsia="仿宋" w:cs="仿宋"/>
          <w:b/>
          <w:color w:val="auto"/>
          <w:sz w:val="21"/>
          <w:szCs w:val="21"/>
          <w:highlight w:val="none"/>
          <w:lang w:val="en-US" w:eastAsia="zh-CN"/>
        </w:rPr>
        <w:t xml:space="preserve">最高</w:t>
      </w:r>
      <w:r>
        <w:rPr>
          <w:rFonts w:hint="eastAsia" w:ascii="仿宋" w:hAnsi="仿宋" w:eastAsia="仿宋" w:cs="仿宋"/>
          <w:b/>
          <w:color w:val="auto"/>
          <w:sz w:val="21"/>
          <w:szCs w:val="21"/>
          <w:highlight w:val="none"/>
        </w:rPr>
        <w:t xml:space="preserve">限价</w:t>
      </w:r>
      <w:r>
        <w:rPr>
          <w:rFonts w:hint="eastAsia" w:ascii="仿宋" w:hAnsi="仿宋" w:eastAsia="仿宋" w:cs="仿宋"/>
          <w:b/>
          <w:color w:val="auto"/>
          <w:sz w:val="21"/>
          <w:szCs w:val="21"/>
          <w:highlight w:val="none"/>
          <w:lang w:val="en-US" w:eastAsia="zh-CN"/>
        </w:rPr>
        <w:t xml:space="preserve">*（1-中标优惠率）</w:t>
      </w:r>
      <w:r>
        <w:rPr>
          <w:rFonts w:hint="eastAsia" w:ascii="仿宋" w:hAnsi="仿宋" w:eastAsia="仿宋" w:cs="仿宋"/>
          <w:b/>
          <w:color w:val="auto"/>
          <w:sz w:val="21"/>
          <w:szCs w:val="21"/>
          <w:highlight w:val="none"/>
        </w:rPr>
        <w:t xml:space="preserve">后进行结算，实际工程量按照</w:t>
      </w:r>
      <w:r>
        <w:rPr>
          <w:rFonts w:hint="eastAsia" w:ascii="仿宋" w:hAnsi="仿宋" w:eastAsia="仿宋" w:cs="仿宋"/>
          <w:b/>
          <w:color w:val="auto"/>
          <w:sz w:val="21"/>
          <w:szCs w:val="21"/>
          <w:highlight w:val="none"/>
          <w:lang w:val="en-US" w:eastAsia="zh-CN"/>
        </w:rPr>
        <w:t xml:space="preserve">采购</w:t>
      </w:r>
      <w:r>
        <w:rPr>
          <w:rFonts w:hint="eastAsia" w:ascii="仿宋" w:hAnsi="仿宋" w:eastAsia="仿宋" w:cs="仿宋"/>
          <w:b/>
          <w:color w:val="auto"/>
          <w:sz w:val="21"/>
          <w:szCs w:val="21"/>
          <w:highlight w:val="none"/>
        </w:rPr>
        <w:t xml:space="preserve">方要求并根据审计结果确定。本项目采购预算</w:t>
      </w:r>
      <w:r>
        <w:rPr>
          <w:rFonts w:hint="eastAsia" w:ascii="仿宋" w:hAnsi="仿宋" w:eastAsia="仿宋" w:cs="仿宋"/>
          <w:b/>
          <w:color w:val="auto"/>
          <w:sz w:val="21"/>
          <w:szCs w:val="21"/>
          <w:highlight w:val="none"/>
          <w:lang w:val="en-US" w:eastAsia="zh-CN"/>
        </w:rPr>
        <w:t xml:space="preserve">肆佰万元整</w:t>
      </w:r>
      <w:r>
        <w:rPr>
          <w:rFonts w:hint="eastAsia" w:ascii="仿宋" w:hAnsi="仿宋" w:eastAsia="仿宋" w:cs="仿宋"/>
          <w:b/>
          <w:color w:val="auto"/>
          <w:sz w:val="21"/>
          <w:szCs w:val="21"/>
          <w:highlight w:val="none"/>
        </w:rPr>
        <w:t xml:space="preserve">，累计结算金额达到</w:t>
      </w:r>
      <w:r>
        <w:rPr>
          <w:rFonts w:hint="eastAsia" w:ascii="仿宋" w:hAnsi="仿宋" w:eastAsia="仿宋" w:cs="仿宋"/>
          <w:b/>
          <w:color w:val="auto"/>
          <w:sz w:val="21"/>
          <w:szCs w:val="21"/>
          <w:highlight w:val="none"/>
          <w:lang w:val="en-US" w:eastAsia="zh-CN"/>
        </w:rPr>
        <w:t xml:space="preserve">肆佰万元整</w:t>
      </w:r>
      <w:r>
        <w:rPr>
          <w:rFonts w:hint="eastAsia" w:ascii="仿宋" w:hAnsi="仿宋" w:eastAsia="仿宋" w:cs="仿宋"/>
          <w:b/>
          <w:color w:val="auto"/>
          <w:sz w:val="21"/>
          <w:szCs w:val="21"/>
          <w:highlight w:val="none"/>
        </w:rPr>
        <w:t xml:space="preserve">项目终止。</w:t>
      </w:r>
      <w:r/>
    </w:p>
    <w:p>
      <w:pPr>
        <w:ind w:firstLine="420"/>
        <w:jc w:val="left"/>
        <w:keepLines w:val="0"/>
        <w:keepNext w:val="0"/>
        <w:pageBreakBefore w:val="0"/>
        <w:spacing w:line="360" w:lineRule="auto"/>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以上设备必需符合相关行业技术规范要求，杆件</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防撞钢护栏</w:t>
      </w:r>
      <w:r>
        <w:rPr>
          <w:rFonts w:hint="eastAsia" w:ascii="仿宋" w:hAnsi="仿宋" w:eastAsia="仿宋" w:cs="仿宋"/>
          <w:bCs/>
          <w:color w:val="auto"/>
          <w:sz w:val="21"/>
          <w:szCs w:val="21"/>
          <w:highlight w:val="none"/>
        </w:rPr>
        <w:t xml:space="preserve">必需热镀锌处理。投标</w:t>
      </w:r>
      <w:r>
        <w:rPr>
          <w:rFonts w:hint="eastAsia" w:ascii="仿宋" w:hAnsi="仿宋" w:eastAsia="仿宋" w:cs="仿宋"/>
          <w:bCs/>
          <w:color w:val="auto"/>
          <w:sz w:val="21"/>
          <w:szCs w:val="21"/>
          <w:highlight w:val="none"/>
          <w:lang w:val="en-US" w:eastAsia="zh-CN"/>
        </w:rPr>
        <w:t xml:space="preserve">人</w:t>
      </w:r>
      <w:r>
        <w:rPr>
          <w:rFonts w:hint="eastAsia" w:ascii="仿宋" w:hAnsi="仿宋" w:eastAsia="仿宋" w:cs="仿宋"/>
          <w:bCs/>
          <w:color w:val="auto"/>
          <w:sz w:val="21"/>
          <w:szCs w:val="21"/>
          <w:highlight w:val="none"/>
        </w:rPr>
        <w:t xml:space="preserve">应按照国家、行业等标准进行设计，保证杆件以及基础安全，如有质量问题或者施工带来的安全问题责任，由投标人承担。</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报价要求：</w:t>
      </w:r>
      <w:r>
        <w:rPr>
          <w:rFonts w:hint="eastAsia" w:ascii="仿宋" w:hAnsi="仿宋" w:eastAsia="仿宋" w:cs="仿宋"/>
          <w:color w:val="auto"/>
          <w:sz w:val="21"/>
          <w:szCs w:val="21"/>
          <w:highlight w:val="none"/>
        </w:rPr>
        <w:t xml:space="preserve">报价包</w:t>
      </w:r>
      <w:r>
        <w:rPr>
          <w:rFonts w:hint="eastAsia" w:ascii="仿宋" w:hAnsi="仿宋" w:eastAsia="仿宋" w:cs="仿宋"/>
          <w:color w:val="auto"/>
          <w:sz w:val="21"/>
          <w:szCs w:val="21"/>
          <w:highlight w:val="none"/>
          <w:lang w:eastAsia="zh-CN"/>
        </w:rPr>
        <w:t xml:space="preserve">括所投项目全部服务内容及项目所需设备及其备品、备</w:t>
      </w:r>
      <w:r>
        <w:rPr>
          <w:rFonts w:hint="eastAsia" w:ascii="仿宋" w:hAnsi="仿宋" w:eastAsia="仿宋" w:cs="仿宋"/>
          <w:color w:val="auto"/>
          <w:sz w:val="21"/>
          <w:szCs w:val="21"/>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仿宋" w:hAnsi="仿宋" w:eastAsia="仿宋" w:cs="仿宋"/>
          <w:color w:val="auto"/>
          <w:sz w:val="21"/>
          <w:szCs w:val="21"/>
          <w:highlight w:val="none"/>
          <w:lang w:bidi="ar"/>
        </w:rPr>
        <w:t xml:space="preserve">，投标报价包含了采购人现有场地条件下，</w:t>
      </w:r>
      <w:r>
        <w:rPr>
          <w:rFonts w:hint="eastAsia" w:ascii="仿宋" w:hAnsi="仿宋" w:eastAsia="仿宋" w:cs="仿宋"/>
          <w:color w:val="auto"/>
          <w:sz w:val="21"/>
          <w:szCs w:val="21"/>
          <w:highlight w:val="none"/>
          <w:lang w:eastAsia="zh-CN" w:bidi="ar"/>
        </w:rPr>
        <w:t xml:space="preserve">完成本项服务全部内容，并验收合格前的所有费用。</w:t>
      </w:r>
      <w:r/>
    </w:p>
    <w:p>
      <w:p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服务要求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1、巡查要求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日常巡查</w:t>
      </w:r>
      <w:r>
        <w:rPr>
          <w:rFonts w:hint="eastAsia" w:ascii="仿宋" w:hAnsi="仿宋" w:eastAsia="仿宋" w:cs="仿宋"/>
          <w:b w:val="0"/>
          <w:bCs w:val="0"/>
          <w:color w:val="auto"/>
          <w:sz w:val="24"/>
          <w:szCs w:val="24"/>
          <w:highlight w:val="none"/>
          <w:lang w:val="en-US" w:eastAsia="zh-CN"/>
        </w:rPr>
        <w:t xml:space="preserve">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至少每周1次</w:t>
      </w:r>
      <w:r>
        <w:rPr>
          <w:rFonts w:hint="eastAsia" w:ascii="仿宋" w:hAnsi="仿宋" w:eastAsia="仿宋" w:cs="仿宋"/>
          <w:b w:val="0"/>
          <w:bCs w:val="0"/>
          <w:color w:val="auto"/>
          <w:sz w:val="24"/>
          <w:szCs w:val="24"/>
          <w:highlight w:val="none"/>
          <w:lang w:eastAsia="zh-CN"/>
        </w:rPr>
        <w:t xml:space="preserve">对维护</w:t>
      </w:r>
      <w:r>
        <w:rPr>
          <w:rFonts w:hint="eastAsia" w:ascii="仿宋" w:hAnsi="仿宋" w:eastAsia="仿宋" w:cs="仿宋"/>
          <w:b w:val="0"/>
          <w:bCs w:val="0"/>
          <w:color w:val="auto"/>
          <w:sz w:val="24"/>
          <w:szCs w:val="24"/>
          <w:highlight w:val="none"/>
          <w:lang w:val="en-US" w:eastAsia="zh-CN"/>
        </w:rPr>
        <w:t xml:space="preserve">范围内</w:t>
      </w:r>
      <w:r>
        <w:rPr>
          <w:rFonts w:hint="eastAsia" w:ascii="仿宋" w:hAnsi="仿宋" w:eastAsia="仿宋" w:cs="仿宋"/>
          <w:b w:val="0"/>
          <w:bCs w:val="0"/>
          <w:color w:val="auto"/>
          <w:sz w:val="24"/>
          <w:szCs w:val="24"/>
          <w:highlight w:val="none"/>
          <w:lang w:eastAsia="zh-CN"/>
        </w:rPr>
        <w:t xml:space="preserve">的所有道路交通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开展1次巡检，并建立巡检台账，台账应记录巡检时间、巡检人，发现问题、整改情况、整改时间等信息。恶劣天气或特殊情况，中标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应及时增加巡检次数，确保设施正常运行。因巡检不到位、修复不及时等原因引发的事故均由中标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承担相应责任</w:t>
      </w:r>
      <w:r>
        <w:rPr>
          <w:rFonts w:hint="eastAsia" w:ascii="仿宋" w:hAnsi="仿宋" w:eastAsia="仿宋" w:cs="仿宋"/>
          <w:b w:val="0"/>
          <w:bCs w:val="0"/>
          <w:color w:val="auto"/>
          <w:sz w:val="24"/>
          <w:szCs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交通事故排查要求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color w:val="auto"/>
          <w:sz w:val="24"/>
          <w:szCs w:val="24"/>
          <w:highlight w:val="none"/>
          <w:lang w:val="en-US" w:eastAsia="zh-CN"/>
        </w:rPr>
        <w:t xml:space="preserve">必须每天对发生事故地方进行排查和统计并交给业主。</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、维护</w:t>
      </w:r>
      <w:r>
        <w:rPr>
          <w:rFonts w:hint="eastAsia" w:ascii="仿宋" w:hAnsi="仿宋" w:eastAsia="仿宋" w:cs="仿宋"/>
          <w:b w:val="0"/>
          <w:bCs w:val="0"/>
          <w:color w:val="auto"/>
          <w:sz w:val="24"/>
          <w:szCs w:val="24"/>
          <w:highlight w:val="none"/>
          <w:lang w:eastAsia="zh-CN"/>
        </w:rPr>
        <w:t xml:space="preserve">人</w:t>
      </w:r>
      <w:r>
        <w:rPr>
          <w:rFonts w:hint="eastAsia" w:ascii="仿宋" w:hAnsi="仿宋" w:eastAsia="仿宋" w:cs="仿宋"/>
          <w:b w:val="0"/>
          <w:bCs w:val="0"/>
          <w:color w:val="auto"/>
          <w:sz w:val="24"/>
          <w:szCs w:val="24"/>
          <w:highlight w:val="none"/>
        </w:rPr>
        <w:t xml:space="preserve">员</w:t>
      </w:r>
      <w:r>
        <w:rPr>
          <w:rFonts w:hint="eastAsia" w:ascii="仿宋" w:hAnsi="仿宋" w:eastAsia="仿宋" w:cs="仿宋"/>
          <w:b w:val="0"/>
          <w:bCs w:val="0"/>
          <w:color w:val="auto"/>
          <w:sz w:val="24"/>
          <w:szCs w:val="24"/>
          <w:highlight w:val="none"/>
          <w:lang w:eastAsia="zh-CN"/>
        </w:rPr>
        <w:t xml:space="preserve">及设备</w:t>
      </w:r>
      <w:r>
        <w:rPr>
          <w:rFonts w:hint="eastAsia" w:ascii="仿宋" w:hAnsi="仿宋" w:eastAsia="仿宋" w:cs="仿宋"/>
          <w:b w:val="0"/>
          <w:bCs w:val="0"/>
          <w:color w:val="auto"/>
          <w:sz w:val="24"/>
          <w:szCs w:val="24"/>
          <w:highlight w:val="none"/>
        </w:rPr>
        <w:t xml:space="preserve">配备</w:t>
      </w:r>
      <w:r/>
    </w:p>
    <w:p>
      <w:pPr>
        <w:pStyle w:val="803"/>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（1）拟投入的人员不应少于8人</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其中项目负责人1名；技术负责人1名；安全员1名，持安全员证；特种作业操作人员（持特种作业操作证）不少于2人，其中电工作业1人，高处作业1人；其他作业人员3名</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（提供人员证书及</w:t>
      </w:r>
      <w:r>
        <w:rPr>
          <w:rFonts w:hint="eastAsia" w:ascii="仿宋" w:hAnsi="仿宋" w:eastAsia="仿宋" w:cs="仿宋"/>
          <w:b/>
          <w:bCs/>
          <w:color w:val="auto"/>
          <w:sz w:val="24"/>
          <w:szCs w:val="24"/>
          <w:highlight w:val="none"/>
          <w:lang w:val="en-US" w:eastAsia="zh-CN"/>
        </w:rPr>
        <w:t xml:space="preserve">近3个月</w:t>
      </w:r>
      <w:r>
        <w:rPr>
          <w:rFonts w:hint="eastAsia" w:ascii="仿宋" w:hAnsi="仿宋" w:eastAsia="仿宋" w:cs="仿宋"/>
          <w:b/>
          <w:bCs/>
          <w:color w:val="auto"/>
          <w:sz w:val="24"/>
          <w:szCs w:val="24"/>
          <w:highlight w:val="none"/>
        </w:rPr>
        <w:t xml:space="preserve">社保缴费证明扫描件）</w:t>
      </w:r>
      <w:r/>
    </w:p>
    <w:p>
      <w:pPr>
        <w:pStyle w:val="803"/>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拟投入的设备不得少于：工程车2辆、热熔标线机2台。（自有车辆提供购买发票及注册在投标单位行驶证扫描件和车头方向照片；租用车辆的提供租赁合同、租赁发票、行驶证扫描件和车头方向照片；热熔标线机提供购置发票扫描件并加盖公章）</w:t>
      </w:r>
      <w:r/>
    </w:p>
    <w:p>
      <w:pPr>
        <w:ind w:right="0" w:firstLine="420"/>
        <w:jc w:val="left"/>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注：以上为实质性要求，投标单位须按要求提供证明材料，否则按未实质性响应招标要求处理。</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、维护响应时间</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b w:val="0"/>
          <w:bCs w:val="0"/>
          <w:color w:val="auto"/>
          <w:sz w:val="24"/>
          <w:szCs w:val="24"/>
          <w:highlight w:val="none"/>
        </w:rPr>
        <w:t xml:space="preserve">提供24小时全天候便捷的优质服务，保持固定维护负责人，保持通信畅通。维护方接到通知或者巡检中发现故障应在30分钟内响应，</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小时内到达现场（恶劣天气等特殊情况下主动与交警大队报备），到达现场后在</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小时内解决故障。对于因停电、特殊情况下无法</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小时内完成的修复的，</w:t>
      </w:r>
      <w:r>
        <w:rPr>
          <w:rFonts w:hint="eastAsia" w:ascii="仿宋" w:hAnsi="仿宋" w:eastAsia="仿宋" w:cs="仿宋"/>
          <w:b w:val="0"/>
          <w:bCs w:val="0"/>
          <w:color w:val="auto"/>
          <w:sz w:val="24"/>
          <w:szCs w:val="24"/>
          <w:highlight w:val="none"/>
          <w:lang w:val="en-US" w:eastAsia="zh-CN"/>
        </w:rPr>
        <w:t xml:space="preserve">应</w:t>
      </w:r>
      <w:r>
        <w:rPr>
          <w:rFonts w:hint="eastAsia" w:ascii="仿宋" w:hAnsi="仿宋" w:eastAsia="仿宋" w:cs="仿宋"/>
          <w:b w:val="0"/>
          <w:bCs w:val="0"/>
          <w:color w:val="auto"/>
          <w:sz w:val="24"/>
          <w:szCs w:val="24"/>
          <w:highlight w:val="none"/>
        </w:rPr>
        <w:t xml:space="preserve">与</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报备，并根据</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要求时间节点尽快解决故障问题。</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、维修更换设备后的保修</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（1）维修配件不得低于原设备规格和质量标准；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（2）所用配件均需符合国家最新标准和行业要求；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（3）更换产品及配件的免费保修期自验收合格之日起的</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年，杆件、基础等保修期为10年（人为损坏或者台风、地震、雷击等不可抗拒力损坏除外）；</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（4）同一地点同一原因导致三次以上故障，</w:t>
      </w: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color w:val="auto"/>
          <w:sz w:val="24"/>
          <w:szCs w:val="24"/>
          <w:highlight w:val="none"/>
        </w:rPr>
        <w:t xml:space="preserve">应当提出彻底解决问题的方案，保证此类原因导致的故障半年内不得再次发生。</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、交通信号灯（含倒计时）系统部分设备更换需求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路口交通信号（含倒计时）系统的实际情况以及交警大队的要求对部分设备进行更换，更换主要部件为：交通信号控制机、杆件、顶管、机动车信号灯、非机动车信号灯、人行横道灯、黄闪灯、电源线、信号灯专用线缆、手井、基础以及预埋件、倒计时灯带线缆配件及外壳等。按中标单价结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（1）主要维护内容：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部分路口信号灯（含倒计时）系统线缆、灯具和信号机、灯带等老化设备的更换；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由于道路开挖、施工等原因造成故障且无法获得赔偿的；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由于交通事故造成且逃逸无法获得理赔的；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雷击、台风、地震等不可抗拒因素损坏无法理赔的；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其他根据需要维护更换的内容。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（2）维护方案要求：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此部分维护前需要与交警大队进行沟通，由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制定具体的维护方案，施工过程中维护方要严格按照</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要求执行，发现问题向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汇报经过同意后更改维护方案；</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施工前维护方根据</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方案与其投标报价进行工程的造价估算，施工后由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对工程量以及产品进行初步核实</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三、技术要求</w:t>
      </w:r>
      <w:r/>
    </w:p>
    <w:p>
      <w:pPr>
        <w:ind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i w:val="0"/>
          <w:iCs w:val="0"/>
          <w:color w:val="auto"/>
          <w:sz w:val="24"/>
          <w:szCs w:val="24"/>
          <w:highlight w:val="none"/>
          <w:u w:val="none"/>
          <w:lang w:val="en-US" w:eastAsia="zh-CN" w:bidi="ar"/>
        </w:rPr>
        <w:t xml:space="preserve">交通信号灯</w:t>
      </w:r>
      <w:r>
        <w:rPr>
          <w:rFonts w:hint="eastAsia" w:ascii="仿宋" w:hAnsi="仿宋" w:eastAsia="仿宋" w:cs="仿宋"/>
          <w:b/>
          <w:bCs/>
          <w:color w:val="auto"/>
          <w:sz w:val="24"/>
          <w:szCs w:val="24"/>
          <w:highlight w:val="none"/>
        </w:rPr>
        <w:t xml:space="preserve">技术要求</w:t>
      </w:r>
      <w:r/>
    </w:p>
    <w:p>
      <w:pPr>
        <w:ind w:firstLine="422"/>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color w:val="auto"/>
          <w:sz w:val="24"/>
          <w:szCs w:val="24"/>
          <w:highlight w:val="none"/>
          <w:lang w:val="zh-CN" w:eastAsia="zh-CN" w:bidi="ar-SA"/>
        </w:rPr>
        <w:t xml:space="preserve">1</w:t>
      </w:r>
      <w:r>
        <w:rPr>
          <w:rFonts w:hint="eastAsia" w:ascii="仿宋" w:hAnsi="仿宋" w:eastAsia="仿宋" w:cs="仿宋"/>
          <w:b/>
          <w:color w:val="auto"/>
          <w:sz w:val="24"/>
          <w:szCs w:val="24"/>
          <w:highlight w:val="none"/>
          <w:lang w:val="en-US" w:eastAsia="zh-CN" w:bidi="ar-SA"/>
        </w:rPr>
        <w:t xml:space="preserve">.1</w:t>
      </w:r>
      <w:r>
        <w:rPr>
          <w:rFonts w:hint="eastAsia" w:ascii="仿宋" w:hAnsi="仿宋" w:eastAsia="仿宋" w:cs="仿宋"/>
          <w:b/>
          <w:color w:val="auto"/>
          <w:sz w:val="24"/>
          <w:szCs w:val="24"/>
          <w:highlight w:val="none"/>
          <w:lang w:val="zh-CN" w:eastAsia="zh-CN" w:bidi="ar-SA"/>
        </w:rPr>
        <w:t xml:space="preserve">智能联网型交通信号控制机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1、基本要求</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信号机必须通过GB 25280-2016《道路交通信号控制机》标准进行的检测，维护方应免费提供信号机控制系统，系统可实现多路口协调控制、自适应控制、远程手动控制等基本操作</w:t>
      </w:r>
      <w:r>
        <w:rPr>
          <w:rFonts w:hint="eastAsia" w:ascii="仿宋" w:hAnsi="仿宋" w:eastAsia="仿宋" w:cs="仿宋"/>
          <w:color w:val="auto"/>
          <w:sz w:val="24"/>
          <w:szCs w:val="24"/>
          <w:highlight w:val="none"/>
          <w:lang w:val="zh-CN" w:eastAsia="zh-CN" w:bidi="ar-SA"/>
        </w:rPr>
        <w:t xml:space="preserve">满足“智能交通服务管理平台”的对接要求，实现无缝接入太仓市公安局交警大队交通信号控制平台“智能交通服务管理平台”。</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2、设备主要参数及功能要求</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（1）通信接口：具有4个RS232接口、10个RS485接口、2个RJ45接口、2个USB接口、2个Type-C接口。</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（2）灯组控制功能检验：可同时控制3个具有4个灯组的路口信号灯，三个路口的信号灯可独立运行。</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（3）灯控制输出：不低于48路。</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（4）相位数≥32。</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（5）配时方案数：可设置不少于128个相位序列配时方案。</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（6）时段设置：可划分不少于48个时间段。</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（7）区域自适应控制功能：可根据选定区域内各路口的车流量自动调整区域内各路口信号灯的通行相位时长、周期和相位差。</w:t>
      </w:r>
      <w:r/>
    </w:p>
    <w:p>
      <w:pPr>
        <w:ind w:firstLine="422"/>
        <w:keepLines w:val="0"/>
        <w:keepNext w:val="0"/>
        <w:pageBreakBefore w:val="0"/>
        <w:spacing w:line="360" w:lineRule="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zh-CN" w:eastAsia="zh-CN" w:bidi="ar-SA"/>
        </w:rPr>
        <w:t xml:space="preserve">（8）★远程升级功能：可通过Web方式对信号机进行网络远程程序升级。</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（9）公交优先控制功能：信号机具有优先控制功能，能够实现公交车辆等优先通行。</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（10）支持可变车道控制功能：包括多时段可变车道、自适应可变车道和人工干预可变车道三种可变车道控制模式。</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（11）手动控制：应能够通过手动控制装置控制信号机的运行。</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（12）★交通流采集功能：可采集时间间隔不大于 0.25s 的交通流数据。</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（13）★双电源供电功能：采用双路电源供电，当任一路电源故障时，系统应能正常工作。</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（14）★协调过街控制功能：支持无电缆协调和线控协调方式下的过街控制。</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（15）信号机支持灯组灯故障全态检测及精准上报，包括绿冲突、红绿同亮、红灯损坏、红黄同亮、绿黄同亮、绿灯损坏和黄灯损坏。</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（16）★优先控制功能：可通过检测3路检测器的触发信号进行相位配时调整，实现特殊车辆的绝对优先和相对优先控制。</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（17）</w:t>
      </w:r>
      <w:bookmarkStart w:id="19" w:name="_Hlk209123197"/>
      <w:r>
        <w:rPr>
          <w:rFonts w:hint="eastAsia" w:ascii="仿宋" w:hAnsi="仿宋" w:eastAsia="仿宋" w:cs="仿宋"/>
          <w:b w:val="0"/>
          <w:bCs/>
          <w:color w:val="auto"/>
          <w:sz w:val="24"/>
          <w:szCs w:val="24"/>
          <w:highlight w:val="none"/>
          <w:lang w:val="zh-CN" w:eastAsia="zh-CN" w:bidi="ar-SA"/>
        </w:rPr>
        <w:t xml:space="preserve">信号机</w:t>
      </w:r>
      <w:bookmarkEnd w:id="19"/>
      <w:r>
        <w:rPr>
          <w:rFonts w:hint="eastAsia" w:ascii="仿宋" w:hAnsi="仿宋" w:eastAsia="仿宋" w:cs="仿宋"/>
          <w:b w:val="0"/>
          <w:bCs/>
          <w:color w:val="auto"/>
          <w:sz w:val="24"/>
          <w:szCs w:val="24"/>
          <w:highlight w:val="none"/>
          <w:lang w:val="zh-CN" w:eastAsia="zh-CN" w:bidi="ar-SA"/>
        </w:rPr>
        <w:t xml:space="preserve">支持全息控制方案，且前端检测器数据具备双路传输能力，其中，一路传输至流量采集平台，一路传输至边缘计算控制器，保证路口信号机设备离线时，信号机仍可以运行全息方案。</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（18）★无线手控功能：可通过外接无线手持终端实现手动/自动切换、相位步进、跳相。</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zh-CN" w:eastAsia="zh-CN" w:bidi="ar-SA"/>
        </w:rPr>
        <w:t xml:space="preserve">GB 25280-2016《道路交通信号控制机》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（19）交流输入：220（+20%～－20%）VAC，50±2HZ。</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（20）输入功耗：≤50W（不含信号灯）。</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（21）工作温度：－40℃～+70℃。</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（22）相对湿度：5～95%。</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（23）绝缘电阻：≥10MΩ。</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rPr>
      </w:pPr>
      <w:r>
        <w:rPr>
          <w:rFonts w:hint="eastAsia" w:ascii="仿宋" w:hAnsi="仿宋" w:eastAsia="仿宋" w:cs="仿宋"/>
          <w:b/>
          <w:color w:val="auto"/>
          <w:sz w:val="24"/>
          <w:szCs w:val="24"/>
          <w:highlight w:val="none"/>
          <w:lang w:val="en-US" w:eastAsia="zh-CN"/>
        </w:rPr>
        <w:t xml:space="preserve">1.2</w:t>
      </w:r>
      <w:r>
        <w:rPr>
          <w:rFonts w:hint="eastAsia" w:ascii="仿宋" w:hAnsi="仿宋" w:eastAsia="仿宋" w:cs="仿宋"/>
          <w:b/>
          <w:color w:val="auto"/>
          <w:sz w:val="24"/>
          <w:szCs w:val="24"/>
          <w:highlight w:val="none"/>
          <w:lang w:val="zh-CN" w:eastAsia="zh-CN"/>
        </w:rPr>
        <w:t xml:space="preserve">防雷器</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（1）保护模式：L//N-PE</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（2）防雷等级：第二级（C级）</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（3）最大持续运行电压，Uc</w:t>
      </w:r>
      <w:r>
        <w:rPr>
          <w:rFonts w:hint="eastAsia" w:ascii="仿宋" w:hAnsi="仿宋" w:eastAsia="仿宋" w:cs="仿宋"/>
          <w:b w:val="0"/>
          <w:bCs/>
          <w:color w:val="auto"/>
          <w:sz w:val="24"/>
          <w:szCs w:val="24"/>
          <w:highlight w:val="none"/>
          <w:lang w:val="zh-CN" w:eastAsia="zh-CN" w:bidi="ar-SA"/>
        </w:rPr>
        <w:tab/>
      </w:r>
      <w:r>
        <w:rPr>
          <w:rFonts w:hint="eastAsia" w:ascii="仿宋" w:hAnsi="仿宋" w:eastAsia="仿宋" w:cs="仿宋"/>
          <w:b w:val="0"/>
          <w:bCs/>
          <w:color w:val="auto"/>
          <w:sz w:val="24"/>
          <w:szCs w:val="24"/>
          <w:highlight w:val="none"/>
          <w:lang w:val="zh-CN" w:eastAsia="zh-CN" w:bidi="ar-SA"/>
        </w:rPr>
        <w:t xml:space="preserve">255VAC</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（4）标称放电电流，In（8/20μs）</w:t>
      </w:r>
      <w:r>
        <w:rPr>
          <w:rFonts w:hint="eastAsia" w:ascii="仿宋" w:hAnsi="仿宋" w:eastAsia="仿宋" w:cs="仿宋"/>
          <w:b w:val="0"/>
          <w:bCs/>
          <w:color w:val="auto"/>
          <w:sz w:val="24"/>
          <w:szCs w:val="24"/>
          <w:highlight w:val="none"/>
          <w:lang w:val="zh-CN" w:eastAsia="zh-CN" w:bidi="ar-SA"/>
        </w:rPr>
        <w:tab/>
      </w:r>
      <w:r>
        <w:rPr>
          <w:rFonts w:hint="eastAsia" w:ascii="仿宋" w:hAnsi="仿宋" w:eastAsia="仿宋" w:cs="仿宋"/>
          <w:b w:val="0"/>
          <w:bCs/>
          <w:color w:val="auto"/>
          <w:sz w:val="24"/>
          <w:szCs w:val="24"/>
          <w:highlight w:val="none"/>
          <w:lang w:val="zh-CN" w:eastAsia="zh-CN" w:bidi="ar-SA"/>
        </w:rPr>
        <w:t xml:space="preserve">40kA</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（5）最大放电电流，Imax（8/20μs）</w:t>
      </w:r>
      <w:r>
        <w:rPr>
          <w:rFonts w:hint="eastAsia" w:ascii="仿宋" w:hAnsi="仿宋" w:eastAsia="仿宋" w:cs="仿宋"/>
          <w:b w:val="0"/>
          <w:bCs/>
          <w:color w:val="auto"/>
          <w:sz w:val="24"/>
          <w:szCs w:val="24"/>
          <w:highlight w:val="none"/>
          <w:lang w:val="zh-CN" w:eastAsia="zh-CN" w:bidi="ar-SA"/>
        </w:rPr>
        <w:tab/>
      </w:r>
      <w:r>
        <w:rPr>
          <w:rFonts w:hint="eastAsia" w:ascii="仿宋" w:hAnsi="仿宋" w:eastAsia="仿宋" w:cs="仿宋"/>
          <w:b w:val="0"/>
          <w:bCs/>
          <w:color w:val="auto"/>
          <w:sz w:val="24"/>
          <w:szCs w:val="24"/>
          <w:highlight w:val="none"/>
          <w:lang w:val="zh-CN" w:eastAsia="zh-CN" w:bidi="ar-SA"/>
        </w:rPr>
        <w:t xml:space="preserve">20kA</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（6）电压保护水平Up，≤2.0kV </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（7）漏电流≤20μA</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（8）响应时间≤25ns</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（9）内部保护装置：防雷单元内置热脱扣装置</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（10）外部保护装置：63A</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（11）劣化失效指示：故障状态下指示窗口变红色</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（12）遥信方式：告警干接点（可选配）</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1.3交换机</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（1）千兆电口≥8个，千兆SFP光口≥2个，传输距离≥20km；</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（2）所有端口不同帧长度均具备线速转发能力，整机吞吐量100%，重载丢包率为0；</w:t>
      </w:r>
      <w:r/>
    </w:p>
    <w:p>
      <w:pPr>
        <w:ind w:firstLine="422"/>
        <w:keepLines w:val="0"/>
        <w:keepNext w:val="0"/>
        <w:pageBreakBefore w:val="0"/>
        <w:spacing w:line="360" w:lineRule="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zh-CN" w:eastAsia="zh-CN" w:bidi="ar-SA"/>
        </w:rPr>
        <w:t xml:space="preserve">（3）★支持VLAN</w:t>
      </w:r>
      <w:r>
        <w:rPr>
          <w:rFonts w:hint="eastAsia"/>
          <w:color w:val="auto"/>
          <w:highlight w:val="none"/>
        </w:rPr>
        <w:t xml:space="preserve"> </w:t>
      </w:r>
      <w:r>
        <w:rPr>
          <w:rFonts w:hint="eastAsia"/>
          <w:color w:val="auto"/>
          <w:highlight w:val="none"/>
          <w:lang w:eastAsia="zh-CN"/>
        </w:rPr>
        <w:t xml:space="preserve">、</w:t>
      </w:r>
      <w:r>
        <w:rPr>
          <w:rFonts w:hint="eastAsia" w:ascii="仿宋" w:hAnsi="仿宋" w:eastAsia="仿宋" w:cs="仿宋"/>
          <w:b w:val="0"/>
          <w:bCs/>
          <w:color w:val="auto"/>
          <w:sz w:val="24"/>
          <w:szCs w:val="24"/>
          <w:highlight w:val="none"/>
          <w:lang w:val="zh-CN" w:eastAsia="zh-CN" w:bidi="ar-SA"/>
        </w:rPr>
        <w:t xml:space="preserve">流量统计、巨帧传输、风暴抑制、环网自愈等功能；</w:t>
      </w:r>
      <w:r>
        <w:rPr>
          <w:rFonts w:hint="eastAsia" w:ascii="仿宋" w:hAnsi="仿宋" w:eastAsia="仿宋" w:cs="仿宋"/>
          <w:b w:val="0"/>
          <w:bCs/>
          <w:color w:val="auto"/>
          <w:sz w:val="24"/>
          <w:szCs w:val="24"/>
          <w:highlight w:val="none"/>
          <w:lang w:val="en-US" w:eastAsia="zh-CN" w:bidi="ar-SA"/>
        </w:rPr>
        <w:t xml:space="preserve">检测依据：GB/T30094-2013《工业以太网交换机技术规范》</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（4）支持设备准入，支持未认证新设备接入告警与阻断</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（5）支持-40~85℃温度范围满负载工作，通过国家安全防范报警系统产品质量检测；</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（6）工业四级电磁兼容设计，IP40 防护等级；</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（7）支持双电源冗余输入，支持电源过载防反接保护；</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（8）支持SNMP，并通过平台对设备进行批量配置、具备设备告警、IP 地址管理，自动生成包括终端设备在内的监控拓扑等功能。</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1.4收发器</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（1）千兆电口≥1个，千兆光口≥1个，传输距离大于 20km；</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（2）所有端口不同帧长度均具备线速转发能力，整机吞吐量 100%，重载丢包率为0；</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（3）支持 12000beys 巨帧传输、环网自愈、风暴抑制、VLAN 划分、流量统计等功能；</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（4）支持-40~85℃温度范围满负载工作；</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（5）工业四级电磁兼容设计；</w:t>
      </w:r>
      <w:r/>
    </w:p>
    <w:p>
      <w:pPr>
        <w:ind w:firstLine="422"/>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zh-CN" w:bidi="ar-SA"/>
        </w:rPr>
      </w:pPr>
      <w:r>
        <w:rPr>
          <w:rFonts w:hint="eastAsia" w:ascii="仿宋" w:hAnsi="仿宋" w:eastAsia="仿宋" w:cs="仿宋"/>
          <w:b w:val="0"/>
          <w:bCs/>
          <w:color w:val="auto"/>
          <w:sz w:val="24"/>
          <w:szCs w:val="24"/>
          <w:highlight w:val="none"/>
          <w:lang w:val="zh-CN" w:eastAsia="zh-CN" w:bidi="ar-SA"/>
        </w:rPr>
        <w:t xml:space="preserve">（6）支持双电源冗余输入，支持电源过载防反接保护。</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1.5 网络摄像机</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（1）全彩筒型网络摄像机，采用全彩级高灵敏度传感器，F1.0超大光圈镜头，最高分辨率可达400万像素，并在此分辨率下可输出25 fps实时图像，图像更流畅；</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（2）支持区域入侵侦测，越界侦测，进入区域侦测，离开区域侦测；</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（3）支持萤石云平台接入；</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（4）支持背光补偿，强光抑制，3D数字降噪，120 dB宽动态适应不同环境；</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（5）1个内置麦克风，高清拾音；</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（6）支持柔光灯补光，照射距离最远可达30m；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（7）符合IP67防尘防水设计，可靠性高；</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（8）传感器类型：1/1.8" Progressive Scan CMOS；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（9）最低照度：彩色：0.0005 Lux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（10）宽动态：120 dB；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（11）景深范围：</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2.8 mm：2.5 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 mm：2.8 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 mm：6.8 m~∞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 mm：8.8 m~135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（12）焦距&amp;视场角：</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2.8 mm，水平视场角：105°，垂直视场角：55°，对角视场角：125°</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 mm，水平视场角：89°，垂直视场角：48°，对角视场角：104°</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 mm，水平视场角：55°，垂直视场角：29°，对角视场角：64°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 mm，水平视场角：41°，垂直视场角：23°，对角视场角：47°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（13）补光距离：最远可达30m；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（14）防补光过曝：支持；</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（15）补光灯类型：柔光灯；</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（16）最大图像尺寸：2560 × 1440；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（17）视频压缩标准：主码流：H.265/H.264，支持超级智能编码；</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（18）子码流：H.265/H.264/MJPEG；</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（19）第三码流：H.265/H.264；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（20）音频：1个内置麦克风；</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（21）网络：1个RJ45 10 M/100 M自适应以太网口；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（22）恢复出厂设置：支持客户端或浏览器恢复；</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（23）启动和工作温湿度：-30 ℃~60 ℃，湿度小于95%（无凝结）；</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（24）供电方式：DC：12 V ± 25%，支持防反接保护；</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（25）电流及功耗：DC：12 V，0.54 A，最大功耗：6.5 W；</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（26）电源接口类型：Ø5.5 mm圆口；</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（27）产品尺寸：2.8 mm焦距段型号： 182.8 × 92.7 × 87.6 mm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（28）其他焦距段型号： 189.4 × 92.7 × 87.6 mm；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（29）包装尺寸：235 × 120 × 125 mm；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（30）设备重量：620 g；</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（31）带包装重量：826 g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（32）防护：IP67；</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（33）具有日夜场景自适应功能，在白天和夜晚环境下，样机均可输出彩色图像，在夜晚自动开启补光灯条件下，夜晚图像清晰度应不低于白天图像清晰度的95%；</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补光灯灯杯采用双层透镜结构，外表平面为柔光层，采用复眼式微透镜阵列，具有六边形阵列纹路;下层束光层为鳞甲TIR透镜，内壁具有鳞甲阵列纹路，补光灯开启后，灯光应为椭圆形形状，且补光灯均匀无波纹状、圆环状、麻点状、条纹状和不规则亮斑；</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35）★具有图像自动调节（AI-ISP）功能：具有AI-ISP图像质量提升功能，在低照度环境下，可自动调节预览场景视频画面中人脸、人体、车辆等目标及预览场景视频画面的区域曝光、亮度、色彩饱和度、对比度、锐度等。</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en-US" w:eastAsia="zh-CN"/>
        </w:rPr>
        <w:t xml:space="preserve">GB/T30147-2013 《安防监控视频实时智能分析设备技术要求》</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1.6 球型摄像机</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（1）支持1/2.8" 400万23倍光学变焦镜头，采用高效补光阵列，低功耗，红外补光150 m，白光补光100m；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（2）支持区域入侵侦测、越界侦测、进入区域侦测和离开区域侦等智能侦测并联动跟随；</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（3）适用于交通道路，广场、公园、出入口、园区周界等场景；</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（4）支持深度学习算法，提供精准的人车分类侦测、报警、联动球机镜头进行快速查看；</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（5）支持切换为人脸抓拍模式，最大同时抓拍5张人脸；</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（6）支持人车检测信息叠加至码流，配合Smart NVR实现图搜或文搜的功能；</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（7）内置加热玻璃，有效除雾；</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（8）支持最大2560 × 1440 @30 fps高清画面输出；</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（9）支持超低照度，0.005 Lux @F1.5（彩色），0.001 Lux @F1.5（黑白），0 Lux with IR；</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（10）支持23倍光学变倍，16倍数字变倍；</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（11）支持ONVIF，ISAPI，GB28181-2022，SDK，ISUP（5.0），萤石；</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（12）支持两进一出报警、一进一出音频、最大支持512 GB MicroSD卡存储；</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（13）IP66，符合GB/T 17626.5 认证标准；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（14）传感器类型：1/2.8" Progressive Scan CMOS；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（15）最低照度：彩色：0.005 Lux @ （F1.5，AGC ON）；黑白：0.001 Lux @（F1.5，AGC ON）；0 Lux with IR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（16）焦距：5.9 mm~135.7 mm，23倍光学变倍；</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（17）视场角：</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水平视场角：60.2°~3.4°（广角~望远）</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垂直视场角：35.2°~1.8°（广角~望远）</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对角视场角：67.4°~3.6°（广角~望远）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（18）补光灯距离：红外：150m；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（19）白光：100m；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（20）防补光过曝：支持；</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（21）补光灯类型：红外，白光补光；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（22）红外波长范围：850nm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（23）水平范围：360°；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（24）垂直范围：-15°-90°（自动翻转）；</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（25）水平速度：水平键控速度：0.1°-160 °/s，速度可设；水平预置点速度：240 °/s；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（26）垂直速度：垂直键控速度：0.1°-120 °/s，速度可设；垂直预置点速度：200 °/s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（27）主码流帧率分辨率：</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50 Hz：25 fps（2560 × 1440，1920 × 1080，1280 × 960，1280 × 720）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60 Hz：30 fps（2560 × 1440，1920 × 1080，1280 × 960，1280 × 720）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（28）视频压缩标准：H.265，Smart265，H.264，Smart264，MJPEG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（29）宽动态：支持真宽动态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（30）网络接口：RJ45网口，自适应10 M/100 M网络数据；</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（31）SD卡扩展：内置MicroSD卡插槽，支持MicroSD/MicroSDHC/MicroSDXC卡（最大支持512 GB）；</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（32）报警：2路报警输入，1路报警输出；</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（33）音频：1路音频输入，音频峰值：2-2.4 V[p-p]，输入阻抗：1 kΩ±10%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（34）1路音频输出，线性电平，阻抗：600 Ω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（35）电流及功耗：DC：36 V；最大功耗：24 W（其中红外灯最大功耗：9W）；</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（36）工作温湿度：-30°C~65 °C；湿度小于90%（无凝结）；</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（37）除雾：加热玻璃除雾；</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（38）尺寸：Ø220 × 353.4 mm；</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（39）重量：4.5 kg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（40）防护：IP66，符合GB/T 17626.5 认证标准。</w:t>
      </w:r>
      <w:r/>
    </w:p>
    <w:p>
      <w:pPr>
        <w:ind w:firstLine="422"/>
        <w:jc w:val="left"/>
        <w:keepLines w:val="0"/>
        <w:keepNext w:val="0"/>
        <w:pageBreakBefore w:val="0"/>
        <w:spacing w:line="360" w:lineRule="auto"/>
        <w:widowControl w:val="off"/>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（41）★具有视频输出基本要求，分辨力不小于1400线（分辨率设置为2560×1440，帧率设置为25fps、码率设置为6Mbps、RJ45输出）。</w:t>
      </w:r>
      <w:r>
        <w:rPr>
          <w:rFonts w:hint="eastAsia" w:ascii="仿宋" w:hAnsi="仿宋" w:eastAsia="仿宋" w:cs="仿宋"/>
          <w:b w:val="0"/>
          <w:bCs/>
          <w:color w:val="auto"/>
          <w:sz w:val="24"/>
          <w:szCs w:val="24"/>
          <w:highlight w:val="none"/>
          <w:lang w:val="en-US" w:eastAsia="zh-CN" w:bidi="ar-SA"/>
        </w:rPr>
        <w:t xml:space="preserve">检测依据：</w:t>
      </w:r>
      <w:r>
        <w:rPr>
          <w:rFonts w:hint="eastAsia" w:ascii="仿宋" w:hAnsi="仿宋" w:eastAsia="仿宋" w:cs="仿宋"/>
          <w:b w:val="0"/>
          <w:bCs/>
          <w:color w:val="auto"/>
          <w:sz w:val="24"/>
          <w:szCs w:val="24"/>
          <w:highlight w:val="none"/>
          <w:lang w:val="en-US" w:eastAsia="zh-CN"/>
        </w:rPr>
        <w:t xml:space="preserve">GA/T645-2014《安全防范监控变速球型摄像机》</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1.7机动车信号灯（满屏）</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（1）信号灯由红黄绿三个满屏灯组成，外型尺寸为640×1540mm，发光单元尺寸不小于Φ365mm，发光单元使用的LED芯片为四元素技术制造。</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（2）每个发光灯具外壳为高分子材料制作，印刷电路板为阻燃材料制作且经过三防处理。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（3）LED色度性能：红、黄、绿三种颜色符合GB14887-2011《道路交通信号灯》1级1类要求。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（4）单只LED发光强度红、黄色不得小于3cd；绿色不得小于6cd。</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（5）光强符合GB14887-2011《道路交通信号灯》对宽角度信号灯的光强标准。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（7）工作电压：AC 85-265V，50Hz/60Hz；在工作电压下，通过每只LED的电流符合LED厂商要求的正常工作电流范围。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（8）LED灯珠颗数：红色=180pcs，黄色=180pcs，绿色=180pcs。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（9）功率：红色≤8w，黄色≤8w，绿色≤10w。</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（10）功率因数：红色≥0.90，黄色≥0.90，绿色≥0.92。</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（11）信号灯发光单元的启动响应时间不大于50ms，关闭响应时间不大于50ms。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（12）外壳防护等级不低于IP55，发光单元防护等级不低于IP65。</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（13）采用恒压电源，在工作电压AC85-265V范围内，通过每个LED发光管的电流变化小于1毫安。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（14）每个发光单元的引线，采用符合国家电工标准的导线，线径不小于0.75平方毫米，红、黄、绿色的三种发光单元除回路线外应分别用红、黄、绿色的电缆线。</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（15）工作温度：-40℃~+80℃。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（16）工作湿度：＜90%rh。</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（17）信号灯具有夜间降光功能：根据环境光自动调整信号灯亮度，夜间自动降光。</w:t>
      </w:r>
      <w:r/>
    </w:p>
    <w:p>
      <w:pPr>
        <w:ind w:firstLine="422"/>
        <w:jc w:val="left"/>
        <w:keepLines w:val="0"/>
        <w:keepNext w:val="0"/>
        <w:pageBreakBefore w:val="0"/>
        <w:spacing w:line="360" w:lineRule="auto"/>
        <w:widowControl w:val="off"/>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18）★具有发光二极管(LED)失效检测功能：以额定工作电压或夜间降光时工作电压给信号灯发光单元供电，30min后分别随机熄灭每种颜色发光单元中50%的发光二极管（LED），信号灯应能自动熄灭该发光单元上所有的发光二极管（LED），并且应在1s内在输入电源引线两端产生至少250kΩ的阻抗。检测依据:GB14887-2011《道路交通信号灯》</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19）灯具发光单元凸置，设遮光罩。由于信号灯所用的LED发光管直接裸露在外面，因此需要特殊的防水措施，对每个独立的发光单元需要特制的成型塑料外框，再通过硅胶圈密封，保证信号灯在使用寿命内不漏水、不变形。</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（20）壳体材质要求：外壳材质采用铝合金压铸灯箱，与信号灯杆连接固定的安装支架采用热镀锌钢结构件，其灯壳颜色宜采用黑色。</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（21）采用智能信号灯电源，具备脉冲屏蔽功能，当信号灯出现配合后程倒计时工作的脉冲时保持信号灯正常显示。</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1.8方向指示信号灯</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（1）信号灯由红黄绿三个满屏灯组成，外型尺寸为640×1540mm，发光单元尺寸不小于Φ365mm，发光单元使用的LED芯片为四元素技术制造。</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（2）每个发光灯具外壳为高分子材料制作，印刷电路板为阻燃材料制作且经过三防处理。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（3）LED色度性能：红、黄、绿三种颜色符合GB14887-2011《道路交通信号灯》1级1类要求。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（4）单只LED发光强度红、黄色不得小于3cd；绿色不得小于6cd。</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（5）光强符合GB14887-2011《道路交通信号灯》对宽角度信号灯的光强标准。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（7）工作电压：AC 85-265V，50Hz/60Hz；在工作电压下，通过每只LED的电流符合LED厂商要求的正常工作电流范围。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（8）LED灯珠颗数：红色=90pcs，黄色=90pcs，绿色=90pcs。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（9）功率：红色≤12w，黄色≤12w，绿色≤6w。</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（10）功率因数：红色≥0.99，黄色≥0.99，绿色≥0.98。</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（11）信号灯发光单元的启动响应时间不大于50ms，关闭响应时间不大于50ms。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（12）外壳防护等级不低于IP55，发光单元防护等级不低于IP65。</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（13）采用恒压电源，在工作电压AC85-265V范围内，通过每个LED发光管的电流变化小于1毫安。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（14）每个发光单元的引线，采用符合国家电工标准的导线，线径不小于0.75平方毫米，红、黄、绿色的三种发光单元除回路线外应分别用红、黄、绿色的电缆线。</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（15）工作温度：-40℃~+80℃。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（16）工作湿度：＜90%rh。</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（17）信号灯具有夜间降光功能：根据环境光自动调整信号灯亮度，夜间自动降光。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（18）信号灯具有发光二极管(LED)失效检测功能：当发光单元上的反光LED灯故障率达到50%时，该发光单元自动全部熄灭。</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19）灯具发光单元凸置，设遮光罩。由于信号灯所用的LED发光管直接裸露在外面，因此需要特殊的防水措施，对每个独立的发光单元需要特制的成型塑料外框，再通过硅胶圈密封，保证信号灯在使用寿命内不漏水、不变形。</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（20）壳体材质要求：外壳材质采用铝合金压铸灯箱，与信号灯杆连接固定的安装支架采用热镀锌钢结构件，其灯壳颜色宜采用黑色。</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（21）采用智能信号灯电源，具备脉冲屏蔽功能，当信号灯出现配合后程倒计时工作的脉冲时保持信号灯正常显示。</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1.9人行横道信号灯</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（1）人行信号灯由上下两联灯组成，上联为红色人行，下联为绿色人行，绿色可为动态。外型尺寸为350×700mm，发光单元尺寸不小于Φ275mm，发光单元使用的LED芯片必须是用四元素技术制造的。</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（2）每个发光灯具外壳为高分子材料制作，印刷电路板为阻燃材料制作且经过三防处理。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（3）LED色度性能：红、黄、绿三种颜色符合GB14887-2011《道路交通信号灯》1级1类要求。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（4）单只LED发光强度红、黄色不得小于3cd；绿色不得小于6cd。</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（5）光强符合GB14887-2011《道路交通信号灯》对宽角度信号灯的光强标准。</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（7）工作电压：AC 85-265V，50Hz/60Hz；在工作电压下，通过每只LED的电流符合LED厂商要求的正常工作电流范围。 </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（8）LED灯珠颗数：红色人行灯=76pcs，绿色人行灯=72pcs。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（9）功率：红色人行灯≤4w，绿色人行灯≤4w。</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（10）功率因数：红色≥0.98，绿色≥0.98。</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（11）信号灯发光单元的启动响应时间不大于50ms，关闭响应时间不大于50ms。</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（12）外壳防护等级不低于IP55，发光单元防护等级不低于IP65。</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（13）采用恒压电源，在工作电压AC85-265V范围内，通过每个LED发光管的电流变化小于1毫安。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（14）每个发光单元的引线，采用符合国家电工标准的导线，线径不小于0.75平方毫米，红、黄、绿色的三种发光单元除回路线外应分别用红、黄、绿色的电缆线。</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（15）工作温度：-40℃~+80℃。</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（16）工作湿度：＜90%rh。</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（17）信号灯具有夜间降光功能：根据环境光自动调整信号灯亮度，夜间自动降光。</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（18）信号灯具有发光二极管(LED)失效检测功能：当发光单元上的反光LED灯故障率达到50%时，该发光单元自动全部熄灭。</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19）灯具发光单元凸置，设遮光罩。由于信号灯所用的LED发光管直接裸露在外面，因此需要特殊的防水措施，对每个独立的发光单元需要特制的成型塑料外框，再通过硅胶圈密封，保证信号灯在使用寿命内不漏水、不变形。</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（20）壳体材质要求：外壳材质采用铝合金压铸灯箱，与信号灯杆连接固定的安装支架采用热镀锌钢结构件，其灯壳颜色宜采用黑色。</w:t>
      </w:r>
      <w:r/>
    </w:p>
    <w:p>
      <w:pPr>
        <w:ind w:firstLine="42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（21）采用智能信号灯电源，具备脉冲屏蔽功能，当信号灯出现配合后程倒计时工作的脉冲时保持信号灯正常显示。</w:t>
      </w:r>
      <w:r/>
    </w:p>
    <w:p>
      <w:pPr>
        <w:ind w:firstLine="422"/>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color w:val="auto"/>
          <w:sz w:val="24"/>
          <w:szCs w:val="24"/>
          <w:highlight w:val="none"/>
          <w:lang w:val="zh-CN" w:eastAsia="zh-CN" w:bidi="ar-SA"/>
        </w:rPr>
        <w:t xml:space="preserve">2、信号灯杆件要求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）信号灯杆杆体采用Q235优质碳素结构钢制造，材质必须符合GB700-</w:t>
      </w:r>
      <w:r>
        <w:rPr>
          <w:rFonts w:hint="eastAsia" w:ascii="仿宋" w:hAnsi="仿宋" w:eastAsia="仿宋" w:cs="仿宋"/>
          <w:color w:val="auto"/>
          <w:sz w:val="24"/>
          <w:szCs w:val="24"/>
          <w:highlight w:val="none"/>
          <w:lang w:val="en-US" w:eastAsia="zh-CN" w:bidi="ar-SA"/>
        </w:rPr>
        <w:t xml:space="preserve">2006</w:t>
      </w:r>
      <w:r>
        <w:rPr>
          <w:rFonts w:hint="eastAsia" w:ascii="仿宋" w:hAnsi="仿宋" w:eastAsia="仿宋" w:cs="仿宋"/>
          <w:color w:val="auto"/>
          <w:sz w:val="24"/>
          <w:szCs w:val="24"/>
          <w:highlight w:val="none"/>
          <w:lang w:val="zh-CN" w:eastAsia="zh-CN" w:bidi="ar-SA"/>
        </w:rPr>
        <w:t xml:space="preserve">标准要求；所有杆体截面均应满足设计要求。要防雨水、防潮湿、防强风、尘、防雷电、防腐蚀，安全可靠，寿命长。</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）灯杆为热镀锌钢管，钢管壁厚度不少于</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mm，悬臂厚度不少于</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mm（带弧度）；</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）各种杆的表面及组件的焊接口为满焊，杆体焊接必须符合国家行业标准，焊体表面无裂纹、气孔、夹渣，焊缝均匀丰满美观。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）安装各部件连接紧密，吊装时不得损坏杆表层。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）长臂杆的横杆与立杆连接螺栓必须使用符合国际标准，横杆末端承重不少于1OOKG。</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3.产品样式及尺寸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仿宋" w:hAnsi="仿宋" w:eastAsia="仿宋" w:cs="仿宋"/>
          <w:color w:val="auto"/>
          <w:sz w:val="24"/>
          <w:szCs w:val="24"/>
          <w:highlight w:val="none"/>
          <w:lang w:val="zh-CN" w:eastAsia="zh-CN" w:bidi="ar-SA"/>
        </w:rPr>
        <w:t xml:space="preserve">产品样式示意图：（含灯具裙边，根据实际情况确定是否需要安装）</w:t>
      </w:r>
      <w:r/>
    </w:p>
    <w:p>
      <w:pPr>
        <w:ind w:firstLine="2160"/>
        <w:jc w:val="left"/>
        <w:keepLines w:val="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mc:AlternateContent>
          <mc:Choice Requires="wpg">
            <w:drawing>
              <wp:inline xmlns:wp="http://schemas.openxmlformats.org/drawingml/2006/wordprocessingDrawing" distT="0" distB="0" distL="0" distR="0">
                <wp:extent cx="584835" cy="1626870"/>
                <wp:effectExtent l="0" t="0" r="9525"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584835" cy="162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0pt;height:128.1pt;mso-wrap-distance-left:0.0pt;mso-wrap-distance-top:0.0pt;mso-wrap-distance-right:0.0pt;mso-wrap-distance-bottom:0.0pt;" stroked="f">
                <v:path textboxrect="0,0,0,0"/>
                <v:imagedata r:id="rId16" o:title=""/>
              </v:shape>
            </w:pict>
          </mc:Fallback>
        </mc:AlternateContent>
      </w:r>
      <w:r>
        <w:rPr>
          <w:rFonts w:ascii="宋体" w:hAnsi="宋体" w:eastAsia="宋体" w:cs="Times New Roman"/>
          <w:color w:val="auto"/>
          <w:sz w:val="24"/>
          <w:szCs w:val="21"/>
          <w:highlight w:val="none"/>
        </w:rPr>
        <mc:AlternateContent>
          <mc:Choice Requires="wpg">
            <w:drawing>
              <wp:inline xmlns:wp="http://schemas.openxmlformats.org/drawingml/2006/wordprocessingDrawing" distT="0" distB="0" distL="0" distR="0">
                <wp:extent cx="595630" cy="1638300"/>
                <wp:effectExtent l="0" t="0" r="1397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595630" cy="163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9pt;height:129.0pt;mso-wrap-distance-left:0.0pt;mso-wrap-distance-top:0.0pt;mso-wrap-distance-right:0.0pt;mso-wrap-distance-bottom:0.0pt;" stroked="f">
                <v:path textboxrect="0,0,0,0"/>
                <v:imagedata r:id="rId17" o:title=""/>
              </v:shape>
            </w:pict>
          </mc:Fallback>
        </mc:AlternateContent>
      </w:r>
      <w:r>
        <w:rPr>
          <w:rFonts w:ascii="宋体" w:hAnsi="宋体" w:eastAsia="宋体" w:cs="Times New Roman"/>
          <w:color w:val="auto"/>
          <w:sz w:val="24"/>
          <w:szCs w:val="21"/>
          <w:highlight w:val="none"/>
        </w:rPr>
        <mc:AlternateContent>
          <mc:Choice Requires="wpg">
            <w:drawing>
              <wp:inline xmlns:wp="http://schemas.openxmlformats.org/drawingml/2006/wordprocessingDrawing" distT="0" distB="0" distL="0" distR="0">
                <wp:extent cx="1084580" cy="1553210"/>
                <wp:effectExtent l="0" t="0" r="12700" b="1270"/>
                <wp:docPr id="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r/>
                      </pic:nvPicPr>
                      <pic:blipFill>
                        <a:blip r:embed="rId18"/>
                        <a:stretch/>
                      </pic:blipFill>
                      <pic:spPr bwMode="auto">
                        <a:xfrm>
                          <a:off x="0" y="0"/>
                          <a:ext cx="1084580" cy="15532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4pt;height:122.3pt;mso-wrap-distance-left:0.0pt;mso-wrap-distance-top:0.0pt;mso-wrap-distance-right:0.0pt;mso-wrap-distance-bottom:0.0pt;" stroked="f">
                <v:path textboxrect="0,0,0,0"/>
                <v:imagedata r:id="rId18" o:title=""/>
              </v:shape>
            </w:pict>
          </mc:Fallback>
        </mc:AlternateContent>
      </w:r>
      <w:r/>
    </w:p>
    <w:p>
      <w:pPr>
        <w:ind w:firstLine="200"/>
        <w:jc w:val="left"/>
        <w:keepLines w:val="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             </w:t>
      </w:r>
      <w:r>
        <w:rPr>
          <w:rFonts w:ascii="宋体" w:hAnsi="宋体" w:eastAsia="宋体" w:cs="Times New Roman"/>
          <w:color w:val="auto"/>
          <w:sz w:val="24"/>
          <w:szCs w:val="21"/>
          <w:highlight w:val="none"/>
        </w:rPr>
        <mc:AlternateContent>
          <mc:Choice Requires="wpg">
            <w:drawing>
              <wp:inline xmlns:wp="http://schemas.openxmlformats.org/drawingml/2006/wordprocessingDrawing" distT="0" distB="0" distL="0" distR="0">
                <wp:extent cx="2522220" cy="1917700"/>
                <wp:effectExtent l="0" t="0" r="7620" b="254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9"/>
                        <a:stretch/>
                      </pic:blipFill>
                      <pic:spPr bwMode="auto">
                        <a:xfrm>
                          <a:off x="0" y="0"/>
                          <a:ext cx="2522220" cy="191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8.6pt;height:151.0pt;mso-wrap-distance-left:0.0pt;mso-wrap-distance-top:0.0pt;mso-wrap-distance-right:0.0pt;mso-wrap-distance-bottom:0.0pt;" stroked="f">
                <v:path textboxrect="0,0,0,0"/>
                <v:imagedata r:id="rId19" o:title=""/>
              </v:shape>
            </w:pict>
          </mc:Fallback>
        </mc:AlternateConten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color w:val="auto"/>
          <w:sz w:val="24"/>
          <w:szCs w:val="24"/>
          <w:highlight w:val="none"/>
          <w:lang w:val="en-US" w:eastAsia="zh-CN" w:bidi="ar-SA"/>
        </w:rPr>
        <w:t xml:space="preserve">4、</w:t>
      </w:r>
      <w:r>
        <w:rPr>
          <w:rFonts w:hint="eastAsia" w:ascii="仿宋" w:hAnsi="仿宋" w:eastAsia="仿宋" w:cs="仿宋"/>
          <w:b/>
          <w:color w:val="auto"/>
          <w:sz w:val="24"/>
          <w:szCs w:val="24"/>
          <w:highlight w:val="none"/>
          <w:lang w:val="zh-CN" w:eastAsia="zh-CN" w:bidi="ar-SA"/>
        </w:rPr>
        <w:t xml:space="preserve">设计要求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灯杆、基础、法兰盘、地脚螺栓、螺母、垫片和加强筋等部件的尺寸、强度等性能指标应根据信号灯安装方式及悬臂长度确定，应由有相关资质单位进行设计。</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若采用悬臂、支撑臂、拉杆等结构形式，悬臂、支撑臂、拉杆的尺寸、强度等性能指标应由有相关资质单位进行设计。</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b/>
          <w:color w:val="auto"/>
          <w:sz w:val="24"/>
          <w:szCs w:val="24"/>
          <w:highlight w:val="none"/>
          <w:lang w:val="en-US" w:eastAsia="zh-CN" w:bidi="ar-SA"/>
        </w:rPr>
        <w:t xml:space="preserve">5、</w:t>
      </w:r>
      <w:r>
        <w:rPr>
          <w:rFonts w:hint="eastAsia" w:ascii="仿宋" w:hAnsi="仿宋" w:eastAsia="仿宋" w:cs="仿宋"/>
          <w:b/>
          <w:color w:val="auto"/>
          <w:sz w:val="24"/>
          <w:szCs w:val="24"/>
          <w:highlight w:val="none"/>
          <w:lang w:val="zh-CN" w:eastAsia="zh-CN" w:bidi="ar-SA"/>
        </w:rPr>
        <w:t xml:space="preserve">信号灯施工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）密封件耐腐蚀，密封效果好,信号灯的附属金属结构件和标准紧固件，使用耐腐蚀金属材料，与悬臂灯杆连接的安装支架采用热镀锌结构耐腐蚀材料。</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）地下电缆在拐弯处以及杆件、信号机基础边设置手井，手井盖有明显的信号灯标识，且行车道使用钢筋混凝土材质。井底应设有渗水孔，手井中管道口应高于井底20cm，电线在井中应作盘留。</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）管道和基础的开挖应按照路口坡度和标高或按使用方的要求施工。回填必须至少恢复到原来地面标准并夯实。地埋管横过道路采用机械顶管时，埋Φ75mm厚壁管。管线铺设深度为0.7米。</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）所有信号灯柱基础混凝土为</w:t>
      </w:r>
      <w:r>
        <w:rPr>
          <w:rFonts w:hint="eastAsia" w:ascii="仿宋" w:hAnsi="仿宋" w:eastAsia="仿宋" w:cs="仿宋"/>
          <w:color w:val="auto"/>
          <w:sz w:val="24"/>
          <w:szCs w:val="24"/>
          <w:highlight w:val="none"/>
          <w:lang w:val="en-US" w:eastAsia="zh-CN" w:bidi="ar-SA"/>
        </w:rPr>
        <w:t xml:space="preserve">C30及</w:t>
      </w:r>
      <w:r>
        <w:rPr>
          <w:rFonts w:hint="eastAsia" w:ascii="仿宋" w:hAnsi="仿宋" w:eastAsia="仿宋" w:cs="仿宋"/>
          <w:color w:val="auto"/>
          <w:sz w:val="24"/>
          <w:szCs w:val="24"/>
          <w:highlight w:val="none"/>
          <w:lang w:val="zh-CN" w:eastAsia="zh-CN" w:bidi="ar-SA"/>
        </w:rPr>
        <w:t xml:space="preserve">以上</w:t>
      </w:r>
      <w:r>
        <w:rPr>
          <w:rFonts w:hint="eastAsia" w:ascii="仿宋" w:hAnsi="仿宋" w:eastAsia="仿宋" w:cs="仿宋"/>
          <w:color w:val="auto"/>
          <w:sz w:val="24"/>
          <w:szCs w:val="24"/>
          <w:highlight w:val="none"/>
          <w:lang w:val="en-US" w:eastAsia="zh-CN" w:bidi="ar-SA"/>
        </w:rPr>
        <w:t xml:space="preserve">混凝土</w:t>
      </w:r>
      <w:r>
        <w:rPr>
          <w:rFonts w:hint="eastAsia" w:ascii="仿宋" w:hAnsi="仿宋" w:eastAsia="仿宋" w:cs="仿宋"/>
          <w:color w:val="auto"/>
          <w:sz w:val="24"/>
          <w:szCs w:val="24"/>
          <w:highlight w:val="none"/>
          <w:lang w:val="zh-CN" w:eastAsia="zh-CN" w:bidi="ar-SA"/>
        </w:rPr>
        <w:t xml:space="preserve">。其中水泥为42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5＃普通硅酸盐水泥。混凝土的配比和最小水泥用量应符合GBJ204-83的规定。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）每一条灯杆都必须接地，其接地电阻＜10Ω。</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）预埋件地脚螺栓法兰盘以上的螺纹必须包扎好，以防损坏螺纹。根据预埋件安装图正确放置预埋件，保证悬臂灯杆的方向与行车道垂直。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）信号灯基础的混凝土浇注面平整度＜5㎜/ m。预埋件法兰盘低于周围地面50～80㎜或高出周围地面100～300㎜，以防止积水。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信号灯采用一灯一缆方式接线，地下铺设的电缆不得有接头，每根电缆线应留有3m－5m余量。地下电缆穿线管应当内套钢管或者波纹管，行车道用钢管，人行道以及绿化需要使用波纹管，穿线接头处应使用套管固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）按规定做好线缆的接头，使用防水胶布缠绕后套防水套管。灯杆的电缆线必须一线到底，中间不得存在接头。每根电缆线可留有2股至4股备用芯线。同一根电缆线两端应有相同标识。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）电缆沟的宽度≮500mm或以区市建设局的要求为准，深度以电缆穿线套管理置后其顶部距路面的距离≮450mm为准。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）机动车道的电缆沟修复应用</w:t>
      </w:r>
      <w:r>
        <w:rPr>
          <w:rFonts w:hint="eastAsia" w:ascii="仿宋" w:hAnsi="仿宋" w:eastAsia="仿宋" w:cs="仿宋"/>
          <w:color w:val="auto"/>
          <w:sz w:val="24"/>
          <w:szCs w:val="24"/>
          <w:highlight w:val="none"/>
          <w:lang w:val="en-US" w:eastAsia="zh-CN" w:bidi="ar-SA"/>
        </w:rPr>
        <w:t xml:space="preserve">C30及</w:t>
      </w:r>
      <w:r>
        <w:rPr>
          <w:rFonts w:hint="eastAsia" w:ascii="仿宋" w:hAnsi="仿宋" w:eastAsia="仿宋" w:cs="仿宋"/>
          <w:color w:val="auto"/>
          <w:sz w:val="24"/>
          <w:szCs w:val="24"/>
          <w:highlight w:val="none"/>
          <w:lang w:val="zh-CN" w:eastAsia="zh-CN" w:bidi="ar-SA"/>
        </w:rPr>
        <w:t xml:space="preserve">以上的混凝土修复，修复后的高度应高出0～5 mm，行人道和绿化带上的电缆沟，应按原地貌修复。使用硬质PE管做电缆管时，管的周围应有30～50 mm的混凝土的保护层。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sz w:val="24"/>
          <w:szCs w:val="24"/>
          <w:highlight w:val="none"/>
          <w:lang w:val="zh-CN" w:eastAsia="zh-CN" w:bidi="ar-SA"/>
        </w:rPr>
        <w:t xml:space="preserve">）信号灯杆旁、信号灯控制机旁、电缆拐弯处、电缆管直线长度超过60米时，或两端电缆管不在同一平面相距100㎜以上时，必须设置手井。</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b/>
          <w:color w:val="auto"/>
          <w:sz w:val="24"/>
          <w:szCs w:val="24"/>
          <w:highlight w:val="none"/>
          <w:lang w:val="en-US" w:eastAsia="zh-CN" w:bidi="ar-SA"/>
        </w:rPr>
        <w:t xml:space="preserve">6、</w:t>
      </w:r>
      <w:r>
        <w:rPr>
          <w:rFonts w:hint="eastAsia" w:ascii="仿宋" w:hAnsi="仿宋" w:eastAsia="仿宋" w:cs="仿宋"/>
          <w:b/>
          <w:color w:val="auto"/>
          <w:sz w:val="24"/>
          <w:szCs w:val="24"/>
          <w:highlight w:val="none"/>
          <w:lang w:val="zh-CN" w:eastAsia="zh-CN" w:bidi="ar-SA"/>
        </w:rPr>
        <w:t xml:space="preserve">信号机施工</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1</w:t>
      </w:r>
      <w:r>
        <w:rPr>
          <w:rFonts w:hint="eastAsia" w:ascii="仿宋" w:hAnsi="仿宋" w:eastAsia="仿宋" w:cs="仿宋"/>
          <w:b/>
          <w:bCs/>
          <w:color w:val="auto"/>
          <w:sz w:val="24"/>
          <w:szCs w:val="24"/>
          <w:highlight w:val="none"/>
          <w:lang w:val="zh-CN" w:eastAsia="zh-CN" w:bidi="ar-SA"/>
        </w:rPr>
        <w:t xml:space="preserve">）安装前的准备</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）信号灯安装，保证引线正确无误；</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zh-CN" w:eastAsia="zh-CN" w:bidi="ar-SA"/>
        </w:rPr>
        <w:tab/>
      </w:r>
      <w:r>
        <w:rPr>
          <w:rFonts w:hint="eastAsia" w:ascii="仿宋" w:hAnsi="仿宋" w:eastAsia="仿宋" w:cs="仿宋"/>
          <w:color w:val="auto"/>
          <w:sz w:val="24"/>
          <w:szCs w:val="24"/>
          <w:highlight w:val="none"/>
          <w:lang w:val="zh-CN" w:eastAsia="zh-CN" w:bidi="ar-SA"/>
        </w:rPr>
        <w:t xml:space="preserve">若有配电箱，须先安装好配电箱，在各个接线端上必须安装5A/220V的保险丝以确保信号机不因外部短路而损坏内部的线路，而且配电箱要有漏电保安器以确保信号供电安全；</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）在安装信号机位置，必须将信号机垫高至离地面不低于30厘米位置的基础或底座；</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）准备好一些1.5mm</w:t>
      </w:r>
      <w:r>
        <w:rPr>
          <w:rFonts w:hint="eastAsia" w:ascii="仿宋" w:hAnsi="仿宋" w:eastAsia="仿宋" w:cs="仿宋"/>
          <w:color w:val="auto"/>
          <w:sz w:val="24"/>
          <w:szCs w:val="24"/>
          <w:highlight w:val="none"/>
          <w:vertAlign w:val="superscript"/>
          <w:lang w:val="zh-CN" w:eastAsia="zh-CN" w:bidi="ar-SA"/>
        </w:rPr>
        <w:t xml:space="preserve">2</w:t>
      </w:r>
      <w:r>
        <w:rPr>
          <w:rFonts w:hint="eastAsia" w:ascii="仿宋" w:hAnsi="仿宋" w:eastAsia="仿宋" w:cs="仿宋"/>
          <w:color w:val="auto"/>
          <w:sz w:val="24"/>
          <w:szCs w:val="24"/>
          <w:highlight w:val="none"/>
          <w:lang w:val="zh-CN" w:eastAsia="zh-CN" w:bidi="ar-SA"/>
        </w:rPr>
        <w:t xml:space="preserve">的多股电缆和不低于2.5mm</w:t>
      </w:r>
      <w:r>
        <w:rPr>
          <w:rFonts w:hint="eastAsia" w:ascii="仿宋" w:hAnsi="仿宋" w:eastAsia="仿宋" w:cs="仿宋"/>
          <w:color w:val="auto"/>
          <w:sz w:val="24"/>
          <w:szCs w:val="24"/>
          <w:highlight w:val="none"/>
          <w:vertAlign w:val="superscript"/>
          <w:lang w:val="zh-CN" w:eastAsia="zh-CN" w:bidi="ar-SA"/>
        </w:rPr>
        <w:t xml:space="preserve">2</w:t>
      </w:r>
      <w:r>
        <w:rPr>
          <w:rFonts w:hint="eastAsia" w:ascii="仿宋" w:hAnsi="仿宋" w:eastAsia="仿宋" w:cs="仿宋"/>
          <w:color w:val="auto"/>
          <w:sz w:val="24"/>
          <w:szCs w:val="24"/>
          <w:highlight w:val="none"/>
          <w:lang w:val="zh-CN" w:eastAsia="zh-CN" w:bidi="ar-SA"/>
        </w:rPr>
        <w:t xml:space="preserve">双芯电缆；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）确认接线端子牢靠、无松动，保险丝安装牢靠；</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）按照路口交通状态设计好相位和时段。</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2</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color w:val="auto"/>
          <w:sz w:val="24"/>
          <w:szCs w:val="24"/>
          <w:highlight w:val="none"/>
          <w:lang w:val="zh-CN" w:eastAsia="zh-CN" w:bidi="ar-SA"/>
        </w:rPr>
        <w:t xml:space="preserve">信号机安装，信号机基础法兰盘尺寸图</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9.6pt;height:111.7pt;mso-wrap-distance-left:0.0pt;mso-wrap-distance-top:0.0pt;mso-wrap-distance-right:0.0pt;mso-wrap-distance-bottom:0.0pt;" filled="f" stroked="f">
            <v:path textboxrect="0,0,0,0"/>
            <v:imagedata r:id="rId20" o:title=""/>
          </v:shape>
          <o:OLEObject DrawAspect="Content" r:id="rId21" ObjectID="_1525046" ProgID="AutoCAD.Drawing.15" ShapeID="_x0000_i6" Type="Embed"/>
        </w:objec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信号机基础法兰盘尺寸图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根据路口的情况，将信号机机柜门朝向适当的方向，机柜安放在基础法兰盘上或底座上，固定好。</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3</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color w:val="auto"/>
          <w:sz w:val="24"/>
          <w:szCs w:val="24"/>
          <w:highlight w:val="none"/>
          <w:lang w:val="zh-CN" w:eastAsia="zh-CN" w:bidi="ar-SA"/>
        </w:rPr>
        <w:t xml:space="preserve">信号机接地</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号机内设有专门的接地端子，通过信号机与信号机基础连接的固定螺栓接入大地（地线设置可参照国家有关安全标准施工），根据国家室外电气设备的安全要求信号机基础的接地电阻应小于10欧姆；信号机内防雷接地与保护接地应分别接入大地。</w:t>
      </w:r>
      <w:r/>
    </w:p>
    <w:p>
      <w:pPr>
        <w:ind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4</w:t>
      </w:r>
      <w:r>
        <w:rPr>
          <w:rFonts w:hint="eastAsia" w:ascii="仿宋" w:hAnsi="仿宋" w:eastAsia="仿宋" w:cs="仿宋"/>
          <w:b/>
          <w:bCs/>
          <w:color w:val="auto"/>
          <w:sz w:val="24"/>
          <w:szCs w:val="24"/>
          <w:highlight w:val="none"/>
          <w:lang w:val="zh-CN" w:eastAsia="zh-CN" w:bidi="ar-SA"/>
        </w:rPr>
        <w:t xml:space="preserve">）信号机与外界设备的联接关系</w:t>
      </w:r>
      <w:r/>
    </w:p>
    <w:p>
      <w:pPr>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4184015" cy="2280920"/>
                <wp:effectExtent l="0" t="0" r="6985" b="508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22"/>
                        <a:stretch/>
                      </pic:blipFill>
                      <pic:spPr bwMode="auto">
                        <a:xfrm>
                          <a:off x="0" y="0"/>
                          <a:ext cx="4184015" cy="2280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29.4pt;height:179.6pt;mso-wrap-distance-left:0.0pt;mso-wrap-distance-top:0.0pt;mso-wrap-distance-right:0.0pt;mso-wrap-distance-bottom:0.0pt;" stroked="f">
                <v:path textboxrect="0,0,0,0"/>
                <v:imagedata r:id="rId22" o:title=""/>
              </v:shape>
            </w:pict>
          </mc:Fallback>
        </mc:AlternateContent>
      </w:r>
      <w:r/>
    </w:p>
    <w:p>
      <w:pPr>
        <w:ind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7、杆件安装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）灯杆与基础用法兰连接,灯杆及基础设计、施工均应满足设计要求。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）安装后立杆应保垂直,倾斜度不得超过±0.5 %。横杆垂直于路沿或按要求情况安装,横杆安装后应保持上仰2度。</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）各种规格的灯杆抗风速不得小于30M/S。</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）表面防腐采用热浸镀锌处理，镀锌层厚度≥86微米，使用寿命不低于15年。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）宜采用地锚混凝土式基础。地脚螺栓上端为螺纹，下端为夹角小于60°的折弯或其它类似防拔结构，地脚螺栓应焊接在下法兰盘上。</w:t>
      </w:r>
      <w:r/>
    </w:p>
    <w:p>
      <w:pPr>
        <w:ind w:left="0"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zh-CN" w:eastAsia="zh-CN" w:bidi="ar-SA"/>
        </w:rPr>
      </w:pPr>
      <w:r>
        <w:rPr>
          <w:rFonts w:hint="eastAsia" w:ascii="仿宋" w:hAnsi="仿宋" w:eastAsia="仿宋" w:cs="仿宋"/>
          <w:b/>
          <w:color w:val="auto"/>
          <w:sz w:val="24"/>
          <w:szCs w:val="24"/>
          <w:highlight w:val="none"/>
          <w:lang w:val="en-US" w:eastAsia="zh-CN" w:bidi="ar-SA"/>
        </w:rPr>
        <w:t xml:space="preserve">8</w:t>
      </w:r>
      <w:r>
        <w:rPr>
          <w:rFonts w:hint="eastAsia" w:ascii="仿宋" w:hAnsi="仿宋" w:eastAsia="仿宋" w:cs="仿宋"/>
          <w:b/>
          <w:color w:val="auto"/>
          <w:sz w:val="24"/>
          <w:szCs w:val="24"/>
          <w:highlight w:val="none"/>
          <w:lang w:val="zh-CN" w:eastAsia="zh-CN" w:bidi="ar-SA"/>
        </w:rPr>
        <w:t xml:space="preserve">、埋管铺设相关要求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项目施工过程中涉及到对绿化、道板、沥青路面的开挖恢复等工作，要求中标按照规定进行申报审批，按照绿化、市政等部门要求施工以及修复。新开道路路面、绿化设置管线，沥青路面、人行道板埋管要求：镀锌钢管DN50，不小于Φ60，管道需要用C</w:t>
      </w:r>
      <w:r>
        <w:rPr>
          <w:rFonts w:hint="eastAsia" w:ascii="仿宋" w:hAnsi="仿宋" w:eastAsia="仿宋" w:cs="仿宋"/>
          <w:color w:val="auto"/>
          <w:sz w:val="24"/>
          <w:szCs w:val="24"/>
          <w:highlight w:val="none"/>
          <w:lang w:val="en-US" w:eastAsia="zh-CN" w:bidi="ar-SA"/>
        </w:rPr>
        <w:t xml:space="preserve">30</w:t>
      </w:r>
      <w:r>
        <w:rPr>
          <w:rFonts w:hint="eastAsia" w:ascii="仿宋" w:hAnsi="仿宋" w:eastAsia="仿宋" w:cs="仿宋"/>
          <w:color w:val="auto"/>
          <w:sz w:val="24"/>
          <w:szCs w:val="24"/>
          <w:highlight w:val="none"/>
          <w:lang w:val="zh-CN" w:eastAsia="zh-CN" w:bidi="ar-SA"/>
        </w:rPr>
        <w:t xml:space="preserve">混凝土包封；绿化带埋管要求：硬质塑料PE管（不小于Φ50），C</w:t>
      </w:r>
      <w:r>
        <w:rPr>
          <w:rFonts w:hint="eastAsia" w:ascii="仿宋" w:hAnsi="仿宋" w:eastAsia="仿宋" w:cs="仿宋"/>
          <w:color w:val="auto"/>
          <w:sz w:val="24"/>
          <w:szCs w:val="24"/>
          <w:highlight w:val="none"/>
          <w:lang w:val="en-US" w:eastAsia="zh-CN" w:bidi="ar-SA"/>
        </w:rPr>
        <w:t xml:space="preserve">30</w:t>
      </w:r>
      <w:r>
        <w:rPr>
          <w:rFonts w:hint="eastAsia" w:ascii="仿宋" w:hAnsi="仿宋" w:eastAsia="仿宋" w:cs="仿宋"/>
          <w:color w:val="auto"/>
          <w:sz w:val="24"/>
          <w:szCs w:val="24"/>
          <w:highlight w:val="none"/>
          <w:lang w:val="zh-CN" w:eastAsia="zh-CN" w:bidi="ar-SA"/>
        </w:rPr>
        <w:t xml:space="preserve">混凝土包封。所有管线埋入深度车行道不低于70cm，其他位置埋入深度不低于50cm，埋入后对绿化、路面进行原样恢复。</w:t>
      </w:r>
      <w:r/>
    </w:p>
    <w:p>
      <w:pPr>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（二）</w:t>
      </w:r>
      <w:r>
        <w:rPr>
          <w:rFonts w:hint="eastAsia" w:ascii="仿宋" w:hAnsi="仿宋" w:eastAsia="仿宋" w:cs="仿宋"/>
          <w:b/>
          <w:bCs/>
          <w:color w:val="auto"/>
          <w:sz w:val="24"/>
          <w:szCs w:val="24"/>
          <w:highlight w:val="none"/>
        </w:rPr>
        <w:t xml:space="preserve">交通标</w:t>
      </w:r>
      <w:r>
        <w:rPr>
          <w:rFonts w:hint="eastAsia" w:ascii="仿宋" w:hAnsi="仿宋" w:eastAsia="仿宋" w:cs="仿宋"/>
          <w:b/>
          <w:bCs/>
          <w:color w:val="auto"/>
          <w:sz w:val="24"/>
          <w:szCs w:val="24"/>
          <w:highlight w:val="none"/>
          <w:lang w:val="en-US" w:eastAsia="zh-CN"/>
        </w:rPr>
        <w:t xml:space="preserve">线</w:t>
      </w:r>
      <w:r/>
    </w:p>
    <w:p>
      <w:pPr>
        <w:numPr>
          <w:ilvl w:val="0"/>
          <w:numId w:val="0"/>
        </w:num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1、技术要求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主要包括：</w:t>
      </w:r>
      <w:r>
        <w:rPr>
          <w:rFonts w:hint="eastAsia" w:ascii="仿宋" w:hAnsi="仿宋" w:eastAsia="仿宋" w:cs="仿宋"/>
          <w:color w:val="auto"/>
          <w:sz w:val="24"/>
          <w:szCs w:val="24"/>
          <w:highlight w:val="none"/>
        </w:rPr>
        <w:t xml:space="preserve">热熔标线的新建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冷喷标线的新建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原有标线的清除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文字、图案等特殊标线的施划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彩色路面（右转危险区标线）</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路面标线所用的材料应符合《路面标线涂料》（JT/T280—</w:t>
      </w:r>
      <w:r>
        <w:rPr>
          <w:rFonts w:hint="eastAsia" w:ascii="仿宋" w:hAnsi="仿宋" w:eastAsia="仿宋" w:cs="仿宋"/>
          <w:color w:val="auto"/>
          <w:sz w:val="24"/>
          <w:szCs w:val="24"/>
          <w:highlight w:val="none"/>
          <w:lang w:val="en-US" w:eastAsia="zh-CN"/>
        </w:rPr>
        <w:t xml:space="preserve">2022</w:t>
      </w:r>
      <w:r>
        <w:rPr>
          <w:rFonts w:hint="eastAsia" w:ascii="仿宋" w:hAnsi="仿宋" w:eastAsia="仿宋" w:cs="仿宋"/>
          <w:color w:val="auto"/>
          <w:sz w:val="24"/>
          <w:szCs w:val="24"/>
          <w:highlight w:val="none"/>
        </w:rPr>
        <w:t xml:space="preserve">）的规定。无论采用哪一种标线材料，应能满足在沥青混凝土、水泥混凝土路面上耐久使用的要求，且均应有合适的施工机械与之配套。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各类涂料的技术要求符合《路面标线涂料》（JT/T280—</w:t>
      </w:r>
      <w:r>
        <w:rPr>
          <w:rFonts w:hint="eastAsia" w:ascii="仿宋" w:hAnsi="仿宋" w:eastAsia="仿宋" w:cs="仿宋"/>
          <w:color w:val="auto"/>
          <w:sz w:val="24"/>
          <w:szCs w:val="24"/>
          <w:highlight w:val="none"/>
          <w:lang w:val="en-US" w:eastAsia="zh-CN"/>
        </w:rPr>
        <w:t xml:space="preserve">2022</w:t>
      </w:r>
      <w:r>
        <w:rPr>
          <w:rFonts w:hint="eastAsia" w:ascii="仿宋" w:hAnsi="仿宋" w:eastAsia="仿宋" w:cs="仿宋"/>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热熔型涂料用下涂剂（底油）品质应符合下表要求：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下涂剂（底油）品质要求               </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156"/>
        <w:gridCol w:w="2164"/>
        <w:gridCol w:w="2239"/>
      </w:tblGrid>
      <w:tr>
        <w:trPr>
          <w:jc w:val="center"/>
          <w:trHeight w:val="469"/>
        </w:trPr>
        <w:tc>
          <w:tcPr>
            <w:tcW w:w="239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颜色</w:t>
            </w:r>
            <w:r/>
          </w:p>
        </w:tc>
        <w:tc>
          <w:tcPr>
            <w:tcW w:w="215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固体含量（%）</w:t>
            </w:r>
            <w:r/>
          </w:p>
        </w:tc>
        <w:tc>
          <w:tcPr>
            <w:tcW w:w="216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涂面量（g/m2）</w:t>
            </w:r>
            <w:r/>
          </w:p>
        </w:tc>
        <w:tc>
          <w:tcPr>
            <w:tcW w:w="223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干燥时间（min）</w:t>
            </w:r>
            <w:r/>
          </w:p>
        </w:tc>
      </w:tr>
      <w:tr>
        <w:trPr>
          <w:jc w:val="center"/>
          <w:trHeight w:val="479"/>
        </w:trPr>
        <w:tc>
          <w:tcPr>
            <w:tcW w:w="2396"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无色透明或琥珀液体</w:t>
            </w:r>
            <w:r/>
          </w:p>
        </w:tc>
        <w:tc>
          <w:tcPr>
            <w:tcW w:w="215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30±5</w:t>
            </w:r>
            <w:r/>
          </w:p>
        </w:tc>
        <w:tc>
          <w:tcPr>
            <w:tcW w:w="216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150-200</w:t>
            </w:r>
            <w:r/>
          </w:p>
        </w:tc>
        <w:tc>
          <w:tcPr>
            <w:tcW w:w="223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r>
    </w:tbl>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玻璃珠的品质要求应符合《路面标线用玻璃珠》（</w:t>
      </w:r>
      <w:r>
        <w:rPr>
          <w:rFonts w:hint="eastAsia" w:ascii="仿宋" w:hAnsi="仿宋" w:eastAsia="仿宋" w:cs="仿宋"/>
          <w:color w:val="auto"/>
          <w:sz w:val="24"/>
          <w:szCs w:val="24"/>
          <w:highlight w:val="none"/>
          <w:lang w:val="en-US" w:eastAsia="zh-CN"/>
        </w:rPr>
        <w:t xml:space="preserve">GB</w:t>
      </w:r>
      <w:r>
        <w:rPr>
          <w:rFonts w:hint="eastAsia" w:ascii="仿宋" w:hAnsi="仿宋" w:eastAsia="仿宋" w:cs="仿宋"/>
          <w:color w:val="auto"/>
          <w:sz w:val="24"/>
          <w:szCs w:val="24"/>
          <w:highlight w:val="none"/>
        </w:rPr>
        <w:t xml:space="preserve">/T</w:t>
      </w:r>
      <w:r>
        <w:rPr>
          <w:rFonts w:hint="eastAsia" w:ascii="仿宋" w:hAnsi="仿宋" w:eastAsia="仿宋" w:cs="仿宋"/>
          <w:color w:val="auto"/>
          <w:sz w:val="24"/>
          <w:szCs w:val="24"/>
          <w:highlight w:val="none"/>
          <w:lang w:val="en-US" w:eastAsia="zh-CN"/>
        </w:rPr>
        <w:t xml:space="preserve">24722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2020</w:t>
      </w:r>
      <w:r>
        <w:rPr>
          <w:rFonts w:hint="eastAsia" w:ascii="仿宋" w:hAnsi="仿宋" w:eastAsia="仿宋" w:cs="仿宋"/>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路面标线涂料的色度性能，其色品坐标和反射比（或亮度因数）应符合《路面标线涂料》（JT/T280—20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）中规定的范围。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材料的检验、包装、运输和储存</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（1）材料由生产厂的检验部门按《路面标线涂料》（JT/T280—20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）的规定（玻璃应按《路面标线用玻璃珠》（</w:t>
      </w:r>
      <w:r>
        <w:rPr>
          <w:rFonts w:hint="eastAsia" w:ascii="仿宋" w:hAnsi="仿宋" w:eastAsia="仿宋" w:cs="仿宋"/>
          <w:color w:val="auto"/>
          <w:sz w:val="24"/>
          <w:szCs w:val="24"/>
          <w:highlight w:val="none"/>
          <w:lang w:val="en-US" w:eastAsia="zh-CN"/>
        </w:rPr>
        <w:t xml:space="preserve">GB</w:t>
      </w:r>
      <w:r>
        <w:rPr>
          <w:rFonts w:hint="eastAsia" w:ascii="仿宋" w:hAnsi="仿宋" w:eastAsia="仿宋" w:cs="仿宋"/>
          <w:color w:val="auto"/>
          <w:sz w:val="24"/>
          <w:szCs w:val="24"/>
          <w:highlight w:val="none"/>
        </w:rPr>
        <w:t xml:space="preserve">/T</w:t>
      </w:r>
      <w:r>
        <w:rPr>
          <w:rFonts w:hint="eastAsia" w:ascii="仿宋" w:hAnsi="仿宋" w:eastAsia="仿宋" w:cs="仿宋"/>
          <w:color w:val="auto"/>
          <w:sz w:val="24"/>
          <w:szCs w:val="24"/>
          <w:highlight w:val="none"/>
          <w:lang w:val="en-US" w:eastAsia="zh-CN"/>
        </w:rPr>
        <w:t xml:space="preserve">24722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2020</w:t>
      </w:r>
      <w:r>
        <w:rPr>
          <w:rFonts w:hint="eastAsia" w:ascii="仿宋" w:hAnsi="仿宋" w:eastAsia="仿宋" w:cs="仿宋"/>
          <w:color w:val="auto"/>
          <w:sz w:val="24"/>
          <w:szCs w:val="24"/>
          <w:highlight w:val="none"/>
        </w:rPr>
        <w:t xml:space="preserve">）规定）进行检验，并保证所有出厂产品都应符合规定的技术指标。产品应有合格证，另附有使用说明及注意事项。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）产品在存放时应保持通风、干燥，防止日光直接照射，并应隔绝火源，夏季温度过高时应设法降温。</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）产品在运输时应防止雨淋、日晒，采用集装箱运输，并符合运输部门的有关规定。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）产品应标明贮存期，超过贮存期应接《路面标线涂料》（JT/T280—20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）规定的项目进行检验，不合格的不得使用。</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玻璃珠的包装、标志、运输及贮存应符合《路面标线用玻璃珠》（</w:t>
      </w:r>
      <w:r>
        <w:rPr>
          <w:rFonts w:hint="eastAsia" w:ascii="仿宋" w:hAnsi="仿宋" w:eastAsia="仿宋" w:cs="仿宋"/>
          <w:color w:val="auto"/>
          <w:sz w:val="24"/>
          <w:szCs w:val="24"/>
          <w:highlight w:val="none"/>
          <w:lang w:val="en-US" w:eastAsia="zh-CN"/>
        </w:rPr>
        <w:t xml:space="preserve">GB</w:t>
      </w:r>
      <w:r>
        <w:rPr>
          <w:rFonts w:hint="eastAsia" w:ascii="仿宋" w:hAnsi="仿宋" w:eastAsia="仿宋" w:cs="仿宋"/>
          <w:color w:val="auto"/>
          <w:sz w:val="24"/>
          <w:szCs w:val="24"/>
          <w:highlight w:val="none"/>
        </w:rPr>
        <w:t xml:space="preserve">/T</w:t>
      </w:r>
      <w:r>
        <w:rPr>
          <w:rFonts w:hint="eastAsia" w:ascii="仿宋" w:hAnsi="仿宋" w:eastAsia="仿宋" w:cs="仿宋"/>
          <w:color w:val="auto"/>
          <w:sz w:val="24"/>
          <w:szCs w:val="24"/>
          <w:highlight w:val="none"/>
          <w:lang w:val="en-US" w:eastAsia="zh-CN"/>
        </w:rPr>
        <w:t xml:space="preserve">24722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2020</w:t>
      </w:r>
      <w:r>
        <w:rPr>
          <w:rFonts w:hint="eastAsia" w:ascii="仿宋" w:hAnsi="仿宋" w:eastAsia="仿宋" w:cs="仿宋"/>
          <w:color w:val="auto"/>
          <w:sz w:val="24"/>
          <w:szCs w:val="24"/>
          <w:highlight w:val="none"/>
        </w:rPr>
        <w:t xml:space="preserve">）的规定。</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路面标线施工要求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方提出的施工需求，</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需要经过实地查看，对建设方案进行初步设计，提供有资质单位设计的建设方案，方案待</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方确认后方可施工。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施工过程中涉及到的开挖、设施占用、补偿、修复等工作手续、费用等由中标</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rPr>
        <w:t xml:space="preserve">负责。</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设置标线的路面表面应清洁干燥，无松散颗粒、灰尘、沥青、油污或其他有害物质。</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在水泥路面或旧的沥青路面施加标线需要预涂底油时，应先喷涂热熔底油下涂剂，按试验决定的间隔时间喷涂热熔涂料，以提高其粘结力。</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为了确保标线涂料和路面材料完全相适应，底油的类型和用量应经采购单位批准。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标线的颜色为白色、黄色、蓝色等，应符合《路面标线涂料》（JT／T280－20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）的要求，并按采购单位同意的方法施工。喷涂机具应使用自行式机械。</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标线宽度、虚线长及间隔、点线长及间隔、双标线的间隔，应按《道路交通标志和标线》（GB 5768.3一2009）规定办理。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特殊标线的图案、标记，如箭头及字母等的尺寸应按图纸要求和《道路交通标志和标线》（GB 5768.3一2009）规定办理。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所有标线应具有顺直、平顺、光洁、均匀及精美外观；湿膜厚度符合图纸要求，否则，应由中标单位予以更正并经采购单位同意，费用由中标单位自负。</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有缺陷的、施工不当、尺寸不正确或位置错误的标线均应清除，路面应修补，材料应更换，并经采购单位同意，其费用由中标单位自理。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涂料在容器内加热时，温度应控制在涂料生产商的使用说明规定值内，不得超过最高限制温度。烃树脂类材料，保持在熔融状态的时间不大于6h；树胶树脂类材料，保持在熔融状态的时间不大于4h。</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涂料喷涂于路面时的温度，应符合涂料生产商提供的使用说明的要求，否则会影响喷涂使用寿命。</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喷涂施工应在白天进行，雨天、尘埃大、风大、温度低于10℃时应暂时停止施工。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玻璃珠的撒布应经试验并获采购单位的批准方可实施。撒布玻璃珠应在涂料喷涂后立即进行，以0.3kg/m</w:t>
      </w:r>
      <w:r>
        <w:rPr>
          <w:rFonts w:hint="eastAsia" w:ascii="仿宋" w:hAnsi="仿宋" w:eastAsia="仿宋" w:cs="仿宋"/>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的用量加压撒布在所有标线上。</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喷涂标线时，应有交通安全措施，设置适当警告标志，阻止车辆及行人在作业区内通行，防止将涂料带出或形成车辙，直至标线充分干燥。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振荡标线是在路面上一次成型长方形排骨式突起的高亮度道路标线，是一种即使在雨天也能取得超群的高视认性，在汽车压线的瞬间引起轻快的振动以提醒司机注意安全、防止越线的新型产品。具体施工工艺为：</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1）路面处理：先除去路面泥土、土埃等杂物，如果含有水分应用喷枪进行干燥；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2）底漆撒布：使用专门设备按热熔型标线涂料的规定用量均匀撒布；</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3）振荡标线的涂敷：往热熔中投入专门材料在充分搅拌的条件下使之完全溶解；在确认底漆完全干燥后，使用专用划线机在170-210℃之间进行涂敷施工；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4）玻璃微珠的撒布：使用与划线机一体的撒布器在涂敷施工后随即撒布玻璃微珠；</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5）确认涂料充分冷却、固化后，即可开放车辆的通行。</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6）振荡标线的规格以设计图纸为准，设计图纸未明确的，振荡标线突起部分的高度为4-7mm，宽度为50mm，每两个突起部分设置间距在300-500mm，振荡标线的基础标线在1.5-2mm。</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全天候（雨夜）反光标线、长效Ⅱ型Ⅰ级反光道路预成标线带等应严格按产品使用说明施工，以保证使用效果；绿色减速带、彩色防滑路面等特殊交通标线应委托专业队伍施工。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热熔型喷涂汉字施工（包括车型图案等），制作所需汉字模板，大小为80*80cm（图案不小于120*80cm）。</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交通标线清除施工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要求使用水除线，具有一定的施工工艺说明。</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清除后应当使用与道路颜色一致的沥青等材料进行覆盖。</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清除后的标线不得留有明显痕迹，不得影响驾驶员观看。</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施工垃圾应当按照规定进行收集，按照规定处理，禁止施工材料随意堆放、丢弃。</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其他材料及施工要求</w:t>
      </w:r>
      <w:r/>
    </w:p>
    <w:p>
      <w:pPr>
        <w:ind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1）彩色路面（右转危险区标线），颜色分为红色、蓝色等，施工前清除沥青路面砂石、尘土等附着物，将底胶、固化剂按比例计量后均匀搅拌，及时刮涂到路面，然后将陶粒散布在底胶上，增加反光微珠，提高反光效果；整体厚度不得小于3mm。</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热熔型彩色陶瓷防滑路面，颜色分为红色、黄色、绿色、蓝色等，是将陶瓷颗粒和特殊热塑性树脂混合的粉末涂料放入热熔釜中以 190~210℃加热熔化后，涂装在路面自然冷却硬化的新型速干型防滑材料。具有振动作用，在路面上形成至少厚度4mm的突起面层，使车辆通过瞬间产生轻快振动，提醒司机减速行驶。具有防滑性，通过加入颗粒等特殊工艺，使硬质骨材表面形成突起，提高减速时的防滑效果。具有彩色化，丰富的色彩，使道路更美观，标识更醒目，行程更安全。</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质量检验</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路面标线检查项目</w:t>
      </w:r>
      <w:r/>
    </w:p>
    <w:tbl>
      <w:tblPr>
        <w:tblStyle w:val="789"/>
        <w:tblW w:w="0" w:type="auto"/>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954"/>
        <w:gridCol w:w="1725"/>
        <w:gridCol w:w="2142"/>
        <w:gridCol w:w="3011"/>
        <w:gridCol w:w="975"/>
      </w:tblGrid>
      <w:tr>
        <w:trPr/>
        <w:tc>
          <w:tcPr>
            <w:tcW w:w="68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项次</w:t>
            </w:r>
            <w:r/>
          </w:p>
        </w:tc>
        <w:tc>
          <w:tcPr>
            <w:gridSpan w:val="2"/>
            <w:tcW w:w="267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检查项目</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规定值或允许偏差</w:t>
            </w:r>
            <w:r/>
          </w:p>
        </w:tc>
        <w:tc>
          <w:tcPr>
            <w:tcW w:w="301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检查方法和频率</w:t>
            </w:r>
            <w:r/>
          </w:p>
        </w:tc>
        <w:tc>
          <w:tcPr>
            <w:tcW w:w="9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权值</w:t>
            </w:r>
            <w:r/>
          </w:p>
        </w:tc>
      </w:tr>
      <w:tr>
        <w:trPr>
          <w:cantSplit/>
        </w:trPr>
        <w:tc>
          <w:tcPr>
            <w:tcW w:w="686"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954"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线段</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长度</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（mm）</w:t>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W w:w="3011"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钢卷尺：抽检10%</w:t>
            </w:r>
            <w:r/>
          </w:p>
        </w:tc>
        <w:tc>
          <w:tcPr>
            <w:tcW w:w="975"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1000-2000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954"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宽度</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（mm）</w:t>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400-450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+15,0</w:t>
            </w:r>
            <w:r/>
          </w:p>
        </w:tc>
        <w:tc>
          <w:tcPr>
            <w:tcW w:w="3011"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钢卷尺：抽检10%</w:t>
            </w:r>
            <w:r/>
          </w:p>
        </w:tc>
        <w:tc>
          <w:tcPr>
            <w:tcW w:w="975"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150-200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954"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厚度</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（mm）</w:t>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常温型（0.12-0.2）</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-0.03,+0.10</w:t>
            </w:r>
            <w:r/>
          </w:p>
        </w:tc>
        <w:tc>
          <w:tcPr>
            <w:tcW w:w="3011"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无论采用何钟形式级配沥青砼，标线厚度从路面顶面起计</w:t>
            </w:r>
            <w:r/>
          </w:p>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涂膜厚度计：干膜用水平尺、塞尺或用卡尺，抽栓10%</w:t>
            </w:r>
            <w:r/>
          </w:p>
        </w:tc>
        <w:tc>
          <w:tcPr>
            <w:tcW w:w="975"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加热型（0.20-0.4）</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-0.05,+0.15</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热熔型（1.4-4.5）</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不小于1.8</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c>
          <w:tcPr>
            <w:tcW w:w="68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gridSpan w:val="2"/>
            <w:tcW w:w="267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标线横线偏位（mm）</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W w:w="3011"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钢卷尺：抽检10%</w:t>
            </w:r>
            <w:r/>
          </w:p>
        </w:tc>
        <w:tc>
          <w:tcPr>
            <w:tcW w:w="9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r>
      <w:tr>
        <w:trPr>
          <w:cantSplit/>
        </w:trPr>
        <w:tc>
          <w:tcPr>
            <w:tcW w:w="686"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954"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纵向</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间距</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（mm）</w:t>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±45</w:t>
            </w:r>
            <w:r/>
          </w:p>
        </w:tc>
        <w:tc>
          <w:tcPr>
            <w:tcW w:w="3011"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钢卷尺：抽检10%</w:t>
            </w:r>
            <w:r/>
          </w:p>
        </w:tc>
        <w:tc>
          <w:tcPr>
            <w:tcW w:w="975"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cantSplit/>
        </w:trPr>
        <w:tc>
          <w:tcPr>
            <w:tcW w:w="686"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54"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3000</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W w:w="3011"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5"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c>
          <w:tcPr>
            <w:tcW w:w="68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gridSpan w:val="2"/>
            <w:tcW w:w="267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标线剥落面积</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检查总面积的0-43%</w:t>
            </w:r>
            <w:r/>
          </w:p>
        </w:tc>
        <w:tc>
          <w:tcPr>
            <w:tcW w:w="3011"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4倍放大镜：目测检查</w:t>
            </w:r>
            <w:r/>
          </w:p>
        </w:tc>
        <w:tc>
          <w:tcPr>
            <w:tcW w:w="9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r>
      <w:tr>
        <w:trPr/>
        <w:tc>
          <w:tcPr>
            <w:tcW w:w="68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gridSpan w:val="2"/>
            <w:tcW w:w="267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反光标线逆反射系数</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cd·1x-1·m-2）</w:t>
            </w:r>
            <w:r/>
          </w:p>
        </w:tc>
        <w:tc>
          <w:tcPr>
            <w:tcW w:w="21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白色标线≥150</w:t>
            </w:r>
            <w:r/>
          </w:p>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黄色标线≥100</w:t>
            </w:r>
            <w:r/>
          </w:p>
        </w:tc>
        <w:tc>
          <w:tcPr>
            <w:tcW w:w="3011"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反光标线逆反射系数测量仪：抽检10%</w:t>
            </w:r>
            <w:r/>
          </w:p>
        </w:tc>
        <w:tc>
          <w:tcPr>
            <w:tcW w:w="9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r>
    </w:tbl>
    <w:p>
      <w:pPr>
        <w:ind w:firstLine="422"/>
        <w:jc w:val="left"/>
        <w:keepLines w:val="0"/>
        <w:keepNext w:val="0"/>
        <w:pageBreakBefore w:val="0"/>
        <w:spacing w:line="360" w:lineRule="auto"/>
        <w:widowControl w:val="off"/>
        <w:rPr>
          <w:rFonts w:hint="eastAsia" w:ascii="仿宋" w:hAnsi="仿宋" w:eastAsia="仿宋" w:cs="仿宋"/>
          <w:b/>
          <w:bCs/>
          <w:color w:val="auto"/>
          <w:spacing w:val="0"/>
          <w:sz w:val="24"/>
          <w:szCs w:val="24"/>
          <w:highlight w:val="none"/>
          <w:lang w:val="en-US" w:eastAsia="zh-CN" w:bidi="ar-SA"/>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pacing w:val="0"/>
          <w:sz w:val="24"/>
          <w:szCs w:val="24"/>
          <w:highlight w:val="none"/>
          <w:lang w:val="en-US" w:eastAsia="zh-CN" w:bidi="ar-SA"/>
        </w:rPr>
        <w:t xml:space="preserve">交通标志技术要求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符合《道路交通标志和标线》(标志符合GB5768.2-2022、《城市道路交通标志和标线设置规范》(GB51038-2015)等国家标准和行业规范，并满足交警部门的相关要求。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交通标志设计要求：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（1）版面设计</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标志的版面设计应符合GB5768、GB51038的有关规定，特别是指路标志的版面应着重确定以下内容：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标志的排版，包括图案和文字的字体、高度、宽度、间隔、行距等；</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标志的外边框和衬底边尺寸。</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（2）结构设计</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标志以及杆件的结构设计应包括下列内容：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标志板、支撑件、连接件、反光材料的选择；</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标志板、支撑件、连接件的各种断面尺寸的确定及强度、稳定性验算；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基础尺寸的确定及强度、稳定性验算。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立杆、悬臂、基础、法兰盘、地脚螺栓、螺母、垫片和加强筋等部件的尺寸、强度等性能指标应根据标志尺寸大小、安装方式及悬臂长度确定，应由有相关资质单位进行设计；</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若采用立杆、悬臂、等结构形式，悬臂、立杆的尺寸、强度等性能指标，应由有相关资质单位进行设计。</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（1）反光材料</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反光材料应采用符合《道路交通反光膜》(GB／T 18833-2012)要求的Ⅲ类及以上等级反光膜，且使用寿命为十年以上；</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（2）标志板</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交通标志板采用铝合金板、挤压成型的铝合金型材、薄钢板等制造，所用材料应符合现行《道路交通标志板及支撑件》（GB／T23827）规定、厚度应拫据计算确定。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（3）支撑结构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交通标志立柱、横梁等可采用钢管、H 型钢、槽钢及钢筋混凝土等材料制作，钢管顶端应设置柱帽。钢构件应进行防腐处理；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交通标志应设置钢筋混凝土基础。</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（4）杆件必须采用热镀锌处理，以上杆件结构图只作为参考，投标方应当根据不同规格委托有资质单位进行设计，保证杆件以及基础安全，如有质量问题或者施工带来的问题责任，由施工方承担。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标志的施工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根据甲方提出的安装需求，施工单位需要经过实地查看，对建设方案进行初步设计，提供有资质单位设计的建设方案，方案待甲方确认后方可施工。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施工过程中涉及到的开挖、设施占用、补偿、修复等工作手续、费用等由中标单位负责。施工垃圾应当按照规定进行收集，按照规定处理，禁止施工材料随意堆放、丢弃。</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（1）前期准备</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施工单位应熟悉施工图，并参加由建设单位组织的设计技术交流，新建、更新的设施应当将设计方案交建设方审核，不得擅自建设；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根据交通标志施工图(或任务书)安排好工程进度，并拟定施工大纲；</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了解施工现场的地上、地下管线的情况；</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应进度要求配备好施工队伍、施工机具和工程材料。</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（2）现场定位</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交通标志的定位应按施工图的要求并应符合(GB5768、GB51038)等标准中对各种标志设置条件及地点的规定，特别情况下应会同公安交通管理部门现场定位。</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（3）施工安全</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施工单位应当确保施工安全，按规定做好安全防护设施，</w:t>
      </w:r>
      <w:r>
        <w:rPr>
          <w:rFonts w:hint="eastAsia" w:ascii="仿宋" w:hAnsi="仿宋" w:eastAsia="仿宋" w:cs="仿宋"/>
          <w:color w:val="auto"/>
          <w:sz w:val="24"/>
          <w:szCs w:val="24"/>
          <w:highlight w:val="none"/>
          <w:lang w:val="en-US" w:eastAsia="zh-CN"/>
        </w:rPr>
        <w:t xml:space="preserve">派专人</w:t>
      </w:r>
      <w:r>
        <w:rPr>
          <w:rFonts w:hint="eastAsia" w:ascii="仿宋" w:hAnsi="仿宋" w:eastAsia="仿宋" w:cs="仿宋"/>
          <w:color w:val="auto"/>
          <w:sz w:val="24"/>
          <w:szCs w:val="24"/>
          <w:highlight w:val="none"/>
        </w:rPr>
        <w:t xml:space="preserve">负责施工期间的安全。</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（4）施工方应当注意施工安全，负责购买相关保险，承担新增、维修及更换施工期间所有的一切安全责任（含对第三方造成的伤害）。</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基础埋设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（1）标志立柱的基础应按施工图规定的尺寸于指定地点进行开挖。小型基础、孔壁稳定可不立模板。在浇注混凝土前基础要进行修正，基底要压实；</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（2）在预埋基础时，应用水平尺或其他专用仪器校准至水平。混凝土应震捣密实，同柱连接的螺栓或螺帽应拧上。设在人行道上基础的顶面标高应与人行道标高一致，基础周围的填土应夯实，表面应平整；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（3）基础法兰的边线应与侧石线(或车行道边线)平行，标志安装后的侧向净距应符合规定。双柱式立柱基础法兰的中心间距一般为其所承载的标志板面宽度的1／2；</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（1）基础需经养护达到设计强度后，方可安装标志立柱；</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（2）立柱通过法兰盘与基础连接。在拧紧螺栓前应调整好方向和垂直度；</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（3）立柱安装好后，即可通过抱箍或不锈钢万能夹把标志固定在立柱上；</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（4）双柱式路侧标志的两根立柱均应垂直并互相平行，其顶端在同一高度上，连接件应对称布设；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（5）标志板安装后应进行板面平整度调整和安装角度的调整。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（6）标志施工完毕后，必须按设计要求验收，移交竣工资料。</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）护栏技术要求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1、防撞护栏</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（1）符合《公路交通安全设施设计规范》要求防护等级，</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（2）钢护栏立柱放样</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立柱应根据施工图纸进行放样，并以路口、电线杆、山间小道等为控制点，进行测距定位，可利用调整段调节间距，并利用分配方法处理间距零头数。</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为准确放样和保证护栏的线形，隔段进行桩号复核和闭合。</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立柱放样后，应调查每根立柱位置的地表状态，如遇地下通讯管线、泄水等，或涵洞顶部埋置深度不足时，应调整某些立柱的位置，改变立柱固定方式。</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（3）钢护栏立柱安装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根据设计图纸进行立柱钻孔，并检查使之与道路线形相协调。</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如路肩基本情况允许，采用打入法设置立桩，施工时应精确定位，立柱打入土中应至设计深度，当打入过深时，不得只将立柱部拔出加以矫正，而须将其全部拔出，待基础压实后重新打入。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柱打入困难时，可采用钻孔法或开挖法安装立柱。采用钻孔法安装，立柱定位后应与路基相同的材料回填，并分层夯填密实；采用开挖法埋设立柱，回填土应采用良好的材料并分层夯实（每层厚不超过15cm），回填土的压实度不应小于相邻原状土。</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置于构造物中的护栏立柱，施工一般在结构物施工时已做好砼基础。采用预留孔基础时，应先清除孔内杂物，吸干孔内积水，将化好的沥青在孔底涂一遍，然后放入立柱，控制好标高。即可在立柱周围注砂。在灌砂时一定要保持立柱的正确位置和垂直度。把砂振实后，即可用沥青封口，防止雨水漏入孔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立柱安装就位后，其水平方向和竖直方向形成平顺的线形。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渐变段的端部护栏施工时，应按设计规定的坐标严格控制其立柱位置，注意抛物线形。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（4）波形梁安装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波形梁安装时，通过拼接螺栓相互拼接，并由连接螺栓固定于立柱或横梁上。波形梁拼接方向是安装的关键，施工时保证搭接方向应与行车方向一致。拼接如下图：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400050</wp:posOffset>
                </wp:positionH>
                <wp:positionV relativeFrom="paragraph">
                  <wp:posOffset>299720</wp:posOffset>
                </wp:positionV>
                <wp:extent cx="4937760" cy="189230"/>
                <wp:effectExtent l="0" t="0" r="0" b="8890"/>
                <wp:wrapSquare wrapText="bothSides"/>
                <wp:docPr id="9" name="组合 116"/>
                <wp:cNvGraphicFramePr/>
                <a:graphic xmlns:a="http://schemas.openxmlformats.org/drawingml/2006/main">
                  <a:graphicData uri="http://schemas.microsoft.com/office/word/2010/wordprocessingGroup">
                    <wpg:wgp>
                      <wpg:cNvGrpSpPr/>
                      <wpg:grpSpPr bwMode="auto">
                        <a:xfrm>
                          <a:off x="0" y="0"/>
                          <a:ext cx="4937760" cy="189230"/>
                          <a:chOff x="0" y="0"/>
                          <a:chExt cx="7776" cy="298"/>
                        </a:xfrm>
                      </wpg:grpSpPr>
                      <wps:wsp>
                        <wps:cNvPr id="0" name=""/>
                        <wps:cNvSpPr/>
                        <wps:spPr bwMode="auto">
                          <a:xfrm>
                            <a:off x="0" y="65"/>
                            <a:ext cx="2092" cy="0"/>
                          </a:xfrm>
                          <a:prstGeom prst="line">
                            <a:avLst/>
                          </a:prstGeom>
                          <a:ln w="22225" cap="flat" cmpd="sng">
                            <a:solidFill>
                              <a:srgbClr val="000000"/>
                            </a:solidFill>
                            <a:prstDash val="solid"/>
                            <a:headEnd type="none" w="med" len="med"/>
                            <a:tailEnd type="none" w="med" len="med"/>
                          </a:ln>
                          <a:effectLst/>
                        </wps:spPr>
                        <wps:bodyPr rot="0">
                          <a:prstTxWarp prst="textNoShape">
                            <a:avLst/>
                          </a:prstTxWarp>
                          <a:noAutofit/>
                        </wps:bodyPr>
                      </wps:wsp>
                      <wpg:grpSp>
                        <wpg:cNvGrpSpPr/>
                        <wpg:grpSpPr bwMode="auto">
                          <a:xfrm>
                            <a:off x="1896" y="0"/>
                            <a:ext cx="2092" cy="198"/>
                            <a:chOff x="0" y="0"/>
                            <a:chExt cx="2092" cy="198"/>
                          </a:xfrm>
                        </wpg:grpSpPr>
                        <wps:wsp>
                          <wps:cNvPr id="1"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2"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3"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3786" y="52"/>
                            <a:ext cx="2092" cy="198"/>
                            <a:chOff x="0" y="0"/>
                            <a:chExt cx="2092" cy="198"/>
                          </a:xfrm>
                        </wpg:grpSpPr>
                        <wps:wsp>
                          <wps:cNvPr id="4"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5"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6"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5684" y="100"/>
                            <a:ext cx="2092" cy="198"/>
                            <a:chOff x="0" y="0"/>
                            <a:chExt cx="2092" cy="198"/>
                          </a:xfrm>
                        </wpg:grpSpPr>
                        <wps:wsp>
                          <wps:cNvPr id="7"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8"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9"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wgp>
                  </a:graphicData>
                </a:graphic>
              </wp:anchor>
            </w:drawing>
          </mc:Choice>
          <mc:Fallback>
            <w:pict>
              <v:group id="group 8" o:spid="_x0000_s0000" style="position:absolute;z-index:251661312;o:allowoverlap:true;o:allowincell:true;mso-position-horizontal-relative:text;margin-left:31.5pt;mso-position-horizontal:absolute;mso-position-vertical-relative:text;margin-top:23.6pt;mso-position-vertical:absolute;width:388.8pt;height:14.9pt;mso-wrap-distance-left:9.0pt;mso-wrap-distance-top:0.0pt;mso-wrap-distance-right:9.0pt;mso-wrap-distance-bottom:0.0pt;" coordorigin="0,0" coordsize="77,2">
                <v:line id="shape 9" o:spid="_x0000_s9" style="position:absolute;left:0;text-align:left;z-index:251661312;visibility:visible;" from="31.5pt,23.6pt" to="420.3pt,38.5pt" filled="f" strokecolor="#000000" strokeweight="1.75pt">
                  <v:stroke dashstyle="solid"/>
                  <w10:wrap type="square"/>
                </v:line>
                <v:group id="group 10" o:spid="_x0000_s0000" style="position:absolute;left:18;top:0;width:20;height:1;" coordorigin="0,0" coordsize="20,1">
                  <v:line id="shape 11" o:spid="_x0000_s11" style="position:absolute;left:0;text-align:left;z-index:251661312;visibility:visible;" from="31.5pt,23.6pt" to="420.3pt,38.5pt" fillcolor="#000000" strokecolor="#000000" strokeweight="1.75pt">
                    <v:fill opacity="0f"/>
                    <v:stroke dashstyle="solid"/>
                  </v:line>
                  <v:line id="shape 12" o:spid="_x0000_s12" style="position:absolute;left:0;text-align:left;z-index:251661312;visibility:visible;" from="31.5pt,23.6pt" to="420.3pt,38.5pt" fillcolor="#000000" strokecolor="#000000" strokeweight="1.00pt">
                    <v:fill opacity="0f"/>
                    <v:stroke dashstyle="solid"/>
                  </v:line>
                  <v:line id="shape 13" o:spid="_x0000_s13" style="position:absolute;left:0;text-align:left;z-index:251661312;visibility:visible;" from="31.5pt,23.6pt" to="420.3pt,38.5pt" fillcolor="#000000" strokecolor="#000000" strokeweight="1.00pt">
                    <v:fill opacity="0f"/>
                    <v:stroke dashstyle="solid"/>
                  </v:line>
                </v:group>
                <v:group id="group 14" o:spid="_x0000_s0000" style="position:absolute;left:37;top:0;width:20;height:1;" coordorigin="0,0" coordsize="20,1">
                  <v:line id="shape 15" o:spid="_x0000_s15" style="position:absolute;left:0;text-align:left;z-index:251661312;visibility:visible;" from="31.5pt,23.6pt" to="420.3pt,38.5pt" fillcolor="#000000" strokecolor="#000000" strokeweight="1.75pt">
                    <v:fill opacity="0f"/>
                    <v:stroke dashstyle="solid"/>
                  </v:line>
                  <v:line id="shape 16" o:spid="_x0000_s16" style="position:absolute;left:0;text-align:left;z-index:251661312;visibility:visible;" from="31.5pt,23.6pt" to="420.3pt,38.5pt" fillcolor="#000000" strokecolor="#000000" strokeweight="1.00pt">
                    <v:fill opacity="0f"/>
                    <v:stroke dashstyle="solid"/>
                  </v:line>
                  <v:line id="shape 17" o:spid="_x0000_s17" style="position:absolute;left:0;text-align:left;z-index:251661312;visibility:visible;" from="31.5pt,23.6pt" to="420.3pt,38.5pt" fillcolor="#000000" strokecolor="#000000" strokeweight="1.00pt">
                    <v:fill opacity="0f"/>
                    <v:stroke dashstyle="solid"/>
                  </v:line>
                </v:group>
                <v:group id="group 18" o:spid="_x0000_s0000" style="position:absolute;left:56;top:1;width:20;height:1;" coordorigin="0,0" coordsize="20,1">
                  <v:line id="shape 19" o:spid="_x0000_s19" style="position:absolute;left:0;text-align:left;z-index:251661312;visibility:visible;" from="31.5pt,23.6pt" to="420.3pt,38.5pt" fillcolor="#000000" strokecolor="#000000" strokeweight="1.75pt">
                    <v:fill opacity="0f"/>
                    <v:stroke dashstyle="solid"/>
                  </v:line>
                  <v:line id="shape 20" o:spid="_x0000_s20" style="position:absolute;left:0;text-align:left;z-index:251661312;visibility:visible;" from="31.5pt,23.6pt" to="420.3pt,38.5pt" fillcolor="#000000" strokecolor="#000000" strokeweight="1.00pt">
                    <v:fill opacity="0f"/>
                    <v:stroke dashstyle="solid"/>
                  </v:line>
                  <v:line id="shape 21" o:spid="_x0000_s21" style="position:absolute;left:0;text-align:left;z-index:251661312;visibility:visible;" from="31.5pt,23.6pt" to="420.3pt,38.5pt" fillcolor="#000000" strokecolor="#000000" strokeweight="1.00pt">
                    <v:fill opacity="0f"/>
                    <v:stroke dashstyle="solid"/>
                  </v:line>
                </v:group>
              </v:group>
            </w:pict>
          </mc:Fallback>
        </mc:AlternateConten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波形梁拼接方向示意图</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波形梁在安装过程中应不断进行调整，因此连接螺栓及拼接螺栓不宜过早拧紧，以便在安装过程中利用波形梁的长圆孔及时进行调整，使其形成平顺的线形，避免局部凹凸。</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安装时波形梁顶面应与道路竖曲线相协调。并检查护栏的线形，当确定线形比较直顺和流畅时，方可最后拧紧螺栓。</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（5）防阻块安装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防阻块能防止立柱阻拌车轮，避免护栏局部受力和碰撞时车辆减速，因此，应保证使其准确就位，在安装调整之前，即可安装防阻块，防阻块通过连接螺栓固定于立柱之间，最后把波形梁装上并进行统一调整。</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（6）波形梁钢护栏起、终端头安装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路侧护栏开口处应安装端头梁并进行锚固。端头锚固主要包括钢丝绳锚固件及混凝土基础。在端部基础混凝土设计强度达到50%以后，方可拧紧螺栓或固定缆索。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（7）注意事项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施工准备应充分，施工路段桩号位置找准确。放样应精确，误差在规定范围内。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立柱施工应严格认真，其垂直度、间距、螺栓孔位置及其它尺寸均应符合要求，不符合要求需立即返工，同时，应严格按规范规定进行返工。</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波形梁板、立柱等构件的包装和标志应符合GB6725的规定。购货时护栏不得散装，且应保证在吊装、运输、堆放过程中不致使产品变形、损坏（伤）。运输过程中应固定可靠，防止因颠簸碰撞损坏涂层或使构件变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购货时注意波形梁高强拼接螺栓连接处的包装和标志应符合GB/T1231的有关规定。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护栏施工时操作应谨慎，不得破坏路面下埋设的电缆、管道等设施。</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隔离护栏</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隔离栏杆及施工。以每米报价。路端防撞柱及施工，栏杆的始末端各一个，价格折算到栏杆单价里。反光轮廓标及安装，每个立柱安装一个，价格折算到栏杆单价里。铸铁底座采用磨具一次性浇筑而成，整体重量在25kg左右，价格折算到栏杆单价里。</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）钢板、镀锌钢板等主要技术性能必须符合GB1499的相关规定。</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）隔离护栏材质：管材均为钢管（钢板），护栏整体颜色为RAL 7042交通灰A，具体施工颜色</w:t>
      </w:r>
      <w:r>
        <w:rPr>
          <w:rFonts w:hint="eastAsia" w:ascii="仿宋" w:hAnsi="仿宋" w:eastAsia="仿宋" w:cs="仿宋"/>
          <w:color w:val="auto"/>
          <w:sz w:val="24"/>
          <w:szCs w:val="24"/>
          <w:highlight w:val="none"/>
          <w:lang w:bidi="ar"/>
        </w:rPr>
        <w:t xml:space="preserve">需向采购单位申请同意后再投入生产。</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）隔离护栏生产及安装工艺：</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a柱帽采用钢制一体柱帽，美观牢固；立柱侧面安装直角黄色反光标</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b钢材部件焊接表面波纹均匀，焊接处无夹渣、气孔、脱焊、虚焊、焊穿等现象，钢管表面进行除油、除锈、酸化、清水冲洗、烘干、磷化、喷涂等处理工序；</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c每格护栏焊接成形。不得出现型材弯曲、扭曲、宽窄不一致等现象，保持护栏整体一致性，均匀性；</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e精度要求：护栏构件高度的允许偏差为±10mm；护栏竖杆间距的允许偏差为±5mm；</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f隔离护栏立柱自带钢板与基础柱墩进行活接安装，方便以后栏杆受损，拆卸安装。</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g所有螺丝螺帽等连接件及其他配件均做镀锌处理，并涂刷防锈漆。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h护栏底座采用铸铁，规格400*300*150(单位：mm)，喷涂油漆，颜色为黑色。</w:t>
      </w:r>
      <w:r/>
    </w:p>
    <w:p>
      <w:pPr>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售后服务</w:t>
      </w:r>
      <w:r/>
    </w:p>
    <w:p>
      <w:pPr>
        <w:ind w:firstLine="422"/>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供应商针对本项目提供的设备及配件，产品免费质量保修期自验收合格之日起不少于三年，其中杆件和基础的免费保修期为十年</w:t>
      </w:r>
      <w:r>
        <w:rPr>
          <w:rFonts w:hint="eastAsia" w:ascii="仿宋" w:hAnsi="仿宋" w:eastAsia="仿宋" w:cs="仿宋"/>
          <w:b/>
          <w:color w:val="auto"/>
          <w:sz w:val="24"/>
          <w:szCs w:val="24"/>
          <w:highlight w:val="none"/>
          <w:lang w:eastAsia="zh-CN"/>
        </w:rPr>
        <w:t xml:space="preserve">，塑料、橡胶材质产品和标线产品免费质保期</w:t>
      </w:r>
      <w:r>
        <w:rPr>
          <w:rFonts w:hint="eastAsia" w:ascii="仿宋" w:hAnsi="仿宋" w:eastAsia="仿宋" w:cs="仿宋"/>
          <w:b/>
          <w:color w:val="auto"/>
          <w:sz w:val="24"/>
          <w:szCs w:val="24"/>
          <w:highlight w:val="none"/>
          <w:lang w:val="en-US" w:eastAsia="zh-CN"/>
        </w:rPr>
        <w:t xml:space="preserve">为一年</w:t>
      </w:r>
      <w:r>
        <w:rPr>
          <w:rFonts w:hint="eastAsia" w:ascii="仿宋" w:hAnsi="仿宋" w:eastAsia="仿宋" w:cs="仿宋"/>
          <w:b/>
          <w:color w:val="auto"/>
          <w:sz w:val="24"/>
          <w:szCs w:val="24"/>
          <w:highlight w:val="none"/>
        </w:rPr>
        <w:t xml:space="preserve">。</w:t>
      </w:r>
      <w:r>
        <w:rPr>
          <w:rFonts w:hint="eastAsia" w:ascii="仿宋" w:hAnsi="仿宋" w:eastAsia="仿宋" w:cs="仿宋"/>
          <w:bCs/>
          <w:color w:val="auto"/>
          <w:sz w:val="24"/>
          <w:szCs w:val="24"/>
          <w:highlight w:val="none"/>
        </w:rPr>
        <w:t xml:space="preserve">合同价为完成本项目实施和售后服务免费保修期限内所收取的全部费用。其他见本项目维护服务要求。</w:t>
      </w:r>
      <w:r/>
    </w:p>
    <w:p>
      <w:pPr>
        <w:jc w:val="left"/>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五、验收</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验收的实施主体：</w:t>
      </w:r>
      <w:r>
        <w:rPr>
          <w:rFonts w:hint="eastAsia" w:ascii="仿宋" w:hAnsi="仿宋" w:eastAsia="仿宋" w:cs="仿宋"/>
          <w:color w:val="auto"/>
          <w:sz w:val="24"/>
          <w:highlight w:val="none"/>
        </w:rPr>
        <w:t xml:space="preserve">本项目采购单位</w:t>
      </w:r>
      <w:r>
        <w:rPr>
          <w:rFonts w:ascii="仿宋" w:hAnsi="仿宋" w:eastAsia="仿宋" w:cs="仿宋"/>
          <w:color w:val="auto"/>
          <w:sz w:val="24"/>
          <w:highlight w:val="none"/>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验收时间：采购人</w:t>
      </w:r>
      <w:r>
        <w:rPr>
          <w:rFonts w:hint="eastAsia" w:ascii="仿宋" w:hAnsi="仿宋" w:eastAsia="仿宋" w:cs="仿宋"/>
          <w:color w:val="auto"/>
          <w:sz w:val="24"/>
          <w:highlight w:val="none"/>
          <w:lang w:val="en-US" w:eastAsia="zh-CN"/>
        </w:rPr>
        <w:t xml:space="preserve">根据</w:t>
      </w:r>
      <w:r>
        <w:rPr>
          <w:rFonts w:ascii="仿宋" w:hAnsi="仿宋" w:eastAsia="仿宋" w:cs="仿宋"/>
          <w:color w:val="auto"/>
          <w:sz w:val="24"/>
          <w:highlight w:val="none"/>
        </w:rPr>
        <w:t xml:space="preserve">项目采购需求及合同相关内容</w:t>
      </w:r>
      <w:r>
        <w:rPr>
          <w:rFonts w:hint="eastAsia" w:ascii="仿宋" w:hAnsi="仿宋" w:eastAsia="仿宋" w:cs="仿宋"/>
          <w:color w:val="auto"/>
          <w:sz w:val="24"/>
          <w:highlight w:val="none"/>
          <w:lang w:val="en-US" w:eastAsia="zh-CN"/>
        </w:rPr>
        <w:t xml:space="preserve">分批验收</w:t>
      </w:r>
      <w:r>
        <w:rPr>
          <w:rFonts w:ascii="仿宋" w:hAnsi="仿宋" w:eastAsia="仿宋" w:cs="仿宋"/>
          <w:color w:val="auto"/>
          <w:sz w:val="24"/>
          <w:highlight w:val="none"/>
        </w:rPr>
        <w:t xml:space="preserve">。采购人向供应商发出《政府采购履约验收通知单》（本章附件1），验收完成后形成《政府采购履约验收书》（本章附件2）。</w:t>
      </w:r>
      <w:r/>
    </w:p>
    <w:p>
      <w:pPr>
        <w:ind w:firstLine="422"/>
        <w:jc w:val="left"/>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验收内容</w:t>
      </w:r>
      <w:r>
        <w:rPr>
          <w:rFonts w:hint="eastAsia" w:ascii="仿宋" w:hAnsi="仿宋" w:eastAsia="仿宋" w:cs="仿宋"/>
          <w:color w:val="auto"/>
          <w:sz w:val="24"/>
          <w:highlight w:val="none"/>
          <w:lang w:eastAsia="zh-CN"/>
        </w:rPr>
        <w:t xml:space="preserve">：</w:t>
      </w:r>
      <w:r>
        <w:rPr>
          <w:rFonts w:hint="eastAsia" w:ascii="仿宋" w:hAnsi="仿宋" w:eastAsia="仿宋" w:cs="仿宋"/>
          <w:bCs/>
          <w:color w:val="auto"/>
          <w:sz w:val="24"/>
          <w:szCs w:val="24"/>
          <w:highlight w:val="none"/>
          <w:lang w:val="en-US" w:eastAsia="zh-CN"/>
        </w:rPr>
        <w:t xml:space="preserve">采购内容。</w:t>
      </w:r>
      <w:r/>
    </w:p>
    <w:p>
      <w:pPr>
        <w:ind w:firstLine="422"/>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lang w:val="en-US" w:eastAsia="zh-CN"/>
        </w:rPr>
        <w:t xml:space="preserve">4、验收</w:t>
      </w:r>
      <w:r>
        <w:rPr>
          <w:rFonts w:ascii="仿宋" w:hAnsi="仿宋" w:eastAsia="仿宋" w:cs="仿宋"/>
          <w:color w:val="auto"/>
          <w:sz w:val="24"/>
          <w:highlight w:val="none"/>
        </w:rPr>
        <w:t xml:space="preserve">标准：</w:t>
      </w:r>
      <w:r>
        <w:rPr>
          <w:rFonts w:hint="eastAsia" w:ascii="仿宋" w:hAnsi="仿宋" w:eastAsia="仿宋" w:cs="仿宋"/>
          <w:bCs/>
          <w:color w:val="auto"/>
          <w:sz w:val="24"/>
          <w:szCs w:val="24"/>
          <w:highlight w:val="none"/>
        </w:rPr>
        <w:t xml:space="preserve">按本招标文件、</w:t>
      </w:r>
      <w:r>
        <w:rPr>
          <w:rFonts w:hint="eastAsia" w:ascii="仿宋" w:hAnsi="仿宋" w:eastAsia="仿宋" w:cs="仿宋"/>
          <w:bCs/>
          <w:color w:val="auto"/>
          <w:sz w:val="24"/>
          <w:szCs w:val="24"/>
          <w:highlight w:val="none"/>
          <w:lang w:val="en-US" w:eastAsia="zh-CN"/>
        </w:rPr>
        <w:t xml:space="preserve">中标人</w:t>
      </w:r>
      <w:r>
        <w:rPr>
          <w:rFonts w:hint="eastAsia" w:ascii="仿宋" w:hAnsi="仿宋" w:eastAsia="仿宋" w:cs="仿宋"/>
          <w:bCs/>
          <w:color w:val="auto"/>
          <w:sz w:val="24"/>
          <w:szCs w:val="24"/>
          <w:highlight w:val="none"/>
        </w:rPr>
        <w:t xml:space="preserve">的投标文件、承诺及国家相关标准。如</w:t>
      </w:r>
      <w:bookmarkStart w:id="26" w:name="_GoBack"/>
      <w:r/>
      <w:bookmarkEnd w:id="26"/>
      <w:r>
        <w:rPr>
          <w:rFonts w:hint="eastAsia" w:ascii="仿宋" w:hAnsi="仿宋" w:eastAsia="仿宋" w:cs="仿宋"/>
          <w:bCs/>
          <w:color w:val="auto"/>
          <w:sz w:val="24"/>
          <w:szCs w:val="24"/>
          <w:highlight w:val="none"/>
        </w:rPr>
        <w:t xml:space="preserve">双方对验收结果有分歧，则以权威部门的检验结果为准，检验费用由有过失的一方支付。</w:t>
      </w:r>
      <w:r/>
    </w:p>
    <w:p>
      <w:pPr>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综合说明</w:t>
      </w:r>
      <w:r/>
    </w:p>
    <w:p>
      <w:pPr>
        <w:ind w:firstLine="420"/>
        <w:jc w:val="left"/>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 xml:space="preserve">1、投标报价：按整体</w:t>
      </w:r>
      <w:r>
        <w:rPr>
          <w:rFonts w:hint="eastAsia" w:ascii="仿宋" w:hAnsi="仿宋" w:eastAsia="仿宋" w:cs="仿宋"/>
          <w:color w:val="auto"/>
          <w:sz w:val="24"/>
          <w:szCs w:val="24"/>
          <w:highlight w:val="none"/>
          <w:lang w:eastAsia="zh-CN"/>
        </w:rPr>
        <w:t xml:space="preserve">优惠率</w:t>
      </w:r>
      <w:r>
        <w:rPr>
          <w:rFonts w:hint="eastAsia" w:ascii="仿宋" w:hAnsi="仿宋" w:eastAsia="仿宋" w:cs="仿宋"/>
          <w:color w:val="auto"/>
          <w:sz w:val="24"/>
          <w:szCs w:val="24"/>
          <w:highlight w:val="none"/>
        </w:rPr>
        <w:t xml:space="preserve">报价，结算时以最高单价限价乘以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优惠率）</w:t>
      </w:r>
      <w:r>
        <w:rPr>
          <w:rFonts w:hint="eastAsia" w:ascii="仿宋" w:hAnsi="仿宋" w:eastAsia="仿宋" w:cs="仿宋"/>
          <w:color w:val="auto"/>
          <w:sz w:val="24"/>
          <w:szCs w:val="24"/>
          <w:highlight w:val="none"/>
        </w:rPr>
        <w:t xml:space="preserve">，按实结算。报价包</w:t>
      </w:r>
      <w:r>
        <w:rPr>
          <w:rFonts w:hint="eastAsia" w:ascii="仿宋" w:hAnsi="仿宋" w:eastAsia="仿宋" w:cs="仿宋"/>
          <w:color w:val="auto"/>
          <w:sz w:val="24"/>
          <w:szCs w:val="24"/>
          <w:highlight w:val="none"/>
          <w:lang w:eastAsia="zh-CN"/>
        </w:rPr>
        <w:t xml:space="preserve">括所投项目全部服务内容及项目所需设备及其备品、备</w:t>
      </w:r>
      <w:r>
        <w:rPr>
          <w:rFonts w:hint="eastAsia" w:ascii="仿宋" w:hAnsi="仿宋" w:eastAsia="仿宋" w:cs="仿宋"/>
          <w:color w:val="auto"/>
          <w:sz w:val="24"/>
          <w:szCs w:val="24"/>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仿宋" w:hAnsi="仿宋" w:eastAsia="仿宋" w:cs="仿宋"/>
          <w:color w:val="auto"/>
          <w:sz w:val="24"/>
          <w:szCs w:val="24"/>
          <w:highlight w:val="none"/>
          <w:lang w:bidi="ar"/>
        </w:rPr>
        <w:t xml:space="preserve">，投标报价包含了采购人现有场地条件下，</w:t>
      </w:r>
      <w:r>
        <w:rPr>
          <w:rFonts w:hint="eastAsia" w:ascii="仿宋" w:hAnsi="仿宋" w:eastAsia="仿宋" w:cs="仿宋"/>
          <w:color w:val="auto"/>
          <w:sz w:val="24"/>
          <w:szCs w:val="24"/>
          <w:highlight w:val="none"/>
          <w:lang w:eastAsia="zh-CN" w:bidi="ar"/>
        </w:rPr>
        <w:t xml:space="preserve">完成本项服务全部内容，并验收合格前的所有费用。</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2、投标人所投服务内容应能够至少达到或优于以上服务要求，同时明确服务内容、人员配备及交通工具等设备的投入。</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3、投标人必须承诺招标文件中提出的服务与要求。如果以其中某些条款不响应时，应在文件中逐条列出，未列出的视同响应。</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、服务地点：采购单位指定地点。</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5、服务</w:t>
      </w:r>
      <w:r>
        <w:rPr>
          <w:rFonts w:hint="eastAsia" w:ascii="仿宋" w:hAnsi="仿宋" w:eastAsia="仿宋" w:cs="仿宋"/>
          <w:b w:val="0"/>
          <w:bCs w:val="0"/>
          <w:color w:val="auto"/>
          <w:sz w:val="24"/>
          <w:szCs w:val="24"/>
          <w:highlight w:val="none"/>
        </w:rPr>
        <w:t xml:space="preserve">期限：</w:t>
      </w:r>
      <w:r>
        <w:rPr>
          <w:rFonts w:hint="eastAsia" w:ascii="仿宋" w:hAnsi="仿宋" w:eastAsia="仿宋" w:cs="仿宋"/>
          <w:b w:val="0"/>
          <w:bCs w:val="0"/>
          <w:color w:val="auto"/>
          <w:sz w:val="24"/>
          <w:szCs w:val="24"/>
          <w:highlight w:val="none"/>
          <w:lang w:val="en-US" w:eastAsia="zh-CN"/>
        </w:rPr>
        <w:t xml:space="preserve">一年或累计结算金额达到肆佰万元整项目终止。</w:t>
      </w:r>
      <w:r/>
    </w:p>
    <w:p>
      <w:pPr>
        <w:ind w:right="0" w:firstLine="42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rPr>
          <w:rFonts w:hint="eastAsia" w:ascii="仿宋" w:hAnsi="仿宋" w:eastAsia="仿宋" w:cs="仿宋"/>
          <w:b w:val="0"/>
          <w:bCs w:val="0"/>
          <w:color w:val="auto"/>
          <w:sz w:val="24"/>
          <w:szCs w:val="24"/>
          <w:highlight w:val="none"/>
          <w:lang w:val="zh-CN" w:eastAsia="zh-CN" w:bidi="ar-SA"/>
        </w:rPr>
        <w:t xml:space="preserve">付款方式：</w:t>
      </w:r>
      <w:r>
        <w:rPr>
          <w:rFonts w:hint="eastAsia" w:ascii="仿宋" w:hAnsi="仿宋" w:eastAsia="仿宋" w:cs="仿宋"/>
          <w:b w:val="0"/>
          <w:bCs w:val="0"/>
          <w:color w:val="auto"/>
          <w:sz w:val="24"/>
          <w:szCs w:val="24"/>
          <w:highlight w:val="none"/>
          <w:lang w:val="en-US" w:eastAsia="zh-CN" w:bidi="ar-SA"/>
        </w:rPr>
        <w:t xml:space="preserve">合同签订生效后预付合同总价的10%，项目开工满6个月后支付至已完工作量结算价的60%，合同终止且项目验收合格后支付至合同期内所有单项工程累计工程结算价的80%，项目结算审计审定后一次性付清余款。</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、投标人须承诺按照法律规定及合同约定组织完成本项目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确保质量和安全，不得进行转包及违法分包，否则甲方有权</w:t>
      </w:r>
      <w:r>
        <w:rPr>
          <w:rFonts w:hint="eastAsia" w:ascii="仿宋" w:hAnsi="仿宋" w:eastAsia="仿宋" w:cs="仿宋"/>
          <w:bCs/>
          <w:color w:val="auto"/>
          <w:sz w:val="24"/>
          <w:szCs w:val="24"/>
          <w:highlight w:val="none"/>
        </w:rPr>
        <w:t xml:space="preserve">中止项目并取消合同。</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8、为保证本项目顺利实施，投标单位应针对本项目编制符合本项目要求的服务方案，方案内容包括但不限于：现场作业方案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应急事件处置方案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安全文明及环境保护措施等。</w:t>
      </w:r>
      <w:r/>
    </w:p>
    <w:p>
      <w:pPr>
        <w:pStyle w:val="1501"/>
        <w:keepLines w:val="0"/>
        <w:keepNext w:val="0"/>
        <w:pageBreakBefore w:val="0"/>
        <w:spacing w:line="360" w:lineRule="auto"/>
        <w:widowControl w:val="off"/>
        <w:rPr>
          <w:rFonts w:hint="eastAsia" w:ascii="仿宋" w:hAnsi="仿宋" w:eastAsia="仿宋" w:cs="仿宋"/>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rPr>
        <w:t xml:space="preserve">政府采购政策</w:t>
      </w:r>
      <w:r/>
    </w:p>
    <w:p>
      <w:pPr>
        <w:pStyle w:val="159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（一）节能产品和环境标志产品</w:t>
      </w:r>
      <w:r/>
    </w:p>
    <w:p>
      <w:pPr>
        <w:pStyle w:val="159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0" w:name="_Hlk45012782"/>
      <w:r>
        <w:rPr>
          <w:rFonts w:hint="eastAsia" w:ascii="仿宋" w:hAnsi="仿宋" w:eastAsia="仿宋" w:cs="仿宋"/>
          <w:color w:val="auto"/>
          <w:sz w:val="24"/>
          <w:szCs w:val="24"/>
          <w:highlight w:val="none"/>
          <w:lang w:val="en-US"/>
        </w:rPr>
        <w:t xml:space="preserve">并提供由国家确定的认证机构出具的、处于有效期之内的节能产品或环境标志产品认证证书，否则视为未实质响应。</w:t>
      </w:r>
      <w:bookmarkEnd w:id="20"/>
      <w:r/>
      <w:r/>
    </w:p>
    <w:p>
      <w:pPr>
        <w:pStyle w:val="159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（二）小微企业的价格分评审</w:t>
      </w:r>
      <w:r/>
    </w:p>
    <w:p>
      <w:pPr>
        <w:pStyle w:val="804"/>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专门面向中小企业采购的项目，不再执行价格评审优惠的扶持政策。</w:t>
      </w:r>
      <w:r>
        <w:rPr>
          <w:rFonts w:hint="eastAsia" w:ascii="仿宋" w:hAnsi="仿宋" w:eastAsia="仿宋" w:cs="仿宋"/>
          <w:bCs/>
          <w:color w:val="auto"/>
          <w:sz w:val="24"/>
          <w:szCs w:val="24"/>
          <w:highlight w:val="none"/>
        </w:rPr>
        <w:t xml:space="preserve">拟投入</w:t>
      </w:r>
      <w:r>
        <w:rPr>
          <w:rFonts w:hint="eastAsia" w:ascii="仿宋" w:hAnsi="仿宋" w:eastAsia="仿宋" w:cs="仿宋"/>
          <w:color w:val="auto"/>
          <w:sz w:val="24"/>
          <w:szCs w:val="24"/>
          <w:highlight w:val="none"/>
        </w:rPr>
        <w:t xml:space="preserve">服务人员应当是具备《劳动合同》的或者中标后聘请签订《劳动合同》的服务人员参与本项目。</w:t>
      </w:r>
      <w:r/>
    </w:p>
    <w:p>
      <w:pPr>
        <w:keepLines w:val="0"/>
        <w:keepNext w:val="0"/>
        <w:pageBreakBefore w:val="0"/>
        <w:widowControl w:val="off"/>
        <w:rPr>
          <w:rFonts w:hint="eastAsia" w:ascii="仿宋" w:hAnsi="仿宋" w:eastAsia="仿宋" w:cs="仿宋"/>
          <w:color w:val="auto"/>
          <w:spacing w:val="-17"/>
          <w:sz w:val="24"/>
          <w:szCs w:val="24"/>
          <w:highlight w:val="none"/>
        </w:rPr>
      </w:pPr>
      <w:r>
        <w:rPr>
          <w:rFonts w:ascii="仿宋" w:hAnsi="仿宋" w:eastAsia="仿宋" w:cs="仿宋"/>
          <w:color w:val="auto"/>
          <w:spacing w:val="-17"/>
          <w:sz w:val="24"/>
          <w:szCs w:val="24"/>
          <w:highlight w:val="none"/>
        </w:rPr>
        <w:br w:type="page" w:clear="all"/>
      </w:r>
      <w:r/>
    </w:p>
    <w:p>
      <w:pPr>
        <w:keepLines w:val="0"/>
        <w:keepNext w:val="0"/>
        <w:pageBreakBefore w:val="0"/>
        <w:spacing w:before="234" w:after="120"/>
        <w:widowControl w:val="off"/>
        <w:rPr>
          <w:rFonts w:hint="eastAsia" w:ascii="仿宋" w:hAnsi="仿宋" w:eastAsia="仿宋" w:cs="仿宋"/>
          <w:color w:val="auto"/>
          <w:spacing w:val="-17"/>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7"/>
          <w:sz w:val="24"/>
          <w:szCs w:val="24"/>
          <w:highlight w:val="none"/>
        </w:rPr>
        <w:t xml:space="preserve">附件</w:t>
      </w:r>
      <w:r>
        <w:rPr>
          <w:rFonts w:ascii="仿宋" w:hAnsi="仿宋" w:eastAsia="仿宋" w:cs="仿宋"/>
          <w:color w:val="auto"/>
          <w:spacing w:val="-61"/>
          <w:sz w:val="24"/>
          <w:szCs w:val="24"/>
          <w:highlight w:val="none"/>
        </w:rPr>
        <w:t xml:space="preserve"> </w:t>
      </w:r>
      <w:r>
        <w:rPr>
          <w:rFonts w:ascii="仿宋" w:hAnsi="仿宋" w:eastAsia="仿宋" w:cs="仿宋"/>
          <w:color w:val="auto"/>
          <w:spacing w:val="-17"/>
          <w:sz w:val="24"/>
          <w:szCs w:val="24"/>
          <w:highlight w:val="none"/>
        </w:rPr>
        <w:t xml:space="preserve">1</w:t>
      </w:r>
      <w:r/>
    </w:p>
    <w:p>
      <w:pPr>
        <w:ind w:left="1410"/>
        <w:keepLines w:val="0"/>
        <w:keepNext w:val="0"/>
        <w:pageBreakBefore w:val="0"/>
        <w:spacing w:before="263"/>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7"/>
          <w:sz w:val="36"/>
          <w:highlight w:val="none"/>
        </w:rPr>
        <w:t xml:space="preserve">政府采购履约验收通知单（参考样本）</w:t>
      </w:r>
      <w:r/>
    </w:p>
    <w:p>
      <w:pPr>
        <w:ind w:left="85"/>
        <w:keepLines w:val="0"/>
        <w:keepNext w:val="0"/>
        <w:pageBreakBefore w:val="0"/>
        <w:spacing w:before="216"/>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9"/>
          <w:sz w:val="23"/>
          <w:highlight w:val="none"/>
        </w:rPr>
        <w:t xml:space="preserve">供应商：</w:t>
      </w:r>
      <w:r/>
    </w:p>
    <w:p>
      <w:pPr>
        <w:keepLines w:val="0"/>
        <w:keepNext w:val="0"/>
        <w:pageBreakBefore w:val="0"/>
        <w:spacing w:line="44"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bl>
      <w:tblPr>
        <w:tblStyle w:val="8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8"/>
        <w:gridCol w:w="1941"/>
        <w:gridCol w:w="2125"/>
        <w:gridCol w:w="2612"/>
      </w:tblGrid>
      <w:tr>
        <w:trPr>
          <w:jc w:val="cente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1"/>
              <w:keepLines w:val="0"/>
              <w:keepNext w:val="0"/>
              <w:pageBreakBefore w:val="0"/>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keepLines w:val="0"/>
              <w:keepNext w:val="0"/>
              <w:pageBreakBefore w:val="0"/>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keepLines w:val="0"/>
              <w:keepNext w:val="0"/>
              <w:pageBreakBefore w:val="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0"/>
              <w:keepLines w:val="0"/>
              <w:keepNext w:val="0"/>
              <w:pageBreakBefore w:val="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keepLines w:val="0"/>
              <w:keepNext w:val="0"/>
              <w:pageBreakBefore w:val="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ind w:left="3353"/>
              <w:keepLines w:val="0"/>
              <w:keepNext w:val="0"/>
              <w:pageBreakBefore w:val="0"/>
              <w:spacing w:before="25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7"/>
                <w:sz w:val="23"/>
                <w:highlight w:val="none"/>
              </w:rPr>
              <w:t xml:space="preserve">履约验收方案及工作要求</w:t>
            </w:r>
            <w:r/>
          </w:p>
        </w:tc>
      </w:tr>
      <w:tr>
        <w:trPr>
          <w:jc w:val="center"/>
          <w:trHeight w:val="756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right="2893" w:firstLine="4720"/>
              <w:keepLines w:val="0"/>
              <w:keepNext w:val="0"/>
              <w:pageBreakBefore w:val="0"/>
              <w:spacing w:before="75" w:line="12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3"/>
                <w:sz w:val="23"/>
                <w:highlight w:val="none"/>
              </w:rPr>
              <w:t xml:space="preserve">单位公章</w:t>
            </w:r>
            <w:r/>
          </w:p>
          <w:p>
            <w:pPr>
              <w:ind w:right="2893" w:firstLine="4600"/>
              <w:keepLines w:val="0"/>
              <w:keepNext w:val="0"/>
              <w:pageBreakBefore w:val="0"/>
              <w:spacing w:before="75" w:line="12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3"/>
                <w:highlight w:val="none"/>
              </w:rPr>
              <w:t xml:space="preserve">  </w:t>
            </w:r>
            <w:r>
              <w:rPr>
                <w:rFonts w:ascii="仿宋" w:hAnsi="仿宋" w:eastAsia="仿宋" w:cs="仿宋"/>
                <w:color w:val="auto"/>
                <w:spacing w:val="-16"/>
                <w:sz w:val="23"/>
                <w:highlight w:val="none"/>
              </w:rPr>
              <w:t xml:space="preserve">年</w:t>
            </w:r>
            <w:r>
              <w:rPr>
                <w:rFonts w:ascii="仿宋" w:hAnsi="仿宋" w:eastAsia="仿宋" w:cs="仿宋"/>
                <w:color w:val="auto"/>
                <w:spacing w:val="18"/>
                <w:sz w:val="23"/>
                <w:highlight w:val="none"/>
              </w:rPr>
              <w:t xml:space="preserve"> </w:t>
            </w:r>
            <w:r>
              <w:rPr>
                <w:rFonts w:ascii="仿宋" w:hAnsi="仿宋" w:eastAsia="仿宋" w:cs="仿宋"/>
                <w:color w:val="auto"/>
                <w:spacing w:val="-16"/>
                <w:sz w:val="23"/>
                <w:highlight w:val="none"/>
              </w:rPr>
              <w:t xml:space="preserve">月</w:t>
            </w:r>
            <w:r>
              <w:rPr>
                <w:rFonts w:ascii="仿宋" w:hAnsi="仿宋" w:eastAsia="仿宋" w:cs="仿宋"/>
                <w:color w:val="auto"/>
                <w:spacing w:val="12"/>
                <w:sz w:val="23"/>
                <w:highlight w:val="none"/>
              </w:rPr>
              <w:t xml:space="preserve">  </w:t>
            </w:r>
            <w:r>
              <w:rPr>
                <w:rFonts w:ascii="仿宋" w:hAnsi="仿宋" w:eastAsia="仿宋" w:cs="仿宋"/>
                <w:color w:val="auto"/>
                <w:spacing w:val="-16"/>
                <w:sz w:val="23"/>
                <w:highlight w:val="none"/>
              </w:rPr>
              <w:t xml:space="preserve">日</w:t>
            </w:r>
            <w:r/>
          </w:p>
        </w:tc>
      </w:tr>
    </w:tbl>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spacing w:before="101" w:after="120"/>
        <w:widowControl w:val="off"/>
        <w:rPr>
          <w:rFonts w:hint="eastAsia" w:ascii="仿宋" w:hAnsi="仿宋" w:eastAsia="仿宋" w:cs="仿宋"/>
          <w:color w:val="auto"/>
          <w:spacing w:val="-4"/>
          <w:szCs w:val="21"/>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even" r:id="rId12"/>
          <w:footnotePr/>
          <w:endnotePr/>
          <w:type w:val="nextPage"/>
          <w:pgSz w:w="11907" w:h="16839" w:orient="portrait"/>
          <w:pgMar w:top="1440" w:right="1080" w:bottom="1440" w:left="1080" w:header="709" w:footer="709" w:gutter="0"/>
          <w:pgNumType w:start="0"/>
          <w:cols w:num="1" w:sep="0" w:space="720" w:equalWidth="1"/>
          <w:docGrid w:linePitch="360"/>
          <w:titlePg/>
        </w:sectPr>
      </w:pPr>
      <w:r>
        <w:rPr>
          <w:rFonts w:hint="eastAsia" w:ascii="仿宋" w:hAnsi="仿宋" w:eastAsia="仿宋" w:cs="仿宋"/>
          <w:color w:val="auto"/>
          <w:spacing w:val="-4"/>
          <w:szCs w:val="21"/>
          <w:highlight w:val="none"/>
        </w:rPr>
      </w:r>
      <w:r/>
    </w:p>
    <w:p>
      <w:pPr>
        <w:keepLines w:val="0"/>
        <w:keepNext w:val="0"/>
        <w:pageBreakBefore w:val="0"/>
        <w:spacing w:before="101" w:after="120"/>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4"/>
          <w:szCs w:val="24"/>
          <w:highlight w:val="none"/>
        </w:rPr>
        <w:t xml:space="preserve">附件 2</w:t>
      </w:r>
      <w:r/>
    </w:p>
    <w:p>
      <w:pPr>
        <w:jc w:val="center"/>
        <w:keepLines w:val="0"/>
        <w:keepNext w:val="0"/>
        <w:pageBreakBefore w:val="0"/>
        <w:spacing w:before="104"/>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9"/>
          <w:sz w:val="36"/>
          <w:highlight w:val="none"/>
        </w:rPr>
        <w:t xml:space="preserve">政府采购履约验收书参考样本(服务类)</w:t>
      </w:r>
      <w:r/>
    </w:p>
    <w:p>
      <w:pPr>
        <w:keepLines w:val="0"/>
        <w:keepNext w:val="0"/>
        <w:pageBreakBefore w:val="0"/>
        <w:widowControl w:val="off"/>
        <w:rPr>
          <w:rFonts w:hint="eastAsia" w:ascii="仿宋" w:hAnsi="仿宋" w:eastAsia="仿宋" w:cs="仿宋"/>
          <w:color w:val="auto"/>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120"/>
        <w:gridCol w:w="1188"/>
        <w:gridCol w:w="1616"/>
        <w:gridCol w:w="1114"/>
        <w:gridCol w:w="1443"/>
        <w:gridCol w:w="2004"/>
      </w:tblGrid>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采购人</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项目名称</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合同名称</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供应商</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项目及合同编号</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合同金额</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分期（段）验收</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是□   否□</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分期（段）情况</w:t>
            </w:r>
            <w:r/>
          </w:p>
        </w:tc>
        <w:tc>
          <w:tcPr>
            <w:gridSpan w:val="4"/>
            <w:tcMar>
              <w:left w:w="0" w:type="dxa"/>
              <w:top w:w="0" w:type="dxa"/>
              <w:right w:w="0" w:type="dxa"/>
              <w:bottom w:w="0" w:type="dxa"/>
            </w:tcMar>
            <w:tcW w:w="6177"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共分   期（段），此为第   期（段）验收</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验收时间</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验收地点</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验收组织形式</w:t>
            </w:r>
            <w:r/>
          </w:p>
        </w:tc>
        <w:tc>
          <w:tcPr>
            <w:tcMar>
              <w:left w:w="0" w:type="dxa"/>
              <w:top w:w="0" w:type="dxa"/>
              <w:right w:w="0" w:type="dxa"/>
              <w:bottom w:w="0" w:type="dxa"/>
            </w:tcMar>
            <w:tcW w:w="2004" w:type="dxa"/>
            <w:vAlign w:val="center"/>
            <w:textDirection w:val="lrTb"/>
            <w:noWrap w:val="false"/>
          </w:tcPr>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□自行简易验收</w:t>
            </w:r>
            <w:r/>
          </w:p>
          <w:p>
            <w:pP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□验收小组验收</w:t>
            </w:r>
            <w:r/>
          </w:p>
        </w:tc>
      </w:tr>
      <w:tr>
        <w:trPr>
          <w:jc w:val="center"/>
          <w:trHeight w:val="680"/>
        </w:trPr>
        <w:tc>
          <w:tcPr>
            <w:tcMar>
              <w:left w:w="0" w:type="dxa"/>
              <w:top w:w="0" w:type="dxa"/>
              <w:right w:w="0" w:type="dxa"/>
              <w:bottom w:w="0" w:type="dxa"/>
            </w:tcMar>
            <w:tcW w:w="1063" w:type="dxa"/>
            <w:vAlign w:val="center"/>
            <w:vMerge w:val="restart"/>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验收内容</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服务质量</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服务进度</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人员、设备 配备情况</w:t>
            </w:r>
            <w:r/>
          </w:p>
        </w:tc>
        <w:tc>
          <w:tcPr>
            <w:tcMar>
              <w:left w:w="0" w:type="dxa"/>
              <w:top w:w="0" w:type="dxa"/>
              <w:right w:w="0" w:type="dxa"/>
              <w:bottom w:w="0" w:type="dxa"/>
            </w:tcMar>
            <w:tcW w:w="1114"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行业、安全标准</w:t>
            </w:r>
            <w:r/>
          </w:p>
        </w:tc>
        <w:tc>
          <w:tcPr>
            <w:tcMar>
              <w:left w:w="0" w:type="dxa"/>
              <w:top w:w="0" w:type="dxa"/>
              <w:right w:w="0" w:type="dxa"/>
              <w:bottom w:w="0" w:type="dxa"/>
            </w:tcMar>
            <w:tcW w:w="144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项目需求、服务承诺</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合同履约时间、 地点、方式</w:t>
            </w:r>
            <w:r/>
          </w:p>
        </w:tc>
      </w:tr>
      <w:tr>
        <w:trPr>
          <w:jc w:val="center"/>
          <w:trHeight w:val="680"/>
        </w:trPr>
        <w:tc>
          <w:tcPr>
            <w:tcW w:w="0" w:type="auto"/>
            <w:vMerge w:val="continue"/>
            <w:textDirection w:val="lrTb"/>
            <w:noWrap w:val="false"/>
          </w:tcPr>
          <w:p>
            <w:pPr>
              <w:keepLines w:val="0"/>
              <w:keepNext w:val="0"/>
              <w:pageBreakBefore w:val="0"/>
              <w:widowControl w:val="off"/>
              <w:rPr>
                <w:color w:val="auto"/>
                <w:highlight w:val="none"/>
              </w:rPr>
            </w:pPr>
            <w:r>
              <w:rPr>
                <w:color w:val="auto"/>
                <w:highlight w:val="none"/>
              </w:rPr>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按 时□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不按时□</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114"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443"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widowControl w:val="off"/>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存在问题</w:t>
            </w:r>
            <w:r/>
          </w:p>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和改进意见</w:t>
            </w:r>
            <w:r/>
          </w:p>
        </w:tc>
        <w:tc>
          <w:tcPr>
            <w:gridSpan w:val="6"/>
            <w:tcMar>
              <w:left w:w="0" w:type="dxa"/>
              <w:top w:w="0" w:type="dxa"/>
              <w:right w:w="0" w:type="dxa"/>
              <w:bottom w:w="0" w:type="dxa"/>
            </w:tcMar>
            <w:tcW w:w="8485" w:type="dxa"/>
            <w:vAlign w:val="center"/>
            <w:textDirection w:val="lrTb"/>
            <w:noWrap w:val="false"/>
          </w:tcPr>
          <w:p>
            <w:pPr>
              <w:jc w:val="cente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最终结论</w:t>
            </w:r>
            <w:r/>
          </w:p>
        </w:tc>
        <w:tc>
          <w:tcPr>
            <w:gridSpan w:val="6"/>
            <w:tcMar>
              <w:left w:w="0" w:type="dxa"/>
              <w:top w:w="0" w:type="dxa"/>
              <w:right w:w="0" w:type="dxa"/>
              <w:bottom w:w="0" w:type="dxa"/>
            </w:tcMar>
            <w:tcW w:w="8485"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验收小组成员</w:t>
            </w:r>
            <w:r>
              <w:rPr>
                <w:rFonts w:ascii="仿宋" w:hAnsi="仿宋" w:eastAsia="仿宋" w:cs="仿宋"/>
                <w:color w:val="auto"/>
                <w:spacing w:val="-4"/>
                <w:highlight w:val="none"/>
              </w:rPr>
              <w:t xml:space="preserve">签字</w:t>
            </w:r>
            <w:r/>
          </w:p>
        </w:tc>
        <w:tc>
          <w:tcPr>
            <w:gridSpan w:val="6"/>
            <w:tcMar>
              <w:left w:w="0" w:type="dxa"/>
              <w:top w:w="0" w:type="dxa"/>
              <w:right w:w="0" w:type="dxa"/>
              <w:bottom w:w="0" w:type="dxa"/>
            </w:tcMar>
            <w:tcW w:w="8485" w:type="dxa"/>
            <w:textDirection w:val="lrTb"/>
            <w:noWrap w:val="false"/>
          </w:tcPr>
          <w:p>
            <w:pPr>
              <w:keepLines w:val="0"/>
              <w:keepNext w:val="0"/>
              <w:pageBreakBefore w:val="0"/>
              <w:spacing w:before="80" w:after="8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keepLines w:val="0"/>
              <w:keepNext w:val="0"/>
              <w:pageBreakBefore w:val="0"/>
              <w:spacing w:before="80" w:after="80" w:line="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采购人意见</w:t>
            </w:r>
            <w:r/>
          </w:p>
          <w:p>
            <w:pPr>
              <w:ind w:firstLine="262"/>
              <w:keepLines w:val="0"/>
              <w:keepNext w:val="0"/>
              <w:pageBreakBefore w:val="0"/>
              <w:spacing w:before="80" w:after="80" w:line="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2"/>
              <w:keepLines w:val="0"/>
              <w:keepNext w:val="0"/>
              <w:pageBreakBefore w:val="0"/>
              <w:spacing w:before="80" w:after="80" w:line="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5"/>
              <w:jc w:val="right"/>
              <w:keepLines w:val="0"/>
              <w:keepNext w:val="0"/>
              <w:pageBreakBefore w:val="0"/>
              <w:spacing w:before="59" w:line="238"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highlight w:val="none"/>
              </w:rPr>
              <w:t xml:space="preserve">经办人：         负责人</w:t>
            </w:r>
            <w:r>
              <w:rPr>
                <w:rFonts w:ascii="仿宋" w:hAnsi="仿宋" w:eastAsia="仿宋" w:cs="仿宋"/>
                <w:color w:val="auto"/>
                <w:spacing w:val="-17"/>
                <w:highlight w:val="none"/>
              </w:rPr>
              <w:t xml:space="preserve">：</w:t>
            </w:r>
            <w:r>
              <w:rPr>
                <w:rFonts w:ascii="仿宋" w:hAnsi="仿宋" w:eastAsia="仿宋" w:cs="仿宋"/>
                <w:color w:val="auto"/>
                <w:highlight w:val="none"/>
              </w:rPr>
              <w:t xml:space="preserve">               </w:t>
            </w:r>
            <w:r>
              <w:rPr>
                <w:rFonts w:ascii="仿宋" w:hAnsi="仿宋" w:eastAsia="仿宋" w:cs="仿宋"/>
                <w:color w:val="auto"/>
                <w:spacing w:val="-17"/>
                <w:highlight w:val="none"/>
              </w:rPr>
              <w:t xml:space="preserve">（</w:t>
            </w:r>
            <w:r>
              <w:rPr>
                <w:rFonts w:ascii="仿宋" w:hAnsi="仿宋" w:eastAsia="仿宋" w:cs="仿宋"/>
                <w:color w:val="auto"/>
                <w:spacing w:val="1"/>
                <w:highlight w:val="none"/>
              </w:rPr>
              <w:t xml:space="preserve">采购人公章）</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keepLines w:val="0"/>
              <w:keepNext w:val="0"/>
              <w:pageBreakBefore w:val="0"/>
              <w:spacing w:before="299"/>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供应商确认：</w:t>
            </w:r>
            <w:r/>
          </w:p>
          <w:p>
            <w:pPr>
              <w:ind w:firstLine="262"/>
              <w:keepLines w:val="0"/>
              <w:keepNext w:val="0"/>
              <w:pageBreakBefore w:val="0"/>
              <w:spacing w:before="80" w:after="80" w:line="6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0"/>
              <w:keepLines w:val="0"/>
              <w:keepNext w:val="0"/>
              <w:pageBreakBefore w:val="0"/>
              <w:spacing w:before="59" w:line="238"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highlight w:val="none"/>
              </w:rPr>
              <w:t xml:space="preserve">（单位公章或授权代表签字）</w:t>
            </w:r>
            <w:r/>
          </w:p>
        </w:tc>
      </w:tr>
    </w:tbl>
    <w:p>
      <w:pPr>
        <w:keepLines w:val="0"/>
        <w:keepNext w:val="0"/>
        <w:pageBreakBefore w:val="0"/>
        <w:widowControl w:val="off"/>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jc w:val="left"/>
        <w:keepLines w:val="0"/>
        <w:keepNext w:val="0"/>
        <w:pageBreakBefore w:val="0"/>
        <w:widowControl w:val="off"/>
        <w:rPr>
          <w:rFonts w:hint="eastAsia" w:ascii="宋体" w:hAnsi="宋体"/>
          <w:b/>
          <w:color w:val="auto"/>
          <w:sz w:val="44"/>
          <w:szCs w:val="44"/>
          <w:highlight w:val="none"/>
        </w:rPr>
      </w:pPr>
      <w:r>
        <w:rPr>
          <w:rFonts w:ascii="宋体" w:hAnsi="宋体"/>
          <w:color w:val="auto"/>
          <w:highlight w:val="none"/>
        </w:rPr>
        <w:br w:type="page" w:clear="all"/>
      </w:r>
      <w:r/>
    </w:p>
    <w:p>
      <w:pPr>
        <w:pStyle w:val="1176"/>
        <w:keepLines w:val="0"/>
        <w:keepNext w:val="0"/>
        <w:pageBreakBefore w:val="0"/>
        <w:widowControl w:val="off"/>
        <w:rPr>
          <w:rFonts w:hint="eastAsia" w:ascii="仿宋" w:hAnsi="仿宋" w:eastAsia="仿宋" w:cs="仿宋"/>
          <w:color w:val="auto"/>
          <w:highlight w:val="none"/>
        </w:rPr>
        <w:sectPr>
          <w:footnotePr/>
          <w:endnotePr/>
          <w:type w:val="nextPage"/>
          <w:pgSz w:w="11907" w:h="16839" w:orient="portrait"/>
          <w:pgMar w:top="1440" w:right="1080" w:bottom="1440" w:left="1080" w:header="709" w:footer="709" w:gutter="0"/>
          <w:cols w:num="1" w:sep="0" w:space="720" w:equalWidth="1"/>
          <w:docGrid w:linePitch="360"/>
          <w:titlePg/>
        </w:sectPr>
      </w:pPr>
      <w:r>
        <w:rPr>
          <w:rFonts w:hint="eastAsia" w:ascii="仿宋" w:hAnsi="仿宋" w:eastAsia="仿宋" w:cs="仿宋"/>
          <w:color w:val="auto"/>
          <w:highlight w:val="none"/>
        </w:rPr>
      </w:r>
      <w:r/>
    </w:p>
    <w:p>
      <w:pPr>
        <w:pStyle w:val="1176"/>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第四部分 投标文件格式</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对本章所有的投标书格式，投标方可根据自身情况进行补充和修改，但补充和修改不得造成与本格式内容有实质性的违背。</w:t>
      </w:r>
      <w:bookmarkEnd w:id="14"/>
      <w:r/>
      <w:r/>
    </w:p>
    <w:p>
      <w:pPr>
        <w:jc w:val="left"/>
        <w:keepLines w:val="0"/>
        <w:keepNext w:val="0"/>
        <w:pageBreakBefore w:val="0"/>
        <w:widowControl w:val="off"/>
        <w:rPr>
          <w:rFonts w:hint="eastAsia" w:ascii="宋体" w:hAnsi="宋体"/>
          <w:b/>
          <w:color w:val="auto"/>
          <w:sz w:val="24"/>
          <w:szCs w:val="24"/>
          <w:highlight w:val="none"/>
        </w:rPr>
      </w:pPr>
      <w:r/>
      <w:bookmarkStart w:id="21" w:name="_Toc405288080"/>
      <w:r/>
      <w:bookmarkStart w:id="22" w:name="_Toc322442932"/>
      <w:r/>
      <w:bookmarkStart w:id="23" w:name="_Toc467507044"/>
      <w:r/>
      <w:bookmarkStart w:id="24" w:name="_Toc430265233"/>
      <w:r/>
      <w:bookmarkStart w:id="25" w:name="_Toc467507054"/>
      <w:r>
        <w:rPr>
          <w:rFonts w:ascii="宋体" w:hAnsi="宋体"/>
          <w:b/>
          <w:color w:val="auto"/>
          <w:sz w:val="24"/>
          <w:szCs w:val="24"/>
          <w:highlight w:val="none"/>
        </w:rPr>
        <w:br w:type="page" w:clear="all"/>
      </w:r>
      <w:bookmarkEnd w:id="21"/>
      <w:r/>
      <w:bookmarkEnd w:id="22"/>
      <w:r/>
      <w:bookmarkEnd w:id="23"/>
      <w:r/>
      <w:bookmarkEnd w:id="24"/>
      <w:r/>
      <w:bookmarkEnd w:id="25"/>
      <w:r/>
      <w:r/>
    </w:p>
    <w:p>
      <w:pPr>
        <w:pStyle w:val="781"/>
        <w:jc w:val="both"/>
        <w:keepLines w:val="0"/>
        <w:keepNext w:val="0"/>
        <w:pageBreakBefore w:val="0"/>
        <w:spacing w:line="42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格式1、</w:t>
      </w:r>
      <w:r>
        <w:rPr>
          <w:rFonts w:hint="eastAsia" w:ascii="仿宋" w:hAnsi="仿宋" w:eastAsia="仿宋" w:cs="仿宋"/>
          <w:color w:val="auto"/>
          <w:sz w:val="21"/>
          <w:szCs w:val="21"/>
          <w:highlight w:val="none"/>
        </w:rPr>
        <w:t xml:space="preserve">投标函</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投标函</w:t>
      </w:r>
      <w:r/>
    </w:p>
    <w:p>
      <w:pPr>
        <w:pStyle w:val="1057"/>
        <w:keepLines w:val="0"/>
        <w:keepNext w:val="0"/>
        <w:pageBreakBefore w:val="0"/>
        <w:spacing w:line="3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苏州乐鑫诚项目管理有限公司：</w:t>
      </w:r>
      <w:r/>
    </w:p>
    <w:p>
      <w:pP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 我方收到贵公司</w:t>
      </w:r>
      <w:r>
        <w:rPr>
          <w:rFonts w:hint="eastAsia" w:ascii="仿宋" w:hAnsi="仿宋" w:eastAsia="仿宋" w:cs="仿宋"/>
          <w:color w:val="auto"/>
          <w:sz w:val="24"/>
          <w:szCs w:val="24"/>
          <w:highlight w:val="none"/>
          <w:u w:val="single"/>
          <w:lang w:eastAsia="zh-CN"/>
        </w:rPr>
        <w:t xml:space="preserve">JSZC-320585-YXCZ-G2025-0020</w:t>
      </w:r>
      <w:r>
        <w:rPr>
          <w:rFonts w:hint="eastAsia" w:ascii="仿宋" w:hAnsi="仿宋" w:eastAsia="仿宋" w:cs="仿宋"/>
          <w:color w:val="auto"/>
          <w:sz w:val="24"/>
          <w:szCs w:val="24"/>
          <w:highlight w:val="none"/>
        </w:rPr>
        <w:t xml:space="preserve">号招标文件，经仔细阅读和研究，我方决定参加投标。并向贵公司承诺：</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1、我方自愿按照招标文件规定的各项要求向采购人提供所需服务。</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2、一旦我方中标，我们将严格履行招标文件中规定的每一项要求，按期、按质、按量履行合同的义务。</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5、我们愿意提供招标采购单位在招标文件中要求的相关资料。</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6、我们愿意遵守招标公告及招标文件中所列的收费标准。</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8、我们同意中标方若无法按约定条款履行义务等行为，招标方有权取消其中标资格。</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9、与本投标有关的通讯地址：</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    位：                                   联 系 人：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邮政编码：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传    真：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5"/>
        <w:ind w:left="481" w:firstLine="525"/>
        <w:keepLines w:val="0"/>
        <w:keepNext w:val="0"/>
        <w:pageBreakBefore w:val="0"/>
        <w:spacing w:line="360" w:lineRule="auto"/>
        <w:widowControl w:val="off"/>
        <w:tabs>
          <w:tab w:val="left" w:pos="360" w:leader="none"/>
          <w:tab w:val="clear" w:pos="1785" w:leader="none"/>
          <w:tab w:val="clear" w:pos="1887" w:leader="none"/>
          <w:tab w:val="clear" w:pos="2112" w:leader="none"/>
          <w:tab w:val="clear" w:pos="9000" w:leader="none"/>
        </w:tabs>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0"/>
        <w:keepLines w:val="0"/>
        <w:keepNext w:val="0"/>
        <w:pageBreakBefore w:val="0"/>
        <w:spacing w:line="4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bCs/>
          <w:color w:val="auto"/>
          <w:szCs w:val="21"/>
          <w:highlight w:val="none"/>
          <w:lang w:val="zh-CN"/>
        </w:rPr>
        <w:t xml:space="preserve">格式2、</w:t>
      </w:r>
      <w:r>
        <w:rPr>
          <w:rFonts w:hint="eastAsia" w:ascii="仿宋" w:hAnsi="仿宋" w:eastAsia="仿宋" w:cs="仿宋"/>
          <w:bCs/>
          <w:color w:val="auto"/>
          <w:highlight w:val="none"/>
        </w:rPr>
        <w:t xml:space="preserve">法人授权委托书</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法人授权委托书</w:t>
      </w:r>
      <w:r/>
    </w:p>
    <w:p>
      <w:pPr>
        <w:ind w:firstLine="425"/>
        <w:keepLines w:val="0"/>
        <w:keepNext w:val="0"/>
        <w:pageBreakBefore w:val="0"/>
        <w:spacing w:line="360" w:lineRule="auto"/>
        <w:widowControl w:val="off"/>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本授权委托书声明：我</w:t>
      </w:r>
      <w:r>
        <w:rPr>
          <w:rFonts w:hint="eastAsia" w:ascii="仿宋" w:hAnsi="仿宋" w:eastAsia="仿宋" w:cs="仿宋"/>
          <w:color w:val="auto"/>
          <w:sz w:val="24"/>
          <w:szCs w:val="24"/>
          <w:highlight w:val="none"/>
          <w:u w:val="single"/>
          <w:lang w:val="zh-CN"/>
        </w:rPr>
        <w:t xml:space="preserve"> （姓名） </w:t>
      </w: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（投标人名称）</w:t>
      </w:r>
      <w:r>
        <w:rPr>
          <w:rFonts w:hint="eastAsia" w:ascii="仿宋" w:hAnsi="仿宋" w:eastAsia="仿宋" w:cs="仿宋"/>
          <w:color w:val="auto"/>
          <w:sz w:val="24"/>
          <w:szCs w:val="24"/>
          <w:highlight w:val="none"/>
          <w:lang w:val="zh-CN"/>
        </w:rPr>
        <w:t xml:space="preserve">的法定代表人，现授权委托</w:t>
      </w:r>
      <w:r>
        <w:rPr>
          <w:rFonts w:hint="eastAsia" w:ascii="仿宋" w:hAnsi="仿宋" w:eastAsia="仿宋" w:cs="仿宋"/>
          <w:color w:val="auto"/>
          <w:sz w:val="24"/>
          <w:szCs w:val="24"/>
          <w:highlight w:val="none"/>
          <w:u w:val="single"/>
          <w:lang w:val="zh-CN"/>
        </w:rPr>
        <w:t xml:space="preserve">（姓名） </w:t>
      </w:r>
      <w:r>
        <w:rPr>
          <w:rFonts w:hint="eastAsia" w:ascii="仿宋" w:hAnsi="仿宋" w:eastAsia="仿宋" w:cs="仿宋"/>
          <w:color w:val="auto"/>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color w:val="auto"/>
          <w:sz w:val="24"/>
          <w:szCs w:val="24"/>
          <w:highlight w:val="none"/>
          <w:u w:val="single"/>
          <w:lang w:val="zh-CN"/>
        </w:rPr>
        <w:t xml:space="preserve">JSZC-320585-YXCZ-G2025-0020</w:t>
      </w:r>
      <w:r>
        <w:rPr>
          <w:rFonts w:hint="eastAsia" w:ascii="仿宋" w:hAnsi="仿宋" w:eastAsia="仿宋" w:cs="仿宋"/>
          <w:color w:val="auto"/>
          <w:sz w:val="24"/>
          <w:szCs w:val="24"/>
          <w:highlight w:val="none"/>
          <w:lang w:val="zh-CN"/>
        </w:rPr>
        <w:t xml:space="preserve">的招投标活动。代理人在开标、评标、合同谈判过程中所签署的一切文件和处理与这有关的一切事务，我均予以承认。</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代理人无转委托权。特此委托。</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法定代表人：（签字或签章）</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w:t>
      </w:r>
      <w:r>
        <w:rPr>
          <w:rFonts w:hint="eastAsia" w:ascii="仿宋" w:hAnsi="仿宋" w:eastAsia="仿宋" w:cs="仿宋"/>
          <w:color w:val="auto"/>
          <w:sz w:val="24"/>
          <w:szCs w:val="24"/>
          <w:highlight w:val="none"/>
        </w:rPr>
        <w:t xml:space="preserve">：（签字或签章）</w:t>
      </w:r>
      <w:r/>
    </w:p>
    <w:p>
      <w:pPr>
        <w:ind w:firstLine="425"/>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5"/>
        <w:jc w:val="righ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righ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center"/>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        年     月     日</w:t>
      </w:r>
      <w:r/>
    </w:p>
    <w:p>
      <w:pPr>
        <w:keepLines w:val="0"/>
        <w:keepNext w:val="0"/>
        <w:pageBreakBefore w:val="0"/>
        <w:spacing w:line="360" w:lineRule="auto"/>
        <w:widowControl w:val="off"/>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pStyle w:val="781"/>
        <w:keepLines w:val="0"/>
        <w:keepNext w:val="0"/>
        <w:pageBreakBefore w:val="0"/>
        <w:spacing w:line="420" w:lineRule="exact"/>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pStyle w:val="781"/>
        <w:keepLines w:val="0"/>
        <w:keepNext w:val="0"/>
        <w:pageBreakBefore w:val="0"/>
        <w:spacing w:line="420" w:lineRule="exact"/>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keepLines w:val="0"/>
        <w:keepNext w:val="0"/>
        <w:pageBreakBefore w:val="0"/>
        <w:spacing w:line="400" w:lineRule="exact"/>
        <w:widowControl w:val="off"/>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keepLines w:val="0"/>
        <w:keepNext w:val="0"/>
        <w:pageBreakBefore w:val="0"/>
        <w:spacing w:line="400" w:lineRule="exact"/>
        <w:widowControl w:val="off"/>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keepLines w:val="0"/>
        <w:keepNext w:val="0"/>
        <w:pageBreakBefore w:val="0"/>
        <w:spacing w:line="400" w:lineRule="exact"/>
        <w:widowControl w:val="off"/>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keepLines w:val="0"/>
        <w:keepNext w:val="0"/>
        <w:pageBreakBefore w:val="0"/>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zh-CN"/>
        </w:rPr>
        <w:t xml:space="preserve">格式3、</w:t>
      </w:r>
      <w:r>
        <w:rPr>
          <w:rFonts w:hint="eastAsia" w:ascii="仿宋" w:hAnsi="仿宋" w:eastAsia="仿宋" w:cs="仿宋"/>
          <w:color w:val="auto"/>
          <w:szCs w:val="21"/>
          <w:highlight w:val="none"/>
          <w:lang w:val="zh-CN"/>
        </w:rPr>
        <w:t xml:space="preserve">开标一览表</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开标一览表</w:t>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项目编号：</w:t>
      </w:r>
      <w:r/>
    </w:p>
    <w:tbl>
      <w:tblPr>
        <w:tblStyle w:val="789"/>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6463" w:type="dxa"/>
            <w:vAlign w:val="center"/>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073"/>
        </w:trPr>
        <w:tc>
          <w:tcPr>
            <w:tcW w:w="261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en-US" w:eastAsia="zh-CN"/>
              </w:rPr>
              <w:t xml:space="preserve">优惠率</w:t>
            </w:r>
            <w:r/>
          </w:p>
        </w:tc>
        <w:tc>
          <w:tcPr>
            <w:tcW w:w="6463" w:type="dxa"/>
            <w:vAlign w:val="center"/>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bl>
    <w:p>
      <w:pPr>
        <w:ind w:firstLine="384"/>
        <w:jc w:val="both"/>
        <w:keepLines w:val="0"/>
        <w:keepNext w:val="0"/>
        <w:pageBreakBefore w:val="0"/>
        <w:widowControl w:val="off"/>
        <w:rPr>
          <w:rFonts w:hint="eastAsia" w:ascii="仿宋" w:hAnsi="仿宋" w:eastAsia="仿宋" w:cs="仿宋"/>
          <w:b/>
          <w:bCs/>
          <w:color w:val="auto"/>
          <w:sz w:val="21"/>
          <w:szCs w:val="21"/>
          <w:highlight w:val="none"/>
          <w:lang w:val="zh-CN" w:eastAsia="zh-CN" w:bidi="ar-SA"/>
        </w:rPr>
      </w:pPr>
      <w:r>
        <w:rPr>
          <w:rFonts w:hint="eastAsia" w:ascii="仿宋" w:hAnsi="仿宋" w:eastAsia="仿宋" w:cs="仿宋"/>
          <w:b/>
          <w:bCs/>
          <w:color w:val="auto"/>
          <w:sz w:val="21"/>
          <w:szCs w:val="21"/>
          <w:highlight w:val="none"/>
          <w:lang w:val="en-US" w:eastAsia="zh-CN" w:bidi="ar-SA"/>
        </w:rPr>
        <w:t xml:space="preserve">注：本项目最终结算单价=最高单价限价*（1-中标优惠率）</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投标人：（公章）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法定代表人或代理人：（签字或盖章）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日期：年月日</w:t>
      </w:r>
      <w:r/>
    </w:p>
    <w:p>
      <w:pPr>
        <w:keepLines w:val="0"/>
        <w:keepNext w:val="0"/>
        <w:pageBreakBefore w:val="0"/>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keepLines w:val="0"/>
        <w:keepNext w:val="0"/>
        <w:pageBreakBefore w:val="0"/>
        <w:spacing w:line="360" w:lineRule="auto"/>
        <w:widowControl w:val="off"/>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ind w:right="-159"/>
        <w:keepLines w:val="0"/>
        <w:keepNext w:val="0"/>
        <w:pageBreakBefore w:val="0"/>
        <w:spacing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格式4</w:t>
      </w:r>
      <w:r>
        <w:rPr>
          <w:rFonts w:hint="eastAsia" w:ascii="仿宋" w:hAnsi="仿宋" w:eastAsia="仿宋" w:cs="仿宋"/>
          <w:b/>
          <w:color w:val="auto"/>
          <w:szCs w:val="21"/>
          <w:highlight w:val="none"/>
        </w:rPr>
        <w:t xml:space="preserve">、</w:t>
      </w:r>
      <w:r>
        <w:rPr>
          <w:rFonts w:hint="eastAsia" w:ascii="仿宋" w:hAnsi="仿宋" w:eastAsia="仿宋" w:cs="仿宋"/>
          <w:color w:val="auto"/>
          <w:szCs w:val="21"/>
          <w:highlight w:val="none"/>
        </w:rPr>
        <w:t xml:space="preserve">投标报价明细表</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投标报价明细表</w:t>
      </w:r>
      <w:r/>
    </w:p>
    <w:p>
      <w:pPr>
        <w:keepLines w:val="0"/>
        <w:keepNext w:val="0"/>
        <w:pageBreakBefore w:val="0"/>
        <w:spacing w:line="360" w:lineRule="auto"/>
        <w:widowControl w:val="off"/>
        <w:rPr>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cs="宋体"/>
          <w:b/>
          <w:color w:val="auto"/>
          <w:sz w:val="24"/>
          <w:szCs w:val="21"/>
          <w:highlight w:val="none"/>
        </w:rPr>
        <w:t xml:space="preserve">            </w:t>
      </w:r>
      <w:r/>
    </w:p>
    <w:tbl>
      <w:tblPr>
        <w:tblStyle w:val="789"/>
        <w:tblW w:w="103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1908"/>
        <w:gridCol w:w="2628"/>
        <w:gridCol w:w="840"/>
        <w:gridCol w:w="703"/>
        <w:gridCol w:w="1308"/>
        <w:gridCol w:w="1104"/>
        <w:gridCol w:w="1062"/>
      </w:tblGrid>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单价最高限价（元）</w:t>
            </w:r>
            <w:r/>
          </w:p>
        </w:tc>
        <w:tc>
          <w:tcPr>
            <w:shd w:val="clear" w:color="auto" w:fill="auto"/>
            <w:tcBorders>
              <w:top w:val="single" w:color="000000" w:sz="4" w:space="0"/>
              <w:left w:val="single" w:color="000000" w:sz="4" w:space="0"/>
              <w:right w:val="single" w:color="000000" w:sz="4" w:space="0"/>
            </w:tcBorders>
            <w:tcW w:w="1104" w:type="dxa"/>
            <w:vAlign w:val="center"/>
            <w:textDirection w:val="lrTb"/>
            <w:noWrap w:val="false"/>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投标优惠率（%）</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widowControl w:val="off"/>
              <w:rPr>
                <w:rFonts w:hint="eastAsia"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优惠后单价（元）</w:t>
            </w:r>
            <w:r/>
          </w:p>
        </w:tc>
      </w:tr>
      <w:tr>
        <w:trPr>
          <w:jc w:val="cente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8203" w:type="dxa"/>
            <w:vAlign w:val="center"/>
            <w:textDirection w:val="lrTb"/>
            <w:noWrap/>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一、标线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right w:val="single" w:color="000000" w:sz="4" w:space="0"/>
            </w:tcBorders>
            <w:tcW w:w="1104" w:type="dxa"/>
            <w:vAlign w:val="center"/>
            <w:vMerge w:val="restart"/>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冷喷漆</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振荡线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直行箭头、转弯箭头、直行转弯箭头</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热熔漆，厚度1.8mm,6m型箭头</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自行车图案</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减速让行标记</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菱形</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机动车位</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机动车位导向箭头</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地面文字</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热熔漆，厚度1.8mm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彩色路面</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彩色陶瓷路面</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8203" w:type="dxa"/>
            <w:vAlign w:val="center"/>
            <w:textDirection w:val="lrTb"/>
            <w:noWrap/>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 、交通安全设施</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铝板厚度3mm，Ⅲ类反光膜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标志牌贴膜</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板面覆膜：Ⅲ类反光膜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主动发光标志</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不锈钢扎带</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标志牌立柱</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φ89*5，H=3500mm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标志牌立柱</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φ325mm*12mm*9000mm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预埋件，人工开挖</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根据图纸及现场要求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C30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突起路标</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TPU分道标</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塑料警示桩</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φ80mm，高度60cm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金属警示桩</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φ120mm，高度80cm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φ80cm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石球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φ45cm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太阳能警示灯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橡胶减速带，350mm*1000mm*50mm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138</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二波防撞钢护栏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Gr-A-4E</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4320mm*310mm*85mm*4mm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三波防撞钢护栏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Gr-A-4E</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4320mm*506mm*85mm*4mm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460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立柱开孔</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Φ160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高强度反光轮廓标</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高强度反光片</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圆头贴膜</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人行道边缘护栏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立柱间距：3000mm，护栏高度：900mm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201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蓝白隔离护栏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1、尺寸：1100mm*3000mm</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2、黄色单面轮廓标</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3、立柱：80mm*80mm*1.5mm，上横杆55mm*40mm*1.2mm，下横杆55mm*30mm*1.2mm，竖杆55mm*30mm*1.0mm，高分子复合底座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310</w:t>
            </w:r>
            <w:r/>
          </w:p>
        </w:tc>
        <w:tc>
          <w:tcPr>
            <w:shd w:val="clear" w:color="auto" w:fill="auto"/>
            <w:tcBorders>
              <w:left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16"/>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灰色隔离护栏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1、尺寸：1150mm*3000mm</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2、黄色突起反光标志</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3、立柱：80mm*80mm*2.0mm，上横杆60mm*40mm*3.0mm方管，下横杆63mm*40mm*4.8mm槽钢，竖杆φ18mm圆钢，铸铁底座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w:t>
            </w:r>
            <w:r/>
          </w:p>
        </w:tc>
        <w:tc>
          <w:tcPr>
            <w:shd w:val="clear" w:color="auto" w:fill="auto"/>
            <w:tcBorders>
              <w:left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新泽西护栏</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H790mm*2000mm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龙门架1</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6米以内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龙门架2</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6米-9米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龙门架3</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9米以上</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路口智能哨兵系统</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设备尺寸560*310*150mm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道口事故预警系统</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主路、支路预警系统</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设备主体尺寸：2970*320*140（mm）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44000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三、交通信号灯</w:t>
            </w:r>
            <w:r/>
          </w:p>
        </w:tc>
        <w:tc>
          <w:tcPr>
            <w:shd w:val="clear" w:color="auto" w:fill="auto"/>
            <w:tcBorders>
              <w:left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智能联网型交通信号控制机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信号机应具备流量采集接口</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660mm*400mm*1350mm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控制机基础及预埋件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700mm*550mm*600mm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不等边八角H=7000mm，L=9000mm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信号/监控灯杆件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不等边八角H=7000mm，L=8000mm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不等边八角H=7000mm，L=5000mm</w:t>
            </w:r>
            <w:r/>
          </w:p>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立柱厚度10mm，横臂厚度8mm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信号灯/监控杆件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单立柱H=5500mm,厚度5mm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人行灯信号灯立杆</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φ120mm*5mm*3200mm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含预埋件、基础1500mm*1800mm*2000mm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人行灯立杆基础</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含预埋件、基础</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500mm*500mm*600mm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φ400mm满屏灯、箭头灯带倒计时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φ300mm满屏灯、箭头灯带倒计时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机动车信号灯灯盘</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φ300mm满屏灯、箭头灯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机动车信号灯灯盘</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φ400mm满屏灯、箭头灯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含内嵌倒计时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人行灯灯盘</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φ300mm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太阳能黄闪灯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KVVR19*1.5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KVVR4*2.5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VV2*4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开挖路面</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DN60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硬质塑料PE管</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DN50管含开挖</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过路钢管</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DN100mm*5mm镀锌钢管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施工手井</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两相位移动信号灯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四相位移动信号灯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信号灯倒计时</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600mm*800mm铝壳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信号机主板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信号机灯控板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四、监控</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室外防水不锈钢机箱，</w:t>
            </w:r>
            <w:r>
              <w:rPr>
                <w:rFonts w:hint="eastAsia" w:ascii="仿宋" w:hAnsi="仿宋" w:eastAsia="仿宋" w:cs="仿宋"/>
                <w:i w:val="0"/>
                <w:iCs w:val="0"/>
                <w:color w:val="auto"/>
                <w:sz w:val="21"/>
                <w:szCs w:val="21"/>
                <w:highlight w:val="none"/>
                <w:u w:val="none"/>
                <w:lang w:val="en-US" w:eastAsia="zh-CN" w:bidi="ar"/>
              </w:rPr>
              <w:br/>
            </w:r>
            <w:r>
              <w:rPr>
                <w:rFonts w:hint="eastAsia" w:ascii="仿宋" w:hAnsi="仿宋" w:eastAsia="仿宋" w:cs="仿宋"/>
                <w:i w:val="0"/>
                <w:iCs w:val="0"/>
                <w:color w:val="auto"/>
                <w:sz w:val="21"/>
                <w:szCs w:val="21"/>
                <w:highlight w:val="none"/>
                <w:u w:val="none"/>
                <w:lang w:val="en-US" w:eastAsia="zh-CN" w:bidi="ar"/>
              </w:rPr>
              <w:t xml:space="preserve">含电源、接线排及电器元件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1200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网络+电源防雷器二合一</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450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RVV3*1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超五类八芯线CAT5e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设备接入费</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按设备数量计算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五、其他</w:t>
            </w:r>
            <w:r/>
          </w:p>
        </w:tc>
        <w:tc>
          <w:tcPr>
            <w:shd w:val="clear" w:color="auto" w:fill="auto"/>
            <w:tcBorders>
              <w:left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维护等不牵扯到材料时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日常道路巡查</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登高车/吊机</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维护等不牵扯到材料时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设计出图</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设计出图，具体按路口计算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3500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光纤通信线路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路口交通信号控制机联网，具体按路口计算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7000</w:t>
            </w:r>
            <w:r/>
          </w:p>
        </w:tc>
        <w:tc>
          <w:tcPr>
            <w:shd w:val="clear" w:color="auto" w:fill="auto"/>
            <w:tcBorders>
              <w:left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交通设施综合责任险（保额不少300万）</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港区（浮桥）辖区内所有交通设施投保保险</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15000</w:t>
            </w:r>
            <w:r/>
          </w:p>
        </w:tc>
        <w:tc>
          <w:tcPr>
            <w:shd w:val="clear" w:color="auto" w:fill="auto"/>
            <w:tcBorders>
              <w:left w:val="single" w:color="000000" w:sz="4" w:space="0"/>
              <w:bottom w:val="single" w:color="000000" w:sz="4" w:space="0"/>
              <w:right w:val="single" w:color="000000" w:sz="4" w:space="0"/>
            </w:tcBorders>
            <w:tcW w:w="1104" w:type="dxa"/>
            <w:vAlign w:val="center"/>
            <w:vMerge w:val="continue"/>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pageBreakBefore w:val="0"/>
              <w:widowControl w:val="off"/>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bl>
    <w:p>
      <w:pPr>
        <w:ind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注：优惠率应与开标一览表一致。</w:t>
      </w:r>
      <w:r/>
    </w:p>
    <w:p>
      <w:pPr>
        <w:ind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优惠后单价=单价最高限价*（1-投标优惠率）</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投标人：（公章）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法定代表人或代理人：（签字或盖章）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日期：年月日</w:t>
      </w:r>
      <w:r/>
    </w:p>
    <w:p>
      <w:pPr>
        <w:keepLines w:val="0"/>
        <w:keepNext w:val="0"/>
        <w:pageBreakBefore w:val="0"/>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p>
    <w:p>
      <w:pPr>
        <w:jc w:val="center"/>
        <w:keepLines w:val="0"/>
        <w:keepNext w:val="0"/>
        <w:pageBreakBefore w:val="0"/>
        <w:spacing w:line="360" w:lineRule="auto"/>
        <w:widowControl w:val="off"/>
        <w:rPr>
          <w:rFonts w:hint="eastAsia" w:ascii="仿宋" w:hAnsi="仿宋" w:eastAsia="仿宋" w:cs="仿宋"/>
          <w:b/>
          <w:bCs w:val="0"/>
          <w:color w:val="auto"/>
          <w:sz w:val="21"/>
          <w:szCs w:val="21"/>
          <w:highlight w:val="none"/>
          <w:lang w:val="zh-CN"/>
        </w:rPr>
      </w:pPr>
      <w:r>
        <w:rPr>
          <w:rFonts w:hint="eastAsia" w:ascii="仿宋" w:hAnsi="仿宋" w:eastAsia="仿宋" w:cs="仿宋"/>
          <w:b/>
          <w:bCs w:val="0"/>
          <w:color w:val="auto"/>
          <w:sz w:val="21"/>
          <w:szCs w:val="21"/>
          <w:highlight w:val="none"/>
          <w:lang w:eastAsia="zh-CN"/>
        </w:rPr>
        <w:t xml:space="preserve">（</w:t>
      </w:r>
      <w:r>
        <w:rPr>
          <w:rFonts w:hint="eastAsia" w:ascii="仿宋" w:hAnsi="仿宋" w:eastAsia="仿宋" w:cs="仿宋"/>
          <w:b/>
          <w:bCs w:val="0"/>
          <w:color w:val="auto"/>
          <w:sz w:val="21"/>
          <w:szCs w:val="21"/>
          <w:highlight w:val="none"/>
          <w:lang w:val="en-US" w:eastAsia="zh-CN"/>
        </w:rPr>
        <w:t xml:space="preserve">2</w:t>
      </w:r>
      <w:r>
        <w:rPr>
          <w:rFonts w:hint="eastAsia" w:ascii="仿宋" w:hAnsi="仿宋" w:eastAsia="仿宋" w:cs="仿宋"/>
          <w:b/>
          <w:bCs w:val="0"/>
          <w:color w:val="auto"/>
          <w:sz w:val="21"/>
          <w:szCs w:val="21"/>
          <w:highlight w:val="none"/>
          <w:lang w:eastAsia="zh-CN"/>
        </w:rPr>
        <w:t xml:space="preserve">）</w:t>
      </w:r>
      <w:r>
        <w:rPr>
          <w:rFonts w:hint="eastAsia" w:ascii="仿宋" w:hAnsi="仿宋" w:eastAsia="仿宋" w:cs="仿宋"/>
          <w:b/>
          <w:bCs w:val="0"/>
          <w:color w:val="auto"/>
          <w:sz w:val="21"/>
          <w:szCs w:val="21"/>
          <w:highlight w:val="none"/>
          <w:lang w:val="zh-CN"/>
        </w:rPr>
        <w:t xml:space="preserve">拟投入本项目产品情况表</w:t>
      </w:r>
      <w:r/>
    </w:p>
    <w:p>
      <w:pPr>
        <w:ind w:firstLine="420"/>
        <w:jc w:val="left"/>
        <w:keepLines w:val="0"/>
        <w:keepNext w:val="0"/>
        <w:pageBreakBefore w:val="0"/>
        <w:spacing w:line="360" w:lineRule="auto"/>
        <w:widowControl w:val="off"/>
        <w:rPr>
          <w:rFonts w:hint="eastAsia" w:ascii="仿宋" w:hAnsi="仿宋" w:eastAsia="仿宋" w:cs="仿宋"/>
          <w:b/>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bl>
      <w:tblPr>
        <w:tblStyle w:val="789"/>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491"/>
        <w:gridCol w:w="842"/>
        <w:gridCol w:w="1474"/>
        <w:gridCol w:w="2009"/>
        <w:gridCol w:w="2219"/>
      </w:tblGrid>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序号</w:t>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产品名称</w:t>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品牌</w:t>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规格型号</w:t>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生产厂家/产地</w:t>
            </w:r>
            <w:r/>
          </w:p>
        </w:tc>
        <w:tc>
          <w:tcPr>
            <w:tcW w:w="221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t xml:space="preserve">技术参数或相关说明</w:t>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r>
        <w:trPr>
          <w:jc w:val="center"/>
          <w:trHeight w:val="454"/>
        </w:trPr>
        <w:tc>
          <w:tcPr>
            <w:tcW w:w="112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w:t>
            </w:r>
            <w:r/>
          </w:p>
        </w:tc>
        <w:tc>
          <w:tcPr>
            <w:tcW w:w="14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tc>
      </w:tr>
    </w:tbl>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注：1、本表格式仅供参考，投标人可根据自身情况自行增减；</w:t>
      </w:r>
      <w:r/>
    </w:p>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2、如采购文件有要求，投标人拟投入产品须满足招标文件要求；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仿宋" w:hAnsi="仿宋" w:eastAsia="仿宋" w:cs="仿宋"/>
          <w:color w:val="auto"/>
          <w:sz w:val="21"/>
          <w:szCs w:val="21"/>
          <w:highlight w:val="none"/>
          <w:lang w:val="zh-CN"/>
        </w:rPr>
        <w:t xml:space="preserve">3、如采购文件有要求，投标人应按采购文件要求提供拟投入产品的相关证明材料。</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投标人：（公章）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法定代表人或代理人：（签字或盖章）</w:t>
      </w:r>
      <w:r/>
    </w:p>
    <w:p>
      <w:pPr>
        <w:ind w:firstLine="21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日期：年月日</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keepLines w:val="0"/>
        <w:keepNext w:val="0"/>
        <w:pageBreakBefore w:val="0"/>
        <w:widowControl w:val="off"/>
        <w:rPr>
          <w:rFonts w:hint="eastAsia" w:ascii="仿宋" w:hAnsi="仿宋" w:eastAsia="仿宋" w:cs="仿宋"/>
          <w:b/>
          <w:color w:val="auto"/>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bCs/>
          <w:color w:val="auto"/>
          <w:szCs w:val="21"/>
          <w:highlight w:val="none"/>
          <w:lang w:val="en-US" w:eastAsia="zh-CN"/>
        </w:rPr>
        <w:t xml:space="preserve">5</w:t>
      </w:r>
      <w:r>
        <w:rPr>
          <w:rFonts w:hint="eastAsia" w:ascii="仿宋" w:hAnsi="仿宋" w:eastAsia="仿宋" w:cs="仿宋"/>
          <w:bCs/>
          <w:color w:val="auto"/>
          <w:szCs w:val="21"/>
          <w:highlight w:val="none"/>
        </w:rPr>
        <w:t xml:space="preserve">、</w:t>
      </w:r>
      <w:r>
        <w:rPr>
          <w:rFonts w:hint="eastAsia" w:ascii="仿宋" w:hAnsi="仿宋" w:eastAsia="仿宋" w:cs="仿宋"/>
          <w:b/>
          <w:bCs/>
          <w:color w:val="auto"/>
          <w:szCs w:val="21"/>
          <w:highlight w:val="none"/>
        </w:rPr>
        <w:t xml:space="preserve">技术（服务）要求偏离表</w:t>
      </w:r>
      <w:r/>
    </w:p>
    <w:p>
      <w:pPr>
        <w:ind w:firstLine="432"/>
        <w:keepLines w:val="0"/>
        <w:keepNext w:val="0"/>
        <w:pageBreakBefore w:val="0"/>
        <w:widowControl w:val="off"/>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技术（服务）要求偏离表</w:t>
      </w:r>
      <w:r/>
    </w:p>
    <w:p>
      <w:pPr>
        <w:ind w:firstLine="600"/>
        <w:keepLines w:val="0"/>
        <w:keepNext w:val="0"/>
        <w:pageBreakBefore w:val="0"/>
        <w:spacing w:line="380" w:lineRule="exact"/>
        <w:widowControl w:val="off"/>
        <w:rPr>
          <w:rFonts w:hint="eastAsia" w:ascii="仿宋" w:hAnsi="仿宋" w:eastAsia="仿宋" w:cs="仿宋"/>
          <w:b/>
          <w:color w:val="auto"/>
          <w:spacing w:val="20"/>
          <w:sz w:val="24"/>
          <w:szCs w:val="24"/>
          <w:highlight w:val="none"/>
        </w:rPr>
      </w:pPr>
      <w:r>
        <w:rPr>
          <w:rFonts w:hint="eastAsia" w:ascii="仿宋" w:hAnsi="仿宋" w:eastAsia="仿宋" w:cs="仿宋"/>
          <w:color w:val="auto"/>
          <w:sz w:val="24"/>
          <w:szCs w:val="24"/>
          <w:highlight w:val="none"/>
        </w:rPr>
        <w:t xml:space="preserve">项目编号：</w:t>
      </w:r>
      <w:r/>
    </w:p>
    <w:tbl>
      <w:tblPr>
        <w:tblStyle w:val="789"/>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683" w:type="dxa"/>
            <w:vAlign w:val="center"/>
            <w:textDirection w:val="lrTb"/>
            <w:noWrap w:val="false"/>
          </w:tcPr>
          <w:p>
            <w:pPr>
              <w:ind w:left="54"/>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zh-CN"/>
        </w:rPr>
        <w:t xml:space="preserve">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pStyle w:val="811"/>
        <w:ind w:firstLine="48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日期：年月日</w:t>
      </w:r>
      <w:r/>
    </w:p>
    <w:p>
      <w:pPr>
        <w:keepLines w:val="0"/>
        <w:keepNext w:val="0"/>
        <w:pageBreakBefore w:val="0"/>
        <w:spacing w:line="360" w:lineRule="auto"/>
        <w:widowControl w:val="off"/>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keepLines w:val="0"/>
        <w:keepNext w:val="0"/>
        <w:pageBreakBefore w:val="0"/>
        <w:widowControl w:val="off"/>
        <w:rPr>
          <w:rFonts w:hint="eastAsia" w:ascii="仿宋" w:hAnsi="仿宋" w:eastAsia="仿宋" w:cs="仿宋"/>
          <w:bCs/>
          <w:color w:val="auto"/>
          <w:highlight w:val="none"/>
        </w:rPr>
      </w:pPr>
      <w:r>
        <w:rPr>
          <w:rFonts w:hint="eastAsia" w:ascii="仿宋" w:hAnsi="仿宋" w:eastAsia="仿宋" w:cs="仿宋"/>
          <w:color w:val="auto"/>
          <w:szCs w:val="21"/>
          <w:highlight w:val="none"/>
        </w:rPr>
        <w:t xml:space="preserve">格式</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w:t>
      </w:r>
      <w:r>
        <w:rPr>
          <w:rFonts w:hint="eastAsia" w:ascii="仿宋" w:hAnsi="仿宋" w:eastAsia="仿宋" w:cs="仿宋"/>
          <w:bCs/>
          <w:color w:val="auto"/>
          <w:szCs w:val="21"/>
          <w:highlight w:val="none"/>
        </w:rPr>
        <w:t xml:space="preserve">商务条款偏离表</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商务条款偏离表</w:t>
      </w:r>
      <w:r/>
    </w:p>
    <w:p>
      <w:pPr>
        <w:pStyle w:val="1057"/>
        <w:jc w:val="left"/>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78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trHeight w:val="567"/>
          <w:tblHeader/>
        </w:trPr>
        <w:tc>
          <w:tcPr>
            <w:tcW w:w="7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19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w:t>
            </w:r>
            <w:r/>
          </w:p>
        </w:tc>
        <w:tc>
          <w:tcPr>
            <w:tcW w:w="241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招标文件的商务条款</w:t>
            </w:r>
            <w:r/>
          </w:p>
        </w:tc>
        <w:tc>
          <w:tcPr>
            <w:tcW w:w="2409"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投标文件的商务条款</w:t>
            </w:r>
            <w:r/>
          </w:p>
        </w:tc>
        <w:tc>
          <w:tcPr>
            <w:tcW w:w="127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c>
          <w:tcPr>
            <w:tcW w:w="11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cantSplit/>
          <w:trHeight w:val="567"/>
        </w:trPr>
        <w:tc>
          <w:tcPr>
            <w:tcW w:w="73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930"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服务期限</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67"/>
        </w:trPr>
        <w:tc>
          <w:tcPr>
            <w:tcW w:w="73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930"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地点</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67"/>
        </w:trPr>
        <w:tc>
          <w:tcPr>
            <w:tcW w:w="73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930"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付款方式</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67"/>
        </w:trPr>
        <w:tc>
          <w:tcPr>
            <w:tcW w:w="73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930" w:type="dxa"/>
            <w:vAlign w:val="center"/>
            <w:textDirection w:val="lrTb"/>
            <w:noWrap w:val="false"/>
          </w:tcPr>
          <w:p>
            <w:pPr>
              <w:keepLines w:val="0"/>
              <w:keepNext w:val="0"/>
              <w:pageBreakBefore w:val="0"/>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售后服务</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67"/>
        </w:trPr>
        <w:tc>
          <w:tcPr>
            <w:tcW w:w="7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tcW w:w="193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其他商务要求</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67"/>
        </w:trPr>
        <w:tc>
          <w:tcPr>
            <w:tcW w:w="7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93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keepLines w:val="0"/>
        <w:keepNext w:val="0"/>
        <w:pageBreakBefore w:val="0"/>
        <w:spacing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注：</w:t>
      </w:r>
      <w:r>
        <w:rPr>
          <w:rFonts w:hint="eastAsia" w:ascii="仿宋" w:hAnsi="仿宋" w:eastAsia="仿宋" w:cs="仿宋"/>
          <w:color w:val="auto"/>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796"/>
        <w:ind w:firstLine="0"/>
        <w:keepLines w:val="0"/>
        <w:keepNext w:val="0"/>
        <w:pageBreakBefore w:val="0"/>
        <w:spacing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2.若事项较多，投标人可根据响应内容的实际情况另纸说明。</w:t>
      </w:r>
      <w:r/>
    </w:p>
    <w:p>
      <w:pPr>
        <w:pStyle w:val="796"/>
        <w:ind w:firstLine="0"/>
        <w:keepLines w:val="0"/>
        <w:keepNext w:val="0"/>
        <w:pageBreakBefore w:val="0"/>
        <w:spacing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3.商务条款不允许出现负偏离，否则为无效标。</w:t>
      </w:r>
      <w:r/>
    </w:p>
    <w:p>
      <w:pPr>
        <w:pStyle w:val="796"/>
        <w:ind w:firstLine="0"/>
        <w:keepLines w:val="0"/>
        <w:keepNext w:val="0"/>
        <w:pageBreakBefore w:val="0"/>
        <w:spacing w:line="360" w:lineRule="auto"/>
        <w:widowControl w:val="off"/>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keepLines w:val="0"/>
        <w:keepNext w:val="0"/>
        <w:pageBreakBefore w:val="0"/>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bCs/>
          <w:color w:val="auto"/>
          <w:szCs w:val="21"/>
          <w:highlight w:val="none"/>
          <w:lang w:val="en-US" w:eastAsia="zh-CN"/>
        </w:rPr>
        <w:t xml:space="preserve">7</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rPr>
        <w:t xml:space="preserve">企业类似业绩一览表</w:t>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类似业绩一览表</w:t>
      </w:r>
      <w:r/>
    </w:p>
    <w:p>
      <w:pPr>
        <w:pStyle w:val="1057"/>
        <w:jc w:val="left"/>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789"/>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6"/>
        <w:gridCol w:w="1327"/>
        <w:gridCol w:w="1853"/>
        <w:gridCol w:w="1459"/>
        <w:gridCol w:w="1274"/>
      </w:tblGrid>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项目时间</w:t>
            </w:r>
            <w:r/>
          </w:p>
        </w:tc>
        <w:tc>
          <w:tcPr>
            <w:tcW w:w="1853" w:type="dxa"/>
            <w:vAlign w:val="center"/>
            <w:textDirection w:val="lrTb"/>
            <w:noWrap w:val="false"/>
          </w:tcPr>
          <w:p>
            <w:pPr>
              <w:jc w:val="center"/>
              <w:keepLines w:val="0"/>
              <w:keepNext w:val="0"/>
              <w:pageBreakBefore w:val="0"/>
              <w:widowControl w:val="off"/>
              <w:tabs>
                <w:tab w:val="left" w:pos="62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合同金额</w:t>
            </w:r>
            <w:r/>
          </w:p>
          <w:p>
            <w:pPr>
              <w:jc w:val="center"/>
              <w:keepLines w:val="0"/>
              <w:keepNext w:val="0"/>
              <w:pageBreakBefore w:val="0"/>
              <w:widowControl w:val="off"/>
              <w:tabs>
                <w:tab w:val="left" w:pos="62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5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rPr>
        <w:t xml:space="preserve">注：按招标文件和评分标准要求提供相应证明材料</w:t>
      </w:r>
      <w:r/>
    </w:p>
    <w:p>
      <w:pPr>
        <w:ind w:firstLine="42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pStyle w:val="796"/>
        <w:ind w:firstLine="0"/>
        <w:keepLines w:val="0"/>
        <w:keepNext w:val="0"/>
        <w:pageBreakBefore w:val="0"/>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keepLines w:val="0"/>
        <w:keepNext w:val="0"/>
        <w:pageBreakBefore w:val="0"/>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keepLines w:val="0"/>
        <w:keepNext w:val="0"/>
        <w:pageBreakBefore w:val="0"/>
        <w:widowControl w:val="off"/>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bCs/>
          <w:color w:val="auto"/>
          <w:szCs w:val="21"/>
          <w:highlight w:val="none"/>
          <w:lang w:val="en-US" w:eastAsia="zh-CN"/>
        </w:rPr>
        <w:t xml:space="preserve">8</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rPr>
        <w:t xml:space="preserve">拟投入本项目的人员情况一览表</w:t>
      </w:r>
      <w:r/>
    </w:p>
    <w:p>
      <w:pPr>
        <w:pStyle w:val="884"/>
        <w:ind w:firstLine="42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拟投入本项目的人员情况一览表</w:t>
      </w:r>
      <w:r/>
    </w:p>
    <w:p>
      <w:pPr>
        <w:pStyle w:val="1057"/>
        <w:jc w:val="left"/>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78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75"/>
        <w:gridCol w:w="1855"/>
        <w:gridCol w:w="1286"/>
        <w:gridCol w:w="1044"/>
        <w:gridCol w:w="960"/>
        <w:gridCol w:w="1116"/>
        <w:gridCol w:w="972"/>
        <w:gridCol w:w="972"/>
      </w:tblGrid>
      <w:tr>
        <w:trPr>
          <w:jc w:val="center"/>
          <w:trHeight w:val="567"/>
        </w:trPr>
        <w:tc>
          <w:tcPr>
            <w:tcBorders>
              <w:top w:val="single" w:color="000000" w:sz="2" w:space="0"/>
              <w:left w:val="single" w:color="000000" w:sz="2" w:space="0"/>
              <w:bottom w:val="single" w:color="000000" w:sz="2" w:space="0"/>
              <w:right w:val="single" w:color="000000" w:sz="2" w:space="0"/>
            </w:tcBorders>
            <w:tcW w:w="8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85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证书</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87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855"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2"/>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keepLines w:val="0"/>
        <w:keepNext w:val="0"/>
        <w:pageBreakBefore w:val="0"/>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pStyle w:val="796"/>
        <w:ind w:firstLine="0"/>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bCs/>
          <w:color w:val="auto"/>
          <w:szCs w:val="21"/>
          <w:highlight w:val="none"/>
          <w:lang w:val="en-US" w:eastAsia="zh-CN"/>
        </w:rPr>
        <w:t xml:space="preserve">9</w:t>
      </w:r>
      <w:r>
        <w:rPr>
          <w:rFonts w:hint="eastAsia" w:ascii="仿宋" w:hAnsi="仿宋" w:eastAsia="仿宋" w:cs="仿宋"/>
          <w:bCs/>
          <w:color w:val="auto"/>
          <w:szCs w:val="21"/>
          <w:highlight w:val="none"/>
        </w:rPr>
        <w:t xml:space="preserve">、投入本项目</w:t>
      </w:r>
      <w:r>
        <w:rPr>
          <w:rFonts w:hint="eastAsia" w:ascii="仿宋" w:hAnsi="仿宋" w:eastAsia="仿宋" w:cs="仿宋"/>
          <w:bCs/>
          <w:color w:val="auto"/>
          <w:szCs w:val="21"/>
          <w:highlight w:val="none"/>
          <w:lang w:val="en-US" w:eastAsia="zh-CN"/>
        </w:rPr>
        <w:t xml:space="preserve">车辆设备一览表</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投入本项目</w:t>
      </w:r>
      <w:r>
        <w:rPr>
          <w:rFonts w:hint="eastAsia" w:ascii="仿宋" w:hAnsi="仿宋" w:eastAsia="仿宋" w:cs="仿宋"/>
          <w:b/>
          <w:color w:val="auto"/>
          <w:sz w:val="30"/>
          <w:szCs w:val="30"/>
          <w:highlight w:val="none"/>
          <w:lang w:val="en-US" w:eastAsia="zh-CN"/>
        </w:rPr>
        <w:t xml:space="preserve">车辆设备一览表</w:t>
      </w:r>
      <w:r/>
    </w:p>
    <w:p>
      <w:pPr>
        <w:pStyle w:val="1057"/>
        <w:jc w:val="left"/>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789"/>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498"/>
        <w:gridCol w:w="1192"/>
        <w:gridCol w:w="1161"/>
        <w:gridCol w:w="1367"/>
        <w:gridCol w:w="1283"/>
        <w:gridCol w:w="1086"/>
        <w:gridCol w:w="1309"/>
      </w:tblGrid>
      <w:tr>
        <w:trPr>
          <w:jc w:val="center"/>
          <w:trHeight w:val="460"/>
        </w:trPr>
        <w:tc>
          <w:tcPr>
            <w:tcW w:w="398"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序号</w:t>
            </w:r>
            <w:r/>
          </w:p>
        </w:tc>
        <w:tc>
          <w:tcPr>
            <w:tcW w:w="774"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名称</w:t>
            </w:r>
            <w:r/>
          </w:p>
        </w:tc>
        <w:tc>
          <w:tcPr>
            <w:tcW w:w="616"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数量</w:t>
            </w:r>
            <w:r/>
          </w:p>
        </w:tc>
        <w:tc>
          <w:tcPr>
            <w:tcW w:w="600" w:type="pct"/>
            <w:vAlign w:val="center"/>
            <w:textDirection w:val="lrTb"/>
            <w:noWrap w:val="false"/>
          </w:tcPr>
          <w:p>
            <w:pPr>
              <w:jc w:val="center"/>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车牌号</w:t>
            </w:r>
            <w:r/>
          </w:p>
        </w:tc>
        <w:tc>
          <w:tcPr>
            <w:tcW w:w="706"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功能</w:t>
            </w:r>
            <w:r/>
          </w:p>
        </w:tc>
        <w:tc>
          <w:tcPr>
            <w:tcW w:w="663"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权属情况</w:t>
            </w:r>
            <w:r/>
          </w:p>
        </w:tc>
        <w:tc>
          <w:tcPr>
            <w:tcW w:w="561"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p>
        </w:tc>
        <w:tc>
          <w:tcPr>
            <w:tcW w:w="676" w:type="pct"/>
            <w:vAlign w:val="center"/>
            <w:textDirection w:val="lrTb"/>
            <w:noWrap w:val="false"/>
          </w:tcPr>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w:t>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jc w:val="center"/>
        </w:trPr>
        <w:tc>
          <w:tcPr>
            <w:tcW w:w="398"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74"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1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00"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70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63"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561"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676" w:type="pct"/>
            <w:vAlign w:val="top"/>
            <w:textDirection w:val="lrTb"/>
            <w:noWrap w:val="false"/>
          </w:tcPr>
          <w:p>
            <w:pPr>
              <w:jc w:val="cente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bl>
    <w:p>
      <w:pPr>
        <w:ind w:firstLine="482"/>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pStyle w:val="796"/>
        <w:ind w:firstLine="0"/>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796"/>
        <w:ind w:firstLine="0"/>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pStyle w:val="796"/>
        <w:ind w:firstLine="0"/>
        <w:keepLines w:val="0"/>
        <w:keepNext w:val="0"/>
        <w:pageBreakBefore w:val="0"/>
        <w:spacing w:line="360" w:lineRule="auto"/>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rPr>
        <w:t xml:space="preserve">、资格证明文件</w:t>
      </w:r>
      <w:r/>
    </w:p>
    <w:p>
      <w:pPr>
        <w:pStyle w:val="796"/>
        <w:ind w:firstLine="0"/>
        <w:keepLines w:val="0"/>
        <w:keepNext w:val="0"/>
        <w:pageBreakBefore w:val="0"/>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(1)关于资格文件的声明函</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关于资格文件的声明函</w:t>
      </w:r>
      <w:r/>
    </w:p>
    <w:p>
      <w:pPr>
        <w:pStyle w:val="796"/>
        <w:jc w:val="center"/>
        <w:keepLines w:val="0"/>
        <w:keepNext w:val="0"/>
        <w:pageBreakBefore w:val="0"/>
        <w:widowControl w:val="off"/>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796"/>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苏州乐鑫诚项目管理有限公司：</w:t>
      </w:r>
      <w:r/>
    </w:p>
    <w:p>
      <w:pPr>
        <w:pStyle w:val="796"/>
        <w:ind w:firstLine="426"/>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本公司愿就由贵公司组织实施的编号</w:t>
      </w:r>
      <w:r>
        <w:rPr>
          <w:rFonts w:hint="eastAsia" w:ascii="仿宋" w:hAnsi="仿宋" w:eastAsia="仿宋" w:cs="仿宋"/>
          <w:color w:val="auto"/>
          <w:sz w:val="24"/>
          <w:szCs w:val="24"/>
          <w:highlight w:val="none"/>
          <w:u w:val="single"/>
          <w:lang w:eastAsia="zh-CN"/>
        </w:rPr>
        <w:t xml:space="preserve">JSZC-320585-YXCZ-G2025-0020</w:t>
      </w:r>
      <w:r>
        <w:rPr>
          <w:rFonts w:hint="eastAsia" w:ascii="仿宋" w:hAnsi="仿宋" w:eastAsia="仿宋" w:cs="仿宋"/>
          <w:color w:val="auto"/>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796"/>
        <w:ind w:firstLine="426"/>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keepLines w:val="0"/>
        <w:keepNext w:val="0"/>
        <w:pageBreakBefore w:val="0"/>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pStyle w:val="796"/>
        <w:ind w:firstLine="0"/>
        <w:keepLines w:val="0"/>
        <w:keepNext w:val="0"/>
        <w:pageBreakBefore w:val="0"/>
        <w:spacing w:line="400" w:lineRule="exact"/>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(2)投标单位情况表</w:t>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投标单位情况表</w:t>
      </w:r>
      <w:r/>
    </w:p>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tbl>
      <w:tblPr>
        <w:tblStyle w:val="789"/>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6"/>
              <w:ind w:firstLine="216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6"/>
              <w:ind w:firstLine="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6"/>
              <w:ind w:firstLine="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6"/>
              <w:ind w:firstLine="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6"/>
              <w:ind w:firstLine="0"/>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2024年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自有面积         平方米</w:t>
            </w:r>
            <w:r/>
          </w:p>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6"/>
              <w:ind w:firstLine="0"/>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96"/>
        <w:ind w:firstLine="0"/>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keepLines w:val="0"/>
        <w:keepNext w:val="0"/>
        <w:pageBreakBefore w:val="0"/>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r/>
    </w:p>
    <w:p>
      <w:pPr>
        <w:pStyle w:val="796"/>
        <w:ind w:firstLine="0"/>
        <w:keepLines w:val="0"/>
        <w:keepNext w:val="0"/>
        <w:pageBreakBefore w:val="0"/>
        <w:widowControl w:val="off"/>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、参加政府采购活动前3年内在经营活动中没有重大违法记录的书面声明</w:t>
      </w:r>
      <w:r/>
    </w:p>
    <w:p>
      <w:pPr>
        <w:jc w:val="center"/>
        <w:keepLines w:val="0"/>
        <w:keepNext w:val="0"/>
        <w:pageBreakBefore w:val="0"/>
        <w:spacing w:line="440" w:lineRule="exact"/>
        <w:widowControl w:val="off"/>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参加政府采购活动前3年内在经营活动中没有重大违法记录的书面声明</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致苏州乐鑫诚项目管理有限公司：</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 xml:space="preserve"> 在参加政府采购活动前三年内，没有重大违法记录，特此声明。</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247"/>
        <w:ind w:right="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pStyle w:val="1247"/>
        <w:ind w:right="480" w:firstLine="4920"/>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r>
      <w:r/>
    </w:p>
    <w:p>
      <w:pPr>
        <w:jc w:val="left"/>
        <w:keepLines w:val="0"/>
        <w:keepNext w:val="0"/>
        <w:pageBreakBefore w:val="0"/>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val="zh-CN"/>
        </w:rPr>
        <w:t xml:space="preserve">、中小企业声明函</w:t>
      </w:r>
      <w:r/>
    </w:p>
    <w:p>
      <w:pPr>
        <w:pStyle w:val="1057"/>
        <w:jc w:val="center"/>
        <w:keepLines w:val="0"/>
        <w:keepNext w:val="0"/>
        <w:pageBreakBefore w:val="0"/>
        <w:spacing w:line="360" w:lineRule="auto"/>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 企业发展管理办法》（财库﹝2020﹞46 号）的规定，本公司 （联合体）参加 </w:t>
      </w:r>
      <w:r>
        <w:rPr>
          <w:rFonts w:hint="eastAsia" w:ascii="仿宋" w:hAnsi="仿宋" w:eastAsia="仿宋" w:cs="仿宋"/>
          <w:color w:val="auto"/>
          <w:sz w:val="24"/>
          <w:szCs w:val="24"/>
          <w:highlight w:val="none"/>
          <w:u w:val="single"/>
        </w:rPr>
        <w:t xml:space="preserve">（ 单 位 名 称 ） </w:t>
      </w:r>
      <w:r>
        <w:rPr>
          <w:rFonts w:hint="eastAsia" w:ascii="仿宋" w:hAnsi="仿宋" w:eastAsia="仿宋" w:cs="仿宋"/>
          <w:color w:val="auto"/>
          <w:sz w:val="24"/>
          <w:szCs w:val="24"/>
          <w:highlight w:val="none"/>
        </w:rPr>
        <w:t xml:space="preserve">的 </w:t>
      </w:r>
      <w:r>
        <w:rPr>
          <w:rFonts w:hint="eastAsia" w:ascii="仿宋" w:hAnsi="仿宋" w:eastAsia="仿宋" w:cs="仿宋"/>
          <w:color w:val="auto"/>
          <w:sz w:val="24"/>
          <w:szCs w:val="24"/>
          <w:highlight w:val="none"/>
          <w:u w:val="single"/>
        </w:rPr>
        <w:t xml:space="preserve">（ 项 目 名 称 ） </w:t>
      </w:r>
      <w:r>
        <w:rPr>
          <w:rFonts w:hint="eastAsia" w:ascii="仿宋" w:hAnsi="仿宋" w:eastAsia="仿宋" w:cs="仿宋"/>
          <w:color w:val="auto"/>
          <w:sz w:val="24"/>
          <w:szCs w:val="24"/>
          <w:highlight w:val="none"/>
        </w:rPr>
        <w:t xml:space="preserve">采购活动，服务全部由符合政策要求的中小企业承接。相关企业 （含联合体中的中小企业、签订分包意向协议的中小企业） 的具体情况如下：</w:t>
      </w:r>
      <w:r/>
    </w:p>
    <w:p>
      <w:pPr>
        <w:ind w:left="14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lang w:eastAsia="zh-CN"/>
        </w:rPr>
        <w:t xml:space="preserve">2025年交警交通设施维护项目</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eastAsia="zh-CN"/>
        </w:rPr>
        <w:t xml:space="preserve">其他未列明行业</w:t>
      </w:r>
      <w:r>
        <w:rPr>
          <w:rFonts w:hint="eastAsia" w:ascii="仿宋" w:hAnsi="仿宋" w:eastAsia="仿宋" w:cs="仿宋"/>
          <w:color w:val="auto"/>
          <w:sz w:val="24"/>
          <w:szCs w:val="24"/>
          <w:highlight w:val="none"/>
        </w:rPr>
        <w:t xml:space="preserve">行业 ；承接企业为 </w:t>
      </w:r>
      <w:r>
        <w:rPr>
          <w:rFonts w:hint="eastAsia" w:ascii="仿宋" w:hAnsi="仿宋" w:eastAsia="仿宋" w:cs="仿宋"/>
          <w:color w:val="auto"/>
          <w:sz w:val="24"/>
          <w:szCs w:val="24"/>
          <w:highlight w:val="none"/>
          <w:u w:val="single"/>
        </w:rPr>
        <w:t xml:space="preserve">（ 企 业 名 称 ）</w:t>
      </w:r>
      <w:r>
        <w:rPr>
          <w:rFonts w:hint="eastAsia" w:ascii="仿宋" w:hAnsi="仿宋" w:eastAsia="仿宋" w:cs="仿宋"/>
          <w:color w:val="auto"/>
          <w:sz w:val="24"/>
          <w:szCs w:val="24"/>
          <w:highlight w:val="none"/>
        </w:rPr>
        <w:t xml:space="preserve"> ，从业人员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 </w:t>
      </w:r>
      <w:r>
        <w:rPr>
          <w:rFonts w:hint="eastAsia" w:ascii="仿宋" w:hAnsi="仿宋" w:eastAsia="仿宋" w:cs="仿宋"/>
          <w:color w:val="auto"/>
          <w:sz w:val="24"/>
          <w:szCs w:val="24"/>
          <w:highlight w:val="none"/>
          <w:u w:val="single"/>
        </w:rPr>
        <w:t xml:space="preserve">（ 中 型 企 业 、 小 型 企 业 、 微 型 企 业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r/>
    </w:p>
    <w:p>
      <w:pPr>
        <w:ind w:firstLine="6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备注：</w:t>
      </w:r>
      <w:r/>
    </w:p>
    <w:p>
      <w:pPr>
        <w:ind w:firstLine="480"/>
        <w:jc w:val="left"/>
        <w:keepLines w:val="0"/>
        <w:keepNext w:val="0"/>
        <w:pageBreakBefore w:val="0"/>
        <w:spacing w:line="46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1、本项目为</w:t>
      </w:r>
      <w:r>
        <w:rPr>
          <w:rFonts w:hint="eastAsia" w:ascii="仿宋" w:hAnsi="仿宋" w:eastAsia="仿宋" w:cs="仿宋"/>
          <w:b/>
          <w:bCs/>
          <w:color w:val="auto"/>
          <w:sz w:val="24"/>
          <w:highlight w:val="none"/>
        </w:rPr>
        <w:t xml:space="preserve">专门面向中小企业采购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投标人</w:t>
      </w:r>
      <w:r>
        <w:rPr>
          <w:rFonts w:hint="eastAsia" w:ascii="仿宋" w:hAnsi="仿宋" w:eastAsia="仿宋" w:cs="仿宋"/>
          <w:b/>
          <w:color w:val="auto"/>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38"/>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2、中标、成交供应商享受规定的中小企业扶持政策的，《中小企业声明函》应当随中标、成交结果同时公告，接受社会监督。</w:t>
      </w:r>
      <w:r/>
    </w:p>
    <w:p>
      <w:pPr>
        <w:pStyle w:val="838"/>
        <w:ind w:firstLine="480"/>
        <w:keepLines w:val="0"/>
        <w:keepNext w:val="0"/>
        <w:pageBreakBefore w:val="0"/>
        <w:spacing w:before="0" w:beforeAutospacing="0" w:after="0" w:afterAutospacing="0" w:line="44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3、供应商按规定提供声明函内容不实的，属于提供虚假材料谋取中标、 成交， 依照《中华人民共和国政府采购法》 等国家有关规定追究相应责任。</w:t>
      </w:r>
      <w:r/>
    </w:p>
    <w:p>
      <w:pPr>
        <w:keepLines w:val="0"/>
        <w:keepNext w:val="0"/>
        <w:pageBreakBefore w:val="0"/>
        <w:widowControl w:val="off"/>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残疾人福利性单位声明函</w:t>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7"/>
        <w:jc w:val="center"/>
        <w:keepLines w:val="0"/>
        <w:keepNext w:val="0"/>
        <w:pageBreakBefore w:val="0"/>
        <w:spacing w:line="42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480"/>
        <w:keepLines w:val="0"/>
        <w:keepNext w:val="0"/>
        <w:pageBreakBefore w:val="0"/>
        <w:spacing w:line="48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8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keepLines w:val="0"/>
        <w:keepNext w:val="0"/>
        <w:pageBreakBefore w:val="0"/>
        <w:spacing w:line="48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48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48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keepLines w:val="0"/>
        <w:keepNext w:val="0"/>
        <w:pageBreakBefore w:val="0"/>
        <w:spacing w:line="400" w:lineRule="exact"/>
        <w:widowControl w:val="off"/>
        <w:rPr>
          <w:rFonts w:hint="eastAsia" w:ascii="仿宋" w:hAnsi="仿宋" w:eastAsia="仿宋" w:cs="仿宋"/>
          <w:b/>
          <w:bCs/>
          <w:color w:val="auto"/>
          <w:spacing w:val="20"/>
          <w:sz w:val="24"/>
          <w:szCs w:val="24"/>
          <w:highlight w:val="none"/>
        </w:rPr>
      </w:pPr>
      <w:r>
        <w:rPr>
          <w:rFonts w:hint="eastAsia" w:ascii="仿宋" w:hAnsi="仿宋" w:eastAsia="仿宋" w:cs="仿宋"/>
          <w:color w:val="auto"/>
          <w:sz w:val="24"/>
          <w:szCs w:val="24"/>
          <w:highlight w:val="none"/>
        </w:rPr>
        <w:t xml:space="preserve">                                         日 期：</w:t>
      </w:r>
      <w:r/>
    </w:p>
    <w:p>
      <w:pPr>
        <w:jc w:val="center"/>
        <w:keepLines w:val="0"/>
        <w:keepNext w:val="0"/>
        <w:pageBreakBefore w:val="0"/>
        <w:spacing w:line="400" w:lineRule="exact"/>
        <w:widowControl w:val="off"/>
        <w:rPr>
          <w:rFonts w:hint="eastAsia" w:ascii="仿宋" w:hAnsi="仿宋" w:eastAsia="仿宋" w:cs="仿宋"/>
          <w:b/>
          <w:bCs/>
          <w:color w:val="auto"/>
          <w:spacing w:val="20"/>
          <w:sz w:val="24"/>
          <w:szCs w:val="24"/>
          <w:highlight w:val="none"/>
        </w:rPr>
      </w:pPr>
      <w:r>
        <w:rPr>
          <w:rFonts w:hint="eastAsia" w:ascii="仿宋" w:hAnsi="仿宋" w:eastAsia="仿宋" w:cs="仿宋"/>
          <w:b/>
          <w:bCs/>
          <w:color w:val="auto"/>
          <w:spacing w:val="20"/>
          <w:sz w:val="24"/>
          <w:szCs w:val="24"/>
          <w:highlight w:val="none"/>
        </w:rPr>
      </w:r>
      <w:r/>
    </w:p>
    <w:p>
      <w:pPr>
        <w:jc w:val="center"/>
        <w:keepLines w:val="0"/>
        <w:keepNext w:val="0"/>
        <w:pageBreakBefore w:val="0"/>
        <w:spacing w:line="400" w:lineRule="exact"/>
        <w:widowControl w:val="off"/>
        <w:rPr>
          <w:rFonts w:hint="eastAsia" w:ascii="仿宋" w:hAnsi="仿宋" w:eastAsia="仿宋" w:cs="仿宋"/>
          <w:b/>
          <w:bCs/>
          <w:color w:val="auto"/>
          <w:spacing w:val="20"/>
          <w:sz w:val="30"/>
          <w:highlight w:val="none"/>
        </w:rPr>
      </w:pPr>
      <w:r>
        <w:rPr>
          <w:rFonts w:hint="eastAsia" w:ascii="仿宋" w:hAnsi="仿宋" w:eastAsia="仿宋" w:cs="仿宋"/>
          <w:b/>
          <w:bCs/>
          <w:color w:val="auto"/>
          <w:spacing w:val="20"/>
          <w:sz w:val="30"/>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4"/>
        <w:ind w:firstLine="250"/>
        <w:keepLines w:val="0"/>
        <w:keepNext w:val="0"/>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pStyle w:val="1176"/>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第五部分 评标方法与评标标准</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评标方法</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p>
      <w:pPr>
        <w:ind w:firstLine="241"/>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（一）价格分（20分）</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投标报价不超过采购最高限价的为有效投标报价。超出此范围的投标报价为无效投标报价。无效投标报价的投标文件不进行评审，也不得标；</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投标报价得分=（评标基准价/投标报价）*价格权值*100（本次招标价格权值为20%）。</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rPr>
        <w:t xml:space="preserve">技术要求响应(</w:t>
      </w:r>
      <w:r>
        <w:rPr>
          <w:rFonts w:hint="eastAsia" w:ascii="仿宋" w:hAnsi="仿宋" w:eastAsia="仿宋" w:cs="仿宋"/>
          <w:b/>
          <w:bCs/>
          <w:color w:val="auto"/>
          <w:sz w:val="24"/>
          <w:szCs w:val="24"/>
          <w:highlight w:val="none"/>
          <w:lang w:val="en-US" w:eastAsia="zh-CN"/>
        </w:rPr>
        <w:t xml:space="preserve">26</w:t>
      </w:r>
      <w:r>
        <w:rPr>
          <w:rFonts w:hint="eastAsia" w:ascii="仿宋" w:hAnsi="仿宋" w:eastAsia="仿宋" w:cs="仿宋"/>
          <w:b/>
          <w:bCs/>
          <w:color w:val="auto"/>
          <w:sz w:val="24"/>
          <w:szCs w:val="24"/>
          <w:highlight w:val="none"/>
        </w:rPr>
        <w:t xml:space="preserve">分)</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提供所使用路面标线</w:t>
      </w:r>
      <w:r>
        <w:rPr>
          <w:rFonts w:hint="eastAsia" w:ascii="仿宋" w:hAnsi="仿宋" w:eastAsia="仿宋" w:cs="仿宋"/>
          <w:color w:val="auto"/>
          <w:sz w:val="24"/>
          <w:szCs w:val="24"/>
          <w:highlight w:val="none"/>
          <w:lang w:val="en-US" w:eastAsia="zh-CN"/>
        </w:rPr>
        <w:t xml:space="preserve">涂料（热熔反光型、热熔突起型、溶剂普通型）符合JT/T280-2022相关要求的</w:t>
      </w:r>
      <w:r>
        <w:rPr>
          <w:rFonts w:hint="eastAsia" w:ascii="仿宋" w:hAnsi="仿宋" w:eastAsia="仿宋" w:cs="仿宋"/>
          <w:color w:val="auto"/>
          <w:sz w:val="24"/>
          <w:szCs w:val="24"/>
          <w:highlight w:val="none"/>
        </w:rPr>
        <w:t xml:space="preserve">检测报告</w:t>
      </w:r>
      <w:r>
        <w:rPr>
          <w:rFonts w:hint="eastAsia" w:ascii="仿宋" w:hAnsi="仿宋" w:eastAsia="仿宋" w:cs="仿宋"/>
          <w:color w:val="auto"/>
          <w:sz w:val="24"/>
          <w:szCs w:val="24"/>
          <w:highlight w:val="none"/>
          <w:lang w:val="en-US" w:eastAsia="zh-CN"/>
        </w:rPr>
        <w:t xml:space="preserve">和工厂检验合格证书，有一个得2分，最高6分。</w:t>
      </w:r>
      <w:r>
        <w:rPr>
          <w:rFonts w:hint="eastAsia" w:ascii="仿宋" w:hAnsi="仿宋" w:eastAsia="仿宋" w:cs="仿宋"/>
          <w:color w:val="auto"/>
          <w:sz w:val="24"/>
          <w:szCs w:val="24"/>
          <w:highlight w:val="none"/>
        </w:rPr>
        <w:t xml:space="preserve">（需提供</w:t>
      </w:r>
      <w:r>
        <w:rPr>
          <w:rFonts w:hint="eastAsia" w:ascii="仿宋" w:hAnsi="仿宋" w:eastAsia="仿宋" w:cs="仿宋"/>
          <w:color w:val="auto"/>
          <w:sz w:val="24"/>
          <w:szCs w:val="24"/>
          <w:highlight w:val="none"/>
          <w:lang w:val="en-US" w:eastAsia="zh-CN"/>
        </w:rPr>
        <w:t xml:space="preserve">第三方检测机构</w:t>
      </w:r>
      <w:r>
        <w:rPr>
          <w:rFonts w:hint="eastAsia" w:ascii="仿宋" w:hAnsi="仿宋" w:eastAsia="仿宋" w:cs="仿宋"/>
          <w:color w:val="auto"/>
          <w:sz w:val="24"/>
          <w:szCs w:val="24"/>
          <w:highlight w:val="none"/>
        </w:rPr>
        <w:t xml:space="preserve">出具</w:t>
      </w:r>
      <w:r>
        <w:rPr>
          <w:rFonts w:hint="eastAsia" w:ascii="仿宋" w:hAnsi="仿宋" w:eastAsia="仿宋" w:cs="仿宋"/>
          <w:b w:val="0"/>
          <w:bCs/>
          <w:color w:val="auto"/>
          <w:sz w:val="24"/>
          <w:szCs w:val="24"/>
          <w:highlight w:val="none"/>
          <w:lang w:val="en-US" w:eastAsia="zh-CN"/>
        </w:rPr>
        <w:t xml:space="preserve">带CMA标志的有效期内</w:t>
      </w:r>
      <w:r>
        <w:rPr>
          <w:rFonts w:hint="eastAsia" w:ascii="仿宋" w:hAnsi="仿宋" w:eastAsia="仿宋" w:cs="仿宋"/>
          <w:color w:val="auto"/>
          <w:sz w:val="24"/>
          <w:szCs w:val="24"/>
          <w:highlight w:val="none"/>
        </w:rPr>
        <w:t xml:space="preserve">检测报告</w:t>
      </w:r>
      <w:r>
        <w:rPr>
          <w:rFonts w:hint="eastAsia" w:ascii="仿宋" w:hAnsi="仿宋" w:eastAsia="仿宋" w:cs="仿宋"/>
          <w:color w:val="auto"/>
          <w:sz w:val="24"/>
          <w:szCs w:val="24"/>
          <w:highlight w:val="none"/>
          <w:lang w:val="en-US" w:eastAsia="zh-CN"/>
        </w:rPr>
        <w:t xml:space="preserve">和工厂检验合格证书</w:t>
      </w:r>
      <w:r>
        <w:rPr>
          <w:rFonts w:hint="eastAsia" w:ascii="仿宋" w:hAnsi="仿宋" w:eastAsia="仿宋" w:cs="仿宋"/>
          <w:b w:val="0"/>
          <w:bCs/>
          <w:color w:val="auto"/>
          <w:sz w:val="24"/>
          <w:szCs w:val="24"/>
          <w:highlight w:val="none"/>
          <w:lang w:val="en-US" w:eastAsia="zh-CN"/>
        </w:rPr>
        <w:t xml:space="preserve">复印件</w:t>
      </w:r>
      <w:r>
        <w:rPr>
          <w:rFonts w:hint="eastAsia" w:ascii="仿宋" w:hAnsi="仿宋" w:eastAsia="仿宋" w:cs="仿宋"/>
          <w:color w:val="auto"/>
          <w:sz w:val="24"/>
          <w:szCs w:val="24"/>
          <w:highlight w:val="none"/>
        </w:rPr>
        <w:t xml:space="preserve">，资料提供不全或无法证明的不得分）</w:t>
      </w:r>
      <w:r/>
    </w:p>
    <w:p>
      <w:pPr>
        <w:ind w:righ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、拟投入本</w:t>
      </w:r>
      <w:r>
        <w:rPr>
          <w:rFonts w:hint="eastAsia" w:ascii="仿宋" w:hAnsi="仿宋" w:eastAsia="仿宋" w:cs="仿宋"/>
          <w:b w:val="0"/>
          <w:bCs/>
          <w:color w:val="auto"/>
          <w:sz w:val="24"/>
          <w:szCs w:val="24"/>
          <w:highlight w:val="none"/>
        </w:rPr>
        <w:t xml:space="preserve">项目</w:t>
      </w:r>
      <w:r>
        <w:rPr>
          <w:rFonts w:hint="eastAsia" w:ascii="仿宋" w:hAnsi="仿宋" w:eastAsia="仿宋" w:cs="仿宋"/>
          <w:b w:val="0"/>
          <w:bCs/>
          <w:color w:val="auto"/>
          <w:sz w:val="24"/>
          <w:szCs w:val="24"/>
          <w:highlight w:val="none"/>
          <w:lang w:val="en-US" w:eastAsia="zh-CN"/>
        </w:rPr>
        <w:t xml:space="preserve">道路信号控制机、交换机、网络摄像机、球型摄像机、机动车信号灯带</w:t>
      </w:r>
      <w:r>
        <w:rPr>
          <w:rFonts w:hint="eastAsia" w:ascii="仿宋" w:hAnsi="仿宋" w:eastAsia="仿宋" w:cs="仿宋"/>
          <w:b w:val="0"/>
          <w:bCs/>
          <w:color w:val="auto"/>
          <w:sz w:val="24"/>
          <w:szCs w:val="24"/>
          <w:highlight w:val="none"/>
        </w:rPr>
        <w:t xml:space="preserve">★</w:t>
      </w:r>
      <w:r>
        <w:rPr>
          <w:rFonts w:hint="eastAsia" w:ascii="仿宋" w:hAnsi="仿宋" w:eastAsia="仿宋" w:cs="仿宋"/>
          <w:bCs/>
          <w:color w:val="auto"/>
          <w:sz w:val="24"/>
          <w:szCs w:val="24"/>
          <w:highlight w:val="none"/>
        </w:rPr>
        <w:t xml:space="preserve">项</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共10项）为重要</w:t>
      </w:r>
      <w:r>
        <w:rPr>
          <w:rFonts w:hint="eastAsia" w:ascii="仿宋" w:hAnsi="仿宋" w:eastAsia="仿宋" w:cs="仿宋"/>
          <w:bCs/>
          <w:color w:val="auto"/>
          <w:sz w:val="24"/>
          <w:szCs w:val="24"/>
          <w:highlight w:val="none"/>
        </w:rPr>
        <w:t xml:space="preserve">功能及技术性能参</w:t>
      </w:r>
      <w:r>
        <w:rPr>
          <w:rFonts w:hint="eastAsia" w:ascii="仿宋" w:hAnsi="仿宋" w:eastAsia="仿宋" w:cs="仿宋"/>
          <w:bCs/>
          <w:color w:val="auto"/>
          <w:sz w:val="24"/>
          <w:szCs w:val="24"/>
          <w:highlight w:val="none"/>
          <w:lang w:val="en-US" w:eastAsia="zh-CN"/>
        </w:rPr>
        <w:t xml:space="preserve">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全部满足招标文件要求的得满分</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val="en-US" w:eastAsia="zh-CN"/>
        </w:rPr>
        <w:t xml:space="preserve">有一项</w:t>
      </w:r>
      <w:r>
        <w:rPr>
          <w:rFonts w:hint="eastAsia" w:ascii="仿宋" w:hAnsi="仿宋" w:eastAsia="仿宋" w:cs="仿宋"/>
          <w:bCs/>
          <w:color w:val="auto"/>
          <w:sz w:val="24"/>
          <w:szCs w:val="24"/>
          <w:highlight w:val="none"/>
        </w:rPr>
        <w:t xml:space="preserve">负偏离扣2分。（★项需</w:t>
      </w:r>
      <w:r>
        <w:rPr>
          <w:rFonts w:hint="eastAsia" w:ascii="仿宋" w:hAnsi="仿宋" w:eastAsia="仿宋" w:cs="仿宋"/>
          <w:b w:val="0"/>
          <w:bCs/>
          <w:color w:val="auto"/>
          <w:sz w:val="24"/>
          <w:szCs w:val="24"/>
          <w:highlight w:val="none"/>
          <w:lang w:val="en-US" w:eastAsia="zh-CN"/>
        </w:rPr>
        <w:t xml:space="preserve">提供公安部权威检测机构出具带CMA标志的有效期内的检测报告复印件并加盖制造商公章</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资料提供不全或无法证明的不得分</w:t>
      </w:r>
      <w:r>
        <w:rPr>
          <w:rFonts w:hint="eastAsia" w:ascii="仿宋" w:hAnsi="仿宋" w:eastAsia="仿宋" w:cs="仿宋"/>
          <w:bCs/>
          <w:color w:val="auto"/>
          <w:sz w:val="24"/>
          <w:szCs w:val="24"/>
          <w:highlight w:val="none"/>
        </w:rPr>
        <w:t xml:space="preserve">）</w:t>
      </w:r>
      <w:r/>
    </w:p>
    <w:p>
      <w:pPr>
        <w:numPr>
          <w:ilvl w:val="0"/>
          <w:numId w:val="0"/>
        </w:numPr>
        <w:ind w:right="0" w:firstLine="422"/>
        <w:jc w:val="both"/>
        <w:keepLines w:val="0"/>
        <w:keepNext w:val="0"/>
        <w:pageBreakBefore w:val="0"/>
        <w:spacing w:line="360" w:lineRule="auto"/>
        <w:widowControl w:val="off"/>
        <w:rPr>
          <w:rFonts w:hint="eastAsia" w:ascii="仿宋" w:hAnsi="仿宋" w:eastAsia="仿宋" w:cs="仿宋"/>
          <w:b/>
          <w:color w:val="auto"/>
          <w:spacing w:val="0"/>
          <w:sz w:val="24"/>
          <w:szCs w:val="24"/>
          <w:highlight w:val="none"/>
          <w:lang w:val="en-US" w:eastAsia="zh-CN" w:bidi="ar-SA"/>
        </w:rPr>
      </w:pPr>
      <w:r>
        <w:rPr>
          <w:rFonts w:hint="eastAsia" w:ascii="仿宋" w:hAnsi="仿宋" w:eastAsia="仿宋" w:cs="仿宋"/>
          <w:b/>
          <w:color w:val="auto"/>
          <w:spacing w:val="0"/>
          <w:sz w:val="24"/>
          <w:szCs w:val="24"/>
          <w:highlight w:val="none"/>
          <w:lang w:val="en-US" w:eastAsia="zh-CN" w:bidi="ar-SA"/>
        </w:rPr>
        <w:t xml:space="preserve">（三）实施方案（36分）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现场作业方案</w:t>
      </w:r>
      <w:r>
        <w:rPr>
          <w:rFonts w:hint="eastAsia" w:ascii="仿宋" w:hAnsi="仿宋" w:eastAsia="仿宋" w:cs="仿宋"/>
          <w:color w:val="auto"/>
          <w:sz w:val="24"/>
          <w:szCs w:val="24"/>
          <w:highlight w:val="none"/>
        </w:rPr>
        <w:t xml:space="preserve">。方案内容至少包括：①</w:t>
      </w:r>
      <w:r>
        <w:rPr>
          <w:rFonts w:hint="eastAsia" w:ascii="仿宋" w:hAnsi="仿宋" w:eastAsia="仿宋" w:cs="仿宋"/>
          <w:color w:val="auto"/>
          <w:sz w:val="24"/>
          <w:szCs w:val="24"/>
          <w:highlight w:val="none"/>
          <w:lang w:val="en-US" w:eastAsia="zh-CN"/>
        </w:rPr>
        <w:t xml:space="preserve">项目重点难点分析</w:t>
      </w:r>
      <w:r>
        <w:rPr>
          <w:rFonts w:hint="eastAsia" w:ascii="仿宋" w:hAnsi="仿宋" w:eastAsia="仿宋" w:cs="仿宋"/>
          <w:strike w:val="0"/>
          <w:color w:val="auto"/>
          <w:sz w:val="24"/>
          <w:szCs w:val="24"/>
          <w:highlight w:val="none"/>
        </w:rPr>
        <w:t xml:space="preserve">②</w:t>
      </w:r>
      <w:r>
        <w:rPr>
          <w:rFonts w:hint="eastAsia" w:ascii="仿宋" w:hAnsi="仿宋" w:eastAsia="仿宋" w:cs="仿宋"/>
          <w:color w:val="auto"/>
          <w:sz w:val="24"/>
          <w:szCs w:val="24"/>
          <w:highlight w:val="none"/>
        </w:rPr>
        <w:t xml:space="preserve">现场施工方案③</w:t>
      </w:r>
      <w:r>
        <w:rPr>
          <w:rFonts w:hint="eastAsia" w:ascii="仿宋" w:hAnsi="仿宋" w:eastAsia="仿宋" w:cs="仿宋"/>
          <w:color w:val="auto"/>
          <w:sz w:val="24"/>
          <w:szCs w:val="24"/>
          <w:highlight w:val="none"/>
          <w:lang w:val="en-US" w:eastAsia="zh-CN"/>
        </w:rPr>
        <w:t xml:space="preserve">施工现场交通组织</w:t>
      </w:r>
      <w:r>
        <w:rPr>
          <w:rFonts w:hint="eastAsia" w:ascii="仿宋" w:hAnsi="仿宋" w:eastAsia="仿宋" w:cs="仿宋"/>
          <w:color w:val="auto"/>
          <w:sz w:val="24"/>
          <w:szCs w:val="24"/>
          <w:highlight w:val="none"/>
        </w:rPr>
        <w:t xml:space="preserve">方案。方案内容针对本项目且符合本项目实际需求的得</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color w:val="auto"/>
          <w:sz w:val="24"/>
          <w:szCs w:val="24"/>
          <w:highlight w:val="none"/>
        </w:rPr>
        <w:t xml:space="preserve">；每缺少一项内容，或内容非专门针对本项目的，每一项扣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、应急事件处置方案。主要是指交通事故应急抢修处理方案，方案内容至少包括：①接到通知后的响应时间安排方案②处理流程③人员安排。方案内容针对本项目且符合本项目实际需求的得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分；每缺少一项内容，或内容非专门针对本项目的，每一项扣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、质量保证措施。方案内容至少包括①产品质量保证措施②施工质量保证措施③</w:t>
      </w:r>
      <w:r>
        <w:rPr>
          <w:rFonts w:hint="eastAsia" w:ascii="仿宋" w:hAnsi="仿宋" w:eastAsia="仿宋" w:cs="仿宋"/>
          <w:color w:val="auto"/>
          <w:sz w:val="24"/>
          <w:szCs w:val="24"/>
          <w:highlight w:val="none"/>
          <w:lang w:val="en-US" w:eastAsia="zh-CN"/>
        </w:rPr>
        <w:t xml:space="preserve">售后服务保证方案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方案内容针对本项目且符合本项目实际需求的，得9分，</w:t>
      </w:r>
      <w:r>
        <w:rPr>
          <w:rFonts w:hint="eastAsia" w:ascii="仿宋" w:hAnsi="仿宋" w:eastAsia="仿宋" w:cs="仿宋"/>
          <w:color w:val="auto"/>
          <w:sz w:val="24"/>
          <w:szCs w:val="24"/>
          <w:highlight w:val="none"/>
        </w:rPr>
        <w:t xml:space="preserve">每缺少一项内容，或内容非专门针对本项目的，</w:t>
      </w:r>
      <w:r>
        <w:rPr>
          <w:rFonts w:hint="eastAsia" w:ascii="仿宋" w:hAnsi="仿宋" w:eastAsia="仿宋" w:cs="仿宋"/>
          <w:color w:val="auto"/>
          <w:sz w:val="24"/>
          <w:szCs w:val="24"/>
          <w:highlight w:val="none"/>
          <w:lang w:val="en-US" w:eastAsia="zh-CN"/>
        </w:rPr>
        <w:t xml:space="preserve">每一项扣3分。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4、安全文明及环境保护措施。方案内容至少包括：①安全文明施工、②施工现场扬尘污染防治措施、③环境保护方面措施等。方案内容针对本项目且符合本项目实际需求的，得9分，</w:t>
      </w:r>
      <w:r>
        <w:rPr>
          <w:rFonts w:hint="eastAsia" w:ascii="仿宋" w:hAnsi="仿宋" w:eastAsia="仿宋" w:cs="仿宋"/>
          <w:color w:val="auto"/>
          <w:sz w:val="24"/>
          <w:szCs w:val="24"/>
          <w:highlight w:val="none"/>
        </w:rPr>
        <w:t xml:space="preserve">每缺少一项内容，或内容非专门针对本项目的，</w:t>
      </w:r>
      <w:r>
        <w:rPr>
          <w:rFonts w:hint="eastAsia" w:ascii="仿宋" w:hAnsi="仿宋" w:eastAsia="仿宋" w:cs="仿宋"/>
          <w:color w:val="auto"/>
          <w:sz w:val="24"/>
          <w:szCs w:val="24"/>
          <w:highlight w:val="none"/>
          <w:lang w:val="en-US" w:eastAsia="zh-CN"/>
        </w:rPr>
        <w:t xml:space="preserve">每一项扣3分。</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lang w:eastAsia="zh-CN"/>
        </w:rPr>
        <w:t xml:space="preserve">）售后服务（</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lang w:eastAsia="zh-CN"/>
        </w:rPr>
        <w:t xml:space="preserve">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1、在太仓</w:t>
      </w:r>
      <w:r>
        <w:rPr>
          <w:rFonts w:hint="eastAsia" w:ascii="仿宋" w:hAnsi="仿宋" w:eastAsia="仿宋" w:cs="仿宋"/>
          <w:color w:val="auto"/>
          <w:sz w:val="24"/>
          <w:szCs w:val="24"/>
          <w:highlight w:val="none"/>
          <w:lang w:val="en-US" w:eastAsia="zh-CN"/>
        </w:rPr>
        <w:t xml:space="preserve">范围内</w:t>
      </w:r>
      <w:r>
        <w:rPr>
          <w:rFonts w:hint="eastAsia" w:ascii="仿宋" w:hAnsi="仿宋" w:eastAsia="仿宋" w:cs="仿宋"/>
          <w:color w:val="auto"/>
          <w:sz w:val="24"/>
          <w:szCs w:val="24"/>
          <w:highlight w:val="none"/>
        </w:rPr>
        <w:t xml:space="preserve">有固定服务机构或者承诺中标后在太仓设立服务住所，得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提供相关证明材料或承诺书，格式自拟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2、产品质保期限</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塑料、橡胶材质产品和标线产品免费质保期限优于要求一年以上的得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提供承诺书，格式自拟</w:t>
      </w:r>
      <w:r>
        <w:rPr>
          <w:rFonts w:hint="eastAsia" w:ascii="仿宋" w:hAnsi="仿宋" w:eastAsia="仿宋" w:cs="仿宋"/>
          <w:color w:val="auto"/>
          <w:sz w:val="24"/>
          <w:szCs w:val="24"/>
          <w:highlight w:val="none"/>
          <w:lang w:eastAsia="zh-CN"/>
        </w:rPr>
        <w:t xml:space="preserve">）。</w:t>
      </w:r>
      <w:r/>
    </w:p>
    <w:p>
      <w:pPr>
        <w:ind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lang w:eastAsia="zh-CN"/>
        </w:rPr>
        <w:t xml:space="preserve">）履约能力(</w:t>
      </w:r>
      <w:r>
        <w:rPr>
          <w:rFonts w:hint="eastAsia" w:ascii="仿宋" w:hAnsi="仿宋" w:eastAsia="仿宋" w:cs="仿宋"/>
          <w:b/>
          <w:color w:val="auto"/>
          <w:sz w:val="24"/>
          <w:szCs w:val="24"/>
          <w:highlight w:val="none"/>
          <w:lang w:val="en-US" w:eastAsia="zh-CN"/>
        </w:rPr>
        <w:t xml:space="preserve">16</w:t>
      </w:r>
      <w:r>
        <w:rPr>
          <w:rFonts w:hint="eastAsia" w:ascii="仿宋" w:hAnsi="仿宋" w:eastAsia="仿宋" w:cs="仿宋"/>
          <w:b/>
          <w:color w:val="auto"/>
          <w:sz w:val="24"/>
          <w:szCs w:val="24"/>
          <w:highlight w:val="none"/>
          <w:lang w:eastAsia="zh-CN"/>
        </w:rPr>
        <w:t xml:space="preserve">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、针对本招标项目所配备的专业技术力量、配备足够的维修人员等，进行评分（</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拟投入本项目</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val="en-US" w:eastAsia="zh-CN"/>
        </w:rPr>
        <w:t xml:space="preserve">负责人</w:t>
      </w:r>
      <w:r>
        <w:rPr>
          <w:rFonts w:hint="eastAsia" w:ascii="仿宋" w:hAnsi="仿宋" w:eastAsia="仿宋" w:cs="仿宋"/>
          <w:bCs/>
          <w:color w:val="auto"/>
          <w:sz w:val="24"/>
          <w:szCs w:val="24"/>
          <w:highlight w:val="none"/>
        </w:rPr>
        <w:t xml:space="preserve">同时具有</w:t>
      </w:r>
      <w:r>
        <w:rPr>
          <w:rFonts w:hint="eastAsia" w:ascii="仿宋" w:hAnsi="仿宋" w:eastAsia="仿宋" w:cs="仿宋"/>
          <w:bCs/>
          <w:color w:val="auto"/>
          <w:sz w:val="24"/>
          <w:szCs w:val="24"/>
          <w:highlight w:val="none"/>
          <w:lang w:val="en-US" w:eastAsia="zh-CN"/>
        </w:rPr>
        <w:t xml:space="preserve">本科及以上学历、</w:t>
      </w:r>
      <w:r>
        <w:rPr>
          <w:rFonts w:hint="eastAsia" w:ascii="仿宋" w:hAnsi="仿宋" w:eastAsia="仿宋" w:cs="仿宋"/>
          <w:bCs/>
          <w:color w:val="auto"/>
          <w:sz w:val="24"/>
          <w:szCs w:val="24"/>
          <w:highlight w:val="none"/>
        </w:rPr>
        <w:t xml:space="preserve">公路工程和机电工程二级及以上注册建造师证书、</w:t>
      </w:r>
      <w:r>
        <w:rPr>
          <w:rFonts w:hint="eastAsia" w:ascii="仿宋" w:hAnsi="仿宋" w:eastAsia="仿宋" w:cs="仿宋"/>
          <w:bCs/>
          <w:color w:val="auto"/>
          <w:sz w:val="24"/>
          <w:szCs w:val="24"/>
          <w:highlight w:val="none"/>
          <w:lang w:val="en-US" w:eastAsia="zh-CN"/>
        </w:rPr>
        <w:t xml:space="preserve">交通运输工程类</w:t>
      </w:r>
      <w:r>
        <w:rPr>
          <w:rFonts w:hint="eastAsia" w:ascii="仿宋" w:hAnsi="仿宋" w:eastAsia="仿宋" w:cs="仿宋"/>
          <w:bCs/>
          <w:color w:val="auto"/>
          <w:sz w:val="24"/>
          <w:szCs w:val="24"/>
          <w:highlight w:val="none"/>
        </w:rPr>
        <w:t xml:space="preserve">工程师职称证的得</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拟投入本项目</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bCs/>
          <w:color w:val="auto"/>
          <w:sz w:val="24"/>
          <w:szCs w:val="24"/>
          <w:highlight w:val="none"/>
        </w:rPr>
        <w:t xml:space="preserve">技术负责人同时具有</w:t>
      </w:r>
      <w:r>
        <w:rPr>
          <w:rFonts w:hint="eastAsia" w:ascii="仿宋" w:hAnsi="仿宋" w:eastAsia="仿宋" w:cs="仿宋"/>
          <w:bCs/>
          <w:color w:val="auto"/>
          <w:sz w:val="24"/>
          <w:szCs w:val="24"/>
          <w:highlight w:val="none"/>
          <w:lang w:val="en-US" w:eastAsia="zh-CN"/>
        </w:rPr>
        <w:t xml:space="preserve">本科及以上学历、</w:t>
      </w:r>
      <w:r>
        <w:rPr>
          <w:rFonts w:hint="eastAsia" w:ascii="仿宋" w:hAnsi="仿宋" w:eastAsia="仿宋" w:cs="仿宋"/>
          <w:bCs/>
          <w:color w:val="auto"/>
          <w:sz w:val="24"/>
          <w:szCs w:val="24"/>
          <w:highlight w:val="none"/>
        </w:rPr>
        <w:t xml:space="preserve">公路工程和机电工程二级及以上注册建造师证书的得</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（3）拟投入现场作业人员同时具有特种操作证“桩机操作工”和安全员证书的得2分，最高2分。</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（4）拟投入现场人员具有公路养护工高级工证书的得2分，具有公路养护工中级工证书的得1分，最高2分（限评一人）。</w:t>
      </w:r>
      <w:r/>
    </w:p>
    <w:p>
      <w:pPr>
        <w:ind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(注：以上人员不重复得分，提供投标单位为以上人员所缴纳的近3个月的社保证明材料及相关证书扫描件，否则不得分）</w:t>
      </w:r>
      <w:r/>
    </w:p>
    <w:p>
      <w:pPr>
        <w:numPr>
          <w:ilvl w:val="0"/>
          <w:numId w:val="2"/>
        </w:numPr>
        <w:ind w:righ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专业设备（4分）</w:t>
      </w:r>
      <w:r/>
    </w:p>
    <w:p>
      <w:pPr>
        <w:numPr>
          <w:ilvl w:val="0"/>
          <w:numId w:val="0"/>
        </w:numPr>
        <w:ind w:righ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bidi="ar-SA"/>
        </w:rPr>
        <w:t xml:space="preserve">（1）</w:t>
      </w:r>
      <w:r>
        <w:rPr>
          <w:rFonts w:hint="eastAsia" w:ascii="仿宋" w:hAnsi="仿宋" w:eastAsia="仿宋" w:cs="仿宋"/>
          <w:bCs/>
          <w:color w:val="auto"/>
          <w:sz w:val="24"/>
          <w:szCs w:val="24"/>
          <w:highlight w:val="none"/>
          <w:lang w:val="en-US" w:eastAsia="zh-CN"/>
        </w:rPr>
        <w:t xml:space="preserve">投标单位具有巡查保障皮卡车的得1分。</w:t>
      </w:r>
      <w:r/>
    </w:p>
    <w:p>
      <w:pPr>
        <w:numPr>
          <w:ilvl w:val="0"/>
          <w:numId w:val="0"/>
        </w:numPr>
        <w:ind w:righ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车辆为自有的提供工程车辆照片、车辆产权证明、车辆行驶证和车辆保单扫描件、车辆购置发票；如为租赁车辆的提供租赁合同、车辆照片、车辆产权证明、车辆行驶证和车辆保单、车辆租赁发票扫描件。未提供不得分）</w:t>
      </w:r>
      <w:r/>
    </w:p>
    <w:p>
      <w:pPr>
        <w:numPr>
          <w:ilvl w:val="0"/>
          <w:numId w:val="0"/>
        </w:numPr>
        <w:ind w:left="0" w:righ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投标人</w:t>
      </w:r>
      <w:r>
        <w:rPr>
          <w:rFonts w:hint="eastAsia" w:ascii="仿宋" w:hAnsi="仿宋" w:eastAsia="仿宋" w:cs="仿宋"/>
          <w:bCs/>
          <w:color w:val="auto"/>
          <w:sz w:val="24"/>
          <w:szCs w:val="24"/>
          <w:highlight w:val="none"/>
          <w:lang w:val="en-US" w:eastAsia="zh-CN"/>
        </w:rPr>
        <w:t xml:space="preserve">具有</w:t>
      </w:r>
      <w:r>
        <w:rPr>
          <w:rFonts w:hint="eastAsia" w:ascii="仿宋" w:hAnsi="仿宋" w:eastAsia="仿宋" w:cs="仿宋"/>
          <w:bCs/>
          <w:color w:val="auto"/>
          <w:sz w:val="24"/>
          <w:szCs w:val="24"/>
          <w:highlight w:val="none"/>
        </w:rPr>
        <w:t xml:space="preserve">专项作业车（</w:t>
      </w:r>
      <w:r>
        <w:rPr>
          <w:rFonts w:hint="eastAsia" w:ascii="仿宋" w:hAnsi="仿宋" w:eastAsia="仿宋" w:cs="仿宋"/>
          <w:bCs/>
          <w:color w:val="auto"/>
          <w:sz w:val="24"/>
          <w:szCs w:val="24"/>
          <w:highlight w:val="none"/>
          <w:lang w:val="en-US" w:eastAsia="zh-CN"/>
        </w:rPr>
        <w:t xml:space="preserve">起重车</w:t>
      </w:r>
      <w:r>
        <w:rPr>
          <w:rFonts w:hint="eastAsia" w:ascii="仿宋" w:hAnsi="仿宋" w:eastAsia="仿宋" w:cs="仿宋"/>
          <w:bCs/>
          <w:color w:val="auto"/>
          <w:sz w:val="24"/>
          <w:szCs w:val="24"/>
          <w:highlight w:val="none"/>
        </w:rPr>
        <w:t xml:space="preserve">）的得</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eastAsia="zh-CN"/>
        </w:rPr>
        <w:t xml:space="preserve">。</w:t>
      </w:r>
      <w:r/>
    </w:p>
    <w:p>
      <w:pPr>
        <w:numPr>
          <w:ilvl w:val="0"/>
          <w:numId w:val="0"/>
        </w:num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车辆为自有的</w:t>
      </w:r>
      <w:r>
        <w:rPr>
          <w:rFonts w:hint="eastAsia" w:ascii="仿宋" w:hAnsi="仿宋" w:eastAsia="仿宋" w:cs="仿宋"/>
          <w:color w:val="auto"/>
          <w:sz w:val="24"/>
          <w:szCs w:val="24"/>
          <w:highlight w:val="none"/>
        </w:rPr>
        <w:t xml:space="preserve">提供自有车辆照片、车辆产权证明、车辆行驶证和车辆保单扫描件、车辆购置发票；如为租赁车辆的提供租赁合同、车辆照片、车辆产权证明、车辆行驶证和车辆保单、车辆</w:t>
      </w:r>
      <w:r>
        <w:rPr>
          <w:rFonts w:hint="eastAsia" w:ascii="仿宋" w:hAnsi="仿宋" w:eastAsia="仿宋" w:cs="仿宋"/>
          <w:color w:val="auto"/>
          <w:sz w:val="24"/>
          <w:szCs w:val="24"/>
          <w:highlight w:val="none"/>
          <w:lang w:val="en-US" w:eastAsia="zh-CN"/>
        </w:rPr>
        <w:t xml:space="preserve">租赁</w:t>
      </w:r>
      <w:r>
        <w:rPr>
          <w:rFonts w:hint="eastAsia" w:ascii="仿宋" w:hAnsi="仿宋" w:eastAsia="仿宋" w:cs="仿宋"/>
          <w:color w:val="auto"/>
          <w:sz w:val="24"/>
          <w:szCs w:val="24"/>
          <w:highlight w:val="none"/>
        </w:rPr>
        <w:t xml:space="preserve">发票扫描件</w:t>
      </w:r>
      <w:r>
        <w:rPr>
          <w:rFonts w:hint="eastAsia" w:ascii="仿宋" w:hAnsi="仿宋" w:eastAsia="仿宋" w:cs="仿宋"/>
          <w:bCs/>
          <w:color w:val="auto"/>
          <w:sz w:val="24"/>
          <w:szCs w:val="24"/>
          <w:highlight w:val="none"/>
          <w:lang w:val="en-US" w:eastAsia="zh-CN"/>
        </w:rPr>
        <w:t xml:space="preserve">。未提供不得分</w:t>
      </w:r>
      <w:r>
        <w:rPr>
          <w:rFonts w:hint="eastAsia" w:ascii="仿宋" w:hAnsi="仿宋" w:eastAsia="仿宋" w:cs="仿宋"/>
          <w:color w:val="auto"/>
          <w:sz w:val="24"/>
          <w:szCs w:val="24"/>
          <w:highlight w:val="none"/>
        </w:rPr>
        <w:t xml:space="preserve">）</w:t>
      </w:r>
      <w:r/>
    </w:p>
    <w:p>
      <w:pPr>
        <w:numPr>
          <w:ilvl w:val="0"/>
          <w:numId w:val="0"/>
        </w:numPr>
        <w:ind w:right="0" w:firstLine="420"/>
        <w:jc w:val="left"/>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bidi="ar-SA"/>
        </w:rPr>
        <w:t xml:space="preserve">（3）</w:t>
      </w:r>
      <w:r>
        <w:rPr>
          <w:rFonts w:hint="eastAsia" w:ascii="仿宋" w:hAnsi="仿宋" w:eastAsia="仿宋" w:cs="仿宋"/>
          <w:color w:val="auto"/>
          <w:spacing w:val="0"/>
          <w:sz w:val="24"/>
          <w:szCs w:val="24"/>
          <w:highlight w:val="none"/>
        </w:rPr>
        <w:t xml:space="preserve">投标人具有标牌铆接设备的得</w:t>
      </w: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rPr>
        <w:t xml:space="preserve">分</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rPr>
        <w:t xml:space="preserve">具有护栏桩机设备的得1分</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最高2分。</w:t>
      </w:r>
      <w:r/>
    </w:p>
    <w:p>
      <w:pPr>
        <w:numPr>
          <w:ilvl w:val="0"/>
          <w:numId w:val="0"/>
        </w:num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0"/>
          <w:sz w:val="24"/>
          <w:szCs w:val="24"/>
          <w:highlight w:val="none"/>
        </w:rPr>
        <w:t xml:space="preserve">（需提供设备购置发票扫描件</w:t>
      </w:r>
      <w:r>
        <w:rPr>
          <w:rFonts w:hint="eastAsia" w:ascii="仿宋" w:hAnsi="仿宋" w:eastAsia="仿宋" w:cs="仿宋"/>
          <w:bCs/>
          <w:color w:val="auto"/>
          <w:sz w:val="24"/>
          <w:szCs w:val="24"/>
          <w:highlight w:val="none"/>
          <w:lang w:val="en-US" w:eastAsia="zh-CN"/>
        </w:rPr>
        <w:t xml:space="preserve">。未提供不得分</w:t>
      </w:r>
      <w:r>
        <w:rPr>
          <w:rFonts w:hint="eastAsia" w:ascii="仿宋" w:hAnsi="仿宋" w:eastAsia="仿宋" w:cs="仿宋"/>
          <w:color w:val="auto"/>
          <w:spacing w:val="0"/>
          <w:sz w:val="24"/>
          <w:szCs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业绩（3分）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根据投标人自</w:t>
      </w:r>
      <w:r>
        <w:rPr>
          <w:rFonts w:hint="eastAsia" w:ascii="仿宋" w:hAnsi="仿宋" w:eastAsia="仿宋" w:cs="仿宋"/>
          <w:color w:val="auto"/>
          <w:sz w:val="24"/>
          <w:szCs w:val="24"/>
          <w:highlight w:val="none"/>
          <w:shd w:val="clear" w:color="auto" w:fill="ffffff"/>
        </w:rPr>
        <w:t xml:space="preserve">202</w:t>
      </w:r>
      <w:r>
        <w:rPr>
          <w:rFonts w:hint="eastAsia" w:ascii="仿宋" w:hAnsi="仿宋" w:eastAsia="仿宋" w:cs="仿宋"/>
          <w:color w:val="auto"/>
          <w:sz w:val="24"/>
          <w:szCs w:val="24"/>
          <w:highlight w:val="none"/>
          <w:shd w:val="clear" w:color="auto" w:fill="ffffff"/>
          <w:lang w:val="en-US" w:eastAsia="zh-CN"/>
        </w:rPr>
        <w:t xml:space="preserve">2</w:t>
      </w:r>
      <w:r>
        <w:rPr>
          <w:rFonts w:hint="eastAsia" w:ascii="仿宋" w:hAnsi="仿宋" w:eastAsia="仿宋" w:cs="仿宋"/>
          <w:color w:val="auto"/>
          <w:sz w:val="24"/>
          <w:szCs w:val="24"/>
          <w:highlight w:val="none"/>
          <w:shd w:val="clear" w:color="auto" w:fill="ffffff"/>
        </w:rPr>
        <w:t xml:space="preserve">年1月1日（</w:t>
      </w:r>
      <w:r>
        <w:rPr>
          <w:rFonts w:hint="eastAsia" w:ascii="仿宋" w:hAnsi="仿宋" w:eastAsia="仿宋" w:cs="仿宋"/>
          <w:color w:val="auto"/>
          <w:sz w:val="24"/>
          <w:szCs w:val="24"/>
          <w:highlight w:val="none"/>
          <w:shd w:val="clear" w:color="auto" w:fill="ffffff"/>
          <w:lang w:val="en-US" w:eastAsia="zh-CN"/>
        </w:rPr>
        <w:t xml:space="preserve">以</w:t>
      </w:r>
      <w:r>
        <w:rPr>
          <w:rFonts w:hint="eastAsia" w:ascii="仿宋" w:hAnsi="仿宋" w:eastAsia="仿宋" w:cs="仿宋"/>
          <w:color w:val="auto"/>
          <w:sz w:val="24"/>
          <w:szCs w:val="24"/>
          <w:highlight w:val="none"/>
          <w:shd w:val="clear" w:color="auto" w:fill="ffffff"/>
        </w:rPr>
        <w:t xml:space="preserve">合同签署时间</w:t>
      </w:r>
      <w:r>
        <w:rPr>
          <w:rFonts w:hint="eastAsia" w:ascii="仿宋" w:hAnsi="仿宋" w:eastAsia="仿宋" w:cs="仿宋"/>
          <w:color w:val="auto"/>
          <w:sz w:val="24"/>
          <w:szCs w:val="24"/>
          <w:highlight w:val="none"/>
          <w:shd w:val="clear" w:color="auto" w:fill="ffffff"/>
          <w:lang w:val="en-US" w:eastAsia="zh-CN"/>
        </w:rPr>
        <w:t xml:space="preserve">为准</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color w:val="auto"/>
          <w:sz w:val="24"/>
          <w:szCs w:val="24"/>
          <w:highlight w:val="none"/>
          <w:shd w:val="clear" w:color="auto" w:fill="ffffff"/>
          <w:lang w:val="en-US" w:eastAsia="zh-CN"/>
        </w:rPr>
        <w:t xml:space="preserve">以来</w:t>
      </w:r>
      <w:r>
        <w:rPr>
          <w:rFonts w:hint="eastAsia" w:ascii="仿宋" w:hAnsi="仿宋" w:eastAsia="仿宋" w:cs="仿宋"/>
          <w:color w:val="auto"/>
          <w:sz w:val="24"/>
          <w:szCs w:val="24"/>
          <w:highlight w:val="none"/>
          <w:shd w:val="clear" w:color="auto" w:fill="ffffff"/>
        </w:rPr>
        <w:t xml:space="preserve">承担的类似业绩</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交通设施建设或维护</w:t>
      </w:r>
      <w:r>
        <w:rPr>
          <w:rFonts w:hint="eastAsia" w:ascii="仿宋" w:hAnsi="仿宋" w:eastAsia="仿宋" w:cs="仿宋"/>
          <w:bCs/>
          <w:color w:val="auto"/>
          <w:sz w:val="24"/>
          <w:szCs w:val="24"/>
          <w:highlight w:val="none"/>
        </w:rPr>
        <w:t xml:space="preserve">），每有一个项目得</w:t>
      </w:r>
      <w:r>
        <w:rPr>
          <w:rFonts w:hint="eastAsia" w:ascii="仿宋" w:hAnsi="仿宋" w:eastAsia="仿宋" w:cs="仿宋"/>
          <w:bCs/>
          <w:color w:val="auto"/>
          <w:sz w:val="24"/>
          <w:szCs w:val="24"/>
          <w:highlight w:val="none"/>
          <w:lang w:val="en-US" w:eastAsia="zh-CN"/>
        </w:rPr>
        <w:t xml:space="preserve">0.5</w:t>
      </w:r>
      <w:r>
        <w:rPr>
          <w:rFonts w:hint="eastAsia" w:ascii="仿宋" w:hAnsi="仿宋" w:eastAsia="仿宋" w:cs="仿宋"/>
          <w:bCs/>
          <w:color w:val="auto"/>
          <w:sz w:val="24"/>
          <w:szCs w:val="24"/>
          <w:highlight w:val="none"/>
        </w:rPr>
        <w:t xml:space="preserve">分，最高为</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需提供合同扫描件</w:t>
      </w:r>
      <w:r>
        <w:rPr>
          <w:rFonts w:hint="eastAsia" w:ascii="仿宋" w:hAnsi="仿宋" w:eastAsia="仿宋" w:cs="仿宋"/>
          <w:bCs/>
          <w:color w:val="auto"/>
          <w:sz w:val="24"/>
          <w:szCs w:val="24"/>
          <w:highlight w:val="none"/>
          <w:lang w:val="en-US" w:eastAsia="zh-CN"/>
        </w:rPr>
        <w:t xml:space="preserve">及项目任意一期的发票</w:t>
      </w:r>
      <w:r>
        <w:rPr>
          <w:rFonts w:hint="eastAsia" w:ascii="仿宋" w:hAnsi="仿宋" w:eastAsia="仿宋" w:cs="仿宋"/>
          <w:bCs/>
          <w:color w:val="auto"/>
          <w:sz w:val="24"/>
          <w:szCs w:val="24"/>
          <w:highlight w:val="none"/>
        </w:rPr>
        <w:t xml:space="preserve">并加盖公章，资料提供不全或无法证明的不得分）</w:t>
      </w:r>
      <w:r/>
    </w:p>
    <w:p>
      <w:pPr>
        <w:pStyle w:val="879"/>
        <w:keepLines w:val="0"/>
        <w:keepNext w:val="0"/>
        <w:pageBreakBefore w:val="0"/>
        <w:widowControl w:val="off"/>
        <w:rPr>
          <w:color w:val="auto"/>
          <w:highlight w:val="none"/>
        </w:rPr>
      </w:pPr>
      <w:r>
        <w:rPr>
          <w:color w:val="auto"/>
          <w:highlight w:val="none"/>
        </w:rPr>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1、针对评分标准中评分的每一条，投标人均应提供相关证明资料并作出相应说明供评委评判，不提供相关证明资料的视为不具备该项得分的条件。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2、所有复印/扫描件字迹须复印清晰可见,复印/扫描不全或字迹不清晰的，视为未提供。</w:t>
      </w:r>
      <w:r/>
    </w:p>
    <w:p>
      <w:pPr>
        <w:pStyle w:val="1176"/>
        <w:ind w:firstLine="0"/>
        <w:keepLines w:val="0"/>
        <w:keepNext w:val="0"/>
        <w:pageBreakBefore w:val="0"/>
        <w:spacing w:line="360" w:lineRule="auto"/>
        <w:widowControl w:val="off"/>
        <w:rPr>
          <w:rFonts w:hint="eastAsia" w:ascii="仿宋" w:hAnsi="仿宋" w:eastAsia="仿宋" w:cs="仿宋"/>
          <w:color w:val="auto"/>
          <w:highlight w:val="none"/>
        </w:rPr>
      </w:pPr>
      <w:r>
        <w:rPr>
          <w:rFonts w:ascii="宋体" w:hAnsi="宋体"/>
          <w:b w:val="0"/>
          <w:color w:val="auto"/>
          <w:sz w:val="24"/>
          <w:szCs w:val="24"/>
          <w:highlight w:val="none"/>
        </w:rPr>
        <w:br w:type="page" w:clear="all"/>
      </w:r>
      <w:r>
        <w:rPr>
          <w:rFonts w:hint="eastAsia" w:ascii="仿宋" w:hAnsi="仿宋" w:eastAsia="仿宋" w:cs="仿宋"/>
          <w:color w:val="auto"/>
          <w:highlight w:val="none"/>
        </w:rPr>
        <w:t xml:space="preserve">第六部分 </w:t>
      </w:r>
      <w:r>
        <w:rPr>
          <w:rFonts w:hint="eastAsia" w:ascii="仿宋" w:hAnsi="仿宋" w:eastAsia="仿宋" w:cs="仿宋"/>
          <w:bCs/>
          <w:color w:val="auto"/>
          <w:highlight w:val="none"/>
        </w:rPr>
        <w:t xml:space="preserve">合同主要条款</w:t>
      </w:r>
      <w:bookmarkEnd w:id="15"/>
      <w:r/>
      <w:bookmarkEnd w:id="16"/>
      <w:r/>
      <w:bookmarkEnd w:id="17"/>
      <w:r/>
      <w:bookmarkEnd w:id="18"/>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甲方：太仓市浮桥镇人民政府</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联系人：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电话：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乙方：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联系人：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电话：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根据政府采购编号</w:t>
      </w:r>
      <w:r>
        <w:rPr>
          <w:rFonts w:hint="eastAsia" w:ascii="仿宋" w:hAnsi="仿宋" w:eastAsia="仿宋" w:cs="仿宋"/>
          <w:color w:val="auto"/>
          <w:sz w:val="24"/>
          <w:szCs w:val="24"/>
          <w:highlight w:val="none"/>
          <w:u w:val="single"/>
          <w:lang w:val="zh-CN"/>
        </w:rPr>
        <w:t xml:space="preserve">（采购编号）</w:t>
      </w:r>
      <w:r>
        <w:rPr>
          <w:rFonts w:hint="eastAsia" w:ascii="仿宋" w:hAnsi="仿宋" w:eastAsia="仿宋" w:cs="仿宋"/>
          <w:color w:val="auto"/>
          <w:sz w:val="24"/>
          <w:szCs w:val="24"/>
          <w:highlight w:val="none"/>
          <w:lang w:val="zh-CN"/>
        </w:rPr>
        <w:t xml:space="preserve">号招标文件及该文件的投标文件和中标通知书，甲乙双方就此次中标的</w:t>
      </w:r>
      <w:r>
        <w:rPr>
          <w:rFonts w:hint="eastAsia" w:ascii="仿宋" w:hAnsi="仿宋" w:eastAsia="仿宋" w:cs="仿宋"/>
          <w:color w:val="auto"/>
          <w:sz w:val="24"/>
          <w:szCs w:val="24"/>
          <w:highlight w:val="none"/>
          <w:u w:val="single"/>
          <w:lang w:val="zh-CN"/>
        </w:rPr>
        <w:t xml:space="preserve">（项目名称）</w:t>
      </w:r>
      <w:r>
        <w:rPr>
          <w:rFonts w:hint="eastAsia" w:ascii="仿宋" w:hAnsi="仿宋" w:eastAsia="仿宋" w:cs="仿宋"/>
          <w:color w:val="auto"/>
          <w:sz w:val="24"/>
          <w:szCs w:val="24"/>
          <w:highlight w:val="none"/>
          <w:lang w:val="zh-CN"/>
        </w:rPr>
        <w:t xml:space="preserve">事宜，签订本合同书。</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一、定义：以下术语有特定的含义：</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“货物”本合同所称货物是指乙方基于其已中标的投标文件而应向甲方提供的投入本项目运维的货物、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，它还应包括由乙方送交给甲方的所有的必须文件和与使用及测试有关的应进行的任何规定的服务。</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“合同价”系指根据中标的投标文件和合同规定，乙方在正确地履行合同义务后甲方应支付乙方的价款。</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“甲方”系指合同中明确规定的实际购买货物和接受服务单位。</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“乙方”系指合同中规定的提供货物和提供服务的单位。</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二、项目名称： </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项目地点：太仓</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项目主要内容</w:t>
      </w:r>
      <w:r>
        <w:rPr>
          <w:rFonts w:hint="eastAsia" w:ascii="仿宋" w:hAnsi="仿宋" w:eastAsia="仿宋" w:cs="仿宋"/>
          <w:color w:val="auto"/>
          <w:sz w:val="24"/>
          <w:szCs w:val="24"/>
          <w:highlight w:val="none"/>
          <w:lang w:val="en-US" w:eastAsia="zh-CN"/>
        </w:rPr>
        <w:t xml:space="preserve">及要求</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交通设施维护（具体详见招标文件）</w:t>
      </w:r>
      <w:r>
        <w:rPr>
          <w:rFonts w:hint="eastAsia" w:ascii="仿宋" w:hAnsi="仿宋" w:eastAsia="仿宋" w:cs="仿宋"/>
          <w:color w:val="auto"/>
          <w:sz w:val="24"/>
          <w:szCs w:val="24"/>
          <w:highlight w:val="none"/>
        </w:rPr>
        <w:t xml:space="preserve">。</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三、</w:t>
      </w:r>
      <w:r>
        <w:rPr>
          <w:rFonts w:hint="eastAsia" w:ascii="仿宋" w:hAnsi="仿宋" w:eastAsia="仿宋" w:cs="仿宋"/>
          <w:color w:val="auto"/>
          <w:sz w:val="24"/>
          <w:szCs w:val="24"/>
          <w:highlight w:val="none"/>
        </w:rPr>
        <w:t xml:space="preserve">服务内容</w:t>
      </w:r>
      <w:r>
        <w:rPr>
          <w:rFonts w:hint="eastAsia" w:ascii="仿宋" w:hAnsi="仿宋" w:eastAsia="仿宋" w:cs="仿宋"/>
          <w:color w:val="auto"/>
          <w:sz w:val="24"/>
          <w:szCs w:val="24"/>
          <w:highlight w:val="none"/>
          <w:lang w:val="zh-CN"/>
        </w:rPr>
        <w:t xml:space="preserve">、数量及价格：</w:t>
      </w:r>
      <w:r/>
    </w:p>
    <w:p>
      <w:pPr>
        <w:ind w:right="0" w:firstLine="42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见附件</w:t>
      </w:r>
      <w:r>
        <w:rPr>
          <w:rFonts w:hint="eastAsia" w:ascii="仿宋" w:hAnsi="仿宋" w:eastAsia="仿宋" w:cs="仿宋"/>
          <w:b/>
          <w:color w:val="auto"/>
          <w:sz w:val="24"/>
          <w:szCs w:val="24"/>
          <w:highlight w:val="none"/>
        </w:rPr>
        <w:t xml:space="preserve">）</w:t>
      </w:r>
      <w:r/>
    </w:p>
    <w:p>
      <w:pPr>
        <w:ind w:right="0"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本项目</w:t>
      </w:r>
      <w:r>
        <w:rPr>
          <w:rFonts w:hint="eastAsia" w:ascii="仿宋" w:hAnsi="仿宋" w:eastAsia="仿宋" w:cs="仿宋"/>
          <w:b/>
          <w:bCs/>
          <w:color w:val="auto"/>
          <w:sz w:val="24"/>
          <w:szCs w:val="24"/>
          <w:highlight w:val="none"/>
          <w:lang w:val="zh-CN"/>
        </w:rPr>
        <w:t xml:space="preserve">整体</w:t>
      </w:r>
      <w:r>
        <w:rPr>
          <w:rFonts w:hint="eastAsia" w:ascii="仿宋" w:hAnsi="仿宋" w:eastAsia="仿宋" w:cs="仿宋"/>
          <w:b/>
          <w:bCs/>
          <w:color w:val="auto"/>
          <w:sz w:val="24"/>
          <w:szCs w:val="24"/>
          <w:highlight w:val="none"/>
          <w:lang w:val="zh-CN" w:eastAsia="zh-CN"/>
        </w:rPr>
        <w:t xml:space="preserve">优惠率</w:t>
      </w:r>
      <w:r>
        <w:rPr>
          <w:rFonts w:hint="eastAsia" w:ascii="仿宋" w:hAnsi="仿宋" w:eastAsia="仿宋" w:cs="仿宋"/>
          <w:b/>
          <w:bCs/>
          <w:color w:val="auto"/>
          <w:sz w:val="24"/>
          <w:szCs w:val="24"/>
          <w:highlight w:val="none"/>
          <w:lang w:val="zh-CN"/>
        </w:rPr>
        <w:t xml:space="preserve">为</w:t>
      </w:r>
      <w:r>
        <w:rPr>
          <w:rFonts w:hint="eastAsia" w:ascii="仿宋" w:hAnsi="仿宋" w:eastAsia="仿宋" w:cs="仿宋"/>
          <w:b/>
          <w:bCs/>
          <w:color w:val="auto"/>
          <w:sz w:val="24"/>
          <w:szCs w:val="24"/>
          <w:highlight w:val="none"/>
          <w:u w:val="single"/>
          <w:lang w:val="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zh-CN"/>
        </w:rPr>
        <w:t xml:space="preserve"> </w:t>
      </w:r>
      <w:r>
        <w:rPr>
          <w:rFonts w:hint="eastAsia" w:ascii="仿宋" w:hAnsi="仿宋" w:eastAsia="仿宋" w:cs="仿宋"/>
          <w:b/>
          <w:bCs/>
          <w:color w:val="auto"/>
          <w:sz w:val="24"/>
          <w:szCs w:val="24"/>
          <w:highlight w:val="none"/>
          <w:lang w:val="zh-CN"/>
        </w:rPr>
        <w:t xml:space="preserve">%，实际结算单价按照单价限价乘以</w:t>
      </w:r>
      <w:r>
        <w:rPr>
          <w:rFonts w:hint="eastAsia" w:ascii="仿宋" w:hAnsi="仿宋" w:eastAsia="仿宋" w:cs="仿宋"/>
          <w:b/>
          <w:bCs/>
          <w:color w:val="auto"/>
          <w:sz w:val="24"/>
          <w:szCs w:val="24"/>
          <w:highlight w:val="none"/>
          <w:lang w:val="zh-CN" w:eastAsia="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zh-CN" w:eastAsia="zh-CN"/>
        </w:rPr>
        <w:t xml:space="preserve">优惠率）</w:t>
      </w:r>
      <w:r>
        <w:rPr>
          <w:rFonts w:hint="eastAsia" w:ascii="仿宋" w:hAnsi="仿宋" w:eastAsia="仿宋" w:cs="仿宋"/>
          <w:b/>
          <w:bCs/>
          <w:color w:val="auto"/>
          <w:sz w:val="24"/>
          <w:szCs w:val="24"/>
          <w:highlight w:val="none"/>
          <w:lang w:val="zh-CN"/>
        </w:rPr>
        <w:t xml:space="preserve">后进行结算，实际工程量按照甲方要求并根据审计结果确定。</w:t>
      </w:r>
      <w:r/>
    </w:p>
    <w:p>
      <w:pPr>
        <w:ind w:right="0" w:firstLine="42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本项目采购预算肆佰万元整，本项目合同履行期限为2025年  月  日起一年或累计结算金额达到肆佰万元整项目终止。</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四、</w:t>
      </w:r>
      <w:r>
        <w:rPr>
          <w:rFonts w:hint="eastAsia" w:ascii="仿宋" w:hAnsi="仿宋" w:eastAsia="仿宋" w:cs="仿宋"/>
          <w:color w:val="auto"/>
          <w:sz w:val="24"/>
          <w:szCs w:val="24"/>
          <w:highlight w:val="none"/>
        </w:rPr>
        <w:t xml:space="preserve">合同总价款：___________。</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五、合同总价范围：</w:t>
      </w:r>
      <w:r/>
    </w:p>
    <w:p>
      <w:pPr>
        <w:ind w:firstLine="420"/>
        <w:jc w:val="left"/>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本次合同金额</w:t>
      </w:r>
      <w:r>
        <w:rPr>
          <w:rFonts w:hint="eastAsia" w:ascii="仿宋" w:hAnsi="仿宋" w:eastAsia="仿宋" w:cs="仿宋"/>
          <w:color w:val="auto"/>
          <w:sz w:val="24"/>
          <w:szCs w:val="24"/>
          <w:highlight w:val="none"/>
        </w:rPr>
        <w:t xml:space="preserve">包</w:t>
      </w:r>
      <w:r>
        <w:rPr>
          <w:rFonts w:hint="eastAsia" w:ascii="仿宋" w:hAnsi="仿宋" w:eastAsia="仿宋" w:cs="仿宋"/>
          <w:color w:val="auto"/>
          <w:sz w:val="24"/>
          <w:szCs w:val="24"/>
          <w:highlight w:val="none"/>
          <w:lang w:eastAsia="zh-CN"/>
        </w:rPr>
        <w:t xml:space="preserve">括</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lang w:eastAsia="zh-CN"/>
        </w:rPr>
        <w:t xml:space="preserve">项目全部服务内容及项目所需设备及其备品、备</w:t>
      </w:r>
      <w:r>
        <w:rPr>
          <w:rFonts w:hint="eastAsia" w:ascii="仿宋" w:hAnsi="仿宋" w:eastAsia="仿宋" w:cs="仿宋"/>
          <w:color w:val="auto"/>
          <w:sz w:val="24"/>
          <w:szCs w:val="24"/>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企业利润、和政策性文件规定及合同包含的所有风险、责任、施工审图费等各项应有费用</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val="en-US" w:eastAsia="zh-CN" w:bidi="ar"/>
        </w:rPr>
        <w:t xml:space="preserve">合同金额</w:t>
      </w:r>
      <w:r>
        <w:rPr>
          <w:rFonts w:hint="eastAsia" w:ascii="仿宋" w:hAnsi="仿宋" w:eastAsia="仿宋" w:cs="仿宋"/>
          <w:color w:val="auto"/>
          <w:sz w:val="24"/>
          <w:szCs w:val="24"/>
          <w:highlight w:val="none"/>
          <w:lang w:bidi="ar"/>
        </w:rPr>
        <w:t xml:space="preserve">包含了</w:t>
      </w:r>
      <w:r>
        <w:rPr>
          <w:rFonts w:hint="eastAsia" w:ascii="仿宋" w:hAnsi="仿宋" w:eastAsia="仿宋" w:cs="仿宋"/>
          <w:color w:val="auto"/>
          <w:sz w:val="24"/>
          <w:szCs w:val="24"/>
          <w:highlight w:val="none"/>
          <w:lang w:val="en-US" w:eastAsia="zh-CN" w:bidi="ar"/>
        </w:rPr>
        <w:t xml:space="preserve">甲方</w:t>
      </w:r>
      <w:r>
        <w:rPr>
          <w:rFonts w:hint="eastAsia" w:ascii="仿宋" w:hAnsi="仿宋" w:eastAsia="仿宋" w:cs="仿宋"/>
          <w:color w:val="auto"/>
          <w:sz w:val="24"/>
          <w:szCs w:val="24"/>
          <w:highlight w:val="none"/>
          <w:lang w:bidi="ar"/>
        </w:rPr>
        <w:t xml:space="preserve">现有场地条件下，</w:t>
      </w:r>
      <w:r>
        <w:rPr>
          <w:rFonts w:hint="eastAsia" w:ascii="仿宋" w:hAnsi="仿宋" w:eastAsia="仿宋" w:cs="仿宋"/>
          <w:color w:val="auto"/>
          <w:sz w:val="24"/>
          <w:szCs w:val="24"/>
          <w:highlight w:val="none"/>
          <w:lang w:val="en-US" w:eastAsia="zh-CN" w:bidi="ar"/>
        </w:rPr>
        <w:t xml:space="preserve">乙方</w:t>
      </w:r>
      <w:r>
        <w:rPr>
          <w:rFonts w:hint="eastAsia" w:ascii="仿宋" w:hAnsi="仿宋" w:eastAsia="仿宋" w:cs="仿宋"/>
          <w:color w:val="auto"/>
          <w:sz w:val="24"/>
          <w:szCs w:val="24"/>
          <w:highlight w:val="none"/>
          <w:lang w:eastAsia="zh-CN" w:bidi="ar"/>
        </w:rPr>
        <w:t xml:space="preserve">完成本项服务全部内容，并验收合格前的所有费用。</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．甲方有权根据设计变更作相应调整，乙方应予同意，其单价按中标单价按实结算。</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六、投入本项目运维的货物、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内容：</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1．符合本合同及招标文件规定的投入本项目运维的货物、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或服务。</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2．保证投入本项目运维的货物、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使用及维修所需的全套技术资料和文件。</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3．其他投入本项目运维的货物、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等。</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七、投入本项目运维的货物、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地点：乙方交货至甲方指定地点，所发生的运输等费用及货物的损坏造成的损失由乙方承担。</w:t>
      </w:r>
      <w:r/>
    </w:p>
    <w:p>
      <w:pPr>
        <w:ind w:right="0" w:firstLine="420"/>
        <w:jc w:val="left"/>
        <w:keepLines w:val="0"/>
        <w:keepNext w:val="0"/>
        <w:pageBreakBefore w:val="0"/>
        <w:spacing w:line="360" w:lineRule="auto"/>
        <w:widowControl w:val="off"/>
        <w:tabs>
          <w:tab w:val="left" w:pos="8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lang w:val="zh-CN"/>
        </w:rPr>
        <w:t xml:space="preserve">、付款方式：</w:t>
      </w:r>
      <w:r/>
    </w:p>
    <w:p>
      <w:pPr>
        <w:ind w:right="0" w:firstLine="42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w:t>
      </w:r>
      <w:r>
        <w:rPr>
          <w:rFonts w:hint="eastAsia" w:ascii="仿宋" w:hAnsi="仿宋" w:eastAsia="仿宋" w:cs="仿宋"/>
          <w:b w:val="0"/>
          <w:bCs w:val="0"/>
          <w:color w:val="auto"/>
          <w:sz w:val="24"/>
          <w:szCs w:val="24"/>
          <w:highlight w:val="none"/>
          <w:lang w:val="en-US" w:eastAsia="zh-CN" w:bidi="ar-SA"/>
        </w:rPr>
        <w:t xml:space="preserve">合同签订生效后预付合同总价的10%，项目开工满6个月后支付至已完工作量结算价的60%，合同终止且项目验收合格后支付至合同期内所有单项工程累计工程结算价的80%，项目结算审计审定后一次性付清余款。</w:t>
      </w:r>
      <w:r/>
    </w:p>
    <w:p>
      <w:pPr>
        <w:ind w:right="0" w:firstLine="420"/>
        <w:jc w:val="left"/>
        <w:keepLines w:val="0"/>
        <w:keepNext w:val="0"/>
        <w:pageBreakBefore w:val="0"/>
        <w:spacing w:line="360" w:lineRule="auto"/>
        <w:widowControl w:val="off"/>
        <w:tabs>
          <w:tab w:val="left" w:pos="8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结算方法：中标后实施的相关项目工程需签订有关合同，但所依据的单价等内容均以本次投标承诺的内容为依据，本次标书中没有指明的，由供需双方协商签订。</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lang w:val="zh-CN"/>
        </w:rPr>
        <w:t xml:space="preserve">、储放和保护</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由乙方运至甲方指定地点，验收交货前存放及保管概由乙方负责。</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十、技术条款和承诺条款</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乙方所供投入本项目运维的货物、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须符合招标文件设计图纸和国家标准及规范要求，乙方投标文件中列明的设备及元器件品牌、生产地、制造厂商、质量保证等必须符合相关的国家标准和规范。</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val="zh-CN"/>
        </w:rPr>
        <w:t xml:space="preserve">、质量保证</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应为全新，未曾使用过之优质产品，与规定的质量、规格和性能相符，并保证该产品确系原厂制造，同时提供产品的质量保证书、技术性能说明书、有关部门的检测测试报告、质量标准认证证书等相关材料。</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val="zh-CN"/>
        </w:rPr>
        <w:t xml:space="preserve">、本合同应为完整货物及功能的提供。</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val="zh-CN"/>
        </w:rPr>
        <w:t xml:space="preserve">、保修期：</w:t>
      </w:r>
      <w:r>
        <w:rPr>
          <w:rFonts w:hint="eastAsia" w:ascii="仿宋" w:hAnsi="仿宋" w:eastAsia="仿宋" w:cs="仿宋"/>
          <w:color w:val="auto"/>
          <w:sz w:val="24"/>
          <w:szCs w:val="24"/>
          <w:highlight w:val="none"/>
          <w:lang w:val="en-US" w:eastAsia="zh-CN"/>
        </w:rPr>
        <w:t xml:space="preserve">本项目整体</w:t>
      </w:r>
      <w:r>
        <w:rPr>
          <w:rFonts w:hint="eastAsia" w:ascii="仿宋" w:hAnsi="仿宋" w:eastAsia="仿宋" w:cs="仿宋"/>
          <w:color w:val="auto"/>
          <w:sz w:val="24"/>
          <w:szCs w:val="24"/>
          <w:highlight w:val="none"/>
          <w:lang w:val="zh-CN"/>
        </w:rPr>
        <w:t xml:space="preserve">免费质量保修期自验收合格之日起不少于</w:t>
      </w:r>
      <w:r>
        <w:rPr>
          <w:rFonts w:hint="eastAsia" w:ascii="仿宋" w:hAnsi="仿宋" w:eastAsia="仿宋" w:cs="仿宋"/>
          <w:color w:val="auto"/>
          <w:sz w:val="24"/>
          <w:szCs w:val="24"/>
          <w:highlight w:val="none"/>
          <w:u w:val="single"/>
          <w:lang w:val="en-US" w:eastAsia="zh-CN"/>
        </w:rPr>
        <w:t xml:space="preserve">  3  </w:t>
      </w:r>
      <w:r>
        <w:rPr>
          <w:rFonts w:hint="eastAsia" w:ascii="仿宋" w:hAnsi="仿宋" w:eastAsia="仿宋" w:cs="仿宋"/>
          <w:color w:val="auto"/>
          <w:sz w:val="24"/>
          <w:szCs w:val="24"/>
          <w:highlight w:val="none"/>
          <w:lang w:val="zh-CN"/>
        </w:rPr>
        <w:t xml:space="preserve">年，其中杆件和基础的保修期为十年，</w:t>
      </w:r>
      <w:r>
        <w:rPr>
          <w:rFonts w:hint="eastAsia" w:ascii="仿宋" w:hAnsi="仿宋" w:eastAsia="仿宋" w:cs="仿宋"/>
          <w:color w:val="auto"/>
          <w:sz w:val="24"/>
          <w:szCs w:val="24"/>
          <w:highlight w:val="none"/>
        </w:rPr>
        <w:t xml:space="preserve">塑料、橡胶材质产品和标线产品</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年</w:t>
      </w:r>
      <w:r>
        <w:rPr>
          <w:rFonts w:hint="eastAsia" w:ascii="仿宋" w:hAnsi="仿宋" w:eastAsia="仿宋" w:cs="仿宋"/>
          <w:color w:val="auto"/>
          <w:sz w:val="24"/>
          <w:szCs w:val="24"/>
          <w:highlight w:val="none"/>
          <w:lang w:val="zh-CN"/>
        </w:rPr>
        <w:t xml:space="preserve">（人为损坏、地震等不可抗力损坏除外）。</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val="zh-CN"/>
        </w:rPr>
        <w:t xml:space="preserve">、售后服务：售后服务见</w:t>
      </w:r>
      <w:r>
        <w:rPr>
          <w:rFonts w:hint="eastAsia" w:ascii="仿宋" w:hAnsi="仿宋" w:eastAsia="仿宋" w:cs="仿宋"/>
          <w:color w:val="auto"/>
          <w:sz w:val="24"/>
          <w:szCs w:val="24"/>
          <w:highlight w:val="none"/>
          <w:lang w:val="en-US" w:eastAsia="zh-CN"/>
        </w:rPr>
        <w:t xml:space="preserve">招标文件及</w:t>
      </w:r>
      <w:r>
        <w:rPr>
          <w:rFonts w:hint="eastAsia" w:ascii="仿宋" w:hAnsi="仿宋" w:eastAsia="仿宋" w:cs="仿宋"/>
          <w:color w:val="auto"/>
          <w:sz w:val="24"/>
          <w:szCs w:val="24"/>
          <w:highlight w:val="none"/>
          <w:lang w:val="zh-CN"/>
        </w:rPr>
        <w:t xml:space="preserve">乙方投标文件中的承诺。</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val="zh-CN"/>
        </w:rPr>
        <w:t xml:space="preserve">、不可抗拒事故</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由于不可抗力的原因造成</w:t>
      </w:r>
      <w:r>
        <w:rPr>
          <w:rFonts w:hint="eastAsia" w:ascii="仿宋" w:hAnsi="仿宋" w:eastAsia="仿宋" w:cs="仿宋"/>
          <w:color w:val="auto"/>
          <w:sz w:val="24"/>
          <w:szCs w:val="24"/>
          <w:highlight w:val="none"/>
          <w:lang w:val="en-US" w:eastAsia="zh-CN"/>
        </w:rPr>
        <w:t xml:space="preserve">不能完成服务的</w:t>
      </w:r>
      <w:r>
        <w:rPr>
          <w:rFonts w:hint="eastAsia" w:ascii="仿宋" w:hAnsi="仿宋" w:eastAsia="仿宋" w:cs="仿宋"/>
          <w:color w:val="auto"/>
          <w:sz w:val="24"/>
          <w:szCs w:val="24"/>
          <w:highlight w:val="none"/>
          <w:lang w:val="zh-CN"/>
        </w:rPr>
        <w:t xml:space="preserve">，乙方将不承担责任，但乙方应立即通知甲方，不可抗力发生后15天内乙方将当地有关部门出具的事故证明书以书面形式通知甲方。在上述情况下，乙方仍应采取必要措施尽快</w:t>
      </w:r>
      <w:r>
        <w:rPr>
          <w:rFonts w:hint="eastAsia" w:ascii="仿宋" w:hAnsi="仿宋" w:eastAsia="仿宋" w:cs="仿宋"/>
          <w:color w:val="auto"/>
          <w:sz w:val="24"/>
          <w:szCs w:val="24"/>
          <w:highlight w:val="none"/>
          <w:lang w:val="en-US" w:eastAsia="zh-CN"/>
        </w:rPr>
        <w:t xml:space="preserve">完成服务</w:t>
      </w:r>
      <w:r>
        <w:rPr>
          <w:rFonts w:hint="eastAsia" w:ascii="仿宋" w:hAnsi="仿宋" w:eastAsia="仿宋" w:cs="仿宋"/>
          <w:color w:val="auto"/>
          <w:sz w:val="24"/>
          <w:szCs w:val="24"/>
          <w:highlight w:val="none"/>
          <w:lang w:val="zh-CN"/>
        </w:rPr>
        <w:t xml:space="preserve">。</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十七、违约责任</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1．除人力不可抗拒因素外，乙方不能</w:t>
      </w:r>
      <w:r>
        <w:rPr>
          <w:rFonts w:hint="eastAsia" w:ascii="仿宋" w:hAnsi="仿宋" w:eastAsia="仿宋" w:cs="仿宋"/>
          <w:color w:val="auto"/>
          <w:sz w:val="24"/>
          <w:szCs w:val="24"/>
          <w:highlight w:val="none"/>
          <w:lang w:val="en-US" w:eastAsia="zh-CN"/>
        </w:rPr>
        <w:t xml:space="preserve">按实完成服务</w:t>
      </w:r>
      <w:r>
        <w:rPr>
          <w:rFonts w:hint="eastAsia" w:ascii="仿宋" w:hAnsi="仿宋" w:eastAsia="仿宋" w:cs="仿宋"/>
          <w:color w:val="auto"/>
          <w:sz w:val="24"/>
          <w:szCs w:val="24"/>
          <w:highlight w:val="none"/>
          <w:lang w:val="zh-CN"/>
        </w:rPr>
        <w:t xml:space="preserve">，或</w:t>
      </w:r>
      <w:r>
        <w:rPr>
          <w:rFonts w:hint="eastAsia" w:ascii="仿宋" w:hAnsi="仿宋" w:eastAsia="仿宋" w:cs="仿宋"/>
          <w:color w:val="auto"/>
          <w:sz w:val="24"/>
          <w:szCs w:val="24"/>
          <w:highlight w:val="none"/>
          <w:lang w:val="en-US" w:eastAsia="zh-CN"/>
        </w:rPr>
        <w:t xml:space="preserve">在服务过程中</w:t>
      </w:r>
      <w:r>
        <w:rPr>
          <w:rFonts w:hint="eastAsia" w:ascii="仿宋" w:hAnsi="仿宋" w:eastAsia="仿宋" w:cs="仿宋"/>
          <w:color w:val="auto"/>
          <w:sz w:val="24"/>
          <w:szCs w:val="24"/>
          <w:highlight w:val="none"/>
          <w:lang w:val="zh-CN"/>
        </w:rPr>
        <w:t xml:space="preserve">因运输及安装中货物缺损需要更换而影响实际交付使用时，乙方必须向甲方支付延期交货或延期交付使用的违约金，具体标准按合同总价每日0.1%计算。</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.相关罚则</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（1）乙方</w:t>
      </w:r>
      <w:r>
        <w:rPr>
          <w:rFonts w:hint="eastAsia" w:ascii="仿宋" w:hAnsi="仿宋" w:eastAsia="仿宋" w:cs="仿宋"/>
          <w:b w:val="0"/>
          <w:bCs w:val="0"/>
          <w:color w:val="auto"/>
          <w:sz w:val="24"/>
          <w:szCs w:val="24"/>
          <w:highlight w:val="none"/>
        </w:rPr>
        <w:t xml:space="preserve">接到通知或者巡检中发现故障应在30分钟内响应，</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小时内到达现场（恶劣天气等特殊情况下主动与</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报备），到达现场后在</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小时内解决故障。对于因停电、特殊情况下无法</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小时内完成的修复的，</w:t>
      </w:r>
      <w:r>
        <w:rPr>
          <w:rFonts w:hint="eastAsia" w:ascii="仿宋" w:hAnsi="仿宋" w:eastAsia="仿宋" w:cs="仿宋"/>
          <w:b w:val="0"/>
          <w:bCs w:val="0"/>
          <w:color w:val="auto"/>
          <w:sz w:val="24"/>
          <w:szCs w:val="24"/>
          <w:highlight w:val="none"/>
          <w:lang w:val="en-US" w:eastAsia="zh-CN"/>
        </w:rPr>
        <w:t xml:space="preserve">应</w:t>
      </w:r>
      <w:r>
        <w:rPr>
          <w:rFonts w:hint="eastAsia" w:ascii="仿宋" w:hAnsi="仿宋" w:eastAsia="仿宋" w:cs="仿宋"/>
          <w:b w:val="0"/>
          <w:bCs w:val="0"/>
          <w:color w:val="auto"/>
          <w:sz w:val="24"/>
          <w:szCs w:val="24"/>
          <w:highlight w:val="none"/>
        </w:rPr>
        <w:t xml:space="preserve">与</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报备，并根据</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要求时间节点尽快解决故障问题。</w:t>
      </w:r>
      <w:r>
        <w:rPr>
          <w:rFonts w:hint="eastAsia" w:ascii="仿宋" w:hAnsi="仿宋" w:eastAsia="仿宋" w:cs="仿宋"/>
          <w:b w:val="0"/>
          <w:bCs w:val="0"/>
          <w:color w:val="auto"/>
          <w:sz w:val="24"/>
          <w:szCs w:val="24"/>
          <w:highlight w:val="none"/>
          <w:lang w:val="en-US" w:eastAsia="zh-CN"/>
        </w:rPr>
        <w:t xml:space="preserve">乙方未按上述时间节点要求完成服务</w:t>
      </w:r>
      <w:r>
        <w:rPr>
          <w:rFonts w:hint="eastAsia" w:ascii="仿宋" w:hAnsi="仿宋" w:eastAsia="仿宋" w:cs="仿宋"/>
          <w:color w:val="auto"/>
          <w:sz w:val="24"/>
          <w:szCs w:val="24"/>
          <w:highlight w:val="none"/>
          <w:lang w:val="zh-CN"/>
        </w:rPr>
        <w:t xml:space="preserve">导致隐患一直存在的（因客观原因造成的，并经</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val="zh-CN"/>
        </w:rPr>
        <w:t xml:space="preserve">认可的除外）每次扣罚1000元，因维护不及时引发道路交通事故或其他人身及财产损失，由乙方承担全部责任。</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（2）乙方接到维护任务后，忘记维护或不去维护的（接到维护指令后24小时内未到现场开展有效工作的），每次扣罚5000元，因维护不及时引发道路交通事故或其他人身及财产损失，由乙方承担全部责任。</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（3）乙方违反规定在早晚高峰期间进行施工作业（除抢修项目外），影响道路交通正常通行或造成交通拥堵的，每次扣罚200元。经交通执勤人员劝阻后，不服指挥继续施工作业的，每次扣罚500元；</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（4）乙方不按实际维修情况，虚报、谎报维修清单及工程量的，经查实，每次扣罚10000元；</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（5）乙方违反操作规程，导致人为增加实际工程量的，增加的工程量由维护服务商自行承担费用外每次扣罚1000元；</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 除上述情况外，乙方违反招标文件中的其他规定的，每发现一次，扣罚500元，不设上限；</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（7）多次违反上述规定的，且乙方整改不力的，</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lang w:val="zh-CN"/>
        </w:rPr>
        <w:t xml:space="preserve">有权要求维护服务终止合同。</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以上扣罚费用在工程结算款中直接扣除。</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十八、索赔：</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如在投入本项目运维的货物、</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zh-CN"/>
        </w:rPr>
        <w:t xml:space="preserve">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索赔方式除上述规定之外，甲方还有权选择以下方式进行索赔：</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2．根据货物损坏程度以及甲方遭受损失的数额，经甲乙双方商定降低货物的价格。</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十九</w:t>
      </w:r>
      <w:r>
        <w:rPr>
          <w:rFonts w:hint="eastAsia" w:ascii="仿宋" w:hAnsi="仿宋" w:eastAsia="仿宋" w:cs="仿宋"/>
          <w:color w:val="auto"/>
          <w:sz w:val="24"/>
          <w:szCs w:val="24"/>
          <w:highlight w:val="none"/>
          <w:lang w:val="zh-CN"/>
        </w:rPr>
        <w:t xml:space="preserve">、特别条款</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1．双方签约人为各自法定代表人或被授权代表。</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2．本合同系指本文件及其附件中的所有部分；其中招标文件、中标的投标文件、中标单位在招标过程中的澄清、承诺等为本合同不可缺少的必要组成部分。</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3．本合同一式</w:t>
      </w:r>
      <w:r>
        <w:rPr>
          <w:rFonts w:hint="eastAsia" w:ascii="仿宋" w:hAnsi="仿宋" w:eastAsia="仿宋" w:cs="仿宋"/>
          <w:color w:val="auto"/>
          <w:sz w:val="24"/>
          <w:szCs w:val="24"/>
          <w:highlight w:val="none"/>
          <w:lang w:val="en-US" w:eastAsia="zh-CN"/>
        </w:rPr>
        <w:t xml:space="preserve">伍</w:t>
      </w:r>
      <w:r>
        <w:rPr>
          <w:rFonts w:hint="eastAsia" w:ascii="仿宋" w:hAnsi="仿宋" w:eastAsia="仿宋" w:cs="仿宋"/>
          <w:color w:val="auto"/>
          <w:sz w:val="24"/>
          <w:szCs w:val="24"/>
          <w:highlight w:val="none"/>
          <w:lang w:val="zh-CN"/>
        </w:rPr>
        <w:t xml:space="preserve">份，甲、乙双方各执</w:t>
      </w:r>
      <w:r>
        <w:rPr>
          <w:rFonts w:hint="eastAsia" w:ascii="仿宋" w:hAnsi="仿宋" w:eastAsia="仿宋" w:cs="仿宋"/>
          <w:color w:val="auto"/>
          <w:sz w:val="24"/>
          <w:szCs w:val="24"/>
          <w:highlight w:val="none"/>
        </w:rPr>
        <w:t xml:space="preserve">贰</w:t>
      </w:r>
      <w:r>
        <w:rPr>
          <w:rFonts w:hint="eastAsia" w:ascii="仿宋" w:hAnsi="仿宋" w:eastAsia="仿宋" w:cs="仿宋"/>
          <w:color w:val="auto"/>
          <w:sz w:val="24"/>
          <w:szCs w:val="24"/>
          <w:highlight w:val="none"/>
          <w:lang w:val="zh-CN"/>
        </w:rPr>
        <w:t xml:space="preserve">份，招标代理壹份，各份具有同等法律效力。</w:t>
      </w:r>
      <w:r/>
    </w:p>
    <w:p>
      <w:pPr>
        <w:ind w:right="0"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二十二、其他</w:t>
      </w:r>
      <w:r/>
    </w:p>
    <w:p>
      <w:pPr>
        <w:ind w:right="0" w:firstLine="420"/>
        <w:jc w:val="left"/>
        <w:keepLines w:val="0"/>
        <w:keepNext w:val="0"/>
        <w:pageBreakBefore w:val="0"/>
        <w:spacing w:line="360" w:lineRule="auto"/>
        <w:widowControl w:val="off"/>
        <w:tabs>
          <w:tab w:val="left" w:pos="0" w:leader="none"/>
          <w:tab w:val="left" w:pos="96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1．合同由甲乙双方盖章签字，</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加盖备案章</w:t>
      </w:r>
      <w:r>
        <w:rPr>
          <w:rFonts w:hint="eastAsia" w:ascii="仿宋" w:hAnsi="仿宋" w:eastAsia="仿宋" w:cs="仿宋"/>
          <w:color w:val="auto"/>
          <w:sz w:val="24"/>
          <w:szCs w:val="24"/>
          <w:highlight w:val="none"/>
        </w:rPr>
        <w:t xml:space="preserve">后生效</w:t>
      </w:r>
      <w:r>
        <w:rPr>
          <w:rFonts w:hint="eastAsia" w:ascii="仿宋" w:hAnsi="仿宋" w:eastAsia="仿宋" w:cs="仿宋"/>
          <w:color w:val="auto"/>
          <w:sz w:val="24"/>
          <w:szCs w:val="24"/>
          <w:highlight w:val="none"/>
          <w:lang w:val="zh-CN"/>
        </w:rPr>
        <w:t xml:space="preserve">。</w:t>
      </w:r>
      <w:r/>
    </w:p>
    <w:p>
      <w:pPr>
        <w:ind w:right="0" w:firstLine="420"/>
        <w:jc w:val="left"/>
        <w:keepLines w:val="0"/>
        <w:keepNext w:val="0"/>
        <w:pageBreakBefore w:val="0"/>
        <w:spacing w:line="360" w:lineRule="auto"/>
        <w:widowControl w:val="off"/>
        <w:tabs>
          <w:tab w:val="left" w:pos="0" w:leader="none"/>
          <w:tab w:val="left" w:pos="96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2．本合同未尽事宜，签约双方应友好协商解决。协商不成，任何一方均可向甲方所在人民法院提起诉讼。</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0" w:firstLine="500"/>
        <w:jc w:val="both"/>
        <w:keepLines w:val="0"/>
        <w:keepNext w:val="0"/>
        <w:pageBreakBefore w:val="0"/>
        <w:spacing w:line="360" w:lineRule="auto"/>
        <w:widowControl w:val="off"/>
        <w:rPr>
          <w:rFonts w:hint="eastAsia" w:ascii="宋体" w:hAnsi="宋体" w:eastAsia="宋体" w:cs="宋体"/>
          <w:color w:val="auto"/>
          <w:spacing w:val="20"/>
          <w:sz w:val="21"/>
          <w:szCs w:val="21"/>
          <w:highlight w:val="none"/>
          <w:lang w:val="en-US" w:eastAsia="zh-CN" w:bidi="ar-SA"/>
        </w:rPr>
      </w:pPr>
      <w:r>
        <w:rPr>
          <w:rFonts w:hint="eastAsia" w:ascii="宋体" w:hAnsi="宋体" w:eastAsia="宋体" w:cs="宋体"/>
          <w:color w:val="auto"/>
          <w:spacing w:val="20"/>
          <w:sz w:val="21"/>
          <w:szCs w:val="21"/>
          <w:highlight w:val="none"/>
          <w:lang w:val="en-US" w:eastAsia="zh-CN" w:bidi="ar-SA"/>
        </w:rPr>
      </w:r>
      <w:r/>
    </w:p>
    <w:p>
      <w:pPr>
        <w:ind w:firstLine="480"/>
        <w:jc w:val="both"/>
        <w:keepLines w:val="0"/>
        <w:keepNext w:val="0"/>
        <w:pageBreakBefore w:val="0"/>
        <w:spacing w:line="480" w:lineRule="auto"/>
        <w:widowControl w:val="off"/>
        <w:rPr>
          <w:rFonts w:hint="eastAsia" w:ascii="仿宋" w:hAnsi="仿宋" w:eastAsia="仿宋" w:cs="仿宋"/>
          <w:color w:val="auto"/>
          <w:sz w:val="24"/>
          <w:szCs w:val="24"/>
          <w:highlight w:val="none"/>
          <w:lang w:val="zh-CN" w:eastAsia="zh-TW" w:bidi="ar-SA"/>
        </w:rPr>
      </w:pPr>
      <w:r>
        <w:rPr>
          <w:rFonts w:hint="eastAsia" w:ascii="仿宋" w:hAnsi="仿宋" w:eastAsia="仿宋" w:cs="仿宋"/>
          <w:color w:val="auto"/>
          <w:sz w:val="24"/>
          <w:szCs w:val="24"/>
          <w:highlight w:val="none"/>
          <w:lang w:val="zh-CN" w:eastAsia="zh-TW" w:bidi="ar-SA"/>
        </w:rPr>
        <w:t xml:space="preserve">甲方（采购人）：（盖章）         </w:t>
      </w:r>
      <w:r>
        <w:rPr>
          <w:rFonts w:hint="eastAsia" w:ascii="仿宋" w:hAnsi="仿宋" w:eastAsia="仿宋" w:cs="仿宋"/>
          <w:color w:val="auto"/>
          <w:sz w:val="24"/>
          <w:szCs w:val="24"/>
          <w:highlight w:val="none"/>
          <w:lang w:val="zh-CN" w:eastAsia="zh-TW" w:bidi="ar-SA"/>
        </w:rPr>
        <w:tab/>
      </w:r>
      <w:r>
        <w:rPr>
          <w:rFonts w:hint="eastAsia" w:ascii="仿宋" w:hAnsi="仿宋" w:eastAsia="仿宋" w:cs="仿宋"/>
          <w:color w:val="auto"/>
          <w:sz w:val="24"/>
          <w:szCs w:val="24"/>
          <w:highlight w:val="none"/>
          <w:lang w:val="zh-CN" w:eastAsia="zh-TW" w:bidi="ar-SA"/>
        </w:rPr>
        <w:t xml:space="preserve">乙方（供应商）：（盖章）</w:t>
      </w:r>
      <w:r/>
    </w:p>
    <w:p>
      <w:pPr>
        <w:ind w:firstLine="480"/>
        <w:jc w:val="both"/>
        <w:keepLines w:val="0"/>
        <w:keepNext w:val="0"/>
        <w:pageBreakBefore w:val="0"/>
        <w:spacing w:line="480" w:lineRule="auto"/>
        <w:widowControl w:val="off"/>
        <w:rPr>
          <w:rFonts w:hint="eastAsia" w:ascii="仿宋" w:hAnsi="仿宋" w:eastAsia="仿宋" w:cs="仿宋"/>
          <w:color w:val="auto"/>
          <w:sz w:val="24"/>
          <w:szCs w:val="24"/>
          <w:highlight w:val="none"/>
          <w:lang w:val="zh-CN" w:eastAsia="zh-TW" w:bidi="ar-SA"/>
        </w:rPr>
      </w:pPr>
      <w:r>
        <w:rPr>
          <w:rFonts w:hint="eastAsia" w:ascii="仿宋" w:hAnsi="仿宋" w:eastAsia="仿宋" w:cs="仿宋"/>
          <w:color w:val="auto"/>
          <w:sz w:val="24"/>
          <w:szCs w:val="24"/>
          <w:highlight w:val="none"/>
          <w:lang w:val="zh-CN" w:eastAsia="zh-TW" w:bidi="ar-SA"/>
        </w:rPr>
        <w:t xml:space="preserve">代表人：</w:t>
      </w:r>
      <w:r>
        <w:rPr>
          <w:rFonts w:hint="eastAsia" w:ascii="仿宋" w:hAnsi="仿宋" w:eastAsia="仿宋" w:cs="仿宋"/>
          <w:color w:val="auto"/>
          <w:sz w:val="24"/>
          <w:szCs w:val="24"/>
          <w:highlight w:val="none"/>
          <w:lang w:val="zh-CN" w:eastAsia="zh-TW" w:bidi="ar-SA"/>
        </w:rPr>
        <w:tab/>
      </w:r>
      <w:r>
        <w:rPr>
          <w:rFonts w:hint="eastAsia" w:ascii="仿宋" w:hAnsi="仿宋" w:eastAsia="仿宋" w:cs="仿宋"/>
          <w:color w:val="auto"/>
          <w:sz w:val="24"/>
          <w:szCs w:val="24"/>
          <w:highlight w:val="none"/>
          <w:lang w:val="zh-CN" w:eastAsia="zh-TW" w:bidi="ar-SA"/>
        </w:rPr>
        <w:t xml:space="preserve">                         代表人：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TW" w:bidi="ar-SA"/>
        </w:rPr>
      </w:pPr>
      <w:r>
        <w:rPr>
          <w:rFonts w:hint="eastAsia" w:ascii="仿宋" w:hAnsi="仿宋" w:eastAsia="仿宋" w:cs="仿宋"/>
          <w:color w:val="auto"/>
          <w:sz w:val="24"/>
          <w:szCs w:val="24"/>
          <w:highlight w:val="none"/>
          <w:lang w:val="zh-CN" w:eastAsia="zh-TW" w:bidi="ar-SA"/>
        </w:rPr>
        <w:t xml:space="preserve">日期： 年 月 日                    日期：  年  月  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TW" w:bidi="ar-SA"/>
        </w:rPr>
      </w:pPr>
      <w:r>
        <w:rPr>
          <w:rFonts w:hint="eastAsia" w:ascii="仿宋" w:hAnsi="仿宋" w:eastAsia="仿宋" w:cs="仿宋"/>
          <w:color w:val="auto"/>
          <w:sz w:val="24"/>
          <w:szCs w:val="24"/>
          <w:highlight w:val="none"/>
          <w:lang w:val="zh-CN" w:eastAsia="zh-TW" w:bidi="ar-SA"/>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TW" w:bidi="ar-SA"/>
        </w:rPr>
      </w:pPr>
      <w:r>
        <w:rPr>
          <w:rFonts w:hint="eastAsia" w:ascii="仿宋" w:hAnsi="仿宋" w:eastAsia="仿宋" w:cs="仿宋"/>
          <w:color w:val="auto"/>
          <w:sz w:val="24"/>
          <w:szCs w:val="24"/>
          <w:highlight w:val="none"/>
          <w:lang w:val="zh-CN" w:eastAsia="zh-TW" w:bidi="ar-SA"/>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备案方：</w:t>
      </w:r>
      <w:r/>
    </w:p>
    <w:p>
      <w:pPr>
        <w:ind w:firstLine="7228"/>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   （全文完）</w:t>
      </w:r>
      <w:r/>
    </w:p>
    <w:sectPr>
      <w:footerReference w:type="default" r:id="rId13"/>
      <w:footerReference w:type="first" r:id="rId14"/>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Pr>
        <w:rFonts w:hint="eastAsia"/>
      </w:rPr>
      <w:t xml:space="preserve">第</w:t>
    </w:r>
    <w:r>
      <w:fldChar w:fldCharType="begin"/>
    </w:r>
    <w:r>
      <w:instrText xml:space="preserve"> PAGE </w:instrText>
    </w:r>
    <w:r>
      <w:fldChar w:fldCharType="separate"/>
    </w:r>
    <w:r>
      <w:t xml:space="preserve">57</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50</w:instrText>
    </w:r>
    <w:r>
      <w:fldChar w:fldCharType="end"/>
    </w:r>
    <w:r>
      <w:rPr>
        <w:rFonts w:hint="eastAsia"/>
      </w:rPr>
      <w:instrText xml:space="preserve">-</w:instrText>
    </w:r>
    <w:r>
      <w:instrText xml:space="preserve">1 </w:instrText>
    </w:r>
    <w:r>
      <w:fldChar w:fldCharType="separate"/>
    </w:r>
    <w:r>
      <w:t xml:space="preserve">49</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7"/>
      </w:rPr>
      <w:framePr w:wrap="around" w:vAnchor="text" w:hAnchor="margin" w:xAlign="right" w:y="1"/>
    </w:pPr>
    <w:r>
      <w:fldChar w:fldCharType="begin"/>
    </w:r>
    <w:r>
      <w:rPr>
        <w:rStyle w:val="847"/>
      </w:rPr>
      <w:instrText xml:space="preserve">PAGE  </w:instrText>
    </w:r>
    <w:r>
      <w:fldChar w:fldCharType="separate"/>
    </w:r>
    <w:r>
      <w:rPr>
        <w:rStyle w:val="847"/>
      </w:rPr>
      <w:t xml:space="preserve">16</w:t>
    </w:r>
    <w:r>
      <w:fldChar w:fldCharType="end"/>
    </w:r>
    <w:r/>
  </w:p>
  <w:p>
    <w:pPr>
      <w:pStyle w:val="81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2616200</wp:posOffset>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t xml:space="preserve">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37</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argin-left:206.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t xml:space="preserve">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37</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02"/>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uiPriority w:val="0"/>
    <w:qFormat/>
    <w:pPr>
      <w:jc w:val="both"/>
      <w:widowControl w:val="off"/>
    </w:pPr>
    <w:rPr>
      <w:rFonts w:hint="default" w:ascii="Times New Roman" w:hAnsi="Times New Roman" w:eastAsia="宋体" w:cs="Times New Roman"/>
      <w:sz w:val="21"/>
      <w:lang w:val="en-US" w:eastAsia="zh-CN" w:bidi="ar-SA"/>
    </w:rPr>
  </w:style>
  <w:style w:type="paragraph" w:styleId="779">
    <w:name w:val="Heading 1"/>
    <w:basedOn w:val="778"/>
    <w:next w:val="778"/>
    <w:link w:val="1059"/>
    <w:uiPriority w:val="0"/>
    <w:qFormat/>
    <w:pPr>
      <w:jc w:val="center"/>
      <w:keepNext/>
      <w:tabs>
        <w:tab w:val="left" w:pos="200" w:leader="none"/>
      </w:tabs>
      <w:outlineLvl w:val="0"/>
    </w:pPr>
    <w:rPr>
      <w:rFonts w:ascii="宋体" w:hAnsi="宋体"/>
      <w:b/>
      <w:sz w:val="36"/>
    </w:rPr>
  </w:style>
  <w:style w:type="paragraph" w:styleId="780">
    <w:name w:val="Heading 2"/>
    <w:basedOn w:val="779"/>
    <w:next w:val="778"/>
    <w:link w:val="1111"/>
    <w:uiPriority w:val="0"/>
    <w:qFormat/>
    <w:pPr>
      <w:jc w:val="center"/>
      <w:keepNext/>
      <w:outlineLvl w:val="1"/>
    </w:pPr>
    <w:rPr>
      <w:rFonts w:ascii="宋体" w:hAnsi="宋体"/>
      <w:bCs/>
      <w:sz w:val="28"/>
      <w:szCs w:val="28"/>
    </w:rPr>
  </w:style>
  <w:style w:type="paragraph" w:styleId="781">
    <w:name w:val="Heading 3"/>
    <w:basedOn w:val="778"/>
    <w:next w:val="778"/>
    <w:link w:val="1104"/>
    <w:uiPriority w:val="0"/>
    <w:qFormat/>
    <w:pPr>
      <w:jc w:val="center"/>
      <w:keepNext/>
      <w:outlineLvl w:val="2"/>
    </w:pPr>
    <w:rPr>
      <w:rFonts w:ascii="宋体" w:hAnsi="宋体"/>
      <w:sz w:val="28"/>
    </w:rPr>
  </w:style>
  <w:style w:type="paragraph" w:styleId="782">
    <w:name w:val="Heading 4"/>
    <w:basedOn w:val="778"/>
    <w:next w:val="778"/>
    <w:link w:val="1091"/>
    <w:uiPriority w:val="0"/>
    <w:qFormat/>
    <w:pPr>
      <w:keepNext/>
      <w:outlineLvl w:val="3"/>
    </w:pPr>
    <w:rPr>
      <w:b/>
      <w:bCs/>
      <w:sz w:val="18"/>
    </w:rPr>
  </w:style>
  <w:style w:type="paragraph" w:styleId="783">
    <w:name w:val="Heading 5"/>
    <w:basedOn w:val="778"/>
    <w:next w:val="778"/>
    <w:link w:val="1106"/>
    <w:uiPriority w:val="0"/>
    <w:qFormat/>
    <w:pPr>
      <w:jc w:val="center"/>
      <w:keepNext/>
      <w:outlineLvl w:val="4"/>
    </w:pPr>
    <w:rPr>
      <w:b/>
      <w:bCs/>
      <w:sz w:val="18"/>
    </w:rPr>
  </w:style>
  <w:style w:type="paragraph" w:styleId="784">
    <w:name w:val="Heading 6"/>
    <w:basedOn w:val="778"/>
    <w:next w:val="778"/>
    <w:link w:val="1089"/>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85">
    <w:name w:val="Heading 7"/>
    <w:basedOn w:val="778"/>
    <w:next w:val="778"/>
    <w:link w:val="1053"/>
    <w:uiPriority w:val="0"/>
    <w:qFormat/>
    <w:pPr>
      <w:keepNext/>
      <w:outlineLvl w:val="6"/>
    </w:pPr>
    <w:rPr>
      <w:rFonts w:ascii="Arial" w:hAnsi="Arial"/>
      <w:b/>
      <w:bCs/>
      <w:sz w:val="16"/>
      <w:szCs w:val="16"/>
    </w:rPr>
  </w:style>
  <w:style w:type="paragraph" w:styleId="786">
    <w:name w:val="Heading 8"/>
    <w:basedOn w:val="778"/>
    <w:next w:val="778"/>
    <w:link w:val="1086"/>
    <w:uiPriority w:val="0"/>
    <w:qFormat/>
    <w:pPr>
      <w:keepNext/>
      <w:outlineLvl w:val="7"/>
    </w:pPr>
    <w:rPr>
      <w:b/>
      <w:bCs/>
      <w:sz w:val="24"/>
      <w:szCs w:val="24"/>
    </w:rPr>
  </w:style>
  <w:style w:type="paragraph" w:styleId="787">
    <w:name w:val="Heading 9"/>
    <w:basedOn w:val="778"/>
    <w:next w:val="778"/>
    <w:link w:val="1045"/>
    <w:uiPriority w:val="0"/>
    <w:qFormat/>
    <w:pPr>
      <w:jc w:val="center"/>
      <w:keepNext/>
      <w:outlineLvl w:val="8"/>
    </w:pPr>
    <w:rPr>
      <w:b/>
      <w:bCs/>
      <w:szCs w:val="24"/>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Document Map"/>
    <w:basedOn w:val="778"/>
    <w:link w:val="1112"/>
    <w:uiPriority w:val="0"/>
    <w:qFormat/>
    <w:pPr>
      <w:shd w:val="clear" w:color="auto" w:fill="000080"/>
    </w:pPr>
  </w:style>
  <w:style w:type="paragraph" w:styleId="791">
    <w:name w:val="List 3"/>
    <w:basedOn w:val="778"/>
    <w:uiPriority w:val="0"/>
    <w:qFormat/>
    <w:pPr>
      <w:ind w:left="100" w:hanging="200"/>
    </w:pPr>
    <w:rPr>
      <w:rFonts w:eastAsia="楷体_GB2312"/>
      <w:sz w:val="26"/>
    </w:rPr>
  </w:style>
  <w:style w:type="paragraph" w:styleId="792">
    <w:name w:val="toc 7"/>
    <w:basedOn w:val="778"/>
    <w:next w:val="778"/>
    <w:uiPriority w:val="39"/>
    <w:qFormat/>
    <w:pPr>
      <w:ind w:left="1260"/>
      <w:jc w:val="left"/>
    </w:pPr>
    <w:rPr>
      <w:szCs w:val="21"/>
    </w:rPr>
  </w:style>
  <w:style w:type="paragraph" w:styleId="793">
    <w:name w:val="List Number 2"/>
    <w:basedOn w:val="778"/>
    <w:uiPriority w:val="0"/>
    <w:qFormat/>
    <w:pPr>
      <w:spacing w:line="312" w:lineRule="atLeast"/>
    </w:pPr>
    <w:rPr>
      <w:sz w:val="20"/>
    </w:rPr>
  </w:style>
  <w:style w:type="paragraph" w:styleId="794">
    <w:name w:val="Note Heading"/>
    <w:basedOn w:val="778"/>
    <w:next w:val="778"/>
    <w:link w:val="1047"/>
    <w:uiPriority w:val="0"/>
    <w:qFormat/>
    <w:pPr>
      <w:jc w:val="center"/>
      <w:spacing w:line="360" w:lineRule="auto"/>
    </w:pPr>
    <w:rPr>
      <w:sz w:val="24"/>
      <w:szCs w:val="24"/>
    </w:rPr>
  </w:style>
  <w:style w:type="paragraph" w:styleId="795">
    <w:name w:val="index 8"/>
    <w:basedOn w:val="778"/>
    <w:next w:val="778"/>
    <w:uiPriority w:val="0"/>
    <w:semiHidden/>
    <w:qFormat/>
    <w:pPr>
      <w:ind w:left="1400"/>
    </w:pPr>
  </w:style>
  <w:style w:type="paragraph" w:styleId="796">
    <w:name w:val="Normal Indent"/>
    <w:basedOn w:val="778"/>
    <w:link w:val="1064"/>
    <w:uiPriority w:val="0"/>
    <w:qFormat/>
    <w:pPr>
      <w:ind w:firstLine="420"/>
    </w:pPr>
  </w:style>
  <w:style w:type="paragraph" w:styleId="797">
    <w:name w:val="Caption"/>
    <w:basedOn w:val="778"/>
    <w:next w:val="778"/>
    <w:link w:val="1125"/>
    <w:uiPriority w:val="0"/>
    <w:qFormat/>
    <w:rPr>
      <w:rFonts w:ascii="Arial" w:hAnsi="Arial" w:eastAsia="黑体"/>
      <w:sz w:val="20"/>
    </w:rPr>
  </w:style>
  <w:style w:type="paragraph" w:styleId="798">
    <w:name w:val="index 5"/>
    <w:basedOn w:val="778"/>
    <w:next w:val="778"/>
    <w:uiPriority w:val="0"/>
    <w:semiHidden/>
    <w:qFormat/>
    <w:pPr>
      <w:ind w:left="800"/>
    </w:pPr>
  </w:style>
  <w:style w:type="paragraph" w:styleId="799">
    <w:name w:val="List Bullet"/>
    <w:basedOn w:val="778"/>
    <w:uiPriority w:val="0"/>
    <w:qFormat/>
    <w:pPr>
      <w:ind w:left="840" w:hanging="360"/>
      <w:jc w:val="left"/>
      <w:spacing w:line="360" w:lineRule="auto"/>
    </w:pPr>
    <w:rPr>
      <w:b/>
      <w:sz w:val="24"/>
      <w:szCs w:val="24"/>
    </w:rPr>
  </w:style>
  <w:style w:type="paragraph" w:styleId="800">
    <w:name w:val="annotation text"/>
    <w:basedOn w:val="778"/>
    <w:link w:val="1082"/>
    <w:uiPriority w:val="99"/>
    <w:qFormat/>
    <w:pPr>
      <w:jc w:val="left"/>
    </w:pPr>
    <w:rPr>
      <w:rFonts w:ascii="Calibri" w:hAnsi="Calibri"/>
      <w:szCs w:val="22"/>
    </w:rPr>
  </w:style>
  <w:style w:type="paragraph" w:styleId="801">
    <w:name w:val="index 6"/>
    <w:basedOn w:val="778"/>
    <w:next w:val="778"/>
    <w:uiPriority w:val="0"/>
    <w:semiHidden/>
    <w:qFormat/>
    <w:pPr>
      <w:ind w:left="1000"/>
    </w:pPr>
  </w:style>
  <w:style w:type="paragraph" w:styleId="802">
    <w:name w:val="Body Text 3"/>
    <w:basedOn w:val="778"/>
    <w:link w:val="1122"/>
    <w:uiPriority w:val="99"/>
    <w:unhideWhenUsed/>
    <w:qFormat/>
    <w:pPr>
      <w:jc w:val="center"/>
    </w:pPr>
    <w:rPr>
      <w:rFonts w:ascii="宋体" w:hAnsi="宋体" w:eastAsia="楷体_GB2312"/>
      <w:sz w:val="26"/>
    </w:rPr>
  </w:style>
  <w:style w:type="paragraph" w:styleId="803">
    <w:name w:val="Body Text"/>
    <w:basedOn w:val="778"/>
    <w:next w:val="778"/>
    <w:link w:val="1092"/>
    <w:uiPriority w:val="0"/>
    <w:qFormat/>
    <w:rPr>
      <w:rFonts w:ascii="楷体_GB2312" w:hAnsi="Arial" w:eastAsia="楷体_GB2312"/>
      <w:sz w:val="28"/>
    </w:rPr>
  </w:style>
  <w:style w:type="paragraph" w:styleId="804">
    <w:name w:val="Body Text Indent"/>
    <w:basedOn w:val="778"/>
    <w:next w:val="778"/>
    <w:link w:val="1107"/>
    <w:uiPriority w:val="0"/>
    <w:qFormat/>
    <w:pPr>
      <w:ind w:firstLine="574"/>
      <w:spacing w:line="312" w:lineRule="atLeast"/>
    </w:pPr>
    <w:rPr>
      <w:rFonts w:ascii="宋体"/>
      <w:sz w:val="28"/>
    </w:rPr>
  </w:style>
  <w:style w:type="paragraph" w:styleId="805">
    <w:name w:val="List 2"/>
    <w:basedOn w:val="778"/>
    <w:uiPriority w:val="0"/>
    <w:qFormat/>
    <w:pPr>
      <w:ind w:left="100" w:hanging="200"/>
    </w:pPr>
    <w:rPr>
      <w:szCs w:val="24"/>
    </w:rPr>
  </w:style>
  <w:style w:type="paragraph" w:styleId="806">
    <w:name w:val="Block Text"/>
    <w:basedOn w:val="778"/>
    <w:uiPriority w:val="0"/>
    <w:qFormat/>
    <w:pPr>
      <w:ind w:left="1890" w:right="11" w:hanging="1409"/>
      <w:spacing w:before="89"/>
      <w:tabs>
        <w:tab w:val="left" w:pos="822" w:leader="none"/>
        <w:tab w:val="left" w:pos="2205" w:leader="none"/>
        <w:tab w:val="left" w:pos="9000" w:leader="none"/>
      </w:tabs>
    </w:pPr>
    <w:rPr>
      <w:sz w:val="24"/>
    </w:rPr>
  </w:style>
  <w:style w:type="paragraph" w:styleId="807">
    <w:name w:val="List Bullet 2"/>
    <w:basedOn w:val="778"/>
    <w:uiPriority w:val="0"/>
    <w:qFormat/>
    <w:pPr>
      <w:ind w:left="420" w:hanging="420"/>
      <w:spacing w:line="312" w:lineRule="atLeast"/>
      <w:tabs>
        <w:tab w:val="left" w:pos="420" w:leader="none"/>
      </w:tabs>
    </w:pPr>
    <w:rPr>
      <w:sz w:val="20"/>
    </w:rPr>
  </w:style>
  <w:style w:type="paragraph" w:styleId="808">
    <w:name w:val="index 4"/>
    <w:basedOn w:val="778"/>
    <w:next w:val="778"/>
    <w:uiPriority w:val="0"/>
    <w:semiHidden/>
    <w:qFormat/>
    <w:pPr>
      <w:ind w:left="600"/>
    </w:pPr>
  </w:style>
  <w:style w:type="paragraph" w:styleId="809">
    <w:name w:val="toc 5"/>
    <w:basedOn w:val="778"/>
    <w:next w:val="778"/>
    <w:uiPriority w:val="39"/>
    <w:qFormat/>
    <w:pPr>
      <w:ind w:left="840"/>
      <w:jc w:val="left"/>
    </w:pPr>
    <w:rPr>
      <w:szCs w:val="21"/>
    </w:rPr>
  </w:style>
  <w:style w:type="paragraph" w:styleId="810">
    <w:name w:val="toc 3"/>
    <w:basedOn w:val="778"/>
    <w:next w:val="778"/>
    <w:uiPriority w:val="0"/>
    <w:qFormat/>
    <w:pPr>
      <w:ind w:left="420"/>
      <w:jc w:val="left"/>
    </w:pPr>
    <w:rPr>
      <w:i/>
      <w:iCs/>
      <w:szCs w:val="24"/>
    </w:rPr>
  </w:style>
  <w:style w:type="paragraph" w:styleId="811">
    <w:name w:val="Plain Text"/>
    <w:basedOn w:val="778"/>
    <w:link w:val="1052"/>
    <w:uiPriority w:val="0"/>
    <w:qFormat/>
    <w:rPr>
      <w:rFonts w:ascii="宋体" w:hAnsi="Courier New"/>
    </w:rPr>
  </w:style>
  <w:style w:type="paragraph" w:styleId="812">
    <w:name w:val="toc 8"/>
    <w:basedOn w:val="778"/>
    <w:next w:val="778"/>
    <w:uiPriority w:val="39"/>
    <w:qFormat/>
    <w:pPr>
      <w:ind w:left="1470"/>
      <w:jc w:val="left"/>
    </w:pPr>
    <w:rPr>
      <w:szCs w:val="21"/>
    </w:rPr>
  </w:style>
  <w:style w:type="paragraph" w:styleId="813">
    <w:name w:val="index 3"/>
    <w:basedOn w:val="778"/>
    <w:next w:val="778"/>
    <w:uiPriority w:val="0"/>
    <w:semiHidden/>
    <w:qFormat/>
    <w:pPr>
      <w:ind w:left="400"/>
    </w:pPr>
  </w:style>
  <w:style w:type="paragraph" w:styleId="814">
    <w:name w:val="Date"/>
    <w:basedOn w:val="778"/>
    <w:next w:val="778"/>
    <w:link w:val="1115"/>
    <w:uiPriority w:val="0"/>
    <w:qFormat/>
    <w:pPr>
      <w:spacing w:line="312" w:lineRule="atLeast"/>
    </w:pPr>
    <w:rPr>
      <w:rFonts w:ascii="宋体"/>
      <w:sz w:val="28"/>
    </w:rPr>
  </w:style>
  <w:style w:type="paragraph" w:styleId="815">
    <w:name w:val="Body Text Indent 2"/>
    <w:basedOn w:val="778"/>
    <w:link w:val="1088"/>
    <w:uiPriority w:val="0"/>
    <w:qFormat/>
    <w:pPr>
      <w:ind w:left="1890" w:hanging="1409"/>
      <w:tabs>
        <w:tab w:val="left" w:pos="1785" w:leader="none"/>
        <w:tab w:val="left" w:pos="1887" w:leader="none"/>
        <w:tab w:val="left" w:pos="2112" w:leader="none"/>
        <w:tab w:val="left" w:pos="9000" w:leader="none"/>
      </w:tabs>
    </w:pPr>
    <w:rPr>
      <w:sz w:val="24"/>
    </w:rPr>
  </w:style>
  <w:style w:type="paragraph" w:styleId="816">
    <w:name w:val="endnote text"/>
    <w:basedOn w:val="778"/>
    <w:link w:val="1029"/>
    <w:uiPriority w:val="99"/>
    <w:semiHidden/>
    <w:unhideWhenUsed/>
    <w:qFormat/>
    <w:rPr>
      <w:sz w:val="20"/>
    </w:rPr>
  </w:style>
  <w:style w:type="paragraph" w:styleId="817">
    <w:name w:val="Balloon Text"/>
    <w:basedOn w:val="778"/>
    <w:link w:val="1049"/>
    <w:uiPriority w:val="0"/>
    <w:unhideWhenUsed/>
    <w:qFormat/>
    <w:rPr>
      <w:rFonts w:ascii="Calibri" w:hAnsi="Calibri"/>
      <w:sz w:val="18"/>
      <w:szCs w:val="18"/>
    </w:rPr>
  </w:style>
  <w:style w:type="paragraph" w:styleId="818">
    <w:name w:val="Footer"/>
    <w:basedOn w:val="778"/>
    <w:link w:val="1066"/>
    <w:uiPriority w:val="99"/>
    <w:qFormat/>
    <w:pPr>
      <w:jc w:val="left"/>
      <w:tabs>
        <w:tab w:val="center" w:pos="4153" w:leader="none"/>
        <w:tab w:val="right" w:pos="8306" w:leader="none"/>
      </w:tabs>
    </w:pPr>
    <w:rPr>
      <w:sz w:val="18"/>
    </w:rPr>
  </w:style>
  <w:style w:type="paragraph" w:styleId="819">
    <w:name w:val="envelope return"/>
    <w:basedOn w:val="778"/>
    <w:uiPriority w:val="0"/>
    <w:qFormat/>
    <w:rPr>
      <w:rFonts w:ascii="Arial" w:hAnsi="Arial" w:eastAsia="楷体_GB2312"/>
      <w:sz w:val="26"/>
    </w:rPr>
  </w:style>
  <w:style w:type="paragraph" w:styleId="820">
    <w:name w:val="Header"/>
    <w:basedOn w:val="778"/>
    <w:link w:val="1041"/>
    <w:uiPriority w:val="99"/>
    <w:qFormat/>
    <w:pPr>
      <w:jc w:val="center"/>
      <w:tabs>
        <w:tab w:val="center" w:pos="4153" w:leader="none"/>
        <w:tab w:val="right" w:pos="8306" w:leader="none"/>
      </w:tabs>
      <w:pBdr>
        <w:bottom w:val="single" w:color="auto" w:sz="6" w:space="1"/>
      </w:pBdr>
    </w:pPr>
    <w:rPr>
      <w:sz w:val="18"/>
    </w:rPr>
  </w:style>
  <w:style w:type="paragraph" w:styleId="821">
    <w:name w:val="Signature"/>
    <w:basedOn w:val="778"/>
    <w:link w:val="1032"/>
    <w:uiPriority w:val="0"/>
    <w:qFormat/>
    <w:pPr>
      <w:jc w:val="center"/>
      <w:spacing w:after="600" w:line="312" w:lineRule="atLeast"/>
    </w:pPr>
    <w:rPr>
      <w:rFonts w:eastAsia="仿宋_GB2312"/>
      <w:sz w:val="24"/>
    </w:rPr>
  </w:style>
  <w:style w:type="paragraph" w:styleId="822">
    <w:name w:val="toc 1"/>
    <w:basedOn w:val="778"/>
    <w:next w:val="778"/>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3">
    <w:name w:val="toc 4"/>
    <w:basedOn w:val="778"/>
    <w:next w:val="778"/>
    <w:uiPriority w:val="0"/>
    <w:qFormat/>
    <w:pPr>
      <w:ind w:left="630"/>
      <w:jc w:val="left"/>
    </w:pPr>
    <w:rPr>
      <w:szCs w:val="21"/>
    </w:rPr>
  </w:style>
  <w:style w:type="paragraph" w:styleId="824">
    <w:name w:val="index heading"/>
    <w:basedOn w:val="778"/>
    <w:next w:val="825"/>
    <w:uiPriority w:val="0"/>
    <w:semiHidden/>
    <w:qFormat/>
  </w:style>
  <w:style w:type="paragraph" w:styleId="825">
    <w:name w:val="index 1"/>
    <w:basedOn w:val="778"/>
    <w:next w:val="778"/>
    <w:uiPriority w:val="0"/>
    <w:qFormat/>
  </w:style>
  <w:style w:type="paragraph" w:styleId="826">
    <w:name w:val="Subtitle"/>
    <w:basedOn w:val="778"/>
    <w:next w:val="778"/>
    <w:link w:val="1065"/>
    <w:uiPriority w:val="0"/>
    <w:qFormat/>
    <w:pPr>
      <w:jc w:val="center"/>
      <w:spacing w:before="240" w:after="60" w:line="312" w:lineRule="auto"/>
      <w:outlineLvl w:val="1"/>
    </w:pPr>
    <w:rPr>
      <w:rFonts w:ascii="Cambria" w:hAnsi="Cambria"/>
      <w:b/>
      <w:bCs/>
      <w:sz w:val="32"/>
      <w:szCs w:val="32"/>
    </w:rPr>
  </w:style>
  <w:style w:type="paragraph" w:styleId="827">
    <w:name w:val="List"/>
    <w:basedOn w:val="778"/>
    <w:uiPriority w:val="99"/>
    <w:qFormat/>
    <w:pPr>
      <w:ind w:left="200" w:hanging="200"/>
    </w:pPr>
    <w:rPr>
      <w:szCs w:val="24"/>
    </w:rPr>
  </w:style>
  <w:style w:type="paragraph" w:styleId="828">
    <w:name w:val="footnote text"/>
    <w:basedOn w:val="778"/>
    <w:link w:val="1028"/>
    <w:uiPriority w:val="99"/>
    <w:semiHidden/>
    <w:unhideWhenUsed/>
    <w:qFormat/>
    <w:pPr>
      <w:spacing w:after="40"/>
    </w:pPr>
    <w:rPr>
      <w:sz w:val="18"/>
    </w:rPr>
  </w:style>
  <w:style w:type="paragraph" w:styleId="829">
    <w:name w:val="toc 6"/>
    <w:basedOn w:val="778"/>
    <w:next w:val="778"/>
    <w:uiPriority w:val="39"/>
    <w:qFormat/>
    <w:pPr>
      <w:ind w:left="1050"/>
      <w:jc w:val="left"/>
    </w:pPr>
    <w:rPr>
      <w:szCs w:val="21"/>
    </w:rPr>
  </w:style>
  <w:style w:type="paragraph" w:styleId="830">
    <w:name w:val="Body Text Indent 3"/>
    <w:basedOn w:val="778"/>
    <w:link w:val="1042"/>
    <w:uiPriority w:val="0"/>
    <w:qFormat/>
    <w:pPr>
      <w:ind w:firstLine="555"/>
    </w:pPr>
    <w:rPr>
      <w:b/>
      <w:bCs/>
      <w:sz w:val="28"/>
      <w:u w:val="single"/>
    </w:rPr>
  </w:style>
  <w:style w:type="paragraph" w:styleId="831">
    <w:name w:val="index 7"/>
    <w:basedOn w:val="778"/>
    <w:next w:val="778"/>
    <w:uiPriority w:val="0"/>
    <w:semiHidden/>
    <w:qFormat/>
    <w:pPr>
      <w:ind w:left="1200"/>
    </w:pPr>
  </w:style>
  <w:style w:type="paragraph" w:styleId="832">
    <w:name w:val="index 9"/>
    <w:basedOn w:val="778"/>
    <w:next w:val="778"/>
    <w:uiPriority w:val="0"/>
    <w:semiHidden/>
    <w:qFormat/>
    <w:pPr>
      <w:ind w:left="1600"/>
    </w:pPr>
  </w:style>
  <w:style w:type="paragraph" w:styleId="833">
    <w:name w:val="table of figures"/>
    <w:basedOn w:val="778"/>
    <w:next w:val="778"/>
    <w:uiPriority w:val="0"/>
    <w:semiHidden/>
    <w:qFormat/>
    <w:pPr>
      <w:ind w:left="840" w:hanging="420"/>
    </w:pPr>
  </w:style>
  <w:style w:type="paragraph" w:styleId="834">
    <w:name w:val="toc 2"/>
    <w:basedOn w:val="778"/>
    <w:next w:val="778"/>
    <w:uiPriority w:val="39"/>
    <w:qFormat/>
    <w:pPr>
      <w:ind w:left="250"/>
      <w:jc w:val="left"/>
      <w:spacing w:line="400" w:lineRule="exact"/>
      <w:tabs>
        <w:tab w:val="right" w:pos="9450" w:leader="dot"/>
      </w:tabs>
    </w:pPr>
    <w:rPr>
      <w:bCs/>
      <w:smallCaps/>
      <w:sz w:val="24"/>
      <w:szCs w:val="24"/>
    </w:rPr>
  </w:style>
  <w:style w:type="paragraph" w:styleId="835">
    <w:name w:val="toc 9"/>
    <w:basedOn w:val="778"/>
    <w:next w:val="778"/>
    <w:uiPriority w:val="0"/>
    <w:qFormat/>
    <w:pPr>
      <w:ind w:left="1680"/>
      <w:jc w:val="left"/>
    </w:pPr>
    <w:rPr>
      <w:szCs w:val="21"/>
    </w:rPr>
  </w:style>
  <w:style w:type="paragraph" w:styleId="836">
    <w:name w:val="Body Text 2"/>
    <w:basedOn w:val="778"/>
    <w:link w:val="1118"/>
    <w:uiPriority w:val="99"/>
    <w:qFormat/>
    <w:pPr>
      <w:spacing w:after="120" w:line="480" w:lineRule="auto"/>
    </w:pPr>
  </w:style>
  <w:style w:type="paragraph" w:styleId="837">
    <w:name w:val="HTML Preformatted"/>
    <w:basedOn w:val="778"/>
    <w:link w:val="10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38">
    <w:name w:val="Normal (Web)"/>
    <w:basedOn w:val="778"/>
    <w:link w:val="1593"/>
    <w:uiPriority w:val="0"/>
    <w:unhideWhenUsed/>
    <w:qFormat/>
    <w:pPr>
      <w:jc w:val="left"/>
      <w:spacing w:before="100" w:beforeAutospacing="1" w:after="100" w:afterAutospacing="1"/>
      <w:widowControl/>
    </w:pPr>
    <w:rPr>
      <w:rFonts w:ascii="宋体" w:hAnsi="宋体" w:eastAsia="楷体_GB2312" w:cs="宋体"/>
      <w:sz w:val="24"/>
    </w:rPr>
  </w:style>
  <w:style w:type="paragraph" w:styleId="839">
    <w:name w:val="index 2"/>
    <w:basedOn w:val="778"/>
    <w:next w:val="778"/>
    <w:uiPriority w:val="0"/>
    <w:semiHidden/>
    <w:qFormat/>
    <w:pPr>
      <w:ind w:left="200"/>
    </w:pPr>
  </w:style>
  <w:style w:type="paragraph" w:styleId="840">
    <w:name w:val="Title"/>
    <w:basedOn w:val="778"/>
    <w:next w:val="778"/>
    <w:link w:val="1075"/>
    <w:uiPriority w:val="0"/>
    <w:qFormat/>
    <w:pPr>
      <w:jc w:val="center"/>
      <w:spacing w:before="240" w:after="60"/>
      <w:outlineLvl w:val="0"/>
    </w:pPr>
    <w:rPr>
      <w:rFonts w:ascii="Cambria" w:hAnsi="Cambria"/>
      <w:b/>
      <w:bCs/>
      <w:sz w:val="32"/>
      <w:szCs w:val="32"/>
    </w:rPr>
  </w:style>
  <w:style w:type="paragraph" w:styleId="841">
    <w:name w:val="annotation subject"/>
    <w:basedOn w:val="800"/>
    <w:next w:val="800"/>
    <w:link w:val="1100"/>
    <w:uiPriority w:val="99"/>
    <w:qFormat/>
    <w:rPr>
      <w:rFonts w:eastAsia="楷体_GB2312"/>
      <w:b/>
      <w:bCs/>
      <w:sz w:val="26"/>
    </w:rPr>
  </w:style>
  <w:style w:type="paragraph" w:styleId="842">
    <w:name w:val="Body Text First Indent"/>
    <w:basedOn w:val="803"/>
    <w:next w:val="778"/>
    <w:link w:val="1043"/>
    <w:uiPriority w:val="0"/>
    <w:qFormat/>
    <w:pPr>
      <w:ind w:firstLine="420"/>
      <w:spacing w:after="120"/>
    </w:pPr>
    <w:rPr>
      <w:rFonts w:ascii="Tahoma" w:hAnsi="Tahoma" w:eastAsia="Times New Roman"/>
      <w:sz w:val="21"/>
      <w:szCs w:val="24"/>
    </w:rPr>
  </w:style>
  <w:style w:type="paragraph" w:styleId="843">
    <w:name w:val="Body Text First Indent 2"/>
    <w:basedOn w:val="804"/>
    <w:link w:val="1077"/>
    <w:uiPriority w:val="0"/>
    <w:qFormat/>
    <w:pPr>
      <w:ind w:left="420" w:firstLine="420"/>
      <w:spacing w:after="120" w:line="240" w:lineRule="auto"/>
    </w:pPr>
    <w:rPr>
      <w:rFonts w:ascii="Times New Roman"/>
      <w:sz w:val="21"/>
      <w:szCs w:val="24"/>
    </w:rPr>
  </w:style>
  <w:style w:type="table" w:styleId="844">
    <w:name w:val="Table Grid"/>
    <w:basedOn w:val="7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bCs/>
    </w:rPr>
  </w:style>
  <w:style w:type="character" w:styleId="846">
    <w:name w:val="endnote reference"/>
    <w:basedOn w:val="788"/>
    <w:uiPriority w:val="99"/>
    <w:semiHidden/>
    <w:unhideWhenUsed/>
    <w:qFormat/>
    <w:rPr>
      <w:vertAlign w:val="superscript"/>
    </w:rPr>
  </w:style>
  <w:style w:type="character" w:styleId="847">
    <w:name w:val="page number"/>
    <w:basedOn w:val="788"/>
    <w:uiPriority w:val="0"/>
    <w:qFormat/>
  </w:style>
  <w:style w:type="character" w:styleId="848">
    <w:name w:val="FollowedHyperlink"/>
    <w:uiPriority w:val="99"/>
    <w:qFormat/>
    <w:rPr>
      <w:color w:val="333333"/>
      <w:u w:val="none"/>
    </w:rPr>
  </w:style>
  <w:style w:type="character" w:styleId="849">
    <w:name w:val="Emphasis"/>
    <w:uiPriority w:val="20"/>
    <w:qFormat/>
    <w:rPr>
      <w:i/>
      <w:iCs/>
    </w:rPr>
  </w:style>
  <w:style w:type="character" w:styleId="850">
    <w:name w:val="line number"/>
    <w:uiPriority w:val="0"/>
    <w:qFormat/>
    <w:rPr>
      <w:rFonts w:ascii="Tahoma" w:hAnsi="Tahoma" w:eastAsia="宋体"/>
      <w:sz w:val="24"/>
      <w:szCs w:val="24"/>
      <w:lang w:val="en-US" w:eastAsia="zh-CN" w:bidi="ar-SA"/>
    </w:rPr>
  </w:style>
  <w:style w:type="character" w:styleId="851">
    <w:name w:val="HTML Typewriter"/>
    <w:uiPriority w:val="0"/>
    <w:qFormat/>
    <w:rPr>
      <w:rFonts w:ascii="黑体" w:hAnsi="Courier New" w:eastAsia="黑体"/>
      <w:sz w:val="14"/>
    </w:rPr>
  </w:style>
  <w:style w:type="character" w:styleId="852">
    <w:name w:val="Hyperlink"/>
    <w:uiPriority w:val="99"/>
    <w:qFormat/>
    <w:rPr>
      <w:color w:val="333333"/>
      <w:u w:val="none"/>
    </w:rPr>
  </w:style>
  <w:style w:type="character" w:styleId="853">
    <w:name w:val="annotation reference"/>
    <w:uiPriority w:val="0"/>
    <w:qFormat/>
    <w:rPr>
      <w:sz w:val="21"/>
      <w:szCs w:val="21"/>
    </w:rPr>
  </w:style>
  <w:style w:type="character" w:styleId="854">
    <w:name w:val="footnote reference"/>
    <w:uiPriority w:val="0"/>
    <w:qFormat/>
    <w:rPr>
      <w:vertAlign w:val="superscript"/>
    </w:rPr>
  </w:style>
  <w:style w:type="character" w:styleId="855" w:customStyle="1">
    <w:name w:val="Quote Char"/>
    <w:uiPriority w:val="29"/>
    <w:qFormat/>
    <w:rPr>
      <w:i/>
    </w:rPr>
  </w:style>
  <w:style w:type="character" w:styleId="856" w:customStyle="1">
    <w:name w:val="Intense Quote Char"/>
    <w:uiPriority w:val="30"/>
    <w:qFormat/>
    <w:rPr>
      <w:i/>
    </w:rPr>
  </w:style>
  <w:style w:type="table" w:styleId="857"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页脚1"/>
    <w:basedOn w:val="778"/>
    <w:uiPriority w:val="99"/>
    <w:qFormat/>
    <w:pPr>
      <w:jc w:val="left"/>
      <w:tabs>
        <w:tab w:val="center" w:pos="4153" w:leader="none"/>
        <w:tab w:val="right" w:pos="8306" w:leader="none"/>
      </w:tabs>
    </w:pPr>
    <w:rPr>
      <w:sz w:val="18"/>
    </w:rPr>
  </w:style>
  <w:style w:type="paragraph" w:styleId="880" w:customStyle="1">
    <w:name w:val="文档结构图1"/>
    <w:uiPriority w:val="0"/>
    <w:qFormat/>
    <w:pPr>
      <w:jc w:val="both"/>
      <w:shd w:val="clear" w:color="auto" w:fill="000080"/>
      <w:widowControl w:val="off"/>
    </w:pPr>
    <w:rPr>
      <w:rFonts w:hint="default" w:ascii="Times New Roman" w:hAnsi="Times New Roman" w:eastAsia="宋体" w:cs="Times New Roman"/>
      <w:sz w:val="21"/>
      <w:lang w:val="en-US" w:eastAsia="zh-CN" w:bidi="ar-SA"/>
    </w:rPr>
  </w:style>
  <w:style w:type="paragraph" w:styleId="881" w:customStyle="1">
    <w:name w:val="标题 31"/>
    <w:next w:val="778"/>
    <w:uiPriority w:val="0"/>
    <w:qFormat/>
    <w:pPr>
      <w:keepLines/>
      <w:keepNext/>
      <w:spacing w:before="360" w:after="120"/>
      <w:widowControl w:val="off"/>
      <w:outlineLvl w:val="2"/>
    </w:pPr>
    <w:rPr>
      <w:rFonts w:hint="default" w:ascii="宋体" w:hAnsi="Calibri" w:eastAsia="微软雅黑" w:cs="Times New Roman"/>
      <w:b/>
      <w:sz w:val="24"/>
      <w:u w:val="single"/>
      <w:lang w:val="en-US" w:eastAsia="zh-CN" w:bidi="ar-SA"/>
    </w:rPr>
  </w:style>
  <w:style w:type="character" w:styleId="882" w:customStyle="1">
    <w:name w:val="标题 3 字符"/>
    <w:uiPriority w:val="0"/>
    <w:qFormat/>
    <w:rPr>
      <w:rFonts w:eastAsia="宋体"/>
      <w:b/>
      <w:bCs/>
      <w:sz w:val="32"/>
      <w:szCs w:val="32"/>
      <w:lang w:val="en-US" w:eastAsia="zh-CN" w:bidi="ar-SA"/>
    </w:rPr>
  </w:style>
  <w:style w:type="character" w:styleId="883" w:customStyle="1">
    <w:name w:val="标题 4 字符"/>
    <w:uiPriority w:val="0"/>
    <w:qFormat/>
    <w:rPr>
      <w:rFonts w:ascii="Times New Roman" w:hAnsi="Times New Roman" w:eastAsia="宋体" w:cs="Times New Roman"/>
      <w:b/>
      <w:bCs/>
      <w:sz w:val="28"/>
      <w:szCs w:val="28"/>
    </w:rPr>
  </w:style>
  <w:style w:type="paragraph" w:styleId="884"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character" w:styleId="885" w:customStyle="1">
    <w:name w:val="Heading 1 Char"/>
    <w:basedOn w:val="788"/>
    <w:uiPriority w:val="9"/>
    <w:qFormat/>
    <w:rPr>
      <w:rFonts w:ascii="Arial" w:hAnsi="Arial" w:eastAsia="Arial" w:cs="Arial"/>
      <w:sz w:val="40"/>
      <w:szCs w:val="40"/>
    </w:rPr>
  </w:style>
  <w:style w:type="character" w:styleId="886" w:customStyle="1">
    <w:name w:val="Heading 2 Char"/>
    <w:basedOn w:val="788"/>
    <w:uiPriority w:val="9"/>
    <w:qFormat/>
    <w:rPr>
      <w:rFonts w:ascii="Arial" w:hAnsi="Arial" w:eastAsia="Arial" w:cs="Arial"/>
      <w:sz w:val="34"/>
    </w:rPr>
  </w:style>
  <w:style w:type="character" w:styleId="887" w:customStyle="1">
    <w:name w:val="Heading 3 Char"/>
    <w:basedOn w:val="788"/>
    <w:uiPriority w:val="9"/>
    <w:qFormat/>
    <w:rPr>
      <w:rFonts w:ascii="Arial" w:hAnsi="Arial" w:eastAsia="Arial" w:cs="Arial"/>
      <w:sz w:val="30"/>
      <w:szCs w:val="30"/>
    </w:rPr>
  </w:style>
  <w:style w:type="character" w:styleId="888" w:customStyle="1">
    <w:name w:val="Heading 4 Char"/>
    <w:basedOn w:val="788"/>
    <w:uiPriority w:val="9"/>
    <w:qFormat/>
    <w:rPr>
      <w:rFonts w:ascii="Arial" w:hAnsi="Arial" w:eastAsia="Arial" w:cs="Arial"/>
      <w:b/>
      <w:bCs/>
      <w:sz w:val="26"/>
      <w:szCs w:val="26"/>
    </w:rPr>
  </w:style>
  <w:style w:type="character" w:styleId="889" w:customStyle="1">
    <w:name w:val="Heading 5 Char"/>
    <w:basedOn w:val="788"/>
    <w:uiPriority w:val="9"/>
    <w:qFormat/>
    <w:rPr>
      <w:rFonts w:ascii="Arial" w:hAnsi="Arial" w:eastAsia="Arial" w:cs="Arial"/>
      <w:b/>
      <w:bCs/>
      <w:sz w:val="24"/>
      <w:szCs w:val="24"/>
    </w:rPr>
  </w:style>
  <w:style w:type="character" w:styleId="890" w:customStyle="1">
    <w:name w:val="Heading 6 Char"/>
    <w:basedOn w:val="788"/>
    <w:uiPriority w:val="9"/>
    <w:qFormat/>
    <w:rPr>
      <w:rFonts w:ascii="Arial" w:hAnsi="Arial" w:eastAsia="Arial" w:cs="Arial"/>
      <w:b/>
      <w:bCs/>
      <w:sz w:val="22"/>
      <w:szCs w:val="22"/>
    </w:rPr>
  </w:style>
  <w:style w:type="character" w:styleId="891" w:customStyle="1">
    <w:name w:val="Heading 7 Char"/>
    <w:basedOn w:val="788"/>
    <w:uiPriority w:val="9"/>
    <w:qFormat/>
    <w:rPr>
      <w:rFonts w:ascii="Arial" w:hAnsi="Arial" w:eastAsia="Arial" w:cs="Arial"/>
      <w:b/>
      <w:bCs/>
      <w:i/>
      <w:iCs/>
      <w:sz w:val="22"/>
      <w:szCs w:val="22"/>
    </w:rPr>
  </w:style>
  <w:style w:type="character" w:styleId="892" w:customStyle="1">
    <w:name w:val="Heading 8 Char"/>
    <w:basedOn w:val="788"/>
    <w:uiPriority w:val="9"/>
    <w:qFormat/>
    <w:rPr>
      <w:rFonts w:ascii="Arial" w:hAnsi="Arial" w:eastAsia="Arial" w:cs="Arial"/>
      <w:i/>
      <w:iCs/>
      <w:sz w:val="22"/>
      <w:szCs w:val="22"/>
    </w:rPr>
  </w:style>
  <w:style w:type="character" w:styleId="893" w:customStyle="1">
    <w:name w:val="Heading 9 Char"/>
    <w:basedOn w:val="788"/>
    <w:uiPriority w:val="9"/>
    <w:qFormat/>
    <w:rPr>
      <w:rFonts w:ascii="Arial" w:hAnsi="Arial" w:eastAsia="Arial" w:cs="Arial"/>
      <w:i/>
      <w:iCs/>
      <w:sz w:val="21"/>
      <w:szCs w:val="21"/>
    </w:rPr>
  </w:style>
  <w:style w:type="character" w:styleId="894" w:customStyle="1">
    <w:name w:val="Title Char"/>
    <w:basedOn w:val="788"/>
    <w:uiPriority w:val="10"/>
    <w:qFormat/>
    <w:rPr>
      <w:sz w:val="48"/>
      <w:szCs w:val="48"/>
    </w:rPr>
  </w:style>
  <w:style w:type="character" w:styleId="895" w:customStyle="1">
    <w:name w:val="Subtitle Char"/>
    <w:basedOn w:val="788"/>
    <w:uiPriority w:val="11"/>
    <w:qFormat/>
    <w:rPr>
      <w:sz w:val="24"/>
      <w:szCs w:val="24"/>
    </w:rPr>
  </w:style>
  <w:style w:type="paragraph" w:styleId="896">
    <w:name w:val="Quote"/>
    <w:basedOn w:val="778"/>
    <w:next w:val="778"/>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78"/>
    <w:next w:val="778"/>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basedOn w:val="788"/>
    <w:uiPriority w:val="99"/>
    <w:qFormat/>
  </w:style>
  <w:style w:type="character" w:styleId="901" w:customStyle="1">
    <w:name w:val="Footer Char"/>
    <w:basedOn w:val="788"/>
    <w:uiPriority w:val="99"/>
    <w:qFormat/>
  </w:style>
  <w:style w:type="character" w:styleId="902" w:customStyle="1">
    <w:name w:val="Caption Char"/>
    <w:uiPriority w:val="99"/>
    <w:qFormat/>
  </w:style>
  <w:style w:type="table" w:styleId="903"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8"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78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8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8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8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8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8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78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78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8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8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8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8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8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脚注文本 字符"/>
    <w:link w:val="828"/>
    <w:uiPriority w:val="99"/>
    <w:qFormat/>
    <w:rPr>
      <w:sz w:val="18"/>
    </w:rPr>
  </w:style>
  <w:style w:type="character" w:styleId="1029" w:customStyle="1">
    <w:name w:val="尾注文本 字符"/>
    <w:link w:val="816"/>
    <w:uiPriority w:val="99"/>
    <w:qFormat/>
    <w:rPr>
      <w:sz w:val="20"/>
    </w:rPr>
  </w:style>
  <w:style w:type="paragraph" w:styleId="1030" w:customStyle="1">
    <w:name w:val="TOC 标题1"/>
    <w:uiPriority w:val="39"/>
    <w:unhideWhenUsed/>
    <w:qFormat/>
    <w:rPr>
      <w:rFonts w:hint="default" w:ascii="Times New Roman" w:hAnsi="Times New Roman" w:eastAsia="宋体" w:cs="Times New Roman"/>
      <w:lang w:val="en-US" w:eastAsia="zh-CN" w:bidi="ar-SA"/>
    </w:rPr>
  </w:style>
  <w:style w:type="paragraph" w:styleId="1031" w:customStyle="1">
    <w:name w:val="标题 11"/>
    <w:basedOn w:val="778"/>
    <w:next w:val="778"/>
    <w:uiPriority w:val="0"/>
    <w:qFormat/>
    <w:pPr>
      <w:keepLines/>
      <w:keepNext/>
      <w:spacing w:before="340" w:after="330" w:line="578" w:lineRule="auto"/>
      <w:outlineLvl w:val="0"/>
    </w:pPr>
    <w:rPr>
      <w:b/>
      <w:bCs/>
      <w:sz w:val="44"/>
      <w:szCs w:val="44"/>
    </w:rPr>
  </w:style>
  <w:style w:type="character" w:styleId="1032" w:customStyle="1">
    <w:name w:val="签名 字符"/>
    <w:link w:val="821"/>
    <w:uiPriority w:val="0"/>
    <w:qFormat/>
    <w:rPr>
      <w:rFonts w:eastAsia="仿宋_GB2312"/>
      <w:sz w:val="24"/>
    </w:rPr>
  </w:style>
  <w:style w:type="character" w:styleId="1033" w:customStyle="1">
    <w:name w:val="A8"/>
    <w:uiPriority w:val="0"/>
    <w:qFormat/>
    <w:rPr>
      <w:rFonts w:ascii="华文细黑." w:eastAsia="华文细黑." w:cs="华文细黑."/>
      <w:color w:val="000000"/>
      <w:sz w:val="14"/>
      <w:szCs w:val="14"/>
    </w:rPr>
  </w:style>
  <w:style w:type="character" w:styleId="1034" w:customStyle="1">
    <w:name w:val="标题 3 字符1"/>
    <w:uiPriority w:val="0"/>
    <w:qFormat/>
    <w:rPr>
      <w:rFonts w:ascii="宋体" w:hAnsi="宋体" w:eastAsia="宋体"/>
      <w:sz w:val="28"/>
      <w:lang w:val="en-US" w:eastAsia="zh-CN" w:bidi="ar-SA"/>
    </w:rPr>
  </w:style>
  <w:style w:type="character" w:styleId="1035" w:customStyle="1">
    <w:name w:val="正文缩进1 Char"/>
    <w:uiPriority w:val="0"/>
    <w:qFormat/>
    <w:rPr>
      <w:rFonts w:ascii="Times New Roman" w:hAnsi="Times New Roman" w:eastAsia="楷体_GB2312" w:cs="Times New Roman"/>
      <w:sz w:val="24"/>
      <w:szCs w:val="20"/>
    </w:rPr>
  </w:style>
  <w:style w:type="character" w:styleId="1036" w:customStyle="1">
    <w:name w:val="ih151"/>
    <w:uiPriority w:val="0"/>
    <w:qFormat/>
    <w:rPr>
      <w:color w:val="666666"/>
      <w:sz w:val="18"/>
      <w:szCs w:val="18"/>
      <w:u w:val="none"/>
    </w:rPr>
  </w:style>
  <w:style w:type="character" w:styleId="1037" w:customStyle="1">
    <w:name w:val="02 标题 Char"/>
    <w:link w:val="1038"/>
    <w:uiPriority w:val="0"/>
    <w:qFormat/>
    <w:rPr>
      <w:b/>
      <w:sz w:val="21"/>
      <w:szCs w:val="21"/>
    </w:rPr>
  </w:style>
  <w:style w:type="paragraph" w:styleId="1038" w:customStyle="1">
    <w:name w:val="02 标题"/>
    <w:basedOn w:val="778"/>
    <w:link w:val="1037"/>
    <w:uiPriority w:val="0"/>
    <w:qFormat/>
    <w:pPr>
      <w:keepNext/>
      <w:spacing w:line="360" w:lineRule="auto"/>
      <w:widowControl/>
      <w:outlineLvl w:val="0"/>
    </w:pPr>
    <w:rPr>
      <w:b/>
      <w:szCs w:val="21"/>
    </w:rPr>
  </w:style>
  <w:style w:type="character" w:styleId="1039" w:customStyle="1">
    <w:name w:val="3级方案标题 字符"/>
    <w:link w:val="1040"/>
    <w:uiPriority w:val="0"/>
    <w:qFormat/>
    <w:rPr>
      <w:rFonts w:ascii="宋体" w:hAnsi="宋体"/>
      <w:b/>
      <w:color w:val="000000"/>
      <w:sz w:val="32"/>
      <w:szCs w:val="32"/>
    </w:rPr>
  </w:style>
  <w:style w:type="paragraph" w:styleId="1040" w:customStyle="1">
    <w:name w:val="3级方案标题"/>
    <w:basedOn w:val="781"/>
    <w:link w:val="1039"/>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41" w:customStyle="1">
    <w:name w:val="页眉 字符2"/>
    <w:link w:val="820"/>
    <w:uiPriority w:val="99"/>
    <w:qFormat/>
    <w:rPr>
      <w:rFonts w:eastAsia="宋体"/>
      <w:sz w:val="18"/>
      <w:lang w:val="en-US" w:eastAsia="zh-CN" w:bidi="ar-SA"/>
    </w:rPr>
  </w:style>
  <w:style w:type="character" w:styleId="1042" w:customStyle="1">
    <w:name w:val="正文文本缩进 3 字符1"/>
    <w:link w:val="830"/>
    <w:uiPriority w:val="0"/>
    <w:qFormat/>
    <w:rPr>
      <w:b/>
      <w:bCs/>
      <w:sz w:val="28"/>
      <w:u w:val="single"/>
    </w:rPr>
  </w:style>
  <w:style w:type="character" w:styleId="1043" w:customStyle="1">
    <w:name w:val="正文文本首行缩进 字符"/>
    <w:basedOn w:val="1044"/>
    <w:link w:val="842"/>
    <w:uiPriority w:val="0"/>
    <w:qFormat/>
    <w:rPr>
      <w:rFonts w:ascii="Tahoma" w:hAnsi="Tahoma" w:eastAsia="Times New Roman"/>
      <w:sz w:val="21"/>
      <w:szCs w:val="24"/>
      <w:lang w:val="en-US" w:eastAsia="zh-CN" w:bidi="ar-SA"/>
    </w:rPr>
  </w:style>
  <w:style w:type="character" w:styleId="1044" w:customStyle="1">
    <w:name w:val="正文文本 字符"/>
    <w:uiPriority w:val="0"/>
    <w:qFormat/>
    <w:rPr>
      <w:rFonts w:ascii="Tahoma" w:hAnsi="Tahoma" w:eastAsia="Times New Roman"/>
      <w:sz w:val="21"/>
      <w:szCs w:val="24"/>
      <w:lang w:val="en-US" w:eastAsia="zh-CN" w:bidi="ar-SA"/>
    </w:rPr>
  </w:style>
  <w:style w:type="character" w:styleId="1045" w:customStyle="1">
    <w:name w:val="标题 9 字符1"/>
    <w:link w:val="787"/>
    <w:uiPriority w:val="0"/>
    <w:qFormat/>
    <w:rPr>
      <w:b/>
      <w:bCs/>
      <w:sz w:val="21"/>
      <w:szCs w:val="24"/>
    </w:rPr>
  </w:style>
  <w:style w:type="character" w:styleId="1046" w:customStyle="1">
    <w:name w:val="Char Char9"/>
    <w:uiPriority w:val="0"/>
    <w:qFormat/>
    <w:rPr>
      <w:sz w:val="18"/>
      <w:szCs w:val="18"/>
    </w:rPr>
  </w:style>
  <w:style w:type="character" w:styleId="1047" w:customStyle="1">
    <w:name w:val="注释标题 字符"/>
    <w:link w:val="794"/>
    <w:uiPriority w:val="0"/>
    <w:qFormat/>
    <w:rPr>
      <w:sz w:val="24"/>
      <w:szCs w:val="24"/>
    </w:rPr>
  </w:style>
  <w:style w:type="character" w:styleId="1048" w:customStyle="1">
    <w:name w:val="正文缩进 Char1"/>
    <w:uiPriority w:val="0"/>
    <w:qFormat/>
    <w:rPr>
      <w:rFonts w:eastAsia="楷体_GB2312"/>
      <w:sz w:val="24"/>
    </w:rPr>
  </w:style>
  <w:style w:type="character" w:styleId="1049" w:customStyle="1">
    <w:name w:val="批注框文本 字符1"/>
    <w:link w:val="817"/>
    <w:uiPriority w:val="0"/>
    <w:qFormat/>
    <w:rPr>
      <w:rFonts w:ascii="Calibri" w:hAnsi="Calibri" w:eastAsia="宋体"/>
      <w:sz w:val="18"/>
      <w:szCs w:val="18"/>
      <w:lang w:val="en-US" w:eastAsia="zh-CN" w:bidi="ar-SA"/>
    </w:rPr>
  </w:style>
  <w:style w:type="character" w:styleId="1050" w:customStyle="1">
    <w:name w:val="UH正文 Char"/>
    <w:link w:val="1051"/>
    <w:uiPriority w:val="0"/>
    <w:qFormat/>
    <w:rPr>
      <w:rFonts w:ascii="Arial" w:hAnsi="Arial"/>
      <w:sz w:val="24"/>
      <w:szCs w:val="21"/>
      <w:lang w:val="en-US" w:eastAsia="zh-CN" w:bidi="ar-SA"/>
    </w:rPr>
  </w:style>
  <w:style w:type="paragraph" w:styleId="1051" w:customStyle="1">
    <w:name w:val="UH正文"/>
    <w:link w:val="1050"/>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52" w:customStyle="1">
    <w:name w:val="纯文本 字符1"/>
    <w:link w:val="811"/>
    <w:uiPriority w:val="0"/>
    <w:qFormat/>
    <w:rPr>
      <w:rFonts w:ascii="宋体" w:hAnsi="Courier New" w:eastAsia="宋体"/>
      <w:sz w:val="21"/>
      <w:lang w:val="en-US" w:eastAsia="zh-CN" w:bidi="ar-SA"/>
    </w:rPr>
  </w:style>
  <w:style w:type="character" w:styleId="1053" w:customStyle="1">
    <w:name w:val="标题 7 字符1"/>
    <w:link w:val="785"/>
    <w:uiPriority w:val="0"/>
    <w:qFormat/>
    <w:rPr>
      <w:rFonts w:ascii="Arial" w:hAnsi="Arial" w:cs="Arial"/>
      <w:b/>
      <w:bCs/>
      <w:sz w:val="16"/>
      <w:szCs w:val="16"/>
    </w:rPr>
  </w:style>
  <w:style w:type="character" w:styleId="1054" w:customStyle="1">
    <w:name w:val="Andy_3级 Char"/>
    <w:link w:val="1055"/>
    <w:uiPriority w:val="0"/>
    <w:qFormat/>
    <w:rPr>
      <w:rFonts w:ascii="Calibri" w:hAnsi="Calibri"/>
      <w:sz w:val="24"/>
    </w:rPr>
  </w:style>
  <w:style w:type="paragraph" w:styleId="1055" w:customStyle="1">
    <w:name w:val="Andy_3级"/>
    <w:basedOn w:val="778"/>
    <w:link w:val="1054"/>
    <w:uiPriority w:val="0"/>
    <w:qFormat/>
    <w:pPr>
      <w:ind w:left="1260" w:hanging="420"/>
      <w:spacing w:line="360" w:lineRule="auto"/>
      <w:tabs>
        <w:tab w:val="left" w:pos="1260" w:leader="none"/>
      </w:tabs>
    </w:pPr>
    <w:rPr>
      <w:rFonts w:ascii="Calibri" w:hAnsi="Calibri"/>
      <w:sz w:val="24"/>
    </w:rPr>
  </w:style>
  <w:style w:type="character" w:styleId="1056" w:customStyle="1">
    <w:name w:val="Plain Text Char1"/>
    <w:link w:val="1057"/>
    <w:uiPriority w:val="0"/>
    <w:qFormat/>
    <w:rPr>
      <w:rFonts w:ascii="宋体" w:hAnsi="Courier New" w:eastAsia="楷体_GB2312"/>
      <w:sz w:val="26"/>
    </w:rPr>
  </w:style>
  <w:style w:type="paragraph" w:styleId="1057" w:customStyle="1">
    <w:name w:val="纯文本1"/>
    <w:basedOn w:val="778"/>
    <w:link w:val="1056"/>
    <w:uiPriority w:val="0"/>
    <w:qFormat/>
    <w:rPr>
      <w:rFonts w:ascii="宋体" w:hAnsi="Courier New" w:eastAsia="楷体_GB2312"/>
      <w:sz w:val="26"/>
    </w:rPr>
  </w:style>
  <w:style w:type="character" w:styleId="1058" w:customStyle="1">
    <w:name w:val="不明显参考1"/>
    <w:uiPriority w:val="0"/>
    <w:qFormat/>
    <w:rPr>
      <w:smallCaps/>
      <w:color w:val="c0504d"/>
      <w:u w:val="single"/>
    </w:rPr>
  </w:style>
  <w:style w:type="character" w:styleId="1059" w:customStyle="1">
    <w:name w:val="标题 1 字符1"/>
    <w:link w:val="779"/>
    <w:uiPriority w:val="0"/>
    <w:qFormat/>
    <w:rPr>
      <w:rFonts w:ascii="宋体" w:hAnsi="宋体"/>
      <w:b/>
      <w:sz w:val="36"/>
    </w:rPr>
  </w:style>
  <w:style w:type="character" w:styleId="1060" w:customStyle="1">
    <w:name w:val="样式6 Char"/>
    <w:link w:val="1061"/>
    <w:uiPriority w:val="0"/>
    <w:qFormat/>
    <w:rPr>
      <w:rFonts w:ascii="Arial" w:hAnsi="Arial"/>
      <w:b/>
      <w:bCs/>
      <w:sz w:val="28"/>
      <w:szCs w:val="32"/>
    </w:rPr>
  </w:style>
  <w:style w:type="paragraph" w:styleId="1061" w:customStyle="1">
    <w:name w:val="样式6"/>
    <w:basedOn w:val="780"/>
    <w:link w:val="1060"/>
    <w:uiPriority w:val="0"/>
    <w:qFormat/>
    <w:pPr>
      <w:jc w:val="both"/>
      <w:keepLines/>
    </w:pPr>
    <w:rPr>
      <w:rFonts w:ascii="Arial" w:hAnsi="Arial"/>
      <w:szCs w:val="32"/>
    </w:rPr>
  </w:style>
  <w:style w:type="character" w:styleId="1062" w:customStyle="1">
    <w:name w:val="*正文 Char"/>
    <w:link w:val="1063"/>
    <w:uiPriority w:val="0"/>
    <w:qFormat/>
    <w:rPr>
      <w:rFonts w:ascii="宋体" w:hAnsi="宋体" w:cs="MS Gothic"/>
      <w:sz w:val="24"/>
      <w:szCs w:val="21"/>
      <w:u w:val="none"/>
    </w:rPr>
  </w:style>
  <w:style w:type="paragraph" w:styleId="1063" w:customStyle="1">
    <w:name w:val="*正文"/>
    <w:basedOn w:val="778"/>
    <w:link w:val="1062"/>
    <w:uiPriority w:val="0"/>
    <w:qFormat/>
    <w:pPr>
      <w:ind w:firstLine="480"/>
      <w:spacing w:line="360" w:lineRule="auto"/>
    </w:pPr>
    <w:rPr>
      <w:rFonts w:ascii="宋体" w:hAnsi="宋体"/>
      <w:sz w:val="24"/>
      <w:szCs w:val="21"/>
    </w:rPr>
  </w:style>
  <w:style w:type="character" w:styleId="1064" w:customStyle="1">
    <w:name w:val="正文缩进 字符3"/>
    <w:link w:val="796"/>
    <w:uiPriority w:val="0"/>
    <w:qFormat/>
    <w:rPr>
      <w:sz w:val="21"/>
    </w:rPr>
  </w:style>
  <w:style w:type="character" w:styleId="1065" w:customStyle="1">
    <w:name w:val="副标题 字符"/>
    <w:link w:val="826"/>
    <w:uiPriority w:val="0"/>
    <w:qFormat/>
    <w:rPr>
      <w:rFonts w:ascii="Cambria" w:hAnsi="Cambria" w:eastAsia="宋体"/>
      <w:b/>
      <w:bCs/>
      <w:sz w:val="32"/>
      <w:szCs w:val="32"/>
      <w:lang w:val="en-US" w:eastAsia="zh-CN" w:bidi="ar-SA"/>
    </w:rPr>
  </w:style>
  <w:style w:type="character" w:styleId="1066" w:customStyle="1">
    <w:name w:val="页脚 字符2"/>
    <w:link w:val="818"/>
    <w:uiPriority w:val="99"/>
    <w:qFormat/>
    <w:rPr>
      <w:rFonts w:eastAsia="宋体"/>
      <w:sz w:val="18"/>
      <w:lang w:val="en-US" w:eastAsia="zh-CN" w:bidi="ar-SA"/>
    </w:rPr>
  </w:style>
  <w:style w:type="character" w:styleId="1067" w:customStyle="1">
    <w:name w:val="王兴华的论文正文 Char"/>
    <w:link w:val="1068"/>
    <w:uiPriority w:val="0"/>
    <w:qFormat/>
    <w:rPr>
      <w:rFonts w:eastAsia="宋体"/>
      <w:sz w:val="24"/>
      <w:szCs w:val="24"/>
      <w:lang w:val="en-US" w:eastAsia="zh-CN" w:bidi="ar-SA"/>
    </w:rPr>
  </w:style>
  <w:style w:type="paragraph" w:styleId="1068" w:customStyle="1">
    <w:name w:val="王兴华的论文正文"/>
    <w:basedOn w:val="796"/>
    <w:link w:val="1067"/>
    <w:uiPriority w:val="0"/>
    <w:qFormat/>
    <w:pPr>
      <w:ind w:firstLine="200"/>
      <w:spacing w:line="360" w:lineRule="auto"/>
    </w:pPr>
    <w:rPr>
      <w:sz w:val="24"/>
      <w:szCs w:val="24"/>
    </w:rPr>
  </w:style>
  <w:style w:type="character" w:styleId="1069" w:customStyle="1">
    <w:name w:val="页眉 字符"/>
    <w:uiPriority w:val="0"/>
    <w:qFormat/>
    <w:rPr>
      <w:rFonts w:eastAsia="宋体"/>
      <w:sz w:val="18"/>
      <w:lang w:val="en-US" w:eastAsia="zh-CN" w:bidi="ar-SA"/>
    </w:rPr>
  </w:style>
  <w:style w:type="character" w:styleId="1070" w:customStyle="1">
    <w:name w:val="HTML 预设格式 Char1"/>
    <w:uiPriority w:val="0"/>
    <w:qFormat/>
    <w:rPr>
      <w:rFonts w:ascii="Courier New" w:hAnsi="Courier New" w:eastAsia="楷体_GB2312" w:cs="Courier New"/>
    </w:rPr>
  </w:style>
  <w:style w:type="character" w:styleId="1071" w:customStyle="1">
    <w:name w:val="标题 5 字符"/>
    <w:uiPriority w:val="0"/>
    <w:qFormat/>
    <w:rPr>
      <w:rFonts w:eastAsia="宋体"/>
      <w:b/>
      <w:bCs/>
      <w:sz w:val="28"/>
      <w:szCs w:val="28"/>
      <w:lang w:val="en-US" w:eastAsia="zh-CN" w:bidi="ar-SA"/>
    </w:rPr>
  </w:style>
  <w:style w:type="character" w:styleId="1072" w:customStyle="1">
    <w:name w:val="正文首行缩进2字 Char"/>
    <w:link w:val="1073"/>
    <w:uiPriority w:val="0"/>
    <w:qFormat/>
    <w:rPr>
      <w:rFonts w:eastAsia="楷体_GB2312"/>
      <w:sz w:val="24"/>
      <w:szCs w:val="24"/>
    </w:rPr>
  </w:style>
  <w:style w:type="paragraph" w:styleId="1073" w:customStyle="1">
    <w:name w:val="正文首行缩进2字"/>
    <w:basedOn w:val="778"/>
    <w:link w:val="1072"/>
    <w:uiPriority w:val="0"/>
    <w:qFormat/>
    <w:pPr>
      <w:ind w:firstLine="540"/>
      <w:spacing w:line="288" w:lineRule="auto"/>
    </w:pPr>
    <w:rPr>
      <w:rFonts w:eastAsia="楷体_GB2312"/>
      <w:sz w:val="24"/>
      <w:szCs w:val="24"/>
    </w:rPr>
  </w:style>
  <w:style w:type="character" w:styleId="1074" w:customStyle="1">
    <w:name w:val="批注框文本 字符"/>
    <w:uiPriority w:val="0"/>
    <w:qFormat/>
    <w:rPr>
      <w:rFonts w:eastAsia="楷体_GB2312"/>
      <w:sz w:val="18"/>
      <w:szCs w:val="18"/>
      <w:lang w:bidi="ar-SA"/>
    </w:rPr>
  </w:style>
  <w:style w:type="character" w:styleId="1075" w:customStyle="1">
    <w:name w:val="标题 字符"/>
    <w:link w:val="840"/>
    <w:uiPriority w:val="0"/>
    <w:qFormat/>
    <w:rPr>
      <w:rFonts w:ascii="Cambria" w:hAnsi="Cambria" w:eastAsia="宋体"/>
      <w:b/>
      <w:bCs/>
      <w:sz w:val="32"/>
      <w:szCs w:val="32"/>
      <w:lang w:val="en-US" w:eastAsia="zh-CN" w:bidi="ar-SA"/>
    </w:rPr>
  </w:style>
  <w:style w:type="character" w:styleId="1076" w:customStyle="1">
    <w:name w:val="纯文本 Char"/>
    <w:uiPriority w:val="0"/>
    <w:qFormat/>
    <w:rPr>
      <w:rFonts w:ascii="宋体" w:hAnsi="Courier New" w:eastAsia="楷体_GB2312"/>
      <w:sz w:val="28"/>
      <w:lang w:val="en-US" w:eastAsia="zh-CN" w:bidi="ar-SA"/>
    </w:rPr>
  </w:style>
  <w:style w:type="character" w:styleId="1077" w:customStyle="1">
    <w:name w:val="正文文本首行缩进 2 字符"/>
    <w:link w:val="843"/>
    <w:uiPriority w:val="0"/>
    <w:qFormat/>
    <w:rPr>
      <w:sz w:val="21"/>
      <w:szCs w:val="24"/>
    </w:rPr>
  </w:style>
  <w:style w:type="character" w:styleId="1078" w:customStyle="1">
    <w:name w:val="表格正文 Char"/>
    <w:link w:val="1079"/>
    <w:uiPriority w:val="0"/>
    <w:qFormat/>
    <w:rPr>
      <w:rFonts w:ascii="等线" w:hAnsi="等线"/>
      <w:sz w:val="21"/>
      <w:szCs w:val="21"/>
    </w:rPr>
  </w:style>
  <w:style w:type="paragraph" w:styleId="1079" w:customStyle="1">
    <w:name w:val="表格正文"/>
    <w:basedOn w:val="778"/>
    <w:link w:val="1078"/>
    <w:uiPriority w:val="0"/>
    <w:qFormat/>
    <w:rPr>
      <w:rFonts w:ascii="等线" w:hAnsi="等线"/>
      <w:szCs w:val="21"/>
    </w:rPr>
  </w:style>
  <w:style w:type="character" w:styleId="1080" w:customStyle="1">
    <w:name w:val="HTML 预设格式 字符1"/>
    <w:link w:val="837"/>
    <w:uiPriority w:val="0"/>
    <w:qFormat/>
    <w:rPr>
      <w:rFonts w:ascii="黑体" w:hAnsi="Courier New" w:eastAsia="黑体" w:cs="Times New Roman"/>
      <w:szCs w:val="24"/>
    </w:rPr>
  </w:style>
  <w:style w:type="character" w:styleId="1081" w:customStyle="1">
    <w:name w:val="Char Char2"/>
    <w:uiPriority w:val="0"/>
    <w:qFormat/>
    <w:rPr>
      <w:rFonts w:ascii="宋体" w:hAnsi="宋体" w:eastAsia="楷体_GB2312"/>
      <w:sz w:val="24"/>
      <w:lang w:val="en-US" w:eastAsia="zh-CN" w:bidi="ar-SA"/>
    </w:rPr>
  </w:style>
  <w:style w:type="character" w:styleId="1082" w:customStyle="1">
    <w:name w:val="批注文字 字符1"/>
    <w:link w:val="800"/>
    <w:uiPriority w:val="99"/>
    <w:qFormat/>
    <w:rPr>
      <w:rFonts w:ascii="Calibri" w:hAnsi="Calibri"/>
      <w:sz w:val="21"/>
      <w:szCs w:val="22"/>
    </w:rPr>
  </w:style>
  <w:style w:type="character" w:styleId="1083" w:customStyle="1">
    <w:name w:val="正文2 字符"/>
    <w:link w:val="1084"/>
    <w:uiPriority w:val="0"/>
    <w:qFormat/>
    <w:rPr>
      <w:sz w:val="24"/>
      <w:szCs w:val="24"/>
    </w:rPr>
  </w:style>
  <w:style w:type="paragraph" w:styleId="1084" w:customStyle="1">
    <w:name w:val="正文2"/>
    <w:basedOn w:val="778"/>
    <w:link w:val="1083"/>
    <w:uiPriority w:val="0"/>
    <w:qFormat/>
    <w:pPr>
      <w:ind w:firstLine="420"/>
      <w:spacing w:line="360" w:lineRule="auto"/>
    </w:pPr>
    <w:rPr>
      <w:sz w:val="24"/>
      <w:szCs w:val="24"/>
    </w:rPr>
  </w:style>
  <w:style w:type="character" w:styleId="1085" w:customStyle="1">
    <w:name w:val="font31"/>
    <w:uiPriority w:val="0"/>
    <w:qFormat/>
    <w:rPr>
      <w:rFonts w:hint="eastAsia" w:ascii="黑体" w:eastAsia="黑体" w:cs="黑体"/>
      <w:color w:val="000000"/>
      <w:sz w:val="20"/>
      <w:szCs w:val="20"/>
      <w:u w:val="none"/>
    </w:rPr>
  </w:style>
  <w:style w:type="character" w:styleId="1086" w:customStyle="1">
    <w:name w:val="标题 8 字符1"/>
    <w:link w:val="786"/>
    <w:uiPriority w:val="0"/>
    <w:qFormat/>
    <w:rPr>
      <w:b/>
      <w:bCs/>
      <w:sz w:val="24"/>
      <w:szCs w:val="24"/>
    </w:rPr>
  </w:style>
  <w:style w:type="character" w:styleId="1087" w:customStyle="1">
    <w:name w:val="正文首行缩进 Char"/>
    <w:uiPriority w:val="0"/>
    <w:qFormat/>
    <w:rPr>
      <w:rFonts w:ascii="楷体_GB2312" w:hAnsi="Arial" w:eastAsia="楷体_GB2312"/>
      <w:sz w:val="21"/>
    </w:rPr>
  </w:style>
  <w:style w:type="character" w:styleId="1088" w:customStyle="1">
    <w:name w:val="正文文本缩进 2 字符"/>
    <w:link w:val="815"/>
    <w:uiPriority w:val="0"/>
    <w:qFormat/>
    <w:rPr>
      <w:sz w:val="24"/>
    </w:rPr>
  </w:style>
  <w:style w:type="character" w:styleId="1089" w:customStyle="1">
    <w:name w:val="标题 6 字符1"/>
    <w:link w:val="784"/>
    <w:uiPriority w:val="0"/>
    <w:qFormat/>
    <w:rPr>
      <w:rFonts w:ascii="Cambria" w:hAnsi="Cambria" w:eastAsia="黑体"/>
      <w:b/>
      <w:bCs/>
      <w:sz w:val="28"/>
      <w:szCs w:val="24"/>
    </w:rPr>
  </w:style>
  <w:style w:type="character" w:styleId="1090" w:customStyle="1">
    <w:name w:val="Char Char10"/>
    <w:uiPriority w:val="0"/>
    <w:qFormat/>
    <w:rPr>
      <w:rFonts w:ascii="Times New Roman" w:hAnsi="Times New Roman" w:eastAsia="宋体" w:cs="Times New Roman"/>
      <w:b/>
      <w:bCs/>
      <w:sz w:val="28"/>
      <w:szCs w:val="28"/>
    </w:rPr>
  </w:style>
  <w:style w:type="character" w:styleId="1091" w:customStyle="1">
    <w:name w:val="标题 4 字符1"/>
    <w:link w:val="782"/>
    <w:uiPriority w:val="0"/>
    <w:qFormat/>
    <w:rPr>
      <w:b/>
      <w:bCs/>
      <w:sz w:val="18"/>
    </w:rPr>
  </w:style>
  <w:style w:type="character" w:styleId="1092" w:customStyle="1">
    <w:name w:val="正文文本 字符1"/>
    <w:link w:val="803"/>
    <w:uiPriority w:val="0"/>
    <w:qFormat/>
    <w:rPr>
      <w:rFonts w:ascii="楷体_GB2312" w:hAnsi="Arial" w:eastAsia="楷体_GB2312"/>
      <w:sz w:val="28"/>
    </w:rPr>
  </w:style>
  <w:style w:type="character" w:styleId="1093" w:customStyle="1">
    <w:name w:val="标题 8 字符"/>
    <w:uiPriority w:val="0"/>
    <w:qFormat/>
    <w:rPr>
      <w:rFonts w:ascii="Arial" w:hAnsi="Arial" w:eastAsia="黑体"/>
      <w:sz w:val="24"/>
      <w:szCs w:val="24"/>
      <w:lang w:val="en-US" w:eastAsia="zh-CN" w:bidi="ar-SA"/>
    </w:rPr>
  </w:style>
  <w:style w:type="character" w:styleId="1094" w:customStyle="1">
    <w:name w:val="无间隔 Char"/>
    <w:link w:val="1095"/>
    <w:uiPriority w:val="1"/>
    <w:qFormat/>
    <w:rPr>
      <w:rFonts w:ascii="Calibri" w:hAnsi="Calibri"/>
      <w:sz w:val="22"/>
      <w:szCs w:val="22"/>
      <w:lang w:val="en-US" w:eastAsia="zh-CN" w:bidi="ar-SA"/>
    </w:rPr>
  </w:style>
  <w:style w:type="paragraph" w:styleId="1095" w:customStyle="1">
    <w:name w:val="无间隔1"/>
    <w:link w:val="1094"/>
    <w:uiPriority w:val="1"/>
    <w:qFormat/>
    <w:rPr>
      <w:rFonts w:hint="default" w:ascii="Calibri" w:hAnsi="Calibri" w:eastAsia="宋体" w:cs="Times New Roman"/>
      <w:sz w:val="22"/>
      <w:szCs w:val="22"/>
      <w:lang w:val="en-US" w:eastAsia="zh-CN" w:bidi="ar-SA"/>
    </w:rPr>
  </w:style>
  <w:style w:type="character" w:styleId="1096" w:customStyle="1">
    <w:name w:val="正文首行缩进 Char Char"/>
    <w:link w:val="1097"/>
    <w:uiPriority w:val="0"/>
    <w:qFormat/>
    <w:rPr>
      <w:szCs w:val="24"/>
    </w:rPr>
  </w:style>
  <w:style w:type="paragraph" w:styleId="1097" w:customStyle="1">
    <w:name w:val="正文首行缩进1"/>
    <w:basedOn w:val="803"/>
    <w:link w:val="1096"/>
    <w:uiPriority w:val="0"/>
    <w:qFormat/>
    <w:pPr>
      <w:ind w:firstLine="420"/>
      <w:spacing w:after="120"/>
      <w:widowControl/>
    </w:pPr>
    <w:rPr>
      <w:rFonts w:ascii="Times New Roman" w:hAnsi="Times New Roman" w:eastAsia="宋体"/>
      <w:sz w:val="20"/>
      <w:szCs w:val="24"/>
    </w:rPr>
  </w:style>
  <w:style w:type="character" w:styleId="1098" w:customStyle="1">
    <w:name w:val="font11"/>
    <w:uiPriority w:val="0"/>
    <w:qFormat/>
    <w:rPr>
      <w:rFonts w:hint="eastAsia" w:ascii="宋体" w:hAnsi="宋体" w:eastAsia="宋体" w:cs="宋体"/>
      <w:color w:val="000000"/>
      <w:sz w:val="20"/>
      <w:szCs w:val="20"/>
      <w:u w:val="none"/>
    </w:rPr>
  </w:style>
  <w:style w:type="character" w:styleId="1099" w:customStyle="1">
    <w:name w:val="列出段落 Char1"/>
    <w:uiPriority w:val="34"/>
    <w:qFormat/>
    <w:rPr>
      <w:sz w:val="21"/>
      <w:szCs w:val="22"/>
    </w:rPr>
  </w:style>
  <w:style w:type="character" w:styleId="1100" w:customStyle="1">
    <w:name w:val="批注主题 字符1"/>
    <w:link w:val="841"/>
    <w:uiPriority w:val="99"/>
    <w:qFormat/>
    <w:rPr>
      <w:rFonts w:ascii="Calibri" w:hAnsi="Calibri" w:eastAsia="楷体_GB2312"/>
      <w:b/>
      <w:bCs/>
      <w:sz w:val="26"/>
      <w:szCs w:val="22"/>
    </w:rPr>
  </w:style>
  <w:style w:type="character" w:styleId="1101" w:customStyle="1">
    <w:name w:val="blue3"/>
    <w:uiPriority w:val="0"/>
    <w:qFormat/>
    <w:rPr>
      <w:color w:val="0000ff"/>
      <w:spacing w:val="270"/>
      <w:u w:val="none"/>
    </w:rPr>
  </w:style>
  <w:style w:type="character" w:styleId="1102" w:customStyle="1">
    <w:name w:val="列出段落 字符"/>
    <w:link w:val="1103"/>
    <w:uiPriority w:val="34"/>
    <w:qFormat/>
    <w:rPr>
      <w:sz w:val="21"/>
      <w:szCs w:val="24"/>
    </w:rPr>
  </w:style>
  <w:style w:type="paragraph" w:styleId="1103" w:customStyle="1">
    <w:name w:val="列出段落1"/>
    <w:basedOn w:val="778"/>
    <w:link w:val="1102"/>
    <w:uiPriority w:val="34"/>
    <w:qFormat/>
    <w:pPr>
      <w:ind w:firstLine="420"/>
    </w:pPr>
    <w:rPr>
      <w:szCs w:val="24"/>
    </w:rPr>
  </w:style>
  <w:style w:type="character" w:styleId="1104" w:customStyle="1">
    <w:name w:val="标题 3 字符2"/>
    <w:link w:val="781"/>
    <w:uiPriority w:val="0"/>
    <w:qFormat/>
    <w:rPr>
      <w:rFonts w:ascii="宋体" w:hAnsi="宋体" w:eastAsia="宋体"/>
      <w:sz w:val="28"/>
      <w:lang w:val="en-US" w:eastAsia="zh-CN" w:bidi="ar-SA"/>
    </w:rPr>
  </w:style>
  <w:style w:type="character" w:styleId="1105" w:customStyle="1">
    <w:name w:val="正文首行缩进 2 Char"/>
    <w:uiPriority w:val="0"/>
    <w:qFormat/>
    <w:rPr>
      <w:rFonts w:ascii="宋体" w:eastAsia="宋体"/>
      <w:sz w:val="21"/>
      <w:lang w:val="en-US" w:eastAsia="zh-CN" w:bidi="ar-SA"/>
    </w:rPr>
  </w:style>
  <w:style w:type="character" w:styleId="1106" w:customStyle="1">
    <w:name w:val="标题 5 字符1"/>
    <w:link w:val="783"/>
    <w:uiPriority w:val="0"/>
    <w:qFormat/>
    <w:rPr>
      <w:rFonts w:eastAsia="宋体"/>
      <w:b/>
      <w:bCs/>
      <w:sz w:val="18"/>
      <w:lang w:val="en-US" w:eastAsia="zh-CN" w:bidi="ar-SA"/>
    </w:rPr>
  </w:style>
  <w:style w:type="character" w:styleId="1107" w:customStyle="1">
    <w:name w:val="正文文本缩进 字符3"/>
    <w:link w:val="804"/>
    <w:uiPriority w:val="0"/>
    <w:qFormat/>
    <w:rPr>
      <w:rFonts w:ascii="宋体" w:eastAsia="宋体"/>
      <w:sz w:val="28"/>
      <w:lang w:val="en-US" w:eastAsia="zh-CN" w:bidi="ar-SA"/>
    </w:rPr>
  </w:style>
  <w:style w:type="character" w:styleId="1108" w:customStyle="1">
    <w:name w:val="ca-0"/>
    <w:uiPriority w:val="0"/>
    <w:qFormat/>
    <w:rPr>
      <w:rFonts w:ascii="Tahoma" w:hAnsi="Tahoma" w:eastAsia="宋体"/>
      <w:sz w:val="24"/>
      <w:szCs w:val="24"/>
      <w:lang w:val="en-US" w:eastAsia="zh-CN" w:bidi="ar-SA"/>
    </w:rPr>
  </w:style>
  <w:style w:type="character" w:styleId="1109" w:customStyle="1">
    <w:name w:val="font41"/>
    <w:uiPriority w:val="0"/>
    <w:qFormat/>
    <w:rPr>
      <w:rFonts w:hint="eastAsia" w:ascii="宋体" w:hAnsi="宋体" w:eastAsia="宋体" w:cs="宋体"/>
      <w:color w:val="000000"/>
      <w:sz w:val="20"/>
      <w:szCs w:val="20"/>
      <w:u w:val="none"/>
    </w:rPr>
  </w:style>
  <w:style w:type="character" w:styleId="1110" w:customStyle="1">
    <w:name w:val="apple-converted-space"/>
    <w:uiPriority w:val="0"/>
    <w:qFormat/>
  </w:style>
  <w:style w:type="character" w:styleId="1111" w:customStyle="1">
    <w:name w:val="标题 2 字符1"/>
    <w:link w:val="780"/>
    <w:uiPriority w:val="0"/>
    <w:qFormat/>
    <w:rPr>
      <w:rFonts w:ascii="宋体" w:hAnsi="宋体"/>
      <w:b/>
      <w:bCs/>
      <w:sz w:val="28"/>
      <w:szCs w:val="28"/>
    </w:rPr>
  </w:style>
  <w:style w:type="character" w:styleId="1112" w:customStyle="1">
    <w:name w:val="文档结构图 字符"/>
    <w:link w:val="790"/>
    <w:uiPriority w:val="99"/>
    <w:qFormat/>
    <w:rPr>
      <w:sz w:val="21"/>
      <w:shd w:val="clear" w:color="auto" w:fill="000080"/>
    </w:rPr>
  </w:style>
  <w:style w:type="character" w:styleId="1113" w:customStyle="1">
    <w:name w:val="日期 字符"/>
    <w:uiPriority w:val="0"/>
    <w:qFormat/>
    <w:rPr>
      <w:rFonts w:ascii="宋体" w:hAnsi="宋体" w:eastAsia="楷体_GB2312"/>
      <w:sz w:val="24"/>
      <w:szCs w:val="24"/>
      <w:lang w:val="en-US" w:eastAsia="zh-CN" w:bidi="ar-SA"/>
    </w:rPr>
  </w:style>
  <w:style w:type="character" w:styleId="1114" w:customStyle="1">
    <w:name w:val="不明显强调1"/>
    <w:uiPriority w:val="19"/>
    <w:qFormat/>
    <w:rPr>
      <w:i/>
      <w:iCs/>
      <w:color w:val="808080"/>
    </w:rPr>
  </w:style>
  <w:style w:type="character" w:styleId="1115" w:customStyle="1">
    <w:name w:val="日期 字符1"/>
    <w:link w:val="814"/>
    <w:uiPriority w:val="0"/>
    <w:qFormat/>
    <w:rPr>
      <w:rFonts w:ascii="宋体"/>
      <w:sz w:val="28"/>
    </w:rPr>
  </w:style>
  <w:style w:type="character" w:styleId="1116" w:customStyle="1">
    <w:name w:val="标题 7 字符"/>
    <w:uiPriority w:val="0"/>
    <w:qFormat/>
    <w:rPr>
      <w:rFonts w:ascii="宋体" w:hAnsi="Tahoma" w:eastAsia="仿宋_GB2312"/>
      <w:b/>
      <w:sz w:val="24"/>
      <w:szCs w:val="24"/>
      <w:lang w:val="en-US" w:eastAsia="zh-CN" w:bidi="ar-SA"/>
    </w:rPr>
  </w:style>
  <w:style w:type="character" w:styleId="1117" w:customStyle="1">
    <w:name w:val="style221"/>
    <w:uiPriority w:val="0"/>
    <w:qFormat/>
    <w:rPr>
      <w:b/>
      <w:bCs/>
      <w:color w:val="000099"/>
    </w:rPr>
  </w:style>
  <w:style w:type="character" w:styleId="1118" w:customStyle="1">
    <w:name w:val="正文文本 2 字符1"/>
    <w:link w:val="836"/>
    <w:uiPriority w:val="99"/>
    <w:qFormat/>
    <w:rPr>
      <w:sz w:val="21"/>
    </w:rPr>
  </w:style>
  <w:style w:type="character" w:styleId="1119" w:customStyle="1">
    <w:name w:val="_正文 Char"/>
    <w:link w:val="1120"/>
    <w:uiPriority w:val="0"/>
    <w:qFormat/>
    <w:rPr>
      <w:sz w:val="24"/>
      <w:szCs w:val="24"/>
    </w:rPr>
  </w:style>
  <w:style w:type="paragraph" w:styleId="1120" w:customStyle="1">
    <w:name w:val="_正文"/>
    <w:basedOn w:val="778"/>
    <w:link w:val="1119"/>
    <w:uiPriority w:val="0"/>
    <w:qFormat/>
    <w:pPr>
      <w:ind w:firstLine="200"/>
      <w:spacing w:line="360" w:lineRule="auto"/>
    </w:pPr>
    <w:rPr>
      <w:sz w:val="24"/>
      <w:szCs w:val="24"/>
    </w:rPr>
  </w:style>
  <w:style w:type="character" w:styleId="1121" w:customStyle="1">
    <w:name w:val="明显强调1"/>
    <w:uiPriority w:val="21"/>
    <w:qFormat/>
    <w:rPr>
      <w:b/>
      <w:bCs/>
      <w:i/>
      <w:iCs/>
      <w:color w:val="4f81bd"/>
    </w:rPr>
  </w:style>
  <w:style w:type="character" w:styleId="1122" w:customStyle="1">
    <w:name w:val="正文文本 3 字符"/>
    <w:link w:val="802"/>
    <w:uiPriority w:val="99"/>
    <w:qFormat/>
    <w:rPr>
      <w:rFonts w:ascii="宋体" w:hAnsi="宋体" w:eastAsia="楷体_GB2312"/>
      <w:sz w:val="26"/>
    </w:rPr>
  </w:style>
  <w:style w:type="character" w:styleId="1123" w:customStyle="1">
    <w:name w:val="正文缩进 字符"/>
    <w:uiPriority w:val="0"/>
    <w:qFormat/>
    <w:rPr>
      <w:rFonts w:eastAsia="楷体_GB2312"/>
      <w:sz w:val="24"/>
      <w:lang w:bidi="ar-SA"/>
    </w:rPr>
  </w:style>
  <w:style w:type="character" w:styleId="1124" w:customStyle="1">
    <w:name w:val="正文文本缩进 3 Char1"/>
    <w:uiPriority w:val="0"/>
    <w:qFormat/>
    <w:rPr>
      <w:rFonts w:hint="default" w:ascii="Calibri" w:hAnsi="Calibri" w:cs="Calibri"/>
      <w:sz w:val="16"/>
      <w:szCs w:val="16"/>
    </w:rPr>
  </w:style>
  <w:style w:type="character" w:styleId="1125" w:customStyle="1">
    <w:name w:val="题注 字符"/>
    <w:link w:val="797"/>
    <w:uiPriority w:val="0"/>
    <w:qFormat/>
    <w:rPr>
      <w:rFonts w:ascii="Arial" w:hAnsi="Arial" w:eastAsia="黑体"/>
    </w:rPr>
  </w:style>
  <w:style w:type="character" w:styleId="1126" w:customStyle="1">
    <w:name w:val="批注框文本 Char1"/>
    <w:uiPriority w:val="0"/>
    <w:qFormat/>
    <w:rPr>
      <w:rFonts w:hint="default" w:ascii="Calibri" w:hAnsi="Calibri" w:cs="Calibri"/>
      <w:sz w:val="18"/>
      <w:szCs w:val="18"/>
    </w:rPr>
  </w:style>
  <w:style w:type="character" w:styleId="1127" w:customStyle="1">
    <w:name w:val="正文文本缩进 Char"/>
    <w:uiPriority w:val="99"/>
    <w:qFormat/>
    <w:rPr>
      <w:rFonts w:ascii="宋体" w:eastAsia="宋体"/>
      <w:sz w:val="28"/>
      <w:lang w:val="en-US" w:eastAsia="zh-CN" w:bidi="ar-SA"/>
    </w:rPr>
  </w:style>
  <w:style w:type="character" w:styleId="1128" w:customStyle="1">
    <w:name w:val="纯文本 字符"/>
    <w:uiPriority w:val="0"/>
    <w:qFormat/>
    <w:rPr>
      <w:rFonts w:ascii="宋体" w:hAnsi="Courier New" w:eastAsia="楷体_GB2312"/>
      <w:sz w:val="26"/>
      <w:lang w:bidi="ar-SA"/>
    </w:rPr>
  </w:style>
  <w:style w:type="character" w:styleId="1129" w:customStyle="1">
    <w:name w:val="文章正文 字符"/>
    <w:link w:val="1130"/>
    <w:uiPriority w:val="0"/>
    <w:qFormat/>
    <w:rPr>
      <w:sz w:val="24"/>
    </w:rPr>
  </w:style>
  <w:style w:type="paragraph" w:styleId="1130" w:customStyle="1">
    <w:name w:val="文章正文"/>
    <w:basedOn w:val="778"/>
    <w:link w:val="1129"/>
    <w:uiPriority w:val="0"/>
    <w:qFormat/>
    <w:pPr>
      <w:ind w:firstLine="560"/>
      <w:jc w:val="left"/>
      <w:spacing w:line="360" w:lineRule="auto"/>
      <w:widowControl/>
    </w:pPr>
    <w:rPr>
      <w:sz w:val="24"/>
    </w:rPr>
  </w:style>
  <w:style w:type="character" w:styleId="1131" w:customStyle="1">
    <w:name w:val="Andy_2级 Char"/>
    <w:link w:val="1132"/>
    <w:uiPriority w:val="0"/>
    <w:qFormat/>
    <w:rPr>
      <w:rFonts w:ascii="Calibri" w:hAnsi="Calibri"/>
      <w:sz w:val="24"/>
    </w:rPr>
  </w:style>
  <w:style w:type="paragraph" w:styleId="1132" w:customStyle="1">
    <w:name w:val="Andy_2级"/>
    <w:basedOn w:val="778"/>
    <w:link w:val="1131"/>
    <w:uiPriority w:val="0"/>
    <w:qFormat/>
    <w:pPr>
      <w:ind w:left="840" w:hanging="420"/>
      <w:spacing w:line="360" w:lineRule="auto"/>
      <w:tabs>
        <w:tab w:val="left" w:pos="840" w:leader="none"/>
      </w:tabs>
    </w:pPr>
    <w:rPr>
      <w:rFonts w:ascii="Calibri" w:hAnsi="Calibri"/>
      <w:sz w:val="24"/>
    </w:rPr>
  </w:style>
  <w:style w:type="character" w:styleId="1133" w:customStyle="1">
    <w:name w:val="方案正文 Char"/>
    <w:link w:val="1134"/>
    <w:uiPriority w:val="0"/>
    <w:qFormat/>
    <w:rPr>
      <w:sz w:val="24"/>
    </w:rPr>
  </w:style>
  <w:style w:type="paragraph" w:styleId="1134" w:customStyle="1">
    <w:name w:val="方案正文"/>
    <w:basedOn w:val="778"/>
    <w:link w:val="1133"/>
    <w:uiPriority w:val="0"/>
    <w:qFormat/>
    <w:pPr>
      <w:spacing w:line="440" w:lineRule="atLeast"/>
    </w:pPr>
    <w:rPr>
      <w:sz w:val="24"/>
    </w:rPr>
  </w:style>
  <w:style w:type="character" w:styleId="1135" w:customStyle="1">
    <w:name w:val="para1"/>
    <w:uiPriority w:val="0"/>
    <w:qFormat/>
    <w:rPr>
      <w:rFonts w:hint="default" w:ascii="Arial" w:hAnsi="Arial" w:cs="Arial"/>
      <w:sz w:val="18"/>
      <w:szCs w:val="18"/>
    </w:rPr>
  </w:style>
  <w:style w:type="character" w:styleId="1136" w:customStyle="1">
    <w:name w:val="03 正文 Char"/>
    <w:link w:val="1137"/>
    <w:uiPriority w:val="0"/>
    <w:qFormat/>
    <w:rPr>
      <w:sz w:val="21"/>
      <w:szCs w:val="22"/>
    </w:rPr>
  </w:style>
  <w:style w:type="paragraph" w:styleId="1137" w:customStyle="1">
    <w:name w:val="03 正文"/>
    <w:basedOn w:val="778"/>
    <w:link w:val="1136"/>
    <w:uiPriority w:val="0"/>
    <w:qFormat/>
    <w:pPr>
      <w:ind w:firstLine="420"/>
      <w:spacing w:line="500" w:lineRule="atLeast"/>
      <w:widowControl/>
    </w:pPr>
    <w:rPr>
      <w:szCs w:val="22"/>
    </w:rPr>
  </w:style>
  <w:style w:type="character" w:styleId="1138" w:customStyle="1">
    <w:name w:val="param-name"/>
    <w:uiPriority w:val="0"/>
    <w:qFormat/>
    <w:rPr>
      <w:rFonts w:ascii="Tahoma" w:hAnsi="Tahoma" w:eastAsia="宋体"/>
      <w:sz w:val="24"/>
      <w:szCs w:val="24"/>
      <w:lang w:val="en-US" w:eastAsia="zh-CN" w:bidi="ar-SA"/>
    </w:rPr>
  </w:style>
  <w:style w:type="character" w:styleId="1139" w:customStyle="1">
    <w:name w:val="apple-style-span"/>
    <w:uiPriority w:val="0"/>
    <w:qFormat/>
    <w:rPr>
      <w:rFonts w:ascii="Tahoma" w:hAnsi="Tahoma" w:eastAsia="宋体"/>
      <w:sz w:val="24"/>
      <w:szCs w:val="24"/>
      <w:lang w:val="en-US" w:eastAsia="zh-CN" w:bidi="ar-SA"/>
    </w:rPr>
  </w:style>
  <w:style w:type="character" w:styleId="1140" w:customStyle="1">
    <w:name w:val="列出段落 Char"/>
    <w:uiPriority w:val="34"/>
    <w:qFormat/>
    <w:rPr>
      <w:rFonts w:ascii="Calibri" w:hAnsi="Calibri"/>
      <w:sz w:val="24"/>
    </w:rPr>
  </w:style>
  <w:style w:type="character" w:styleId="1141" w:customStyle="1">
    <w:name w:val="Char Char8"/>
    <w:uiPriority w:val="0"/>
    <w:qFormat/>
    <w:rPr>
      <w:sz w:val="18"/>
      <w:szCs w:val="18"/>
    </w:rPr>
  </w:style>
  <w:style w:type="character" w:styleId="1142" w:customStyle="1">
    <w:name w:val="正文文本缩进 字符1"/>
    <w:uiPriority w:val="0"/>
    <w:qFormat/>
    <w:rPr>
      <w:rFonts w:ascii="宋体" w:eastAsia="宋体"/>
      <w:sz w:val="28"/>
      <w:lang w:val="en-US" w:eastAsia="zh-CN" w:bidi="ar-SA"/>
    </w:rPr>
  </w:style>
  <w:style w:type="character" w:styleId="1143" w:customStyle="1">
    <w:name w:val="HTML 预设格式 字符"/>
    <w:uiPriority w:val="0"/>
    <w:qFormat/>
    <w:rPr>
      <w:rFonts w:ascii="宋体" w:hAnsi="宋体" w:cs="宋体"/>
      <w:sz w:val="24"/>
      <w:szCs w:val="24"/>
    </w:rPr>
  </w:style>
  <w:style w:type="character" w:styleId="1144" w:customStyle="1">
    <w:name w:val="style141"/>
    <w:uiPriority w:val="0"/>
    <w:qFormat/>
    <w:rPr>
      <w:rFonts w:hint="eastAsia" w:ascii="宋体" w:hAnsi="宋体" w:eastAsia="宋体"/>
    </w:rPr>
  </w:style>
  <w:style w:type="character" w:styleId="1145" w:customStyle="1">
    <w:name w:val="_标题3 Char"/>
    <w:link w:val="1146"/>
    <w:uiPriority w:val="0"/>
    <w:qFormat/>
    <w:rPr>
      <w:rFonts w:ascii="Calibri" w:hAnsi="Calibri" w:eastAsia="宋体" w:cs="Times New Roman"/>
      <w:b/>
      <w:sz w:val="28"/>
      <w:szCs w:val="21"/>
    </w:rPr>
  </w:style>
  <w:style w:type="paragraph" w:styleId="1146" w:customStyle="1">
    <w:name w:val="_标题3"/>
    <w:basedOn w:val="778"/>
    <w:next w:val="778"/>
    <w:link w:val="1145"/>
    <w:uiPriority w:val="0"/>
    <w:qFormat/>
    <w:pPr>
      <w:jc w:val="left"/>
      <w:keepNext/>
      <w:spacing w:line="360" w:lineRule="auto"/>
      <w:outlineLvl w:val="2"/>
    </w:pPr>
    <w:rPr>
      <w:rFonts w:ascii="Calibri" w:hAnsi="Calibri"/>
      <w:b/>
      <w:sz w:val="28"/>
      <w:szCs w:val="21"/>
    </w:rPr>
  </w:style>
  <w:style w:type="character" w:styleId="1147" w:customStyle="1">
    <w:name w:val="列表段落 字符"/>
    <w:link w:val="1148"/>
    <w:uiPriority w:val="34"/>
    <w:qFormat/>
    <w:rPr>
      <w:rFonts w:ascii="Calibri" w:hAnsi="Calibri"/>
      <w:sz w:val="24"/>
    </w:rPr>
  </w:style>
  <w:style w:type="paragraph" w:styleId="1148">
    <w:name w:val="List Paragraph"/>
    <w:basedOn w:val="778"/>
    <w:link w:val="1147"/>
    <w:uiPriority w:val="34"/>
    <w:qFormat/>
    <w:pPr>
      <w:ind w:firstLine="420"/>
      <w:spacing w:line="360" w:lineRule="auto"/>
    </w:pPr>
    <w:rPr>
      <w:rFonts w:ascii="Calibri" w:hAnsi="Calibri"/>
      <w:sz w:val="24"/>
    </w:rPr>
  </w:style>
  <w:style w:type="character" w:styleId="1149" w:customStyle="1">
    <w:name w:val="para"/>
    <w:uiPriority w:val="0"/>
    <w:qFormat/>
    <w:rPr>
      <w:rFonts w:ascii="Tahoma" w:hAnsi="Tahoma" w:eastAsia="宋体"/>
      <w:sz w:val="24"/>
      <w:szCs w:val="24"/>
      <w:lang w:val="en-US" w:eastAsia="zh-CN" w:bidi="ar-SA"/>
    </w:rPr>
  </w:style>
  <w:style w:type="character" w:styleId="1150" w:customStyle="1">
    <w:name w:val="font21"/>
    <w:uiPriority w:val="0"/>
    <w:qFormat/>
    <w:rPr>
      <w:rFonts w:hint="eastAsia" w:ascii="宋体" w:hAnsi="宋体" w:eastAsia="宋体" w:cs="宋体"/>
      <w:color w:val="000000"/>
      <w:sz w:val="22"/>
      <w:szCs w:val="22"/>
      <w:u w:val="none"/>
    </w:rPr>
  </w:style>
  <w:style w:type="character" w:styleId="1151" w:customStyle="1">
    <w:name w:val="ca-1"/>
    <w:uiPriority w:val="0"/>
    <w:qFormat/>
    <w:rPr>
      <w:rFonts w:ascii="Tahoma" w:hAnsi="Tahoma" w:eastAsia="宋体"/>
      <w:sz w:val="24"/>
      <w:szCs w:val="24"/>
      <w:lang w:val="en-US" w:eastAsia="zh-CN" w:bidi="ar-SA"/>
    </w:rPr>
  </w:style>
  <w:style w:type="character" w:styleId="1152" w:customStyle="1">
    <w:name w:val="style21"/>
    <w:uiPriority w:val="0"/>
    <w:qFormat/>
    <w:rPr>
      <w:rFonts w:ascii="Tahoma" w:hAnsi="Tahoma" w:eastAsia="宋体"/>
      <w:color w:val="2e65b5"/>
      <w:sz w:val="24"/>
      <w:szCs w:val="24"/>
      <w:lang w:val="en-US" w:eastAsia="zh-CN" w:bidi="ar-SA"/>
    </w:rPr>
  </w:style>
  <w:style w:type="character" w:styleId="1153" w:customStyle="1">
    <w:name w:val="纯文本 Char Char Char Char Char Char Char Char Char Char"/>
    <w:uiPriority w:val="0"/>
    <w:qFormat/>
    <w:rPr>
      <w:rFonts w:ascii="宋体" w:hAnsi="Courier New" w:eastAsia="楷体_GB2312"/>
      <w:sz w:val="26"/>
      <w:lang w:val="en-US" w:eastAsia="zh-CN" w:bidi="ar-SA"/>
    </w:rPr>
  </w:style>
  <w:style w:type="character" w:styleId="1154" w:customStyle="1">
    <w:name w:val="无间隔 字符"/>
    <w:link w:val="1155"/>
    <w:uiPriority w:val="1"/>
    <w:qFormat/>
    <w:rPr>
      <w:sz w:val="24"/>
      <w:szCs w:val="24"/>
      <w:lang w:val="en-US" w:eastAsia="zh-CN" w:bidi="ar-SA"/>
    </w:rPr>
  </w:style>
  <w:style w:type="paragraph" w:styleId="1155">
    <w:name w:val="No Spacing"/>
    <w:link w:val="1154"/>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56" w:customStyle="1">
    <w:name w:val="09汇 表 Char"/>
    <w:link w:val="1157"/>
    <w:uiPriority w:val="0"/>
    <w:qFormat/>
    <w:rPr>
      <w:bCs/>
      <w:color w:val="000000"/>
      <w:sz w:val="22"/>
      <w:szCs w:val="24"/>
    </w:rPr>
  </w:style>
  <w:style w:type="paragraph" w:styleId="1157" w:customStyle="1">
    <w:name w:val="09汇 表"/>
    <w:basedOn w:val="778"/>
    <w:link w:val="1156"/>
    <w:uiPriority w:val="0"/>
    <w:qFormat/>
    <w:pPr>
      <w:jc w:val="center"/>
      <w:widowControl/>
    </w:pPr>
    <w:rPr>
      <w:bCs/>
      <w:color w:val="000000"/>
      <w:sz w:val="22"/>
      <w:szCs w:val="24"/>
    </w:rPr>
  </w:style>
  <w:style w:type="character" w:styleId="1158" w:customStyle="1">
    <w:name w:val="正文文本缩进 字符"/>
    <w:uiPriority w:val="0"/>
    <w:qFormat/>
    <w:rPr>
      <w:sz w:val="24"/>
      <w:lang w:bidi="ar-SA"/>
    </w:rPr>
  </w:style>
  <w:style w:type="character" w:styleId="1159" w:customStyle="1">
    <w:name w:val="表格 Char"/>
    <w:link w:val="1160"/>
    <w:uiPriority w:val="0"/>
    <w:qFormat/>
    <w:rPr>
      <w:rFonts w:ascii="等线" w:hAnsi="等线"/>
      <w:color w:val="000000"/>
      <w:szCs w:val="21"/>
      <w:lang w:val="en-US" w:eastAsia="zh-CN" w:bidi="ar-SA"/>
    </w:rPr>
  </w:style>
  <w:style w:type="paragraph" w:styleId="1160" w:customStyle="1">
    <w:name w:val="表格"/>
    <w:next w:val="778"/>
    <w:link w:val="1159"/>
    <w:uiPriority w:val="0"/>
    <w:qFormat/>
    <w:rPr>
      <w:rFonts w:hint="default" w:ascii="等线" w:hAnsi="等线" w:eastAsia="宋体" w:cs="Times New Roman"/>
      <w:color w:val="000000"/>
      <w:szCs w:val="21"/>
      <w:lang w:val="en-US" w:eastAsia="zh-CN" w:bidi="ar-SA"/>
    </w:rPr>
  </w:style>
  <w:style w:type="character" w:styleId="1161" w:customStyle="1">
    <w:name w:val="a"/>
    <w:uiPriority w:val="0"/>
    <w:qFormat/>
  </w:style>
  <w:style w:type="character" w:styleId="1162" w:customStyle="1">
    <w:name w:val="一. 字符"/>
    <w:link w:val="1163"/>
    <w:uiPriority w:val="0"/>
    <w:qFormat/>
    <w:rPr>
      <w:b/>
      <w:bCs/>
      <w:sz w:val="28"/>
      <w:szCs w:val="28"/>
    </w:rPr>
  </w:style>
  <w:style w:type="paragraph" w:styleId="1163" w:customStyle="1">
    <w:name w:val="一."/>
    <w:basedOn w:val="778"/>
    <w:link w:val="1162"/>
    <w:uiPriority w:val="0"/>
    <w:qFormat/>
    <w:pPr>
      <w:jc w:val="left"/>
      <w:spacing w:line="360" w:lineRule="auto"/>
    </w:pPr>
    <w:rPr>
      <w:b/>
      <w:bCs/>
      <w:sz w:val="28"/>
      <w:szCs w:val="28"/>
    </w:rPr>
  </w:style>
  <w:style w:type="character" w:styleId="1164" w:customStyle="1">
    <w:name w:val="纯文本 Char Char"/>
    <w:link w:val="1165"/>
    <w:uiPriority w:val="0"/>
    <w:qFormat/>
    <w:rPr>
      <w:rFonts w:ascii="宋体" w:hAnsi="Courier New" w:eastAsia="楷体_GB2312"/>
      <w:sz w:val="26"/>
      <w:szCs w:val="24"/>
    </w:rPr>
  </w:style>
  <w:style w:type="paragraph" w:styleId="1165" w:customStyle="1">
    <w:name w:val="纯文本11"/>
    <w:basedOn w:val="778"/>
    <w:link w:val="1164"/>
    <w:uiPriority w:val="0"/>
    <w:qFormat/>
    <w:pPr>
      <w:jc w:val="left"/>
      <w:widowControl/>
    </w:pPr>
    <w:rPr>
      <w:rFonts w:ascii="宋体" w:hAnsi="Courier New" w:eastAsia="楷体_GB2312"/>
      <w:sz w:val="26"/>
      <w:szCs w:val="24"/>
    </w:rPr>
  </w:style>
  <w:style w:type="character" w:styleId="1166" w:customStyle="1">
    <w:name w:val="_正文段落 Char"/>
    <w:link w:val="1167"/>
    <w:uiPriority w:val="0"/>
    <w:qFormat/>
    <w:rPr>
      <w:rFonts w:ascii="宋体" w:hAnsi="宋体"/>
      <w:sz w:val="24"/>
      <w:szCs w:val="24"/>
    </w:rPr>
  </w:style>
  <w:style w:type="paragraph" w:styleId="1167" w:customStyle="1">
    <w:name w:val="_正文段落"/>
    <w:basedOn w:val="778"/>
    <w:link w:val="1166"/>
    <w:uiPriority w:val="0"/>
    <w:qFormat/>
    <w:pPr>
      <w:ind w:firstLine="480"/>
      <w:jc w:val="left"/>
      <w:spacing w:line="360" w:lineRule="auto"/>
      <w:widowControl/>
    </w:pPr>
    <w:rPr>
      <w:rFonts w:ascii="宋体" w:hAnsi="宋体"/>
      <w:sz w:val="24"/>
      <w:szCs w:val="24"/>
    </w:rPr>
  </w:style>
  <w:style w:type="character" w:styleId="1168" w:customStyle="1">
    <w:name w:val="标题 1 字符"/>
    <w:uiPriority w:val="0"/>
    <w:qFormat/>
    <w:rPr>
      <w:rFonts w:eastAsia="楷体_GB2312"/>
      <w:b/>
      <w:sz w:val="44"/>
      <w:lang w:val="en-US" w:eastAsia="zh-CN" w:bidi="ar-SA"/>
    </w:rPr>
  </w:style>
  <w:style w:type="character" w:styleId="1169" w:customStyle="1">
    <w:name w:val="纯文本 Char1"/>
    <w:uiPriority w:val="0"/>
    <w:qFormat/>
    <w:rPr>
      <w:rFonts w:ascii="宋体" w:hAnsi="Courier New" w:eastAsia="宋体"/>
      <w:sz w:val="21"/>
      <w:lang w:val="en-US" w:eastAsia="zh-CN" w:bidi="ar-SA"/>
    </w:rPr>
  </w:style>
  <w:style w:type="character" w:styleId="1170" w:customStyle="1">
    <w:name w:val="wen Char1"/>
    <w:link w:val="1171"/>
    <w:uiPriority w:val="0"/>
    <w:qFormat/>
    <w:rPr>
      <w:rFonts w:ascii="微软雅黑" w:hAnsi="微软雅黑" w:eastAsia="微软雅黑"/>
      <w:sz w:val="21"/>
      <w:szCs w:val="24"/>
    </w:rPr>
  </w:style>
  <w:style w:type="paragraph" w:styleId="1171" w:customStyle="1">
    <w:name w:val="wen"/>
    <w:basedOn w:val="778"/>
    <w:link w:val="1170"/>
    <w:uiPriority w:val="0"/>
    <w:qFormat/>
    <w:pPr>
      <w:ind w:firstLine="425"/>
      <w:spacing w:line="269" w:lineRule="auto"/>
    </w:pPr>
    <w:rPr>
      <w:rFonts w:ascii="微软雅黑" w:hAnsi="微软雅黑" w:eastAsia="微软雅黑"/>
      <w:szCs w:val="24"/>
    </w:rPr>
  </w:style>
  <w:style w:type="character" w:styleId="1172" w:customStyle="1">
    <w:name w:val="style181"/>
    <w:uiPriority w:val="0"/>
    <w:qFormat/>
    <w:rPr>
      <w:sz w:val="18"/>
      <w:szCs w:val="18"/>
    </w:rPr>
  </w:style>
  <w:style w:type="character" w:styleId="1173" w:customStyle="1">
    <w:name w:val="style4 style24"/>
    <w:uiPriority w:val="0"/>
    <w:qFormat/>
    <w:rPr>
      <w:rFonts w:ascii="Tahoma" w:hAnsi="Tahoma" w:eastAsia="宋体"/>
      <w:sz w:val="24"/>
      <w:szCs w:val="24"/>
      <w:lang w:val="en-US" w:eastAsia="zh-CN" w:bidi="ar-SA"/>
    </w:rPr>
  </w:style>
  <w:style w:type="character" w:styleId="1174" w:customStyle="1">
    <w:name w:val="样式11"/>
    <w:uiPriority w:val="0"/>
    <w:qFormat/>
    <w:rPr>
      <w:b/>
    </w:rPr>
  </w:style>
  <w:style w:type="character" w:styleId="1175" w:customStyle="1">
    <w:name w:val="01 章标 Char"/>
    <w:link w:val="1176"/>
    <w:uiPriority w:val="0"/>
    <w:qFormat/>
    <w:rPr>
      <w:b/>
      <w:sz w:val="44"/>
      <w:szCs w:val="44"/>
    </w:rPr>
  </w:style>
  <w:style w:type="paragraph" w:styleId="1176" w:customStyle="1">
    <w:name w:val="01 章标"/>
    <w:basedOn w:val="778"/>
    <w:link w:val="1175"/>
    <w:uiPriority w:val="0"/>
    <w:qFormat/>
    <w:pPr>
      <w:ind w:firstLine="883"/>
      <w:jc w:val="center"/>
      <w:outlineLvl w:val="0"/>
    </w:pPr>
    <w:rPr>
      <w:b/>
      <w:sz w:val="44"/>
      <w:szCs w:val="44"/>
    </w:rPr>
  </w:style>
  <w:style w:type="character" w:styleId="1177" w:customStyle="1">
    <w:name w:val="文档结构图 Char1"/>
    <w:uiPriority w:val="0"/>
    <w:qFormat/>
    <w:rPr>
      <w:rFonts w:ascii="宋体"/>
      <w:sz w:val="18"/>
      <w:szCs w:val="18"/>
    </w:rPr>
  </w:style>
  <w:style w:type="character" w:styleId="1178" w:customStyle="1">
    <w:name w:val="日期 Char1"/>
    <w:uiPriority w:val="0"/>
    <w:qFormat/>
    <w:rPr>
      <w:rFonts w:eastAsia="楷体_GB2312"/>
      <w:sz w:val="28"/>
    </w:rPr>
  </w:style>
  <w:style w:type="character" w:styleId="1179" w:customStyle="1">
    <w:name w:val="标题 9 字符"/>
    <w:uiPriority w:val="0"/>
    <w:qFormat/>
    <w:rPr>
      <w:rFonts w:ascii="Arial" w:hAnsi="Arial" w:eastAsia="黑体"/>
      <w:sz w:val="28"/>
      <w:szCs w:val="24"/>
      <w:lang w:val="en-US" w:eastAsia="zh-CN" w:bidi="ar-SA"/>
    </w:rPr>
  </w:style>
  <w:style w:type="character" w:styleId="1180" w:customStyle="1">
    <w:name w:val="批注主题 字符"/>
    <w:uiPriority w:val="0"/>
    <w:qFormat/>
    <w:rPr>
      <w:rFonts w:ascii="Tahoma" w:hAnsi="Tahoma" w:eastAsia="宋体"/>
      <w:b/>
      <w:bCs/>
      <w:sz w:val="21"/>
      <w:szCs w:val="24"/>
      <w:lang w:val="en-US" w:eastAsia="zh-CN" w:bidi="ar-SA"/>
    </w:rPr>
  </w:style>
  <w:style w:type="character" w:styleId="1181" w:customStyle="1">
    <w:name w:val="页脚 Char1"/>
    <w:uiPriority w:val="99"/>
    <w:semiHidden/>
    <w:qFormat/>
    <w:rPr>
      <w:rFonts w:eastAsia="楷体_GB2312"/>
      <w:sz w:val="18"/>
      <w:szCs w:val="18"/>
    </w:rPr>
  </w:style>
  <w:style w:type="character" w:styleId="1182" w:customStyle="1">
    <w:name w:val="Andy_正文 Char"/>
    <w:link w:val="1183"/>
    <w:uiPriority w:val="0"/>
    <w:qFormat/>
    <w:rPr>
      <w:rFonts w:ascii="Calibri" w:hAnsi="Calibri"/>
      <w:sz w:val="24"/>
      <w:szCs w:val="24"/>
    </w:rPr>
  </w:style>
  <w:style w:type="paragraph" w:styleId="1183" w:customStyle="1">
    <w:name w:val="Andy_正文"/>
    <w:basedOn w:val="778"/>
    <w:link w:val="1182"/>
    <w:uiPriority w:val="0"/>
    <w:qFormat/>
    <w:pPr>
      <w:ind w:firstLine="480"/>
      <w:spacing w:line="360" w:lineRule="auto"/>
    </w:pPr>
    <w:rPr>
      <w:rFonts w:ascii="Calibri" w:hAnsi="Calibri"/>
      <w:sz w:val="24"/>
      <w:szCs w:val="24"/>
    </w:rPr>
  </w:style>
  <w:style w:type="character" w:styleId="1184" w:customStyle="1">
    <w:name w:val="Char Char1"/>
    <w:uiPriority w:val="0"/>
    <w:qFormat/>
    <w:rPr>
      <w:rFonts w:ascii="宋体" w:hAnsi="宋体" w:eastAsia="楷体_GB2312"/>
      <w:sz w:val="24"/>
      <w:lang w:val="en-US" w:eastAsia="zh-CN" w:bidi="ar-SA"/>
    </w:rPr>
  </w:style>
  <w:style w:type="character" w:styleId="1185" w:customStyle="1">
    <w:name w:val="正文 首行缩进:  2 字符 Char Char Char"/>
    <w:link w:val="1186"/>
    <w:uiPriority w:val="0"/>
    <w:qFormat/>
    <w:rPr>
      <w:sz w:val="21"/>
    </w:rPr>
  </w:style>
  <w:style w:type="paragraph" w:styleId="1186" w:customStyle="1">
    <w:name w:val="正文 首行缩进:  2 字符 Char"/>
    <w:basedOn w:val="778"/>
    <w:link w:val="1185"/>
    <w:uiPriority w:val="0"/>
    <w:qFormat/>
    <w:pPr>
      <w:ind w:firstLine="480"/>
      <w:jc w:val="left"/>
      <w:spacing w:line="360" w:lineRule="auto"/>
    </w:pPr>
  </w:style>
  <w:style w:type="character" w:styleId="1187" w:customStyle="1">
    <w:name w:val="Plain Text Char Char"/>
    <w:link w:val="1188"/>
    <w:uiPriority w:val="0"/>
    <w:qFormat/>
    <w:rPr>
      <w:rFonts w:ascii="宋体" w:hAnsi="Courier New" w:eastAsia="楷体_GB2312"/>
      <w:sz w:val="26"/>
    </w:rPr>
  </w:style>
  <w:style w:type="paragraph" w:styleId="1188" w:customStyle="1">
    <w:name w:val="纯文本2"/>
    <w:basedOn w:val="778"/>
    <w:link w:val="1187"/>
    <w:uiPriority w:val="0"/>
    <w:qFormat/>
    <w:rPr>
      <w:rFonts w:ascii="宋体" w:hAnsi="Courier New" w:eastAsia="楷体_GB2312"/>
      <w:sz w:val="26"/>
    </w:rPr>
  </w:style>
  <w:style w:type="character" w:styleId="1189" w:customStyle="1">
    <w:name w:val="font51"/>
    <w:uiPriority w:val="0"/>
    <w:qFormat/>
    <w:rPr>
      <w:rFonts w:hint="eastAsia" w:ascii="微软雅黑" w:hAnsi="微软雅黑" w:eastAsia="微软雅黑" w:cs="微软雅黑"/>
      <w:color w:val="000000"/>
      <w:sz w:val="24"/>
      <w:szCs w:val="24"/>
      <w:u w:val="none"/>
    </w:rPr>
  </w:style>
  <w:style w:type="character" w:styleId="1190" w:customStyle="1">
    <w:name w:val="正文缩进1 Char1"/>
    <w:uiPriority w:val="0"/>
    <w:qFormat/>
    <w:rPr>
      <w:rFonts w:eastAsia="楷体_GB2312"/>
      <w:sz w:val="24"/>
      <w:lang w:val="en-US" w:eastAsia="zh-CN" w:bidi="ar-SA"/>
    </w:rPr>
  </w:style>
  <w:style w:type="character" w:styleId="1191" w:customStyle="1">
    <w:name w:val="Plain Text Char"/>
    <w:link w:val="1192"/>
    <w:uiPriority w:val="0"/>
    <w:qFormat/>
    <w:rPr>
      <w:rFonts w:ascii="宋体" w:hAnsi="Courier New" w:eastAsia="楷体_GB2312"/>
      <w:sz w:val="26"/>
    </w:rPr>
  </w:style>
  <w:style w:type="paragraph" w:styleId="1192" w:customStyle="1">
    <w:name w:val="纯文本5"/>
    <w:basedOn w:val="778"/>
    <w:link w:val="1191"/>
    <w:uiPriority w:val="0"/>
    <w:qFormat/>
    <w:rPr>
      <w:rFonts w:ascii="宋体" w:hAnsi="Courier New" w:eastAsia="楷体_GB2312"/>
      <w:sz w:val="26"/>
    </w:rPr>
  </w:style>
  <w:style w:type="character" w:styleId="1193" w:customStyle="1">
    <w:name w:val="正文文本 2 字符"/>
    <w:uiPriority w:val="0"/>
    <w:qFormat/>
    <w:rPr>
      <w:rFonts w:ascii="Tahoma" w:hAnsi="Tahoma" w:eastAsia="宋体"/>
      <w:color w:val="000000"/>
      <w:sz w:val="24"/>
      <w:szCs w:val="24"/>
      <w:lang w:val="en-US" w:eastAsia="zh-CN" w:bidi="ar-SA"/>
    </w:rPr>
  </w:style>
  <w:style w:type="character" w:styleId="1194" w:customStyle="1">
    <w:name w:val="页脚 字符"/>
    <w:uiPriority w:val="99"/>
    <w:qFormat/>
    <w:rPr>
      <w:sz w:val="18"/>
      <w:lang w:bidi="ar-SA"/>
    </w:rPr>
  </w:style>
  <w:style w:type="character" w:styleId="1195" w:customStyle="1">
    <w:name w:val="批注文字 字符"/>
    <w:uiPriority w:val="0"/>
    <w:semiHidden/>
    <w:qFormat/>
    <w:rPr>
      <w:rFonts w:ascii="Tahoma" w:hAnsi="Tahoma" w:eastAsia="宋体"/>
      <w:sz w:val="21"/>
      <w:szCs w:val="24"/>
      <w:lang w:val="en-US" w:eastAsia="zh-CN" w:bidi="ar-SA"/>
    </w:rPr>
  </w:style>
  <w:style w:type="character" w:styleId="1196" w:customStyle="1">
    <w:name w:val="页脚 字符1"/>
    <w:uiPriority w:val="99"/>
    <w:qFormat/>
    <w:rPr>
      <w:sz w:val="18"/>
      <w:szCs w:val="18"/>
    </w:rPr>
  </w:style>
  <w:style w:type="character" w:styleId="1197" w:customStyle="1">
    <w:name w:val="HTML 预设格式 Char2"/>
    <w:uiPriority w:val="99"/>
    <w:semiHidden/>
    <w:qFormat/>
    <w:rPr>
      <w:rFonts w:ascii="Courier New" w:hAnsi="Courier New" w:eastAsia="楷体_GB2312" w:cs="Courier New"/>
    </w:rPr>
  </w:style>
  <w:style w:type="character" w:styleId="1198" w:customStyle="1">
    <w:name w:val="font61"/>
    <w:uiPriority w:val="0"/>
    <w:qFormat/>
    <w:rPr>
      <w:rFonts w:hint="eastAsia" w:ascii="宋体" w:hAnsi="宋体" w:eastAsia="宋体" w:cs="宋体"/>
      <w:color w:val="000000"/>
      <w:sz w:val="20"/>
      <w:szCs w:val="20"/>
      <w:u w:val="none"/>
    </w:rPr>
  </w:style>
  <w:style w:type="character" w:styleId="1199" w:customStyle="1">
    <w:name w:val="font01"/>
    <w:uiPriority w:val="0"/>
    <w:qFormat/>
    <w:rPr>
      <w:rFonts w:hint="eastAsia" w:ascii="宋体" w:hAnsi="宋体" w:eastAsia="宋体" w:cs="宋体"/>
      <w:color w:val="000000"/>
      <w:sz w:val="24"/>
      <w:szCs w:val="24"/>
      <w:u w:val="none"/>
    </w:rPr>
  </w:style>
  <w:style w:type="character" w:styleId="1200" w:customStyle="1">
    <w:name w:val="正文缩进 字符1"/>
    <w:uiPriority w:val="0"/>
    <w:qFormat/>
    <w:rPr>
      <w:sz w:val="21"/>
    </w:rPr>
  </w:style>
  <w:style w:type="character" w:styleId="1201" w:customStyle="1">
    <w:name w:val="标题 6 字符"/>
    <w:uiPriority w:val="0"/>
    <w:qFormat/>
    <w:rPr>
      <w:rFonts w:ascii="Arial" w:hAnsi="Arial" w:eastAsia="黑体"/>
      <w:b/>
      <w:bCs/>
      <w:sz w:val="24"/>
      <w:szCs w:val="24"/>
      <w:lang w:val="en-US" w:eastAsia="zh-CN" w:bidi="ar-SA"/>
    </w:rPr>
  </w:style>
  <w:style w:type="character" w:styleId="1202" w:customStyle="1">
    <w:name w:val="批注主题 Char1"/>
    <w:uiPriority w:val="99"/>
    <w:semiHidden/>
    <w:qFormat/>
    <w:rPr>
      <w:rFonts w:eastAsia="楷体_GB2312"/>
      <w:b/>
      <w:bCs/>
      <w:sz w:val="28"/>
    </w:rPr>
  </w:style>
  <w:style w:type="character" w:styleId="1203" w:customStyle="1">
    <w:name w:val="size31"/>
    <w:uiPriority w:val="0"/>
    <w:qFormat/>
    <w:rPr>
      <w:rFonts w:hint="default" w:ascii="Arial" w:hAnsi="Arial" w:eastAsia="宋体" w:cs="Arial"/>
      <w:b/>
      <w:bCs/>
      <w:color w:val="2d2d2d"/>
      <w:sz w:val="18"/>
      <w:szCs w:val="18"/>
      <w:lang w:val="en-US" w:eastAsia="en-US" w:bidi="ar-SA"/>
    </w:rPr>
  </w:style>
  <w:style w:type="character" w:styleId="1204" w:customStyle="1">
    <w:name w:val="标题 2 字符"/>
    <w:uiPriority w:val="0"/>
    <w:qFormat/>
    <w:rPr>
      <w:rFonts w:ascii="Arial" w:hAnsi="Arial"/>
      <w:b/>
      <w:bCs/>
      <w:sz w:val="28"/>
      <w:szCs w:val="32"/>
    </w:rPr>
  </w:style>
  <w:style w:type="character" w:styleId="1205" w:customStyle="1">
    <w:name w:val="正文缩进 字符2"/>
    <w:uiPriority w:val="0"/>
    <w:qFormat/>
    <w:rPr>
      <w:sz w:val="21"/>
    </w:rPr>
  </w:style>
  <w:style w:type="character" w:styleId="1206" w:customStyle="1">
    <w:name w:val="Char Char"/>
    <w:uiPriority w:val="0"/>
    <w:qFormat/>
    <w:rPr>
      <w:rFonts w:ascii="宋体" w:hAnsi="宋体" w:eastAsia="楷体_GB2312"/>
      <w:sz w:val="24"/>
      <w:lang w:val="en-US" w:eastAsia="zh-CN" w:bidi="ar-SA"/>
    </w:rPr>
  </w:style>
  <w:style w:type="character" w:styleId="1207" w:customStyle="1">
    <w:name w:val="Body Text Char"/>
    <w:uiPriority w:val="0"/>
    <w:qFormat/>
    <w:rPr>
      <w:rFonts w:ascii="楷体_GB2312" w:hAnsi="Arial" w:eastAsia="楷体_GB2312" w:cs="Times New Roman"/>
      <w:sz w:val="28"/>
      <w:szCs w:val="20"/>
    </w:rPr>
  </w:style>
  <w:style w:type="character" w:styleId="1208" w:customStyle="1">
    <w:name w:val="正文文本缩进 3 字符"/>
    <w:uiPriority w:val="0"/>
    <w:qFormat/>
    <w:rPr>
      <w:rFonts w:eastAsia="宋体"/>
      <w:sz w:val="16"/>
      <w:szCs w:val="16"/>
      <w:lang w:val="en-US" w:eastAsia="zh-CN" w:bidi="ar-SA"/>
    </w:rPr>
  </w:style>
  <w:style w:type="character" w:styleId="1209" w:customStyle="1">
    <w:name w:val="表格 Char Char"/>
    <w:uiPriority w:val="0"/>
    <w:qFormat/>
    <w:rPr>
      <w:rFonts w:ascii="仿宋_GB2312" w:hAnsi="宋体" w:eastAsia="仿宋_GB2312"/>
      <w:sz w:val="21"/>
      <w:szCs w:val="21"/>
    </w:rPr>
  </w:style>
  <w:style w:type="character" w:styleId="1210" w:customStyle="1">
    <w:name w:val="Char Char7"/>
    <w:uiPriority w:val="0"/>
    <w:qFormat/>
    <w:rPr>
      <w:rFonts w:ascii="Times New Roman" w:hAnsi="Times New Roman" w:eastAsia="宋体" w:cs="Times New Roman"/>
      <w:sz w:val="24"/>
      <w:szCs w:val="24"/>
    </w:rPr>
  </w:style>
  <w:style w:type="character" w:styleId="1211" w:customStyle="1">
    <w:name w:val="批注文字 Char1"/>
    <w:uiPriority w:val="99"/>
    <w:semiHidden/>
    <w:qFormat/>
    <w:rPr>
      <w:rFonts w:ascii="Times New Roman" w:hAnsi="Times New Roman" w:eastAsia="宋体" w:cs="Times New Roman"/>
      <w:szCs w:val="20"/>
    </w:rPr>
  </w:style>
  <w:style w:type="character" w:styleId="1212" w:customStyle="1">
    <w:name w:val="页眉 字符1"/>
    <w:uiPriority w:val="99"/>
    <w:qFormat/>
    <w:rPr>
      <w:sz w:val="18"/>
      <w:szCs w:val="18"/>
    </w:rPr>
  </w:style>
  <w:style w:type="character" w:styleId="1213" w:customStyle="1">
    <w:name w:val="List Paragraph Char"/>
    <w:uiPriority w:val="0"/>
    <w:qFormat/>
  </w:style>
  <w:style w:type="character" w:styleId="1214" w:customStyle="1">
    <w:name w:val="font122"/>
    <w:uiPriority w:val="0"/>
    <w:qFormat/>
    <w:rPr>
      <w:rFonts w:ascii="Calibri" w:hAnsi="Calibri" w:cs="Calibri"/>
      <w:color w:val="000000"/>
      <w:sz w:val="20"/>
      <w:szCs w:val="20"/>
      <w:u w:val="none"/>
    </w:rPr>
  </w:style>
  <w:style w:type="paragraph" w:styleId="1215" w:customStyle="1">
    <w:name w:val="xl23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6" w:customStyle="1">
    <w:name w:val="xl242"/>
    <w:basedOn w:val="7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17" w:customStyle="1">
    <w:name w:val="表格内文"/>
    <w:basedOn w:val="778"/>
    <w:uiPriority w:val="0"/>
    <w:qFormat/>
    <w:pPr>
      <w:spacing w:line="360" w:lineRule="auto"/>
    </w:pPr>
    <w:rPr>
      <w:rFonts w:ascii="宋体" w:hAnsi="宋体"/>
      <w:color w:val="000000"/>
      <w:sz w:val="20"/>
    </w:rPr>
  </w:style>
  <w:style w:type="paragraph" w:styleId="1218" w:customStyle="1">
    <w:name w:val="xl128"/>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19" w:customStyle="1">
    <w:name w:val="xl4131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0" w:customStyle="1">
    <w:name w:val="列出段落11"/>
    <w:basedOn w:val="778"/>
    <w:uiPriority w:val="34"/>
    <w:qFormat/>
    <w:pPr>
      <w:ind w:firstLine="420"/>
      <w:jc w:val="left"/>
      <w:spacing w:line="360" w:lineRule="atLeast"/>
    </w:pPr>
    <w:rPr>
      <w:rFonts w:ascii="Arial" w:hAnsi="Arial" w:cs="Arial"/>
      <w:sz w:val="24"/>
    </w:rPr>
  </w:style>
  <w:style w:type="paragraph" w:styleId="1221" w:customStyle="1">
    <w:name w:val="xl24253"/>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22" w:customStyle="1">
    <w:name w:val="+正文"/>
    <w:basedOn w:val="778"/>
    <w:uiPriority w:val="0"/>
    <w:qFormat/>
    <w:pPr>
      <w:ind w:firstLine="200"/>
      <w:spacing w:line="360" w:lineRule="auto"/>
    </w:pPr>
    <w:rPr>
      <w:sz w:val="24"/>
      <w:szCs w:val="28"/>
    </w:rPr>
  </w:style>
  <w:style w:type="paragraph" w:styleId="1223" w:customStyle="1">
    <w:name w:val="xl24270"/>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24" w:customStyle="1">
    <w:name w:val="xl6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5"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26" w:customStyle="1">
    <w:name w:val="xl102"/>
    <w:basedOn w:val="778"/>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27" w:customStyle="1">
    <w:name w:val="xl25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8" w:customStyle="1">
    <w:name w:val="l18"/>
    <w:basedOn w:val="778"/>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29" w:customStyle="1">
    <w:name w:val="reader-word-layer"/>
    <w:basedOn w:val="778"/>
    <w:uiPriority w:val="0"/>
    <w:qFormat/>
    <w:pPr>
      <w:jc w:val="left"/>
      <w:spacing w:before="100" w:beforeAutospacing="1" w:after="100" w:afterAutospacing="1"/>
      <w:widowControl/>
    </w:pPr>
    <w:rPr>
      <w:rFonts w:ascii="宋体" w:hAnsi="宋体" w:cs="宋体"/>
      <w:sz w:val="24"/>
      <w:szCs w:val="24"/>
    </w:rPr>
  </w:style>
  <w:style w:type="paragraph" w:styleId="1230" w:customStyle="1">
    <w:name w:val="Char2"/>
    <w:basedOn w:val="778"/>
    <w:uiPriority w:val="0"/>
    <w:qFormat/>
    <w:pPr>
      <w:ind w:left="432" w:hanging="432"/>
    </w:pPr>
    <w:rPr>
      <w:sz w:val="24"/>
      <w:szCs w:val="24"/>
    </w:rPr>
  </w:style>
  <w:style w:type="paragraph" w:styleId="1231" w:customStyle="1">
    <w:name w:val="Char Char Char Char"/>
    <w:basedOn w:val="778"/>
    <w:uiPriority w:val="0"/>
    <w:qFormat/>
    <w:pPr>
      <w:spacing w:line="360" w:lineRule="atLeast"/>
    </w:pPr>
    <w:rPr>
      <w:sz w:val="20"/>
    </w:rPr>
  </w:style>
  <w:style w:type="paragraph" w:styleId="1232" w:customStyle="1">
    <w:name w:val="xl130"/>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33" w:customStyle="1">
    <w:name w:val="xl4131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xl41295"/>
    <w:basedOn w:val="778"/>
    <w:uiPriority w:val="0"/>
    <w:qFormat/>
    <w:pPr>
      <w:jc w:val="left"/>
      <w:spacing w:before="100" w:beforeAutospacing="1" w:after="100" w:afterAutospacing="1"/>
      <w:widowControl/>
    </w:pPr>
    <w:rPr>
      <w:rFonts w:ascii="宋体" w:hAnsi="宋体" w:cs="宋体"/>
      <w:b/>
      <w:bCs/>
      <w:sz w:val="24"/>
      <w:szCs w:val="24"/>
    </w:rPr>
  </w:style>
  <w:style w:type="paragraph" w:styleId="1235" w:customStyle="1">
    <w:name w:val="p15"/>
    <w:basedOn w:val="778"/>
    <w:uiPriority w:val="0"/>
    <w:qFormat/>
    <w:pPr>
      <w:ind w:firstLine="420"/>
      <w:widowControl/>
    </w:pPr>
    <w:rPr>
      <w:rFonts w:ascii="Calibri" w:hAnsi="Calibri" w:cs="宋体"/>
      <w:sz w:val="20"/>
      <w:szCs w:val="21"/>
    </w:rPr>
  </w:style>
  <w:style w:type="paragraph" w:styleId="1236" w:customStyle="1">
    <w:name w:val="xl2423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7" w:customStyle="1">
    <w:name w:val="xl2424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8" w:customStyle="1">
    <w:name w:val="纯文本4"/>
    <w:basedOn w:val="778"/>
    <w:uiPriority w:val="0"/>
    <w:qFormat/>
    <w:rPr>
      <w:rFonts w:ascii="宋体" w:hAnsi="Courier New" w:eastAsia="楷体_GB2312"/>
      <w:sz w:val="26"/>
    </w:rPr>
  </w:style>
  <w:style w:type="paragraph" w:styleId="1239" w:customStyle="1">
    <w:name w:val="Char Char Char Char Char Char Char Char Char1 Char"/>
    <w:basedOn w:val="790"/>
    <w:uiPriority w:val="0"/>
    <w:qFormat/>
    <w:pPr>
      <w:spacing w:line="360" w:lineRule="auto"/>
    </w:pPr>
    <w:rPr>
      <w:rFonts w:ascii="Tahoma" w:hAnsi="Tahoma"/>
      <w:sz w:val="24"/>
      <w:szCs w:val="24"/>
    </w:rPr>
  </w:style>
  <w:style w:type="paragraph" w:styleId="1240" w:customStyle="1">
    <w:name w:val="xl24243"/>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41" w:customStyle="1">
    <w:name w:val="Char Char Char Char Char Char Char Char Char Char"/>
    <w:basedOn w:val="778"/>
    <w:uiPriority w:val="0"/>
    <w:qFormat/>
    <w:pPr>
      <w:ind w:left="360" w:hanging="360"/>
      <w:tabs>
        <w:tab w:val="left" w:pos="360" w:leader="none"/>
      </w:tabs>
    </w:pPr>
    <w:rPr>
      <w:sz w:val="24"/>
      <w:szCs w:val="24"/>
    </w:rPr>
  </w:style>
  <w:style w:type="paragraph" w:styleId="1242" w:customStyle="1">
    <w:name w:val="msolistparagraph"/>
    <w:basedOn w:val="778"/>
    <w:uiPriority w:val="0"/>
    <w:qFormat/>
    <w:pPr>
      <w:ind w:firstLine="420"/>
    </w:pPr>
    <w:rPr>
      <w:rFonts w:ascii="Calibri" w:hAnsi="Calibri"/>
      <w:szCs w:val="22"/>
    </w:rPr>
  </w:style>
  <w:style w:type="paragraph" w:styleId="1243" w:customStyle="1">
    <w:name w:val="xl4132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44" w:customStyle="1">
    <w:name w:val="xl2424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45" w:customStyle="1">
    <w:name w:val="xl26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6" w:customStyle="1">
    <w:name w:val="xl4133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7" w:customStyle="1">
    <w:name w:val="Plain Text1"/>
    <w:basedOn w:val="778"/>
    <w:uiPriority w:val="0"/>
    <w:qFormat/>
    <w:rPr>
      <w:rFonts w:ascii="宋体" w:hAnsi="Courier New" w:eastAsia="楷体_GB2312"/>
      <w:sz w:val="28"/>
    </w:rPr>
  </w:style>
  <w:style w:type="paragraph" w:styleId="1248" w:customStyle="1">
    <w:name w:val="font5"/>
    <w:basedOn w:val="778"/>
    <w:uiPriority w:val="0"/>
    <w:qFormat/>
    <w:pPr>
      <w:jc w:val="left"/>
      <w:spacing w:before="100" w:beforeAutospacing="1" w:after="100" w:afterAutospacing="1"/>
      <w:widowControl/>
    </w:pPr>
    <w:rPr>
      <w:rFonts w:ascii="宋体" w:hAnsi="宋体" w:cs="宋体"/>
      <w:sz w:val="18"/>
      <w:szCs w:val="18"/>
    </w:rPr>
  </w:style>
  <w:style w:type="paragraph" w:styleId="1249" w:customStyle="1">
    <w:name w:val="列出段落2"/>
    <w:basedOn w:val="778"/>
    <w:uiPriority w:val="34"/>
    <w:qFormat/>
    <w:pPr>
      <w:ind w:firstLine="420"/>
    </w:pPr>
    <w:rPr>
      <w:rFonts w:ascii="Calibri" w:hAnsi="Calibri"/>
      <w:sz w:val="28"/>
      <w:szCs w:val="22"/>
    </w:rPr>
  </w:style>
  <w:style w:type="paragraph" w:styleId="1250" w:customStyle="1">
    <w:name w:val="Char Char Char Char Char Char Char Char Char Char Char Char Char Char Char Char"/>
    <w:basedOn w:val="778"/>
    <w:uiPriority w:val="0"/>
    <w:qFormat/>
    <w:pPr>
      <w:tabs>
        <w:tab w:val="left" w:pos="360" w:leader="none"/>
      </w:tabs>
    </w:pPr>
    <w:rPr>
      <w:sz w:val="24"/>
      <w:szCs w:val="24"/>
    </w:rPr>
  </w:style>
  <w:style w:type="paragraph" w:styleId="1251" w:customStyle="1">
    <w:name w:val="xl100"/>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52"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53" w:customStyle="1">
    <w:name w:val="Char1 Char Char Char"/>
    <w:basedOn w:val="778"/>
    <w:uiPriority w:val="0"/>
    <w:qFormat/>
    <w:rPr>
      <w:rFonts w:ascii="Tahoma" w:hAnsi="Tahoma"/>
      <w:sz w:val="24"/>
    </w:rPr>
  </w:style>
  <w:style w:type="paragraph" w:styleId="1254" w:customStyle="1">
    <w:name w:val="xl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56" w:customStyle="1">
    <w:name w:val="xl214"/>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7" w:customStyle="1">
    <w:name w:val="wfxRecipient"/>
    <w:basedOn w:val="778"/>
    <w:uiPriority w:val="0"/>
    <w:qFormat/>
    <w:pPr>
      <w:jc w:val="left"/>
      <w:widowControl/>
    </w:pPr>
    <w:rPr>
      <w:sz w:val="20"/>
      <w:lang w:eastAsia="en-US"/>
    </w:rPr>
  </w:style>
  <w:style w:type="paragraph" w:styleId="1258" w:customStyle="1">
    <w:name w:val="xl2423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59" w:customStyle="1">
    <w:name w:val="pa-14"/>
    <w:basedOn w:val="778"/>
    <w:uiPriority w:val="0"/>
    <w:qFormat/>
    <w:pPr>
      <w:jc w:val="left"/>
      <w:spacing w:before="100" w:beforeAutospacing="1" w:after="100" w:afterAutospacing="1"/>
      <w:widowControl/>
    </w:pPr>
    <w:rPr>
      <w:rFonts w:ascii="宋体" w:hAnsi="宋体" w:cs="宋体"/>
      <w:sz w:val="24"/>
      <w:szCs w:val="24"/>
    </w:rPr>
  </w:style>
  <w:style w:type="paragraph" w:styleId="1260" w:customStyle="1">
    <w:name w:val="xl24227"/>
    <w:basedOn w:val="778"/>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1" w:customStyle="1">
    <w:name w:val="xl115"/>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2" w:customStyle="1">
    <w:name w:val="xl270"/>
    <w:basedOn w:val="778"/>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63" w:customStyle="1">
    <w:name w:val="xl11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64" w:customStyle="1">
    <w:name w:val="Char Char Char Char Char Char Char Char Char1 Char1"/>
    <w:basedOn w:val="790"/>
    <w:uiPriority w:val="0"/>
    <w:qFormat/>
    <w:pPr>
      <w:spacing w:line="360" w:lineRule="auto"/>
    </w:pPr>
    <w:rPr>
      <w:rFonts w:ascii="Tahoma" w:hAnsi="Tahoma"/>
      <w:sz w:val="24"/>
      <w:szCs w:val="24"/>
    </w:rPr>
  </w:style>
  <w:style w:type="paragraph" w:styleId="1265" w:customStyle="1">
    <w:name w:val="List Paragraph1"/>
    <w:basedOn w:val="778"/>
    <w:uiPriority w:val="0"/>
    <w:qFormat/>
    <w:pPr>
      <w:ind w:firstLine="420"/>
    </w:pPr>
    <w:rPr>
      <w:rFonts w:hint="eastAsia" w:eastAsia="楷体_GB2312"/>
      <w:sz w:val="26"/>
    </w:rPr>
  </w:style>
  <w:style w:type="paragraph" w:styleId="1266" w:customStyle="1">
    <w:name w:val="xl274"/>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67"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268" w:customStyle="1">
    <w:name w:val="xl8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xl41299"/>
    <w:basedOn w:val="778"/>
    <w:uiPriority w:val="0"/>
    <w:qFormat/>
    <w:pPr>
      <w:jc w:val="left"/>
      <w:spacing w:before="100" w:beforeAutospacing="1" w:after="100" w:afterAutospacing="1"/>
      <w:widowControl/>
    </w:pPr>
    <w:rPr>
      <w:rFonts w:ascii="宋体" w:hAnsi="宋体" w:cs="宋体"/>
      <w:b/>
      <w:bCs/>
      <w:sz w:val="24"/>
      <w:szCs w:val="24"/>
    </w:rPr>
  </w:style>
  <w:style w:type="paragraph" w:styleId="1270" w:customStyle="1">
    <w:name w:val="xl114"/>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1" w:customStyle="1">
    <w:name w:val="xl8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2" w:customStyle="1">
    <w:name w:val="标书标准正文"/>
    <w:basedOn w:val="778"/>
    <w:uiPriority w:val="0"/>
    <w:qFormat/>
    <w:pPr>
      <w:ind w:firstLine="540"/>
      <w:spacing w:line="360" w:lineRule="auto"/>
    </w:pPr>
    <w:rPr>
      <w:sz w:val="24"/>
      <w:szCs w:val="24"/>
    </w:rPr>
  </w:style>
  <w:style w:type="paragraph" w:styleId="1273" w:customStyle="1">
    <w:name w:val="xl282"/>
    <w:basedOn w:val="77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77"/>
    <w:basedOn w:val="778"/>
    <w:uiPriority w:val="0"/>
    <w:qFormat/>
    <w:pPr>
      <w:jc w:val="left"/>
      <w:spacing w:before="100" w:beforeAutospacing="1" w:after="100" w:afterAutospacing="1"/>
      <w:widowControl/>
    </w:pPr>
    <w:rPr>
      <w:rFonts w:ascii="宋体" w:hAnsi="宋体" w:cs="宋体"/>
      <w:b/>
      <w:bCs/>
      <w:sz w:val="24"/>
      <w:szCs w:val="24"/>
    </w:rPr>
  </w:style>
  <w:style w:type="paragraph" w:styleId="1275" w:customStyle="1">
    <w:name w:val="列表段落1"/>
    <w:basedOn w:val="778"/>
    <w:uiPriority w:val="34"/>
    <w:qFormat/>
    <w:pPr>
      <w:ind w:firstLine="420"/>
    </w:pPr>
    <w:rPr>
      <w:szCs w:val="24"/>
    </w:rPr>
  </w:style>
  <w:style w:type="paragraph" w:styleId="1276" w:customStyle="1">
    <w:name w:val="xl4131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7" w:customStyle="1">
    <w:name w:val="xl24"/>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78" w:customStyle="1">
    <w:name w:val="xl413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125"/>
    <w:basedOn w:val="77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80" w:customStyle="1">
    <w:name w:val="xl4133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1" w:customStyle="1">
    <w:name w:val="Char Char1 Char Char Char Char Char Char Char Char"/>
    <w:basedOn w:val="778"/>
    <w:uiPriority w:val="0"/>
    <w:qFormat/>
    <w:pPr>
      <w:jc w:val="left"/>
      <w:spacing w:after="160" w:line="240" w:lineRule="exact"/>
      <w:widowControl/>
    </w:pPr>
    <w:rPr>
      <w:rFonts w:ascii="Verdana" w:hAnsi="Verdana"/>
      <w:sz w:val="20"/>
      <w:lang w:eastAsia="en-US"/>
    </w:rPr>
  </w:style>
  <w:style w:type="paragraph" w:styleId="1282" w:customStyle="1">
    <w:name w:val="Char Char Char1 Char Char Char Char"/>
    <w:basedOn w:val="778"/>
    <w:uiPriority w:val="0"/>
    <w:qFormat/>
    <w:pPr>
      <w:jc w:val="left"/>
      <w:spacing w:after="160" w:line="240" w:lineRule="exact"/>
      <w:widowControl/>
    </w:pPr>
    <w:rPr>
      <w:sz w:val="24"/>
      <w:szCs w:val="24"/>
    </w:rPr>
  </w:style>
  <w:style w:type="paragraph" w:styleId="1283" w:customStyle="1">
    <w:name w:val="xl134"/>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84" w:customStyle="1">
    <w:name w:val="xl228"/>
    <w:basedOn w:val="778"/>
    <w:uiPriority w:val="0"/>
    <w:qFormat/>
    <w:pPr>
      <w:jc w:val="left"/>
      <w:spacing w:before="100" w:beforeAutospacing="1" w:after="100" w:afterAutospacing="1"/>
      <w:widowControl/>
    </w:pPr>
    <w:rPr>
      <w:rFonts w:ascii="宋体" w:hAnsi="宋体" w:cs="宋体"/>
      <w:sz w:val="24"/>
      <w:szCs w:val="24"/>
    </w:rPr>
  </w:style>
  <w:style w:type="paragraph" w:styleId="1285" w:customStyle="1">
    <w:name w:val="xl24259"/>
    <w:basedOn w:val="778"/>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86" w:customStyle="1">
    <w:name w:val="Javis"/>
    <w:basedOn w:val="778"/>
    <w:uiPriority w:val="0"/>
    <w:qFormat/>
    <w:pPr>
      <w:ind w:right="210"/>
      <w:spacing w:line="360" w:lineRule="auto"/>
    </w:pPr>
    <w:rPr>
      <w:rFonts w:cs="宋体"/>
      <w:sz w:val="24"/>
    </w:rPr>
  </w:style>
  <w:style w:type="paragraph" w:styleId="1287" w:customStyle="1">
    <w:name w:val="xl124"/>
    <w:basedOn w:val="778"/>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88" w:customStyle="1">
    <w:name w:val="text12"/>
    <w:basedOn w:val="778"/>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89" w:customStyle="1">
    <w:name w:val="xl84"/>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0" w:customStyle="1">
    <w:name w:val="pic-info"/>
    <w:basedOn w:val="778"/>
    <w:uiPriority w:val="0"/>
    <w:qFormat/>
    <w:pPr>
      <w:jc w:val="left"/>
      <w:spacing w:before="100" w:beforeAutospacing="1" w:after="100" w:afterAutospacing="1"/>
      <w:widowControl/>
    </w:pPr>
    <w:rPr>
      <w:rFonts w:ascii="宋体" w:hAnsi="宋体" w:cs="宋体"/>
      <w:sz w:val="24"/>
      <w:szCs w:val="24"/>
    </w:rPr>
  </w:style>
  <w:style w:type="paragraph" w:styleId="1291" w:customStyle="1">
    <w:name w:val="xl11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2" w:customStyle="1">
    <w:name w:val="xl22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3" w:customStyle="1">
    <w:name w:val="xl41309"/>
    <w:basedOn w:val="778"/>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94" w:customStyle="1">
    <w:name w:val="xl2423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5" w:customStyle="1">
    <w:name w:val="xl2424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96" w:customStyle="1">
    <w:name w:val="xl8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7" w:customStyle="1">
    <w:name w:val="正文符号1"/>
    <w:basedOn w:val="1073"/>
    <w:uiPriority w:val="0"/>
    <w:qFormat/>
    <w:pPr>
      <w:ind w:left="975" w:hanging="340"/>
      <w:tabs>
        <w:tab w:val="left" w:pos="840" w:leader="none"/>
        <w:tab w:val="left" w:pos="975" w:leader="none"/>
        <w:tab w:val="left" w:pos="1080" w:leader="none"/>
      </w:tabs>
    </w:pPr>
  </w:style>
  <w:style w:type="paragraph" w:styleId="1298" w:customStyle="1">
    <w:name w:val="xl2425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99" w:customStyle="1">
    <w:name w:val="xl90"/>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0" w:customStyle="1">
    <w:name w:val="xl2427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2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2" w:customStyle="1">
    <w:name w:val="xl24269"/>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03" w:customStyle="1">
    <w:name w:val="样式4"/>
    <w:basedOn w:val="840"/>
    <w:uiPriority w:val="0"/>
    <w:qFormat/>
    <w:pPr>
      <w:spacing w:line="480" w:lineRule="auto"/>
      <w:tabs>
        <w:tab w:val="right" w:pos="8494" w:leader="dot"/>
      </w:tabs>
    </w:pPr>
    <w:rPr>
      <w:rFonts w:ascii="Arial" w:hAnsi="Arial" w:eastAsia="黑体" w:cs="Arial"/>
      <w:b w:val="0"/>
      <w:bCs w:val="0"/>
    </w:rPr>
  </w:style>
  <w:style w:type="paragraph" w:styleId="1304" w:customStyle="1">
    <w:name w:val="Char2 Char Char Char Char Char Char Char Char Char"/>
    <w:basedOn w:val="778"/>
    <w:uiPriority w:val="0"/>
    <w:qFormat/>
    <w:pPr>
      <w:ind w:firstLine="200"/>
      <w:spacing w:line="360" w:lineRule="auto"/>
    </w:pPr>
    <w:rPr>
      <w:rFonts w:eastAsia="楷体_GB2312"/>
      <w:sz w:val="28"/>
    </w:rPr>
  </w:style>
  <w:style w:type="paragraph" w:styleId="1305" w:customStyle="1">
    <w:name w:val="xl26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109"/>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7" w:customStyle="1">
    <w:name w:val="xl129"/>
    <w:basedOn w:val="77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08" w:customStyle="1">
    <w:name w:val="xl24249"/>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9" w:customStyle="1">
    <w:name w:val="font8"/>
    <w:basedOn w:val="778"/>
    <w:uiPriority w:val="0"/>
    <w:qFormat/>
    <w:pPr>
      <w:jc w:val="left"/>
      <w:spacing w:before="100" w:beforeAutospacing="1" w:after="100" w:afterAutospacing="1"/>
      <w:widowControl/>
    </w:pPr>
    <w:rPr>
      <w:sz w:val="22"/>
      <w:szCs w:val="22"/>
    </w:rPr>
  </w:style>
  <w:style w:type="paragraph" w:styleId="1310" w:customStyle="1">
    <w:name w:val="xl247"/>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222"/>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customStyle="1">
    <w:name w:val="Definition List"/>
    <w:basedOn w:val="778"/>
    <w:next w:val="778"/>
    <w:uiPriority w:val="0"/>
    <w:qFormat/>
    <w:pPr>
      <w:ind w:left="360"/>
      <w:jc w:val="left"/>
    </w:pPr>
    <w:rPr>
      <w:sz w:val="24"/>
    </w:rPr>
  </w:style>
  <w:style w:type="paragraph" w:styleId="1313" w:customStyle="1">
    <w:name w:val="Char Char3"/>
    <w:basedOn w:val="778"/>
    <w:uiPriority w:val="0"/>
    <w:qFormat/>
    <w:rPr>
      <w:rFonts w:ascii="Tahoma" w:hAnsi="Tahoma"/>
      <w:sz w:val="24"/>
    </w:rPr>
  </w:style>
  <w:style w:type="paragraph" w:styleId="1314" w:customStyle="1">
    <w:name w:val="xl23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94"/>
    <w:basedOn w:val="778"/>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16" w:customStyle="1">
    <w:name w:val="Char1"/>
    <w:basedOn w:val="790"/>
    <w:uiPriority w:val="0"/>
    <w:qFormat/>
    <w:pPr>
      <w:ind w:left="357"/>
      <w:jc w:val="left"/>
      <w:spacing w:line="436" w:lineRule="exact"/>
      <w:outlineLvl w:val="3"/>
    </w:pPr>
    <w:rPr>
      <w:rFonts w:ascii="Tahoma" w:hAnsi="Tahoma"/>
      <w:b/>
      <w:sz w:val="24"/>
      <w:szCs w:val="24"/>
    </w:rPr>
  </w:style>
  <w:style w:type="paragraph" w:styleId="1317" w:customStyle="1">
    <w:name w:val="xl91"/>
    <w:basedOn w:val="778"/>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18" w:customStyle="1">
    <w:name w:val="xl244"/>
    <w:basedOn w:val="77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19" w:customStyle="1">
    <w:name w:val="xl4131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0" w:customStyle="1">
    <w:name w:val="纯文本3"/>
    <w:basedOn w:val="778"/>
    <w:uiPriority w:val="0"/>
    <w:qFormat/>
    <w:rPr>
      <w:rFonts w:ascii="宋体" w:hAnsi="Courier New" w:eastAsia="楷体_GB2312"/>
      <w:sz w:val="26"/>
    </w:rPr>
  </w:style>
  <w:style w:type="paragraph" w:styleId="1321" w:customStyle="1">
    <w:name w:val="xl12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22" w:customStyle="1">
    <w:name w:val="xl73"/>
    <w:basedOn w:val="77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23" w:customStyle="1">
    <w:name w:val="Char Char Char Char Char Char1 Char"/>
    <w:basedOn w:val="778"/>
    <w:uiPriority w:val="0"/>
    <w:qFormat/>
    <w:rPr>
      <w:rFonts w:ascii="Tahoma" w:hAnsi="Tahoma"/>
      <w:sz w:val="24"/>
    </w:rPr>
  </w:style>
  <w:style w:type="paragraph" w:styleId="1324" w:customStyle="1">
    <w:name w:val="xl71"/>
    <w:basedOn w:val="77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25" w:customStyle="1">
    <w:name w:val="表头"/>
    <w:basedOn w:val="797"/>
    <w:uiPriority w:val="0"/>
    <w:qFormat/>
    <w:pPr>
      <w:jc w:val="center"/>
      <w:keepLines/>
      <w:keepNext/>
      <w:spacing w:before="120" w:after="120" w:line="300" w:lineRule="auto"/>
      <w:widowControl/>
    </w:pPr>
    <w:rPr>
      <w:sz w:val="21"/>
    </w:rPr>
  </w:style>
  <w:style w:type="paragraph" w:styleId="1326" w:customStyle="1">
    <w:name w:val="xl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7" w:customStyle="1">
    <w:name w:val="xl4132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8" w:customStyle="1">
    <w:name w:val="a1"/>
    <w:basedOn w:val="778"/>
    <w:uiPriority w:val="0"/>
    <w:qFormat/>
    <w:pPr>
      <w:jc w:val="left"/>
      <w:spacing w:before="100" w:beforeAutospacing="1" w:after="100" w:afterAutospacing="1"/>
      <w:widowControl/>
    </w:pPr>
    <w:rPr>
      <w:rFonts w:ascii="宋体" w:hAnsi="宋体" w:cs="宋体"/>
      <w:sz w:val="24"/>
      <w:szCs w:val="24"/>
    </w:rPr>
  </w:style>
  <w:style w:type="paragraph" w:styleId="1329" w:customStyle="1">
    <w:name w:val="xl2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255"/>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1" w:customStyle="1">
    <w:name w:val="列出段落3"/>
    <w:basedOn w:val="778"/>
    <w:uiPriority w:val="99"/>
    <w:qFormat/>
    <w:pPr>
      <w:ind w:firstLine="420"/>
    </w:pPr>
    <w:rPr>
      <w:szCs w:val="24"/>
    </w:rPr>
  </w:style>
  <w:style w:type="paragraph" w:styleId="1332" w:customStyle="1">
    <w:name w:val="表格形式1"/>
    <w:basedOn w:val="778"/>
    <w:uiPriority w:val="0"/>
    <w:qFormat/>
    <w:pPr>
      <w:jc w:val="left"/>
      <w:spacing w:line="360" w:lineRule="atLeast"/>
    </w:pPr>
    <w:rPr>
      <w:rFonts w:ascii="宋体" w:eastAsia="仿宋_GB2312"/>
      <w:sz w:val="24"/>
      <w:szCs w:val="24"/>
    </w:rPr>
  </w:style>
  <w:style w:type="paragraph" w:styleId="1333" w:customStyle="1">
    <w:name w:val="xl280"/>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34" w:customStyle="1">
    <w:name w:val="xl2424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5" w:customStyle="1">
    <w:name w:val="xl41332"/>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36" w:customStyle="1">
    <w:name w:val="xl12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7" w:customStyle="1">
    <w:name w:val="IBM 正文"/>
    <w:basedOn w:val="778"/>
    <w:uiPriority w:val="0"/>
    <w:qFormat/>
    <w:pPr>
      <w:spacing w:line="400" w:lineRule="exact"/>
    </w:pPr>
    <w:rPr>
      <w:spacing w:val="20"/>
      <w:sz w:val="24"/>
    </w:rPr>
  </w:style>
  <w:style w:type="paragraph" w:styleId="1338" w:customStyle="1">
    <w:name w:val="xl413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9" w:customStyle="1">
    <w:name w:val="xl26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0" w:customStyle="1">
    <w:name w:val="xl2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41307"/>
    <w:basedOn w:val="778"/>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42"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43" w:customStyle="1">
    <w:name w:val="xl41302"/>
    <w:basedOn w:val="778"/>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4" w:customStyle="1">
    <w:name w:val="absatz4"/>
    <w:basedOn w:val="778"/>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45" w:customStyle="1">
    <w:name w:val="Char Char Char Char Char Char Char"/>
    <w:basedOn w:val="778"/>
    <w:uiPriority w:val="0"/>
    <w:qFormat/>
    <w:rPr>
      <w:rFonts w:ascii="仿宋_GB2312" w:eastAsia="仿宋_GB2312"/>
      <w:b/>
      <w:sz w:val="32"/>
      <w:szCs w:val="32"/>
    </w:rPr>
  </w:style>
  <w:style w:type="paragraph" w:styleId="1346" w:customStyle="1">
    <w:name w:val="_Style 101"/>
    <w:basedOn w:val="778"/>
    <w:next w:val="1148"/>
    <w:uiPriority w:val="34"/>
    <w:qFormat/>
    <w:pPr>
      <w:ind w:firstLine="420"/>
      <w:spacing w:line="360" w:lineRule="auto"/>
    </w:pPr>
    <w:rPr>
      <w:rFonts w:ascii="Calibri" w:hAnsi="Calibri"/>
      <w:lang w:val="zh-CN"/>
    </w:rPr>
  </w:style>
  <w:style w:type="paragraph" w:styleId="1347" w:customStyle="1">
    <w:name w:val="小四 段落 宋体 Char Char"/>
    <w:basedOn w:val="778"/>
    <w:uiPriority w:val="0"/>
    <w:qFormat/>
    <w:pPr>
      <w:ind w:firstLine="480"/>
      <w:spacing w:line="360" w:lineRule="auto"/>
    </w:pPr>
    <w:rPr>
      <w:rFonts w:ascii="宋体" w:hAnsi="宋体"/>
      <w:sz w:val="24"/>
      <w:szCs w:val="24"/>
    </w:rPr>
  </w:style>
  <w:style w:type="paragraph" w:styleId="1348" w:customStyle="1">
    <w:name w:val="5级方案标题"/>
    <w:basedOn w:val="782"/>
    <w:uiPriority w:val="0"/>
    <w:qFormat/>
    <w:pPr>
      <w:keepLines/>
      <w:spacing w:line="377" w:lineRule="auto"/>
      <w:outlineLvl w:val="4"/>
    </w:pPr>
    <w:rPr>
      <w:rFonts w:ascii="宋体" w:hAnsi="宋体"/>
      <w:sz w:val="24"/>
      <w:szCs w:val="28"/>
      <w:lang w:val="zh-CN"/>
    </w:rPr>
  </w:style>
  <w:style w:type="paragraph" w:styleId="1349" w:customStyle="1">
    <w:name w:val="xl21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50" w:customStyle="1">
    <w:name w:val="xl10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51" w:customStyle="1">
    <w:name w:val="xl2423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24261"/>
    <w:basedOn w:val="778"/>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53" w:customStyle="1">
    <w:name w:val="xl24256"/>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4" w:customStyle="1">
    <w:name w:val="xl2426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5" w:customStyle="1">
    <w:name w:val="xl12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56" w:customStyle="1">
    <w:name w:val="_Style 4"/>
    <w:basedOn w:val="778"/>
    <w:uiPriority w:val="34"/>
    <w:qFormat/>
    <w:pPr>
      <w:ind w:firstLine="420"/>
    </w:pPr>
    <w:rPr>
      <w:rFonts w:ascii="Calibri" w:hAnsi="Calibri"/>
      <w:szCs w:val="22"/>
    </w:rPr>
  </w:style>
  <w:style w:type="paragraph" w:styleId="1357" w:customStyle="1">
    <w:name w:val="xl4132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271"/>
    <w:basedOn w:val="778"/>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59" w:customStyle="1">
    <w:name w:val="xl101"/>
    <w:basedOn w:val="778"/>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0" w:customStyle="1">
    <w:name w:val="xl23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font10"/>
    <w:basedOn w:val="778"/>
    <w:uiPriority w:val="0"/>
    <w:qFormat/>
    <w:pPr>
      <w:jc w:val="left"/>
      <w:spacing w:before="100" w:beforeAutospacing="1" w:after="100" w:afterAutospacing="1"/>
      <w:widowControl/>
    </w:pPr>
    <w:rPr>
      <w:rFonts w:ascii="宋体" w:hAnsi="宋体" w:cs="宋体"/>
      <w:sz w:val="18"/>
      <w:szCs w:val="18"/>
    </w:rPr>
  </w:style>
  <w:style w:type="paragraph" w:styleId="1362" w:customStyle="1">
    <w:name w:val="xl279"/>
    <w:basedOn w:val="77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63" w:customStyle="1">
    <w:name w:val="xl7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xl11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65" w:customStyle="1">
    <w:name w:val="xl242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6" w:customStyle="1">
    <w:name w:val="正文 A"/>
    <w:next w:val="884"/>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367" w:customStyle="1">
    <w:name w:val="xl69"/>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8" w:customStyle="1">
    <w:name w:val="xl132"/>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9" w:customStyle="1">
    <w:name w:val="xl41333"/>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70" w:customStyle="1">
    <w:name w:val="xl245"/>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正文文本 21"/>
    <w:basedOn w:val="778"/>
    <w:uiPriority w:val="0"/>
    <w:qFormat/>
    <w:pPr>
      <w:ind w:left="720" w:hanging="720"/>
      <w:widowControl/>
    </w:pPr>
    <w:rPr>
      <w:sz w:val="24"/>
      <w:lang w:val="en-GB"/>
    </w:rPr>
  </w:style>
  <w:style w:type="paragraph" w:styleId="1373" w:customStyle="1">
    <w:name w:val="普通正文"/>
    <w:basedOn w:val="778"/>
    <w:uiPriority w:val="0"/>
    <w:qFormat/>
    <w:pPr>
      <w:ind w:firstLine="425"/>
      <w:jc w:val="left"/>
    </w:pPr>
    <w:rPr>
      <w:rFonts w:ascii="宋体" w:hAnsi="宋体"/>
      <w:color w:val="000000"/>
      <w:sz w:val="24"/>
    </w:rPr>
  </w:style>
  <w:style w:type="paragraph" w:styleId="1374" w:customStyle="1">
    <w:name w:val="xl22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2级方案标题"/>
    <w:basedOn w:val="780"/>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76" w:customStyle="1">
    <w:name w:val="xl2423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正文alt+z"/>
    <w:basedOn w:val="778"/>
    <w:uiPriority w:val="0"/>
    <w:qFormat/>
    <w:pPr>
      <w:ind w:firstLine="200"/>
      <w:spacing w:line="360" w:lineRule="auto"/>
    </w:pPr>
    <w:rPr>
      <w:rFonts w:ascii="Time New Roman" w:hAnsi="Time New Roman"/>
      <w:sz w:val="24"/>
      <w:szCs w:val="24"/>
    </w:rPr>
  </w:style>
  <w:style w:type="paragraph" w:styleId="1378" w:customStyle="1">
    <w:name w:val="正文－恩普"/>
    <w:basedOn w:val="796"/>
    <w:uiPriority w:val="0"/>
    <w:qFormat/>
    <w:pPr>
      <w:ind w:firstLine="200"/>
      <w:spacing w:line="360" w:lineRule="auto"/>
    </w:pPr>
    <w:rPr>
      <w:rFonts w:eastAsia="楷体_GB2312"/>
      <w:sz w:val="24"/>
    </w:rPr>
  </w:style>
  <w:style w:type="paragraph" w:styleId="1379" w:customStyle="1">
    <w:name w:val="Char Char Char Char Char Char Char Char Char"/>
    <w:basedOn w:val="778"/>
    <w:uiPriority w:val="0"/>
    <w:qFormat/>
    <w:pPr>
      <w:jc w:val="left"/>
      <w:spacing w:after="160" w:line="240" w:lineRule="exact"/>
      <w:widowControl/>
    </w:pPr>
    <w:rPr>
      <w:sz w:val="24"/>
      <w:szCs w:val="24"/>
    </w:rPr>
  </w:style>
  <w:style w:type="paragraph" w:styleId="1380" w:customStyle="1">
    <w:name w:val="font6"/>
    <w:basedOn w:val="778"/>
    <w:uiPriority w:val="0"/>
    <w:qFormat/>
    <w:pPr>
      <w:jc w:val="left"/>
      <w:spacing w:before="100" w:beforeAutospacing="1" w:after="100" w:afterAutospacing="1"/>
      <w:widowControl/>
    </w:pPr>
    <w:rPr>
      <w:rFonts w:ascii="宋体" w:hAnsi="宋体" w:cs="宋体"/>
      <w:sz w:val="18"/>
      <w:szCs w:val="18"/>
    </w:rPr>
  </w:style>
  <w:style w:type="paragraph" w:styleId="1381" w:customStyle="1">
    <w:name w:val="xl9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2" w:customStyle="1">
    <w:name w:val="xl2422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xl116"/>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84" w:customStyle="1">
    <w:name w:val="xl24232"/>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5" w:customStyle="1">
    <w:name w:val="xl10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6" w:customStyle="1">
    <w:name w:val="xl21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7" w:customStyle="1">
    <w:name w:val="正式行文"/>
    <w:basedOn w:val="778"/>
    <w:uiPriority w:val="0"/>
    <w:qFormat/>
    <w:pPr>
      <w:ind w:firstLine="200"/>
      <w:spacing w:line="360" w:lineRule="auto"/>
    </w:pPr>
    <w:rPr>
      <w:sz w:val="24"/>
      <w:szCs w:val="24"/>
    </w:rPr>
  </w:style>
  <w:style w:type="paragraph" w:styleId="1388" w:customStyle="1">
    <w:name w:val="xl2423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9" w:customStyle="1">
    <w:name w:val="xl8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0" w:customStyle="1">
    <w:name w:val="xl11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91" w:customStyle="1">
    <w:name w:val="Char Char11"/>
    <w:basedOn w:val="778"/>
    <w:uiPriority w:val="0"/>
    <w:qFormat/>
    <w:pPr>
      <w:jc w:val="left"/>
      <w:spacing w:after="160" w:line="240" w:lineRule="exact"/>
      <w:widowControl/>
    </w:pPr>
    <w:rPr>
      <w:rFonts w:ascii="Verdana" w:hAnsi="Verdana"/>
      <w:sz w:val="20"/>
      <w:lang w:eastAsia="en-US"/>
    </w:rPr>
  </w:style>
  <w:style w:type="paragraph" w:styleId="1392" w:customStyle="1">
    <w:name w:val="xl217"/>
    <w:basedOn w:val="778"/>
    <w:uiPriority w:val="0"/>
    <w:qFormat/>
    <w:pPr>
      <w:jc w:val="center"/>
      <w:spacing w:before="100" w:beforeAutospacing="1" w:after="100" w:afterAutospacing="1"/>
      <w:widowControl/>
    </w:pPr>
    <w:rPr>
      <w:rFonts w:ascii="宋体" w:hAnsi="宋体" w:cs="宋体"/>
      <w:sz w:val="24"/>
      <w:szCs w:val="24"/>
    </w:rPr>
  </w:style>
  <w:style w:type="paragraph" w:styleId="1393" w:customStyle="1">
    <w:name w:val="xl8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xl24255"/>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95" w:customStyle="1">
    <w:name w:val="Char Char1 Char Char Char Char Char Char Char"/>
    <w:basedOn w:val="778"/>
    <w:uiPriority w:val="0"/>
    <w:qFormat/>
    <w:rPr>
      <w:rFonts w:eastAsia="楷体_GB2312"/>
      <w:sz w:val="26"/>
    </w:rPr>
  </w:style>
  <w:style w:type="paragraph" w:styleId="1396" w:customStyle="1">
    <w:name w:val="xl131"/>
    <w:basedOn w:val="77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97" w:customStyle="1">
    <w:name w:val="Definition Term"/>
    <w:basedOn w:val="778"/>
    <w:next w:val="778"/>
    <w:uiPriority w:val="0"/>
    <w:qFormat/>
    <w:pPr>
      <w:jc w:val="left"/>
    </w:pPr>
    <w:rPr>
      <w:sz w:val="24"/>
    </w:rPr>
  </w:style>
  <w:style w:type="paragraph" w:styleId="1398" w:customStyle="1">
    <w:name w:val="xl9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9" w:customStyle="1">
    <w:name w:val="分发表内容"/>
    <w:basedOn w:val="778"/>
    <w:uiPriority w:val="0"/>
    <w:qFormat/>
    <w:pPr>
      <w:jc w:val="center"/>
      <w:spacing w:before="120" w:after="120"/>
    </w:pPr>
    <w:rPr>
      <w:rFonts w:ascii="昆仑仿宋" w:eastAsia="昆仑仿宋"/>
      <w:sz w:val="20"/>
    </w:rPr>
  </w:style>
  <w:style w:type="paragraph" w:styleId="1400" w:customStyle="1">
    <w:name w:val="List Paragraph2"/>
    <w:basedOn w:val="778"/>
    <w:uiPriority w:val="34"/>
    <w:qFormat/>
    <w:pPr>
      <w:ind w:firstLine="420"/>
      <w:spacing w:line="360" w:lineRule="auto"/>
    </w:pPr>
    <w:rPr>
      <w:rFonts w:ascii="Calibri" w:hAnsi="Calibri"/>
      <w:sz w:val="24"/>
    </w:rPr>
  </w:style>
  <w:style w:type="paragraph" w:styleId="1401" w:customStyle="1">
    <w:name w:val="xl2424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02" w:customStyle="1">
    <w:name w:val="普通(Web)9"/>
    <w:basedOn w:val="778"/>
    <w:uiPriority w:val="0"/>
    <w:qFormat/>
    <w:pPr>
      <w:jc w:val="left"/>
      <w:spacing w:before="100" w:beforeAutospacing="1" w:after="100" w:afterAutospacing="1"/>
      <w:widowControl/>
    </w:pPr>
    <w:rPr>
      <w:rFonts w:ascii="宋体" w:hAnsi="宋体" w:cs="宋体"/>
      <w:sz w:val="20"/>
      <w:szCs w:val="21"/>
    </w:rPr>
  </w:style>
  <w:style w:type="paragraph" w:styleId="1403" w:customStyle="1">
    <w:name w:val="Default Paragraph Font Para Char"/>
    <w:basedOn w:val="778"/>
    <w:uiPriority w:val="0"/>
    <w:qFormat/>
    <w:pPr>
      <w:jc w:val="left"/>
      <w:spacing w:after="160" w:line="240" w:lineRule="exact"/>
      <w:widowControl/>
    </w:pPr>
  </w:style>
  <w:style w:type="paragraph" w:styleId="1404" w:customStyle="1">
    <w:name w:val="1级方案标题"/>
    <w:basedOn w:val="778"/>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05" w:customStyle="1">
    <w:name w:val="_Style 447"/>
    <w:uiPriority w:val="99"/>
    <w:unhideWhenUsed/>
    <w:qFormat/>
    <w:rPr>
      <w:rFonts w:hint="default" w:ascii="Times New Roman" w:hAnsi="Times New Roman" w:eastAsia="宋体" w:cs="Times New Roman"/>
      <w:sz w:val="21"/>
      <w:lang w:val="en-US" w:eastAsia="zh-CN" w:bidi="ar-SA"/>
    </w:rPr>
  </w:style>
  <w:style w:type="paragraph" w:styleId="1406" w:customStyle="1">
    <w:name w:val="p17"/>
    <w:basedOn w:val="778"/>
    <w:uiPriority w:val="0"/>
    <w:qFormat/>
    <w:pPr>
      <w:widowControl/>
    </w:pPr>
    <w:rPr>
      <w:szCs w:val="21"/>
    </w:rPr>
  </w:style>
  <w:style w:type="paragraph" w:styleId="1407" w:customStyle="1">
    <w:name w:val="xl4130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8" w:customStyle="1">
    <w:name w:val="xl242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9" w:customStyle="1">
    <w:name w:val="xl4132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23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11" w:customStyle="1">
    <w:name w:val="xl11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12" w:customStyle="1">
    <w:name w:val="正文标准"/>
    <w:basedOn w:val="778"/>
    <w:uiPriority w:val="0"/>
    <w:qFormat/>
    <w:pPr>
      <w:ind w:firstLine="200"/>
      <w:spacing w:line="360" w:lineRule="auto"/>
    </w:pPr>
    <w:rPr>
      <w:rFonts w:eastAsia="MS Gothic"/>
      <w:sz w:val="24"/>
      <w:szCs w:val="21"/>
    </w:rPr>
  </w:style>
  <w:style w:type="paragraph" w:styleId="1413" w:customStyle="1">
    <w:name w:val="xl11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4" w:customStyle="1">
    <w:name w:val="xl24257"/>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5" w:customStyle="1">
    <w:name w:val="剑鱼三"/>
    <w:basedOn w:val="778"/>
    <w:next w:val="778"/>
    <w:uiPriority w:val="0"/>
    <w:qFormat/>
    <w:pPr>
      <w:ind w:left="840" w:hanging="420"/>
    </w:pPr>
    <w:rPr>
      <w:rFonts w:ascii="Arial" w:hAnsi="Arial"/>
      <w:b/>
      <w:sz w:val="20"/>
      <w:szCs w:val="21"/>
    </w:rPr>
  </w:style>
  <w:style w:type="paragraph" w:styleId="1416" w:customStyle="1">
    <w:name w:val="xl41316"/>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7" w:customStyle="1">
    <w:name w:val="xl2424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18" w:customStyle="1">
    <w:name w:val="style23"/>
    <w:basedOn w:val="778"/>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9" w:customStyle="1">
    <w:name w:val="Char"/>
    <w:basedOn w:val="778"/>
    <w:uiPriority w:val="0"/>
    <w:qFormat/>
    <w:pPr>
      <w:ind w:left="480" w:hanging="480"/>
      <w:tabs>
        <w:tab w:val="left" w:pos="480" w:leader="none"/>
      </w:tabs>
    </w:pPr>
    <w:rPr>
      <w:sz w:val="24"/>
      <w:szCs w:val="24"/>
    </w:rPr>
  </w:style>
  <w:style w:type="paragraph" w:styleId="1420" w:customStyle="1">
    <w:name w:val="xl272"/>
    <w:basedOn w:val="778"/>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21" w:customStyle="1">
    <w:name w:val="xl9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2" w:customStyle="1">
    <w:name w:val="xl6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3" w:customStyle="1">
    <w:name w:val="默认段落字体 Para Char Char Char Char Char Char Char"/>
    <w:basedOn w:val="790"/>
    <w:uiPriority w:val="0"/>
    <w:qFormat/>
    <w:pPr>
      <w:ind w:left="357"/>
      <w:jc w:val="left"/>
      <w:spacing w:line="436" w:lineRule="exact"/>
      <w:outlineLvl w:val="3"/>
    </w:pPr>
    <w:rPr>
      <w:rFonts w:ascii="Tahoma" w:hAnsi="Tahoma"/>
      <w:b/>
      <w:sz w:val="24"/>
      <w:szCs w:val="24"/>
    </w:rPr>
  </w:style>
  <w:style w:type="paragraph" w:styleId="1424" w:customStyle="1">
    <w:name w:val="Char Char Char Char Char Char Char Char Char Char1"/>
    <w:basedOn w:val="790"/>
    <w:uiPriority w:val="0"/>
    <w:qFormat/>
    <w:rPr>
      <w:rFonts w:ascii="Tahoma" w:hAnsi="Tahoma" w:cs="Tahoma"/>
      <w:sz w:val="24"/>
      <w:szCs w:val="24"/>
    </w:rPr>
  </w:style>
  <w:style w:type="paragraph" w:styleId="1425" w:customStyle="1">
    <w:name w:val="xl85"/>
    <w:basedOn w:val="778"/>
    <w:uiPriority w:val="0"/>
    <w:qFormat/>
    <w:pPr>
      <w:jc w:val="left"/>
      <w:spacing w:before="100" w:beforeAutospacing="1" w:after="100" w:afterAutospacing="1"/>
      <w:widowControl/>
    </w:pPr>
    <w:rPr>
      <w:rFonts w:ascii="宋体" w:hAnsi="宋体" w:cs="宋体"/>
      <w:sz w:val="24"/>
      <w:szCs w:val="24"/>
    </w:rPr>
  </w:style>
  <w:style w:type="paragraph" w:styleId="1426" w:customStyle="1">
    <w:name w:val="Char Char Char"/>
    <w:basedOn w:val="778"/>
    <w:uiPriority w:val="0"/>
    <w:qFormat/>
    <w:pPr>
      <w:ind w:left="375" w:hanging="375"/>
      <w:tabs>
        <w:tab w:val="left" w:pos="1545" w:leader="none"/>
      </w:tabs>
    </w:pPr>
  </w:style>
  <w:style w:type="paragraph" w:styleId="1427" w:customStyle="1">
    <w:name w:val="xl281"/>
    <w:basedOn w:val="77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28" w:customStyle="1">
    <w:name w:val="_Style 30"/>
    <w:basedOn w:val="778"/>
    <w:next w:val="811"/>
    <w:uiPriority w:val="0"/>
    <w:qFormat/>
    <w:rPr>
      <w:rFonts w:ascii="宋体" w:hAnsi="Courier New"/>
    </w:rPr>
  </w:style>
  <w:style w:type="paragraph" w:styleId="1429" w:customStyle="1">
    <w:name w:val="xl41339"/>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0" w:customStyle="1">
    <w:name w:val="xl4129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1" w:customStyle="1">
    <w:name w:val="xl265"/>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2" w:customStyle="1">
    <w:name w:val="xl41325"/>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3" w:customStyle="1">
    <w:name w:val="xl41310"/>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4" w:customStyle="1">
    <w:name w:val="xl249"/>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xl74"/>
    <w:basedOn w:val="778"/>
    <w:uiPriority w:val="0"/>
    <w:qFormat/>
    <w:pPr>
      <w:jc w:val="left"/>
      <w:spacing w:before="100" w:beforeAutospacing="1" w:after="100" w:afterAutospacing="1"/>
      <w:widowControl/>
    </w:pPr>
    <w:rPr>
      <w:rFonts w:ascii="宋体" w:hAnsi="宋体" w:cs="宋体"/>
      <w:sz w:val="24"/>
      <w:szCs w:val="24"/>
    </w:rPr>
  </w:style>
  <w:style w:type="paragraph" w:styleId="1436" w:customStyle="1">
    <w:name w:val="xl133"/>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37" w:customStyle="1">
    <w:name w:val="修订1"/>
    <w:uiPriority w:val="0"/>
    <w:semiHidden/>
    <w:qFormat/>
    <w:rPr>
      <w:rFonts w:hint="default" w:ascii="Times New Roman" w:hAnsi="Times New Roman" w:eastAsia="楷体_GB2312" w:cs="Times New Roman"/>
      <w:sz w:val="28"/>
      <w:lang w:val="en-US" w:eastAsia="zh-CN" w:bidi="ar-SA"/>
    </w:rPr>
  </w:style>
  <w:style w:type="paragraph" w:styleId="1438" w:customStyle="1">
    <w:name w:val="xl25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39" w:customStyle="1">
    <w:name w:val="xl127"/>
    <w:basedOn w:val="778"/>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40" w:customStyle="1">
    <w:name w:val="p0"/>
    <w:basedOn w:val="778"/>
    <w:uiPriority w:val="0"/>
    <w:qFormat/>
    <w:pPr>
      <w:widowControl/>
    </w:pPr>
    <w:rPr>
      <w:spacing w:val="16"/>
    </w:rPr>
  </w:style>
  <w:style w:type="paragraph" w:styleId="1441" w:customStyle="1">
    <w:name w:val="xl275"/>
    <w:basedOn w:val="778"/>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42" w:customStyle="1">
    <w:name w:val="xl4133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3" w:customStyle="1">
    <w:name w:val="xl10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4" w:customStyle="1">
    <w:name w:val="文档正文"/>
    <w:basedOn w:val="778"/>
    <w:uiPriority w:val="0"/>
    <w:qFormat/>
    <w:pPr>
      <w:ind w:firstLine="567"/>
      <w:spacing w:line="500" w:lineRule="exact"/>
    </w:pPr>
    <w:rPr>
      <w:rFonts w:ascii="仿宋_GB2312" w:eastAsia="仿宋_GB2312"/>
      <w:sz w:val="28"/>
    </w:rPr>
  </w:style>
  <w:style w:type="paragraph" w:styleId="1445" w:customStyle="1">
    <w:name w:val="Char11"/>
    <w:basedOn w:val="790"/>
    <w:uiPriority w:val="0"/>
    <w:qFormat/>
    <w:pPr>
      <w:ind w:left="357"/>
      <w:jc w:val="left"/>
      <w:spacing w:line="436" w:lineRule="exact"/>
      <w:outlineLvl w:val="3"/>
    </w:pPr>
    <w:rPr>
      <w:rFonts w:ascii="Tahoma" w:hAnsi="Tahoma"/>
      <w:b/>
      <w:sz w:val="24"/>
      <w:szCs w:val="24"/>
    </w:rPr>
  </w:style>
  <w:style w:type="paragraph" w:styleId="1446" w:customStyle="1">
    <w:name w:val="xl10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7" w:customStyle="1">
    <w:name w:val="此正文"/>
    <w:basedOn w:val="778"/>
    <w:uiPriority w:val="0"/>
    <w:qFormat/>
    <w:pPr>
      <w:ind w:firstLine="200"/>
      <w:spacing w:line="360" w:lineRule="auto"/>
    </w:pPr>
    <w:rPr>
      <w:sz w:val="24"/>
      <w:szCs w:val="24"/>
    </w:rPr>
  </w:style>
  <w:style w:type="paragraph" w:styleId="1448" w:customStyle="1">
    <w:name w:val="xl24251"/>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9" w:customStyle="1">
    <w:name w:val="xl25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50" w:customStyle="1">
    <w:name w:val="xl24264"/>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51" w:customStyle="1">
    <w:name w:val="style1"/>
    <w:basedOn w:val="778"/>
    <w:uiPriority w:val="0"/>
    <w:qFormat/>
    <w:pPr>
      <w:jc w:val="left"/>
      <w:spacing w:before="100" w:beforeAutospacing="1" w:after="100" w:afterAutospacing="1"/>
      <w:widowControl/>
    </w:pPr>
    <w:rPr>
      <w:rFonts w:ascii="宋体" w:hAnsi="宋体" w:cs="宋体"/>
      <w:sz w:val="24"/>
      <w:szCs w:val="24"/>
    </w:rPr>
  </w:style>
  <w:style w:type="paragraph" w:styleId="1452" w:customStyle="1">
    <w:name w:val="xl23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正文文本缩进 21"/>
    <w:basedOn w:val="778"/>
    <w:uiPriority w:val="0"/>
    <w:qFormat/>
    <w:pPr>
      <w:ind w:left="-61" w:firstLine="458"/>
      <w:spacing w:line="360" w:lineRule="auto"/>
    </w:pPr>
    <w:rPr>
      <w:rFonts w:ascii="宋体" w:hAnsi="宋体"/>
      <w:sz w:val="20"/>
    </w:rPr>
  </w:style>
  <w:style w:type="paragraph" w:styleId="1454" w:customStyle="1">
    <w:name w:val="font9"/>
    <w:basedOn w:val="778"/>
    <w:uiPriority w:val="0"/>
    <w:qFormat/>
    <w:pPr>
      <w:jc w:val="left"/>
      <w:spacing w:before="100" w:beforeAutospacing="1" w:after="100" w:afterAutospacing="1"/>
      <w:widowControl/>
    </w:pPr>
    <w:rPr>
      <w:rFonts w:ascii="宋体" w:hAnsi="宋体" w:cs="宋体"/>
      <w:sz w:val="22"/>
      <w:szCs w:val="22"/>
    </w:rPr>
  </w:style>
  <w:style w:type="paragraph" w:styleId="1455" w:customStyle="1">
    <w:name w:val="多级符号2"/>
    <w:basedOn w:val="778"/>
    <w:uiPriority w:val="0"/>
    <w:qFormat/>
    <w:pPr>
      <w:ind w:left="420" w:hanging="420"/>
      <w:jc w:val="left"/>
      <w:spacing w:line="360" w:lineRule="auto"/>
    </w:pPr>
    <w:rPr>
      <w:rFonts w:eastAsia="仿宋_GB2312"/>
      <w:sz w:val="24"/>
      <w:szCs w:val="24"/>
    </w:rPr>
  </w:style>
  <w:style w:type="paragraph" w:styleId="1456" w:customStyle="1">
    <w:name w:val="xl126"/>
    <w:basedOn w:val="778"/>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57" w:customStyle="1">
    <w:name w:val="font7"/>
    <w:basedOn w:val="778"/>
    <w:uiPriority w:val="0"/>
    <w:qFormat/>
    <w:pPr>
      <w:jc w:val="left"/>
      <w:spacing w:before="100" w:beforeAutospacing="1" w:after="100" w:afterAutospacing="1"/>
      <w:widowControl/>
    </w:pPr>
    <w:rPr>
      <w:sz w:val="20"/>
    </w:rPr>
  </w:style>
  <w:style w:type="paragraph" w:styleId="1458" w:customStyle="1">
    <w:name w:val="xl4131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9" w:customStyle="1">
    <w:name w:val="xl24250"/>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0" w:customStyle="1">
    <w:name w:val="style2"/>
    <w:basedOn w:val="778"/>
    <w:uiPriority w:val="0"/>
    <w:qFormat/>
    <w:pPr>
      <w:jc w:val="left"/>
      <w:spacing w:before="100" w:beforeAutospacing="1" w:after="100" w:afterAutospacing="1"/>
      <w:widowControl/>
    </w:pPr>
    <w:rPr>
      <w:rFonts w:hint="eastAsia" w:ascii="宋体" w:hAnsi="宋体" w:cs="Arial Unicode MS"/>
      <w:sz w:val="18"/>
      <w:szCs w:val="18"/>
    </w:rPr>
  </w:style>
  <w:style w:type="paragraph" w:styleId="1461" w:customStyle="1">
    <w:name w:val="_Style 7"/>
    <w:basedOn w:val="778"/>
    <w:next w:val="778"/>
    <w:uiPriority w:val="0"/>
    <w:qFormat/>
    <w:pPr>
      <w:ind w:left="420" w:firstLine="420"/>
      <w:jc w:val="left"/>
      <w:spacing w:line="240" w:lineRule="atLeast"/>
    </w:pPr>
    <w:rPr>
      <w:sz w:val="20"/>
      <w:szCs w:val="21"/>
    </w:rPr>
  </w:style>
  <w:style w:type="paragraph" w:styleId="1462" w:customStyle="1">
    <w:name w:val="xl72"/>
    <w:basedOn w:val="778"/>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63" w:customStyle="1">
    <w:name w:val="xl8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4" w:customStyle="1">
    <w:name w:val="纯文本111"/>
    <w:basedOn w:val="778"/>
    <w:uiPriority w:val="0"/>
    <w:qFormat/>
    <w:rPr>
      <w:rFonts w:hint="eastAsia" w:ascii="宋体" w:hAnsi="Courier New" w:eastAsia="楷体_GB2312"/>
      <w:sz w:val="28"/>
    </w:rPr>
  </w:style>
  <w:style w:type="paragraph" w:styleId="1465" w:customStyle="1">
    <w:name w:val="xl89"/>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xl1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7" w:customStyle="1">
    <w:name w:val="Char Char Char Char Char Char Char Char Char Char Char Char Char Char Char Char1"/>
    <w:basedOn w:val="778"/>
    <w:uiPriority w:val="0"/>
    <w:qFormat/>
    <w:rPr>
      <w:rFonts w:ascii="Tahoma" w:hAnsi="Tahoma"/>
      <w:sz w:val="24"/>
      <w:szCs w:val="24"/>
    </w:rPr>
  </w:style>
  <w:style w:type="paragraph" w:styleId="1468" w:customStyle="1">
    <w:name w:val="4级方案标题"/>
    <w:basedOn w:val="778"/>
    <w:uiPriority w:val="0"/>
    <w:qFormat/>
    <w:pPr>
      <w:spacing w:before="100" w:beforeAutospacing="1" w:after="100" w:afterAutospacing="1" w:line="360" w:lineRule="auto"/>
      <w:outlineLvl w:val="3"/>
    </w:pPr>
    <w:rPr>
      <w:rFonts w:ascii="等线" w:hAnsi="等线"/>
      <w:b/>
      <w:sz w:val="24"/>
      <w:szCs w:val="28"/>
    </w:rPr>
  </w:style>
  <w:style w:type="paragraph" w:styleId="1469" w:customStyle="1">
    <w:name w:val="xl24245"/>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70" w:customStyle="1">
    <w:name w:val="xl123"/>
    <w:basedOn w:val="77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71" w:customStyle="1">
    <w:name w:val="TOC 标题11"/>
    <w:basedOn w:val="779"/>
    <w:next w:val="778"/>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72" w:customStyle="1">
    <w:name w:val="xl26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73" w:customStyle="1">
    <w:name w:val="xl2423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74" w:customStyle="1">
    <w:name w:val="列表内容"/>
    <w:basedOn w:val="778"/>
    <w:next w:val="778"/>
    <w:uiPriority w:val="0"/>
    <w:qFormat/>
    <w:pPr>
      <w:ind w:left="840" w:hanging="420"/>
      <w:jc w:val="left"/>
      <w:widowControl/>
      <w:tabs>
        <w:tab w:val="left" w:pos="840" w:leader="none"/>
      </w:tabs>
    </w:pPr>
    <w:rPr>
      <w:sz w:val="18"/>
      <w:szCs w:val="24"/>
    </w:rPr>
  </w:style>
  <w:style w:type="paragraph" w:styleId="1475" w:customStyle="1">
    <w:name w:val="xl22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xl273"/>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77" w:customStyle="1">
    <w:name w:val="xl4132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8" w:customStyle="1">
    <w:name w:val="xl41330"/>
    <w:basedOn w:val="7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9" w:customStyle="1">
    <w:name w:val="xl276"/>
    <w:basedOn w:val="778"/>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80" w:customStyle="1">
    <w:name w:val="标题3"/>
    <w:basedOn w:val="781"/>
    <w:uiPriority w:val="0"/>
    <w:qFormat/>
    <w:pPr>
      <w:jc w:val="both"/>
      <w:keepNext w:val="0"/>
      <w:spacing w:line="360" w:lineRule="auto"/>
    </w:pPr>
    <w:rPr>
      <w:rFonts w:ascii="Times New Roman" w:hAnsi="Times New Roman" w:eastAsia="仿宋_GB2312"/>
      <w:b/>
      <w:bCs/>
      <w:sz w:val="30"/>
      <w:szCs w:val="32"/>
    </w:rPr>
  </w:style>
  <w:style w:type="paragraph" w:styleId="1481" w:customStyle="1">
    <w:name w:val="xl95"/>
    <w:basedOn w:val="778"/>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82" w:customStyle="1">
    <w:name w:val="样式 正文缩进 + 首行缩进:  2 字符"/>
    <w:basedOn w:val="796"/>
    <w:uiPriority w:val="0"/>
    <w:qFormat/>
    <w:pPr>
      <w:ind w:firstLine="200"/>
      <w:jc w:val="left"/>
      <w:spacing w:line="360" w:lineRule="auto"/>
    </w:pPr>
    <w:rPr>
      <w:rFonts w:ascii="Calibri" w:hAnsi="Calibri" w:eastAsia="楷体_GB2312"/>
      <w:sz w:val="24"/>
      <w:szCs w:val="22"/>
    </w:rPr>
  </w:style>
  <w:style w:type="paragraph" w:styleId="1483" w:customStyle="1">
    <w:name w:val="xl22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xl9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5" w:customStyle="1">
    <w:name w:val="xl251"/>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86" w:customStyle="1">
    <w:name w:val="样式2"/>
    <w:basedOn w:val="779"/>
    <w:uiPriority w:val="0"/>
    <w:qFormat/>
    <w:pPr>
      <w:jc w:val="both"/>
      <w:keepLines/>
      <w:spacing w:before="340" w:after="330" w:line="578" w:lineRule="atLeast"/>
      <w:tabs>
        <w:tab w:val="clear" w:pos="200" w:leader="none"/>
      </w:tabs>
    </w:pPr>
    <w:rPr>
      <w:bCs/>
      <w:sz w:val="44"/>
      <w:szCs w:val="44"/>
    </w:rPr>
  </w:style>
  <w:style w:type="paragraph" w:styleId="1487" w:customStyle="1">
    <w:name w:val="xl246"/>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8" w:customStyle="1">
    <w:name w:val="xl260"/>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9" w:customStyle="1">
    <w:name w:val="xl7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0" w:customStyle="1">
    <w:name w:val="Pa3"/>
    <w:basedOn w:val="778"/>
    <w:next w:val="778"/>
    <w:uiPriority w:val="0"/>
    <w:qFormat/>
    <w:pPr>
      <w:jc w:val="left"/>
      <w:spacing w:line="181" w:lineRule="atLeast"/>
    </w:pPr>
    <w:rPr>
      <w:rFonts w:ascii="微软雅黑." w:eastAsia="微软雅黑."/>
      <w:sz w:val="24"/>
      <w:szCs w:val="24"/>
    </w:rPr>
  </w:style>
  <w:style w:type="paragraph" w:styleId="1491" w:customStyle="1">
    <w:name w:val="xl9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92" w:customStyle="1">
    <w:name w:val="xl2424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3" w:customStyle="1">
    <w:name w:val="xl4129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4" w:customStyle="1">
    <w:name w:val="样式5"/>
    <w:basedOn w:val="840"/>
    <w:uiPriority w:val="0"/>
    <w:qFormat/>
    <w:rPr>
      <w:rFonts w:ascii="Arial" w:hAnsi="Arial" w:cs="Arial"/>
    </w:rPr>
  </w:style>
  <w:style w:type="paragraph" w:styleId="1495" w:customStyle="1">
    <w:name w:val="Char3"/>
    <w:basedOn w:val="778"/>
    <w:uiPriority w:val="0"/>
    <w:qFormat/>
    <w:rPr>
      <w:rFonts w:ascii="Tahoma" w:hAnsi="Tahoma"/>
      <w:sz w:val="24"/>
    </w:rPr>
  </w:style>
  <w:style w:type="paragraph" w:styleId="1496" w:customStyle="1">
    <w:name w:val="xl11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97" w:customStyle="1">
    <w:name w:val="xl269"/>
    <w:basedOn w:val="778"/>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8" w:customStyle="1">
    <w:name w:val="xl22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41335"/>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00" w:customStyle="1">
    <w:name w:val="xl6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1" w:customStyle="1">
    <w:name w:val="Plain Text2"/>
    <w:basedOn w:val="778"/>
    <w:uiPriority w:val="0"/>
    <w:qFormat/>
    <w:rPr>
      <w:rFonts w:ascii="宋体" w:hAnsi="Courier New" w:eastAsia="楷体_GB2312"/>
      <w:sz w:val="28"/>
    </w:rPr>
  </w:style>
  <w:style w:type="paragraph" w:styleId="1502" w:customStyle="1">
    <w:name w:val="段落正文 Char Char"/>
    <w:basedOn w:val="778"/>
    <w:uiPriority w:val="0"/>
    <w:qFormat/>
    <w:pPr>
      <w:ind w:firstLine="461"/>
      <w:spacing w:line="360" w:lineRule="auto"/>
    </w:pPr>
    <w:rPr>
      <w:rFonts w:ascii="宋体" w:hAnsi="宋体"/>
      <w:sz w:val="24"/>
      <w:szCs w:val="24"/>
    </w:rPr>
  </w:style>
  <w:style w:type="paragraph" w:styleId="1503" w:customStyle="1">
    <w:name w:val="南通方案正文"/>
    <w:basedOn w:val="778"/>
    <w:uiPriority w:val="0"/>
    <w:qFormat/>
    <w:pPr>
      <w:ind w:firstLine="480"/>
      <w:spacing w:line="360" w:lineRule="auto"/>
    </w:pPr>
    <w:rPr>
      <w:sz w:val="24"/>
    </w:rPr>
  </w:style>
  <w:style w:type="paragraph" w:styleId="1504" w:customStyle="1">
    <w:name w:val="xl135"/>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05" w:customStyle="1">
    <w:name w:val="Pa1"/>
    <w:basedOn w:val="778"/>
    <w:next w:val="778"/>
    <w:uiPriority w:val="0"/>
    <w:qFormat/>
    <w:pPr>
      <w:jc w:val="left"/>
      <w:spacing w:line="241" w:lineRule="atLeast"/>
    </w:pPr>
    <w:rPr>
      <w:rFonts w:ascii="华文细黑" w:eastAsia="华文细黑"/>
      <w:sz w:val="24"/>
      <w:szCs w:val="24"/>
    </w:rPr>
  </w:style>
  <w:style w:type="paragraph" w:styleId="1506" w:customStyle="1">
    <w:name w:val="xl2422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xl23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8" w:customStyle="1">
    <w:name w:val="Char Char Char Char Char Char Char Char1 Char Char Char Char"/>
    <w:basedOn w:val="790"/>
    <w:uiPriority w:val="0"/>
    <w:qFormat/>
    <w:pPr>
      <w:spacing w:line="360" w:lineRule="auto"/>
    </w:pPr>
    <w:rPr>
      <w:rFonts w:eastAsia="楷体_GB2312"/>
      <w:sz w:val="28"/>
    </w:rPr>
  </w:style>
  <w:style w:type="paragraph" w:styleId="1509" w:customStyle="1">
    <w:name w:val="xl248"/>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2426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11" w:customStyle="1">
    <w:name w:val="xl23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2" w:customStyle="1">
    <w:name w:val="xl278"/>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13" w:customStyle="1">
    <w:name w:val="正文序号 3"/>
    <w:basedOn w:val="778"/>
    <w:uiPriority w:val="0"/>
    <w:qFormat/>
    <w:pPr>
      <w:ind w:left="1259" w:hanging="420"/>
      <w:spacing w:before="60"/>
      <w:tabs>
        <w:tab w:val="left" w:pos="1259" w:leader="none"/>
      </w:tabs>
    </w:pPr>
    <w:rPr>
      <w:szCs w:val="24"/>
    </w:rPr>
  </w:style>
  <w:style w:type="paragraph" w:styleId="1514" w:customStyle="1">
    <w:name w:val="xl4132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5" w:customStyle="1">
    <w:name w:val="xl21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24258"/>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7" w:customStyle="1">
    <w:name w:val="xl21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xl75"/>
    <w:basedOn w:val="778"/>
    <w:uiPriority w:val="0"/>
    <w:qFormat/>
    <w:pPr>
      <w:jc w:val="left"/>
      <w:spacing w:before="100" w:beforeAutospacing="1" w:after="100" w:afterAutospacing="1"/>
      <w:widowControl/>
    </w:pPr>
    <w:rPr>
      <w:rFonts w:ascii="宋体" w:hAnsi="宋体" w:cs="宋体"/>
      <w:sz w:val="24"/>
      <w:szCs w:val="24"/>
    </w:rPr>
  </w:style>
  <w:style w:type="paragraph" w:styleId="1519" w:customStyle="1">
    <w:name w:val="msonormal"/>
    <w:basedOn w:val="778"/>
    <w:uiPriority w:val="0"/>
    <w:qFormat/>
    <w:pPr>
      <w:jc w:val="left"/>
      <w:spacing w:before="100" w:beforeAutospacing="1" w:after="100" w:afterAutospacing="1"/>
      <w:widowControl/>
    </w:pPr>
    <w:rPr>
      <w:rFonts w:ascii="宋体" w:hAnsi="宋体" w:cs="宋体"/>
      <w:sz w:val="24"/>
      <w:szCs w:val="24"/>
    </w:rPr>
  </w:style>
  <w:style w:type="paragraph" w:styleId="1520" w:customStyle="1">
    <w:name w:val="xl41298"/>
    <w:basedOn w:val="778"/>
    <w:uiPriority w:val="0"/>
    <w:qFormat/>
    <w:pPr>
      <w:jc w:val="left"/>
      <w:spacing w:before="100" w:beforeAutospacing="1" w:after="100" w:afterAutospacing="1"/>
      <w:widowControl/>
    </w:pPr>
    <w:rPr>
      <w:rFonts w:ascii="宋体" w:hAnsi="宋体" w:cs="宋体"/>
      <w:b/>
      <w:bCs/>
      <w:sz w:val="24"/>
      <w:szCs w:val="24"/>
    </w:rPr>
  </w:style>
  <w:style w:type="paragraph" w:styleId="1521" w:customStyle="1">
    <w:name w:val="Char Char2 Char Char"/>
    <w:basedOn w:val="778"/>
    <w:uiPriority w:val="0"/>
    <w:qFormat/>
    <w:rPr>
      <w:rFonts w:ascii="Tahoma" w:hAnsi="Tahoma"/>
      <w:sz w:val="24"/>
    </w:rPr>
  </w:style>
  <w:style w:type="paragraph" w:styleId="1522" w:customStyle="1">
    <w:name w:val="xl4132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3" w:customStyle="1">
    <w:name w:val="默认段落字体 Para Char Char Char Char"/>
    <w:basedOn w:val="778"/>
    <w:uiPriority w:val="0"/>
    <w:qFormat/>
    <w:rPr>
      <w:sz w:val="20"/>
      <w:szCs w:val="24"/>
    </w:rPr>
  </w:style>
  <w:style w:type="paragraph" w:styleId="1524" w:customStyle="1">
    <w:name w:val="xl41301"/>
    <w:basedOn w:val="778"/>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5" w:customStyle="1">
    <w:name w:val="纯文本21"/>
    <w:basedOn w:val="778"/>
    <w:uiPriority w:val="0"/>
    <w:qFormat/>
    <w:rPr>
      <w:rFonts w:ascii="宋体" w:hAnsi="Courier New" w:eastAsia="楷体_GB2312"/>
      <w:sz w:val="26"/>
    </w:rPr>
  </w:style>
  <w:style w:type="paragraph" w:styleId="1526" w:customStyle="1">
    <w:name w:val="Bullet"/>
    <w:basedOn w:val="778"/>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27" w:customStyle="1">
    <w:name w:val="xl8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8" w:customStyle="1">
    <w:name w:val="Char Char1 Char"/>
    <w:basedOn w:val="790"/>
    <w:uiPriority w:val="0"/>
    <w:qFormat/>
    <w:pPr>
      <w:spacing w:line="360" w:lineRule="auto"/>
    </w:pPr>
    <w:rPr>
      <w:rFonts w:ascii="Tahoma" w:hAnsi="Tahoma"/>
      <w:sz w:val="24"/>
      <w:szCs w:val="24"/>
    </w:rPr>
  </w:style>
  <w:style w:type="paragraph" w:styleId="1529" w:customStyle="1">
    <w:name w:val="xl41294"/>
    <w:basedOn w:val="778"/>
    <w:uiPriority w:val="0"/>
    <w:qFormat/>
    <w:pPr>
      <w:jc w:val="left"/>
      <w:spacing w:before="100" w:beforeAutospacing="1" w:after="100" w:afterAutospacing="1"/>
      <w:widowControl/>
    </w:pPr>
    <w:rPr>
      <w:rFonts w:ascii="宋体" w:hAnsi="宋体" w:cs="宋体"/>
      <w:b/>
      <w:bCs/>
      <w:sz w:val="24"/>
      <w:szCs w:val="24"/>
    </w:rPr>
  </w:style>
  <w:style w:type="paragraph" w:styleId="1530" w:customStyle="1">
    <w:name w:val="xl24226"/>
    <w:basedOn w:val="778"/>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1" w:customStyle="1">
    <w:name w:val="Char Char1 Char Char Char Char Char Char Char1"/>
    <w:basedOn w:val="778"/>
    <w:uiPriority w:val="0"/>
    <w:qFormat/>
    <w:rPr>
      <w:rFonts w:ascii="Tahoma" w:hAnsi="Tahoma"/>
      <w:sz w:val="24"/>
    </w:rPr>
  </w:style>
  <w:style w:type="paragraph" w:styleId="1532" w:customStyle="1">
    <w:name w:val="xl26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3" w:customStyle="1">
    <w:name w:val="xl41315"/>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4" w:customStyle="1">
    <w:name w:val="xl24262"/>
    <w:basedOn w:val="778"/>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35" w:customStyle="1">
    <w:name w:val="xl218"/>
    <w:basedOn w:val="778"/>
    <w:uiPriority w:val="0"/>
    <w:qFormat/>
    <w:pPr>
      <w:jc w:val="left"/>
      <w:spacing w:before="100" w:beforeAutospacing="1" w:after="100" w:afterAutospacing="1"/>
      <w:widowControl/>
    </w:pPr>
    <w:rPr>
      <w:rFonts w:ascii="宋体" w:hAnsi="宋体" w:cs="宋体"/>
      <w:sz w:val="24"/>
      <w:szCs w:val="24"/>
    </w:rPr>
  </w:style>
  <w:style w:type="paragraph" w:styleId="1536" w:customStyle="1">
    <w:name w:val="xl106"/>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37" w:customStyle="1">
    <w:name w:val="xl2425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38" w:customStyle="1">
    <w:name w:val="xl22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xl24266"/>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40" w:customStyle="1">
    <w:name w:val="xl24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1" w:customStyle="1">
    <w:name w:val="xl23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2" w:customStyle="1">
    <w:name w:val="reader-word-layer reader-word-s7-11"/>
    <w:basedOn w:val="778"/>
    <w:uiPriority w:val="0"/>
    <w:qFormat/>
    <w:pPr>
      <w:jc w:val="left"/>
      <w:spacing w:before="100" w:beforeAutospacing="1" w:after="100" w:afterAutospacing="1"/>
      <w:widowControl/>
    </w:pPr>
    <w:rPr>
      <w:rFonts w:ascii="宋体" w:hAnsi="宋体" w:cs="宋体"/>
      <w:sz w:val="24"/>
      <w:szCs w:val="24"/>
    </w:rPr>
  </w:style>
  <w:style w:type="paragraph" w:styleId="1543" w:customStyle="1">
    <w:name w:val="xl4131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4" w:customStyle="1">
    <w:name w:val="xl41300"/>
    <w:basedOn w:val="778"/>
    <w:uiPriority w:val="0"/>
    <w:qFormat/>
    <w:pPr>
      <w:jc w:val="center"/>
      <w:spacing w:before="100" w:beforeAutospacing="1" w:after="100" w:afterAutospacing="1"/>
      <w:widowControl/>
    </w:pPr>
    <w:rPr>
      <w:rFonts w:ascii="宋体" w:hAnsi="宋体" w:cs="宋体"/>
      <w:sz w:val="24"/>
      <w:szCs w:val="24"/>
    </w:rPr>
  </w:style>
  <w:style w:type="paragraph" w:styleId="1545" w:customStyle="1">
    <w:name w:val="Char Char Char1"/>
    <w:basedOn w:val="778"/>
    <w:uiPriority w:val="0"/>
    <w:qFormat/>
    <w:pPr>
      <w:ind w:left="375" w:hanging="375"/>
      <w:tabs>
        <w:tab w:val="left" w:pos="375" w:leader="none"/>
        <w:tab w:val="left" w:pos="1545" w:leader="none"/>
      </w:tabs>
    </w:pPr>
  </w:style>
  <w:style w:type="paragraph" w:styleId="1546" w:customStyle="1">
    <w:name w:val="Pa8"/>
    <w:basedOn w:val="778"/>
    <w:next w:val="778"/>
    <w:uiPriority w:val="0"/>
    <w:qFormat/>
    <w:pPr>
      <w:jc w:val="left"/>
      <w:spacing w:line="481" w:lineRule="atLeast"/>
    </w:pPr>
    <w:rPr>
      <w:rFonts w:ascii="微软雅黑." w:eastAsia="微软雅黑."/>
      <w:sz w:val="24"/>
      <w:szCs w:val="24"/>
    </w:rPr>
  </w:style>
  <w:style w:type="paragraph" w:styleId="1547" w:customStyle="1">
    <w:name w:val="Char Char Char Char1"/>
    <w:basedOn w:val="790"/>
    <w:uiPriority w:val="0"/>
    <w:qFormat/>
    <w:pPr>
      <w:spacing w:line="360" w:lineRule="auto"/>
    </w:pPr>
    <w:rPr>
      <w:rFonts w:ascii="Tahoma" w:hAnsi="Tahoma"/>
      <w:sz w:val="24"/>
      <w:szCs w:val="24"/>
    </w:rPr>
  </w:style>
  <w:style w:type="paragraph" w:styleId="1548" w:customStyle="1">
    <w:name w:val="xl8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9" w:customStyle="1">
    <w:name w:val="_Style 12"/>
    <w:basedOn w:val="790"/>
    <w:uiPriority w:val="0"/>
    <w:qFormat/>
    <w:pPr>
      <w:jc w:val="left"/>
      <w:spacing w:line="360" w:lineRule="auto"/>
      <w:widowControl/>
    </w:pPr>
    <w:rPr>
      <w:sz w:val="24"/>
      <w:szCs w:val="24"/>
    </w:rPr>
  </w:style>
  <w:style w:type="paragraph" w:styleId="1550" w:customStyle="1">
    <w:name w:val="xl258"/>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xl41336"/>
    <w:basedOn w:val="778"/>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52" w:customStyle="1">
    <w:name w:val="xl24263"/>
    <w:basedOn w:val="778"/>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53" w:customStyle="1">
    <w:name w:val="xl41334"/>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54" w:customStyle="1">
    <w:name w:val="xl2423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5" w:customStyle="1">
    <w:name w:val="Table Text"/>
    <w:basedOn w:val="778"/>
    <w:uiPriority w:val="0"/>
    <w:qFormat/>
    <w:pPr>
      <w:jc w:val="left"/>
      <w:widowControl/>
      <w:tabs>
        <w:tab w:val="decimal" w:pos="0" w:leader="none"/>
      </w:tabs>
    </w:pPr>
    <w:rPr>
      <w:rFonts w:eastAsia="Times New Roman"/>
      <w:sz w:val="20"/>
      <w:lang w:eastAsia="en-US"/>
    </w:rPr>
  </w:style>
  <w:style w:type="paragraph" w:styleId="1556" w:customStyle="1">
    <w:name w:val="xl41308"/>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7" w:customStyle="1">
    <w:name w:val="xl4130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8" w:customStyle="1">
    <w:name w:val="xl41296"/>
    <w:basedOn w:val="778"/>
    <w:uiPriority w:val="0"/>
    <w:qFormat/>
    <w:pPr>
      <w:jc w:val="center"/>
      <w:spacing w:before="100" w:beforeAutospacing="1" w:after="100" w:afterAutospacing="1"/>
      <w:widowControl/>
    </w:pPr>
    <w:rPr>
      <w:rFonts w:ascii="宋体" w:hAnsi="宋体" w:cs="宋体"/>
      <w:sz w:val="24"/>
      <w:szCs w:val="24"/>
    </w:rPr>
  </w:style>
  <w:style w:type="paragraph" w:styleId="1559" w:customStyle="1">
    <w:name w:val="xl25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60" w:customStyle="1">
    <w:name w:val="正文序号 1"/>
    <w:basedOn w:val="778"/>
    <w:uiPriority w:val="0"/>
    <w:qFormat/>
    <w:pPr>
      <w:ind w:left="839" w:hanging="419"/>
      <w:spacing w:before="60"/>
      <w:tabs>
        <w:tab w:val="left" w:pos="839" w:leader="none"/>
      </w:tabs>
    </w:pPr>
    <w:rPr>
      <w:szCs w:val="24"/>
    </w:rPr>
  </w:style>
  <w:style w:type="paragraph" w:styleId="1561" w:customStyle="1">
    <w:name w:val="xl23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2" w:customStyle="1">
    <w:name w:val="xl70"/>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3" w:customStyle="1">
    <w:name w:val="样式 样式 标题 2 + (中文) 宋体 小四 非加粗 段前: 0 磅 段后: 0 磅 行距: 单倍行距 + 行距: 固定值 2..."/>
    <w:basedOn w:val="778"/>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64" w:customStyle="1">
    <w:name w:val="样式 表格正文 + 两端对齐"/>
    <w:basedOn w:val="778"/>
    <w:uiPriority w:val="0"/>
    <w:qFormat/>
    <w:pPr>
      <w:spacing w:line="300" w:lineRule="auto"/>
    </w:pPr>
    <w:rPr>
      <w:sz w:val="24"/>
    </w:rPr>
  </w:style>
  <w:style w:type="paragraph" w:styleId="1565" w:customStyle="1">
    <w:name w:val="xl257"/>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样式 标题 3 + 小四 非加粗 段前: 0 磅 段后: 0 磅 行距: 单倍行距"/>
    <w:basedOn w:val="781"/>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67" w:customStyle="1">
    <w:name w:val="_Style 610"/>
    <w:basedOn w:val="779"/>
    <w:next w:val="778"/>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68" w:customStyle="1">
    <w:name w:val="xl24260"/>
    <w:basedOn w:val="778"/>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69" w:customStyle="1">
    <w:name w:val="xl4131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70" w:customStyle="1">
    <w:name w:val="Andy_一级"/>
    <w:basedOn w:val="1148"/>
    <w:uiPriority w:val="0"/>
    <w:qFormat/>
    <w:pPr>
      <w:ind w:left="360" w:hanging="360"/>
      <w:keepNext/>
      <w:tabs>
        <w:tab w:val="left" w:pos="360" w:leader="none"/>
      </w:tabs>
    </w:pPr>
    <w:rPr>
      <w:rFonts w:ascii="Times New Roman" w:hAnsi="Times New Roman"/>
      <w:b/>
      <w:szCs w:val="22"/>
    </w:rPr>
  </w:style>
  <w:style w:type="paragraph" w:styleId="1571" w:customStyle="1">
    <w:name w:val="xl25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2" w:customStyle="1">
    <w:name w:val="正文序号 2"/>
    <w:basedOn w:val="778"/>
    <w:uiPriority w:val="0"/>
    <w:qFormat/>
    <w:pPr>
      <w:ind w:left="1049" w:hanging="420"/>
      <w:spacing w:before="60"/>
      <w:tabs>
        <w:tab w:val="left" w:pos="1049" w:leader="none"/>
      </w:tabs>
    </w:pPr>
    <w:rPr>
      <w:szCs w:val="24"/>
    </w:rPr>
  </w:style>
  <w:style w:type="paragraph" w:styleId="1573" w:customStyle="1">
    <w:name w:val="xl24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4" w:customStyle="1">
    <w:name w:val="xl250"/>
    <w:basedOn w:val="7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75" w:customStyle="1">
    <w:name w:val="xl4132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6" w:customStyle="1">
    <w:name w:val="xl6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7" w:customStyle="1">
    <w:name w:val="样式1"/>
    <w:basedOn w:val="778"/>
    <w:uiPriority w:val="0"/>
    <w:qFormat/>
    <w:pPr>
      <w:ind w:left="709" w:hanging="709"/>
      <w:tabs>
        <w:tab w:val="left" w:pos="709" w:leader="none"/>
      </w:tabs>
    </w:pPr>
    <w:rPr>
      <w:rFonts w:ascii="宋体" w:hAnsi="宋体"/>
      <w:szCs w:val="21"/>
    </w:rPr>
  </w:style>
  <w:style w:type="paragraph" w:styleId="1578" w:customStyle="1">
    <w:name w:val="xl243"/>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9" w:customStyle="1">
    <w:name w:val="xl9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0" w:customStyle="1">
    <w:name w:val="xl2426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81" w:customStyle="1">
    <w:name w:val="正文首行缩进两字符"/>
    <w:basedOn w:val="778"/>
    <w:uiPriority w:val="0"/>
    <w:qFormat/>
    <w:pPr>
      <w:ind w:firstLine="200"/>
      <w:spacing w:line="360" w:lineRule="auto"/>
    </w:pPr>
    <w:rPr>
      <w:szCs w:val="24"/>
    </w:rPr>
  </w:style>
  <w:style w:type="paragraph" w:styleId="1582" w:customStyle="1">
    <w:name w:val="xl2427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3"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584" w:customStyle="1">
    <w:name w:val="缩正文"/>
    <w:basedOn w:val="843"/>
    <w:uiPriority w:val="0"/>
    <w:qFormat/>
    <w:pPr>
      <w:ind w:left="2268" w:firstLine="0"/>
    </w:pPr>
    <w:rPr>
      <w:szCs w:val="20"/>
    </w:rPr>
  </w:style>
  <w:style w:type="paragraph" w:styleId="1585" w:customStyle="1">
    <w:name w:val="xl26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6" w:customStyle="1">
    <w:name w:val="tabletext"/>
    <w:basedOn w:val="778"/>
    <w:uiPriority w:val="0"/>
    <w:qFormat/>
    <w:pPr>
      <w:jc w:val="left"/>
      <w:spacing w:before="100" w:beforeAutospacing="1" w:after="100" w:afterAutospacing="1"/>
      <w:widowControl/>
    </w:pPr>
    <w:rPr>
      <w:rFonts w:ascii="宋体" w:hAnsi="宋体" w:cs="宋体"/>
      <w:sz w:val="24"/>
      <w:szCs w:val="24"/>
    </w:rPr>
  </w:style>
  <w:style w:type="paragraph" w:styleId="1587" w:customStyle="1">
    <w:name w:val="xl277"/>
    <w:basedOn w:val="778"/>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88" w:customStyle="1">
    <w:name w:val="xl26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9" w:customStyle="1">
    <w:name w:val="xl4130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90" w:customStyle="1">
    <w:name w:val="正文文本缩进 字符2"/>
    <w:uiPriority w:val="0"/>
    <w:qFormat/>
    <w:rPr>
      <w:rFonts w:ascii="宋体" w:eastAsia="宋体"/>
      <w:sz w:val="28"/>
      <w:lang w:val="en-US" w:eastAsia="zh-CN" w:bidi="ar-SA"/>
    </w:rPr>
  </w:style>
  <w:style w:type="character" w:styleId="1591" w:customStyle="1">
    <w:name w:val="正文缩进 Char2"/>
    <w:uiPriority w:val="0"/>
    <w:qFormat/>
    <w:rPr>
      <w:sz w:val="21"/>
    </w:rPr>
  </w:style>
  <w:style w:type="paragraph" w:styleId="1592" w:customStyle="1">
    <w:name w:val="修订2"/>
    <w:hidden/>
    <w:uiPriority w:val="99"/>
    <w:semiHidden/>
    <w:qFormat/>
    <w:rPr>
      <w:rFonts w:hint="default" w:ascii="Times New Roman" w:hAnsi="Times New Roman" w:eastAsia="宋体" w:cs="Times New Roman"/>
      <w:sz w:val="21"/>
      <w:lang w:val="en-US" w:eastAsia="zh-CN" w:bidi="ar-SA"/>
    </w:rPr>
  </w:style>
  <w:style w:type="character" w:styleId="1593" w:customStyle="1">
    <w:name w:val="普通(网站) 字符"/>
    <w:link w:val="838"/>
    <w:uiPriority w:val="99"/>
    <w:qFormat/>
    <w:rPr>
      <w:rFonts w:ascii="宋体" w:hAnsi="宋体" w:eastAsia="楷体_GB2312" w:cs="宋体"/>
      <w:sz w:val="24"/>
    </w:rPr>
  </w:style>
  <w:style w:type="character" w:styleId="1594" w:customStyle="1">
    <w:name w:val="4级 Char"/>
    <w:link w:val="1595"/>
    <w:uiPriority w:val="0"/>
    <w:qFormat/>
    <w:rPr>
      <w:rFonts w:ascii="Cambria" w:hAnsi="Cambria" w:eastAsia="黑体"/>
      <w:b/>
      <w:caps/>
      <w:spacing w:val="10"/>
      <w:sz w:val="30"/>
      <w:szCs w:val="22"/>
      <w:lang w:eastAsia="en-US" w:bidi="en-US"/>
    </w:rPr>
  </w:style>
  <w:style w:type="paragraph" w:styleId="1595" w:customStyle="1">
    <w:name w:val="4级"/>
    <w:basedOn w:val="782"/>
    <w:next w:val="778"/>
    <w:link w:val="1594"/>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96" w:customStyle="1">
    <w:name w:val="首行缩进"/>
    <w:basedOn w:val="778"/>
    <w:uiPriority w:val="0"/>
    <w:qFormat/>
    <w:pPr>
      <w:ind w:firstLine="480"/>
    </w:pPr>
    <w:rPr>
      <w:lang w:val="zh-CN"/>
    </w:rPr>
  </w:style>
  <w:style w:type="character" w:styleId="1597" w:customStyle="1">
    <w:name w:val="font71"/>
    <w:basedOn w:val="788"/>
    <w:uiPriority w:val="0"/>
    <w:qFormat/>
    <w:rPr>
      <w:rFonts w:hint="eastAsia" w:ascii="宋体" w:hAnsi="宋体" w:eastAsia="宋体" w:cs="宋体"/>
      <w:b/>
      <w:bCs/>
      <w:color w:val="000000"/>
      <w:sz w:val="20"/>
      <w:szCs w:val="20"/>
      <w:u w:val="none"/>
    </w:rPr>
  </w:style>
  <w:style w:type="paragraph" w:styleId="1598"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599" w:customStyle="1">
    <w:name w:val="修订3"/>
    <w:hidden/>
    <w:uiPriority w:val="99"/>
    <w:semiHidden/>
    <w:qFormat/>
    <w:rPr>
      <w:rFonts w:hint="default" w:ascii="Times New Roman" w:hAnsi="Times New Roman" w:eastAsia="宋体" w:cs="Times New Roman"/>
      <w:sz w:val="21"/>
      <w:lang w:val="en-US" w:eastAsia="zh-CN" w:bidi="ar-SA"/>
    </w:rPr>
  </w:style>
  <w:style w:type="paragraph" w:styleId="1600" w:customStyle="1">
    <w:name w:val="纯文本10"/>
    <w:basedOn w:val="778"/>
    <w:uiPriority w:val="0"/>
    <w:qFormat/>
    <w:rPr>
      <w:rFonts w:ascii="宋体" w:hAnsi="Courier New" w:eastAsia="楷体_GB2312"/>
      <w:sz w:val="28"/>
      <w:lang w:val="zh-CN"/>
    </w:rPr>
  </w:style>
  <w:style w:type="paragraph" w:styleId="1601" w:customStyle="1">
    <w:name w:val="Body text|2"/>
    <w:basedOn w:val="778"/>
    <w:uiPriority w:val="0"/>
    <w:qFormat/>
    <w:pPr>
      <w:ind w:firstLine="400"/>
      <w:spacing w:line="480" w:lineRule="auto"/>
    </w:pPr>
    <w:rPr>
      <w:rFonts w:ascii="宋体" w:hAnsi="宋体" w:cs="宋体"/>
      <w:sz w:val="22"/>
      <w:szCs w:val="22"/>
      <w:lang w:val="zh-TW" w:eastAsia="zh-TW" w:bidi="zh-TW"/>
    </w:rPr>
  </w:style>
  <w:style w:type="paragraph" w:styleId="1602" w:customStyle="1">
    <w:name w:val="Char12"/>
    <w:basedOn w:val="778"/>
    <w:uiPriority w:val="0"/>
    <w:qFormat/>
    <w:pPr>
      <w:numPr>
        <w:ilvl w:val="1"/>
        <w:numId w:val="1"/>
      </w:numPr>
      <w:ind w:left="0"/>
      <w:jc w:val="left"/>
    </w:pPr>
    <w:rPr>
      <w:rFonts w:ascii="仿宋_GB2312" w:eastAsia="仿宋_GB2312"/>
      <w:b/>
      <w:sz w:val="32"/>
      <w:szCs w:val="32"/>
    </w:rPr>
  </w:style>
  <w:style w:type="paragraph" w:styleId="1603" w:customStyle="1">
    <w:name w:val="正文空2格  1."/>
    <w:basedOn w:val="778"/>
    <w:uiPriority w:val="0"/>
    <w:qFormat/>
    <w:pPr>
      <w:ind w:firstLine="480"/>
      <w:spacing w:line="360" w:lineRule="auto"/>
    </w:pPr>
    <w:rPr>
      <w:rFonts w:hint="eastAsia" w:ascii="宋体" w:eastAsia="仿宋"/>
      <w:sz w:val="28"/>
    </w:rPr>
  </w:style>
  <w:style w:type="paragraph" w:styleId="1604" w:customStyle="1">
    <w:name w:val="纯文本6"/>
    <w:basedOn w:val="778"/>
    <w:uiPriority w:val="0"/>
    <w:qFormat/>
    <w:rPr>
      <w:rFonts w:hAnsi="Courier New" w:eastAsia="楷体_GB2312"/>
      <w:sz w:val="26"/>
    </w:rPr>
  </w:style>
  <w:style w:type="character" w:styleId="1605" w:customStyle="1">
    <w:name w:val="NormalCharacter"/>
    <w:uiPriority w:val="0"/>
    <w:qFormat/>
  </w:style>
  <w:style w:type="paragraph" w:styleId="1606" w:customStyle="1">
    <w:name w:val="a正文"/>
    <w:basedOn w:val="778"/>
    <w:uiPriority w:val="0"/>
    <w:qFormat/>
    <w:pPr>
      <w:ind w:firstLine="200"/>
      <w:jc w:val="left"/>
      <w:spacing w:line="360" w:lineRule="auto"/>
    </w:pPr>
    <w:rPr>
      <w:color w:val="000000"/>
      <w:sz w:val="24"/>
      <w:szCs w:val="28"/>
      <w:lang w:val="zh-CN"/>
    </w:rPr>
  </w:style>
  <w:style w:type="paragraph" w:styleId="1607" w:customStyle="1">
    <w:name w:val="正文文本缩进11"/>
    <w:basedOn w:val="778"/>
    <w:next w:val="1608"/>
    <w:uiPriority w:val="0"/>
    <w:qFormat/>
    <w:pPr>
      <w:ind w:firstLine="425"/>
      <w:spacing w:line="360" w:lineRule="auto"/>
    </w:pPr>
    <w:rPr>
      <w:sz w:val="24"/>
    </w:rPr>
  </w:style>
  <w:style w:type="paragraph" w:styleId="1608" w:customStyle="1">
    <w:name w:val="寄信人地址1"/>
    <w:basedOn w:val="778"/>
    <w:uiPriority w:val="0"/>
    <w:qFormat/>
    <w:rPr>
      <w:rFonts w:ascii="Arial" w:hAnsi="Arial" w:eastAsia="楷体_GB2312"/>
      <w:sz w:val="26"/>
    </w:rPr>
  </w:style>
  <w:style w:type="paragraph" w:styleId="1609" w:customStyle="1">
    <w:name w:val="正文文本1"/>
    <w:basedOn w:val="778"/>
    <w:uiPriority w:val="0"/>
    <w:qFormat/>
    <w:pPr>
      <w:spacing w:after="120"/>
    </w:pPr>
  </w:style>
  <w:style w:type="paragraph" w:styleId="1610" w:customStyle="1">
    <w:name w:val="表格内容"/>
    <w:basedOn w:val="778"/>
    <w:next w:val="778"/>
    <w:uiPriority w:val="0"/>
    <w:qFormat/>
    <w:pPr>
      <w:jc w:val="center"/>
      <w:widowControl/>
    </w:pPr>
    <w:rPr>
      <w:szCs w:val="22"/>
    </w:rPr>
  </w:style>
  <w:style w:type="numbering" w:styleId="1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wmf"/><Relationship Id="rId21" Type="http://schemas.openxmlformats.org/officeDocument/2006/relationships/oleObject" Target="embeddings/oleObject1.bin"/><Relationship Id="rId22"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16</cp:revision>
  <dcterms:created xsi:type="dcterms:W3CDTF">2023-03-23T08:26:00Z</dcterms:created>
  <dcterms:modified xsi:type="dcterms:W3CDTF">2025-09-29T03:00:14Z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74DB6A0458254265A89F55515F1364EA_13</vt:lpwstr>
  </property>
  <property fmtid="{D5CDD505-2E9C-101B-9397-08002B2CF9AE}" pid="4" name="KSOTemplateDocerSaveRecord">
    <vt:lpwstr>eyJoZGlkIjoiMWQ4NTkwNmFiY2M5MGQzMzUyYmZkYTI0Zjg4Nzk3MmQiLCJ1c2VySWQiOiI1NjEyNDU1MTgifQ==</vt:lpwstr>
  </property>
</Properties>
</file>