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color w:val="auto"/>
          <w:sz w:val="72"/>
          <w:highlight w:val="none"/>
        </w:rPr>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Style w:val="859"/>
          <w:rFonts w:hint="eastAsia" w:ascii="宋体" w:hAnsi="宋体" w:eastAsia="宋体" w:cs="宋体"/>
          <w:color w:val="auto"/>
          <w:sz w:val="72"/>
          <w:szCs w:val="72"/>
          <w:highlight w:val="none"/>
        </w:rPr>
        <w:t xml:space="preserve">苏州市</w:t>
      </w:r>
      <w:r>
        <w:rPr>
          <w:rStyle w:val="859"/>
          <w:rFonts w:hint="eastAsia" w:ascii="宋体" w:hAnsi="宋体" w:cs="宋体"/>
          <w:color w:val="auto"/>
          <w:sz w:val="72"/>
          <w:szCs w:val="72"/>
          <w:highlight w:val="none"/>
          <w:lang w:val="en-US" w:eastAsia="zh-CN"/>
        </w:rPr>
        <w:t xml:space="preserve">姑苏区</w:t>
      </w:r>
      <w:r>
        <w:rPr>
          <w:rStyle w:val="859"/>
          <w:rFonts w:hint="eastAsia" w:ascii="宋体" w:hAnsi="宋体" w:eastAsia="宋体" w:cs="宋体"/>
          <w:color w:val="auto"/>
          <w:sz w:val="72"/>
          <w:szCs w:val="72"/>
          <w:highlight w:val="none"/>
        </w:rPr>
        <w:t xml:space="preserve">政府采购</w:t>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Style w:val="859"/>
          <w:rFonts w:hint="eastAsia" w:ascii="宋体" w:hAnsi="宋体" w:cs="宋体"/>
          <w:color w:val="auto"/>
          <w:sz w:val="72"/>
          <w:szCs w:val="72"/>
          <w:highlight w:val="none"/>
          <w:lang w:val="en-US" w:eastAsia="zh-CN"/>
        </w:rPr>
        <w:t xml:space="preserve">货物类</w:t>
      </w:r>
      <w:r>
        <w:rPr>
          <w:rStyle w:val="859"/>
          <w:rFonts w:hint="eastAsia" w:ascii="宋体" w:hAnsi="宋体" w:eastAsia="宋体" w:cs="宋体"/>
          <w:color w:val="auto"/>
          <w:sz w:val="72"/>
          <w:szCs w:val="72"/>
          <w:highlight w:val="none"/>
        </w:rPr>
        <w:t xml:space="preserve">公开招标项目</w:t>
      </w:r>
      <w:r/>
    </w:p>
    <w:p>
      <w:pPr>
        <w:pStyle w:val="889"/>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9"/>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9"/>
        <w:spacing w:before="75" w:beforeAutospacing="0" w:after="75" w:afterAutospacing="0"/>
        <w:widowControl/>
        <w:rPr>
          <w:rStyle w:val="85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9"/>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ind w:firstLine="1205"/>
        <w:spacing w:before="75" w:beforeAutospacing="0" w:after="75" w:afterAutospacing="0"/>
        <w:widowControl/>
        <w:rPr>
          <w:rStyle w:val="859"/>
          <w:rFonts w:hint="eastAsia" w:ascii="宋体" w:hAnsi="宋体" w:eastAsia="宋体" w:cs="宋体"/>
          <w:color w:val="auto"/>
          <w:sz w:val="30"/>
          <w:szCs w:val="30"/>
          <w:highlight w:val="none"/>
        </w:rPr>
      </w:pPr>
      <w:r>
        <w:rPr>
          <w:rStyle w:val="859"/>
          <w:rFonts w:hint="eastAsia" w:ascii="宋体" w:hAnsi="宋体" w:eastAsia="宋体" w:cs="宋体"/>
          <w:color w:val="auto"/>
          <w:sz w:val="30"/>
          <w:szCs w:val="30"/>
          <w:highlight w:val="none"/>
        </w:rPr>
        <w:t xml:space="preserve">采购编号：</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eastAsia="zh-CN"/>
        </w:rPr>
        <w:t xml:space="preserve">JSZC-320508-SZRQ-G2025-0025</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Fonts w:hint="eastAsia" w:ascii="宋体" w:hAnsi="宋体" w:eastAsia="宋体" w:cs="宋体"/>
          <w:color w:val="auto"/>
          <w:highlight w:val="none"/>
        </w:rPr>
      </w:pPr>
      <w:r>
        <w:rPr>
          <w:rStyle w:val="859"/>
          <w:rFonts w:hint="eastAsia" w:ascii="宋体" w:hAnsi="宋体" w:eastAsia="宋体" w:cs="宋体"/>
          <w:color w:val="auto"/>
          <w:sz w:val="30"/>
          <w:szCs w:val="30"/>
          <w:highlight w:val="none"/>
        </w:rPr>
        <w:t xml:space="preserve">项目名称：</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eastAsia="zh-CN"/>
        </w:rPr>
        <w:t xml:space="preserve">2025年市政设施维护所需声屏障</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Fonts w:hint="eastAsia" w:ascii="宋体" w:hAnsi="宋体" w:eastAsia="宋体" w:cs="宋体"/>
          <w:color w:val="auto"/>
          <w:highlight w:val="none"/>
        </w:rPr>
      </w:pPr>
      <w:r>
        <w:rPr>
          <w:rStyle w:val="859"/>
          <w:rFonts w:hint="eastAsia" w:ascii="宋体" w:hAnsi="宋体" w:eastAsia="宋体" w:cs="宋体"/>
          <w:color w:val="auto"/>
          <w:sz w:val="30"/>
          <w:szCs w:val="30"/>
          <w:highlight w:val="none"/>
        </w:rPr>
        <w:t xml:space="preserve">采 购 人：</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eastAsia="zh-CN"/>
        </w:rPr>
        <w:t xml:space="preserve">苏州市市政设施管理处</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Style w:val="859"/>
          <w:rFonts w:hint="eastAsia" w:ascii="宋体" w:hAnsi="宋体" w:eastAsia="宋体" w:cs="宋体"/>
          <w:color w:val="auto"/>
          <w:sz w:val="30"/>
          <w:szCs w:val="30"/>
          <w:highlight w:val="none"/>
        </w:rPr>
      </w:pPr>
      <w:r>
        <w:rPr>
          <w:rStyle w:val="859"/>
          <w:rFonts w:hint="eastAsia" w:ascii="宋体" w:hAnsi="宋体" w:eastAsia="宋体" w:cs="宋体"/>
          <w:color w:val="auto"/>
          <w:sz w:val="30"/>
          <w:szCs w:val="30"/>
          <w:highlight w:val="none"/>
        </w:rPr>
        <w:t xml:space="preserve">采购代理机构：</w:t>
      </w:r>
      <w:r>
        <w:rPr>
          <w:rStyle w:val="859"/>
          <w:rFonts w:hint="eastAsia" w:ascii="宋体" w:hAnsi="宋体" w:eastAsia="宋体" w:cs="宋体"/>
          <w:color w:val="auto"/>
          <w:sz w:val="30"/>
          <w:szCs w:val="30"/>
          <w:highlight w:val="none"/>
          <w:u w:val="single"/>
        </w:rPr>
        <w:t xml:space="preserve">苏州睿乔招投标咨询服务有限公司    </w:t>
      </w:r>
      <w:r/>
    </w:p>
    <w:p>
      <w:pPr>
        <w:pStyle w:val="889"/>
        <w:ind w:firstLine="1205"/>
        <w:spacing w:before="75" w:beforeAutospacing="0" w:after="75" w:afterAutospacing="0"/>
        <w:widowControl/>
        <w:rPr>
          <w:rFonts w:hint="eastAsia" w:ascii="宋体" w:hAnsi="宋体" w:eastAsia="宋体" w:cs="宋体"/>
          <w:color w:val="auto"/>
          <w:highlight w:val="none"/>
        </w:rPr>
      </w:pPr>
      <w:r>
        <w:rPr>
          <w:rStyle w:val="859"/>
          <w:rFonts w:hint="eastAsia" w:ascii="宋体" w:hAnsi="宋体" w:eastAsia="宋体" w:cs="宋体"/>
          <w:color w:val="auto"/>
          <w:sz w:val="30"/>
          <w:szCs w:val="30"/>
          <w:highlight w:val="none"/>
        </w:rPr>
        <w:t xml:space="preserve">采购类别：</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val="en-US" w:eastAsia="zh-CN"/>
        </w:rPr>
        <w:t xml:space="preserve">货物</w:t>
      </w:r>
      <w:r>
        <w:rPr>
          <w:rStyle w:val="859"/>
          <w:rFonts w:hint="eastAsia" w:ascii="宋体" w:hAnsi="宋体" w:eastAsia="宋体" w:cs="宋体"/>
          <w:color w:val="auto"/>
          <w:sz w:val="30"/>
          <w:szCs w:val="30"/>
          <w:highlight w:val="none"/>
          <w:u w:val="single"/>
        </w:rPr>
        <w:t xml:space="preserve">类   </w:t>
      </w:r>
      <w:r/>
    </w:p>
    <w:p>
      <w:pPr>
        <w:pStyle w:val="889"/>
        <w:spacing w:before="75" w:beforeAutospacing="0" w:after="75" w:afterAutospacing="0"/>
        <w:widowControl/>
        <w:rPr>
          <w:rStyle w:val="859"/>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89"/>
        <w:jc w:val="center"/>
        <w:spacing w:before="75" w:beforeAutospacing="0" w:after="75" w:afterAutospacing="0"/>
        <w:widowControl/>
        <w:rPr>
          <w:rStyle w:val="85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9"/>
        <w:jc w:val="both"/>
        <w:spacing w:before="75" w:beforeAutospacing="0" w:after="75" w:afterAutospacing="0"/>
        <w:widowControl/>
        <w:rPr>
          <w:rStyle w:val="85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9"/>
        <w:jc w:val="both"/>
        <w:spacing w:before="75" w:beforeAutospacing="0" w:after="75" w:afterAutospacing="0"/>
        <w:widowControl/>
        <w:rPr>
          <w:rStyle w:val="85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9"/>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71"/>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JSZC-320508-SZRQ-G2025-0025</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2025年市政设施维护所需声屏障</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cs="宋体"/>
                <w:color w:val="auto"/>
                <w:sz w:val="24"/>
                <w:highlight w:val="none"/>
                <w:lang w:eastAsia="zh-CN"/>
              </w:rPr>
            </w:pPr>
            <w:r>
              <w:rPr>
                <w:rFonts w:hint="eastAsia" w:ascii="宋体" w:hAnsi="宋体" w:cs="宋体"/>
                <w:color w:val="auto"/>
                <w:sz w:val="24"/>
                <w:highlight w:val="none"/>
                <w:lang w:val="zh-CN" w:eastAsia="zh-CN"/>
              </w:rPr>
              <w:t xml:space="preserve">项目预算金额：</w:t>
            </w:r>
            <w:r>
              <w:rPr>
                <w:rFonts w:hint="eastAsia" w:ascii="宋体" w:hAnsi="宋体" w:cs="宋体"/>
                <w:color w:val="auto"/>
                <w:sz w:val="24"/>
                <w:highlight w:val="none"/>
                <w:lang w:eastAsia="zh-CN"/>
              </w:rPr>
              <w:t xml:space="preserve">肆佰万元整（￥4000000.00）</w:t>
            </w:r>
            <w:r/>
          </w:p>
          <w:p>
            <w:pPr>
              <w:rPr>
                <w:rFonts w:hint="default"/>
                <w:color w:val="auto"/>
                <w:highlight w:val="none"/>
                <w:lang w:val="en-US" w:eastAsia="zh-CN"/>
              </w:rPr>
            </w:pPr>
            <w:r>
              <w:rPr>
                <w:rFonts w:hint="eastAsia" w:ascii="宋体" w:hAnsi="宋体" w:cs="宋体"/>
                <w:color w:val="auto"/>
                <w:sz w:val="24"/>
                <w:highlight w:val="none"/>
                <w:lang w:val="en-US" w:eastAsia="zh-CN"/>
              </w:rPr>
              <w:t xml:space="preserve">最高限价：叁佰玖拾陆万陆仟玖佰贰拾贰元肆角（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3966922.40）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苏州市市政设施管理处</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苏州市姑苏区白洋湾大街121号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焦方晶 </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（0512）65222759</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潘凌、卞玥霏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网上报名截止时间：202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9月29日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10月17日14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10月17日14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30整（北京时间）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根据苏财购告【2017】23号文件的收取</w:t>
            </w:r>
            <w:r>
              <w:rPr>
                <w:rFonts w:hint="eastAsia" w:ascii="宋体" w:hAnsi="宋体" w:cs="宋体"/>
                <w:bCs/>
                <w:color w:val="auto"/>
                <w:sz w:val="24"/>
                <w:highlight w:val="none"/>
                <w:lang w:val="en-US" w:eastAsia="zh-CN"/>
              </w:rPr>
              <w:t xml:space="preserve">方式，即“</w:t>
            </w:r>
            <w:r>
              <w:rPr>
                <w:rFonts w:hint="eastAsia" w:ascii="宋体" w:hAnsi="宋体" w:eastAsia="宋体" w:cs="宋体"/>
                <w:bCs/>
                <w:color w:val="auto"/>
                <w:sz w:val="24"/>
                <w:highlight w:val="none"/>
              </w:rPr>
              <w:t xml:space="preserve">按照采购预算100万元以内1.5%、100～500万元以1.1%、500~1000万元以0.8%，1000万元~5000万元以0.5%，差额定率累进法计算</w:t>
            </w:r>
            <w:r>
              <w:rPr>
                <w:rFonts w:hint="eastAsia" w:ascii="宋体" w:hAnsi="宋体" w:cs="宋体"/>
                <w:bCs/>
                <w:color w:val="auto"/>
                <w:sz w:val="24"/>
                <w:highlight w:val="none"/>
                <w:lang w:val="en-US" w:eastAsia="zh-CN"/>
              </w:rPr>
              <w:t xml:space="preserve">”的基础上，结合本项目前期采购代理项目成交结果，</w:t>
            </w:r>
            <w:r>
              <w:rPr>
                <w:rFonts w:hint="eastAsia" w:ascii="宋体" w:hAnsi="宋体" w:eastAsia="宋体" w:cs="宋体"/>
                <w:bCs/>
                <w:color w:val="auto"/>
                <w:sz w:val="24"/>
                <w:highlight w:val="none"/>
              </w:rPr>
              <w:t xml:space="preserve">本项目代理服务费按人民币￥43000.00计收。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领取中标通知书时供应商向招标代理机构一次性付清。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89"/>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06"/>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3"/>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88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8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8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8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8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9"/>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2025年市政设施维护所需声屏障</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2025年</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17日</w:t>
      </w:r>
      <w:r>
        <w:rPr>
          <w:rFonts w:hint="eastAsia" w:ascii="宋体" w:hAnsi="宋体" w:cs="宋体"/>
          <w:b w:val="0"/>
          <w:bCs w:val="0"/>
          <w:color w:val="auto"/>
          <w:sz w:val="24"/>
          <w:highlight w:val="none"/>
          <w:u w:val="single"/>
          <w:lang w:val="en-US" w:eastAsia="zh-CN"/>
        </w:rPr>
        <w:t xml:space="preserve">14:30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35393790"/>
      <w:r/>
      <w:bookmarkStart w:id="1" w:name="_Toc28359002"/>
      <w:r/>
      <w:bookmarkStart w:id="2" w:name="_Toc28359079"/>
      <w:r/>
      <w:bookmarkStart w:id="3" w:name="_Toc35393621"/>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JSZC-320508-SZRQ-G2025-0025</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2025年市政设施维护所需声屏障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eastAsia="zh-CN"/>
        </w:rPr>
        <w:t xml:space="preserve">肆佰万元整（￥4000000.00）</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叁佰玖拾陆万陆仟玖佰贰拾贰元肆角（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3966922.40）</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采购需求：详见招标文件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自合同签订之日起6个月或按实结算金额达到合同总金额为止。（取先满足采购方实际交货要求的条件为最终交货期限）</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w:t>
      </w:r>
      <w:r>
        <w:rPr>
          <w:rFonts w:hint="eastAsia" w:ascii="宋体" w:hAnsi="宋体" w:eastAsia="宋体" w:cs="宋体"/>
          <w:color w:val="auto"/>
          <w:sz w:val="24"/>
          <w:highlight w:val="none"/>
        </w:rPr>
        <w:t xml:space="preserve">接受联合体投标。</w:t>
      </w:r>
      <w:r/>
    </w:p>
    <w:p>
      <w:pPr>
        <w:spacing w:line="360" w:lineRule="auto"/>
        <w:rPr>
          <w:rFonts w:hint="eastAsia" w:ascii="宋体" w:hAnsi="宋体" w:eastAsia="宋体" w:cs="宋体"/>
          <w:b/>
          <w:color w:val="auto"/>
          <w:sz w:val="24"/>
          <w:highlight w:val="none"/>
        </w:rPr>
      </w:pPr>
      <w:r/>
      <w:bookmarkStart w:id="5" w:name="_Toc28359080"/>
      <w:r/>
      <w:bookmarkStart w:id="6" w:name="_Toc35393622"/>
      <w:r/>
      <w:bookmarkStart w:id="7" w:name="_Toc28359003"/>
      <w:r/>
      <w:bookmarkStart w:id="8" w:name="_Toc35393791"/>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Start w:id="9" w:name="_Toc28359004"/>
      <w:r/>
      <w:bookmarkStart w:id="10" w:name="_Toc28359081"/>
      <w:r/>
      <w:r/>
    </w:p>
    <w:p>
      <w:pPr>
        <w:ind w:firstLine="480"/>
        <w:spacing w:line="360" w:lineRule="auto"/>
        <w:rPr>
          <w:rFonts w:hint="eastAsia" w:ascii="宋体" w:hAnsi="宋体" w:eastAsia="宋体" w:cs="宋体"/>
          <w:color w:val="auto"/>
          <w:sz w:val="24"/>
          <w:highlight w:val="none"/>
        </w:rPr>
      </w:pPr>
      <w:r/>
      <w:bookmarkStart w:id="11" w:name="_Toc35393623"/>
      <w:r/>
      <w:bookmarkStart w:id="12" w:name="_Toc35393792"/>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w:t>
      </w:r>
      <w:r>
        <w:rPr>
          <w:rFonts w:hint="eastAsia" w:ascii="宋体" w:hAnsi="宋体" w:eastAsia="宋体" w:cs="宋体"/>
          <w:color w:val="auto"/>
          <w:sz w:val="24"/>
          <w:highlight w:val="none"/>
          <w:lang w:val="en-US" w:eastAsia="zh-CN"/>
        </w:rPr>
        <w:t xml:space="preserve">根据《政府采购促进中小企业发展管理办法》的相关规定，本项目专门面向中小企业，所属行业为工业，供应商应为中小微企业、监狱企业、残疾人福利性单位。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82"/>
      <w:r/>
      <w:bookmarkStart w:id="14" w:name="_Toc28359005"/>
      <w:r/>
      <w:bookmarkStart w:id="15" w:name="_Toc35393624"/>
      <w:r/>
      <w:bookmarkStart w:id="16" w:name="_Toc35393793"/>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（一）报名截止时间：</w:t>
      </w:r>
      <w:r>
        <w:rPr>
          <w:rFonts w:hint="eastAsia" w:ascii="宋体" w:hAnsi="宋体" w:cs="宋体"/>
          <w:b w:val="0"/>
          <w:bCs/>
          <w:color w:val="auto"/>
          <w:sz w:val="24"/>
          <w:highlight w:val="none"/>
          <w:u w:val="single"/>
          <w:lang w:eastAsia="zh-CN"/>
        </w:rPr>
        <w:t xml:space="preserve">2025年</w:t>
      </w:r>
      <w:r>
        <w:rPr>
          <w:rFonts w:hint="eastAsia" w:ascii="宋体" w:hAnsi="宋体" w:cs="宋体"/>
          <w:b w:val="0"/>
          <w:bCs/>
          <w:color w:val="auto"/>
          <w:sz w:val="24"/>
          <w:highlight w:val="none"/>
          <w:u w:val="single"/>
          <w:lang w:val="en-US" w:eastAsia="zh-CN"/>
        </w:rPr>
        <w:t xml:space="preserve">9</w:t>
      </w:r>
      <w:r>
        <w:rPr>
          <w:rFonts w:hint="eastAsia" w:ascii="宋体" w:hAnsi="宋体" w:cs="宋体"/>
          <w:b w:val="0"/>
          <w:bCs/>
          <w:color w:val="auto"/>
          <w:sz w:val="24"/>
          <w:highlight w:val="none"/>
          <w:u w:val="single"/>
          <w:lang w:eastAsia="zh-CN"/>
        </w:rPr>
        <w:t xml:space="preserve">月</w:t>
      </w:r>
      <w:r>
        <w:rPr>
          <w:rFonts w:hint="eastAsia" w:ascii="宋体" w:hAnsi="宋体" w:cs="宋体"/>
          <w:b w:val="0"/>
          <w:bCs/>
          <w:color w:val="auto"/>
          <w:sz w:val="24"/>
          <w:highlight w:val="none"/>
          <w:u w:val="single"/>
          <w:lang w:eastAsia="zh-CN"/>
        </w:rPr>
        <w:t xml:space="preserve">29日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eastAsia="宋体" w:cs="宋体"/>
          <w:bCs/>
          <w:color w:val="auto"/>
          <w:sz w:val="24"/>
          <w:highlight w:val="none"/>
          <w:lang w:val="en-US" w:eastAsia="zh-CN"/>
        </w:rPr>
        <w:t xml:space="preserve">（二）</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（1）CA证书办理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highlight w:val="none"/>
        </w:rPr>
        <w:t xml:space="preserve">苏州现场办理地址：苏州市姑苏区平泷路251号政务服务中心4楼公共交易中心窗口，咨询电话：0512-69820834。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（2）参与采购活动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文件日期。供应商须打印、保留《投标供应商确认函》，质疑时《投标供应商确认函》与质疑函一并提交；未依照</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（3）电子投标准备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供应商在“苏采云”系统中操作成功参与项目后，必须在“已参与项目”界面中下载电子</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文件（后缀名为“.kedt”）并导入政府采购客户端工具后方可进行</w:t>
      </w:r>
      <w:r>
        <w:rPr>
          <w:rFonts w:hint="eastAsia" w:ascii="宋体" w:hAnsi="宋体" w:eastAsia="宋体" w:cs="宋体"/>
          <w:color w:val="auto"/>
          <w:sz w:val="24"/>
          <w:highlight w:val="none"/>
          <w:lang w:val="en-US" w:eastAsia="zh-CN"/>
        </w:rPr>
        <w:t xml:space="preserve">电子响应</w:t>
      </w:r>
      <w:r>
        <w:rPr>
          <w:rFonts w:hint="eastAsia" w:ascii="宋体" w:hAnsi="宋体" w:eastAsia="宋体" w:cs="宋体"/>
          <w:color w:val="auto"/>
          <w:sz w:val="24"/>
          <w:highlight w:val="none"/>
        </w:rPr>
        <w:t xml:space="preserve">文件制作和提交</w:t>
      </w:r>
      <w:r>
        <w:rPr>
          <w:rFonts w:hint="eastAsia" w:ascii="宋体" w:hAnsi="宋体" w:eastAsia="宋体" w:cs="宋体"/>
          <w:b/>
          <w:bCs/>
          <w:color w:val="auto"/>
          <w:sz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（4）补充通知（如有）：成功获取</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en-US" w:eastAsia="zh-CN"/>
        </w:rPr>
        <w:t xml:space="preserve">文件的供应商应及时关注政府采购信息发布媒体上发布的更正（补充）公告，同时在“苏采云”系统中下载更正（补充）资料，</w:t>
      </w:r>
      <w:r>
        <w:rPr>
          <w:rFonts w:hint="eastAsia" w:ascii="宋体" w:hAnsi="宋体" w:eastAsia="宋体" w:cs="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在系统操作过程中如有疑问，请按以下方式联系：</w:t>
      </w:r>
      <w:bookmarkEnd w:id="17"/>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注册咨询：0512-69820854；</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CA技术咨询电话：400-608-6099；</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签章使用问题：025-83633811、025-83633812、15380932027、15371015030；</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系统使用指导与咨询：联系电话：0512-69820854；智能客服：登录苏采云系统后，联系系统右下方智能客服图标进行咨询。</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2025年</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17日</w:t>
      </w:r>
      <w:r>
        <w:rPr>
          <w:rFonts w:hint="eastAsia" w:ascii="宋体" w:hAnsi="宋体" w:cs="宋体"/>
          <w:color w:val="auto"/>
          <w:sz w:val="24"/>
          <w:highlight w:val="none"/>
          <w:u w:val="single"/>
          <w:lang w:val="en-US" w:eastAsia="zh-CN"/>
        </w:rPr>
        <w:t xml:space="preserve">14:30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2025年</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17日</w:t>
      </w:r>
      <w:r>
        <w:rPr>
          <w:rFonts w:hint="eastAsia" w:ascii="宋体" w:hAnsi="宋体" w:cs="宋体"/>
          <w:bCs/>
          <w:color w:val="auto"/>
          <w:sz w:val="24"/>
          <w:highlight w:val="none"/>
          <w:u w:val="single"/>
          <w:lang w:val="en-US" w:eastAsia="zh-CN"/>
        </w:rPr>
        <w:t xml:space="preserve">14:30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2"/>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2"/>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35393794"/>
      <w:r/>
      <w:bookmarkStart w:id="19" w:name="_Toc35393625"/>
      <w:r/>
      <w:bookmarkStart w:id="20" w:name="_Toc28359007"/>
      <w:r/>
      <w:bookmarkStart w:id="21" w:name="_Toc28359084"/>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626"/>
      <w:r/>
      <w:bookmarkStart w:id="23" w:name="_Toc35393795"/>
      <w:r>
        <w:rPr>
          <w:rFonts w:hint="eastAsia" w:ascii="宋体" w:hAnsi="宋体" w:eastAsia="宋体" w:cs="宋体"/>
          <w:b/>
          <w:color w:val="auto"/>
          <w:sz w:val="24"/>
          <w:highlight w:val="none"/>
        </w:rPr>
        <w:t xml:space="preserve">六、其他补充事宜</w:t>
      </w:r>
      <w:bookmarkEnd w:id="22"/>
      <w:r/>
      <w:bookmarkEnd w:id="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本公告同时在</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苏州市</w:t>
      </w:r>
      <w:r>
        <w:rPr>
          <w:rFonts w:hint="eastAsia" w:ascii="宋体" w:hAnsi="宋体" w:cs="宋体"/>
          <w:color w:val="auto"/>
          <w:sz w:val="24"/>
          <w:highlight w:val="none"/>
        </w:rPr>
        <w:t xml:space="preserve">政府采购网</w:t>
      </w:r>
      <w:r>
        <w:rPr>
          <w:rFonts w:hint="eastAsia" w:ascii="宋体" w:hAnsi="宋体" w:eastAsia="宋体" w:cs="宋体"/>
          <w:color w:val="auto"/>
          <w:sz w:val="24"/>
          <w:highlight w:val="none"/>
        </w:rPr>
        <w:t xml:space="preserve">发布。</w:t>
      </w:r>
      <w:r>
        <w:rPr>
          <w:rFonts w:hint="eastAsia" w:ascii="宋体" w:hAnsi="宋体" w:cs="宋体"/>
          <w:color w:val="auto"/>
          <w:sz w:val="24"/>
          <w:highlight w:val="none"/>
          <w:lang w:eastAsia="zh-CN"/>
        </w:rPr>
        <w:t xml:space="preserve">苏州市姑苏区财政局监督电话：（0512）68728409</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35393796"/>
      <w:r/>
      <w:bookmarkStart w:id="25" w:name="_Toc28359008"/>
      <w:r/>
      <w:bookmarkStart w:id="26" w:name="_Toc35393627"/>
      <w:r/>
      <w:bookmarkStart w:id="27" w:name="_Toc28359085"/>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28359075"/>
      <w:r/>
      <w:bookmarkStart w:id="29" w:name="_Toc28358998"/>
      <w:r/>
      <w:bookmarkStart w:id="30" w:name="_Toc35393617"/>
      <w:r/>
      <w:bookmarkStart w:id="31" w:name="_Toc35393786"/>
      <w:r>
        <w:rPr>
          <w:rFonts w:hint="eastAsia" w:ascii="宋体" w:hAnsi="宋体" w:eastAsia="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苏州市市政设施管理处</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苏州市姑苏区白洋湾大街121号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焦方晶 </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（0512）65222759</w:t>
      </w:r>
      <w:r/>
    </w:p>
    <w:p>
      <w:pPr>
        <w:ind w:firstLine="480"/>
        <w:jc w:val="left"/>
        <w:spacing w:line="360" w:lineRule="auto"/>
        <w:widowControl/>
        <w:rPr>
          <w:rFonts w:hint="eastAsia" w:ascii="宋体" w:hAnsi="宋体" w:eastAsia="宋体" w:cs="宋体"/>
          <w:color w:val="auto"/>
          <w:sz w:val="24"/>
          <w:highlight w:val="none"/>
        </w:rPr>
      </w:pPr>
      <w:r/>
      <w:bookmarkStart w:id="32" w:name="_Toc35393619"/>
      <w:r/>
      <w:bookmarkStart w:id="33" w:name="_Toc28359077"/>
      <w:r/>
      <w:bookmarkStart w:id="34" w:name="_Toc35393788"/>
      <w:r/>
      <w:bookmarkStart w:id="35" w:name="_Toc28359000"/>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35393812"/>
      <w:r/>
      <w:bookmarkStart w:id="39" w:name="_Toc28359102"/>
      <w:r/>
      <w:bookmarkStart w:id="40" w:name="_Toc35393643"/>
      <w:r/>
      <w:bookmarkStart w:id="41" w:name="_Toc28359025"/>
      <w:r>
        <w:rPr>
          <w:rFonts w:hint="eastAsia" w:ascii="宋体" w:hAnsi="宋体" w:eastAsia="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潘凌、卞玥霏</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70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3.2本项目落实政府采购政策需满足的资格要求：根据《政府采购促进中小企业发展管理办法》的相关规定，本项目专门面向中小企业采购</w:t>
      </w:r>
      <w:r>
        <w:rPr>
          <w:rFonts w:hint="eastAsia" w:ascii="宋体" w:hAnsi="宋体" w:eastAsia="宋体" w:cs="宋体"/>
          <w:color w:val="auto"/>
          <w:sz w:val="24"/>
          <w:szCs w:val="22"/>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不涉及此条）</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卞玥霏</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投标单位《营业执照》</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13.4.7</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响应单位证明其满足合格投标人条件的证书、证明、文件等资料以及响应单位所具备的专业设备和专业技术能力</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13.4.12未被“信用中国”网站（www.creditchina.gov.cn）列入失信被执行人、重大税收违法案件当事人名单、政府采购严重失信行为记录名单；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5.2</w:t>
      </w:r>
      <w:r>
        <w:rPr>
          <w:rFonts w:hint="eastAsia" w:ascii="宋体" w:hAnsi="宋体" w:eastAsia="宋体" w:cs="宋体"/>
          <w:color w:val="auto"/>
          <w:sz w:val="24"/>
          <w:highlight w:val="none"/>
        </w:rPr>
        <w:t xml:space="preserve">响应货物性能、技术指标说明与描述及《技术要求偏离表》；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5.3</w:t>
      </w:r>
      <w:r>
        <w:rPr>
          <w:rFonts w:hint="eastAsia" w:ascii="宋体" w:hAnsi="宋体" w:eastAsia="宋体" w:cs="宋体"/>
          <w:color w:val="auto"/>
          <w:sz w:val="24"/>
          <w:highlight w:val="none"/>
        </w:rPr>
        <w:t xml:space="preserve">技术服务、售中、售后服务方案等包括《售后服务承诺书》等；</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.5.4《投标货物数量、规格、交付期说明表》</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5.5</w:t>
      </w:r>
      <w:r>
        <w:rPr>
          <w:rFonts w:hint="eastAsia" w:ascii="宋体" w:hAnsi="宋体" w:eastAsia="宋体" w:cs="宋体"/>
          <w:color w:val="auto"/>
          <w:sz w:val="24"/>
          <w:highlight w:val="none"/>
        </w:rPr>
        <w:t xml:space="preserve">质量验收标准，质量承诺； </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pStyle w:val="89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注：（1）以上13.4.1-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89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（2）以上13.5.1-13.5.</w:t>
      </w:r>
      <w:r>
        <w:rPr>
          <w:rFonts w:hint="eastAsia" w:ascii="宋体" w:hAnsi="宋体" w:eastAsia="宋体" w:cs="宋体"/>
          <w:b/>
          <w:bCs/>
          <w:color w:val="auto"/>
          <w:sz w:val="24"/>
          <w:szCs w:val="24"/>
          <w:highlight w:val="none"/>
          <w:lang w:val="en-US" w:eastAsia="zh-CN" w:bidi="ar-SA"/>
        </w:rPr>
        <w:t xml:space="preserve">5为符合性审查须提供的资料，投标人必须提供并加盖电子公章。否则，投标文件将被认定为未实质性响应。</w:t>
      </w:r>
      <w:r/>
    </w:p>
    <w:p>
      <w:pPr>
        <w:pStyle w:val="89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p>
    <w:p>
      <w:pPr>
        <w:pStyle w:val="89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9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14.3.1除非合同中另有规定，投标人对《</w:t>
      </w:r>
      <w:r>
        <w:rPr>
          <w:rFonts w:hint="eastAsia" w:ascii="宋体" w:hAnsi="宋体" w:eastAsia="宋体" w:cs="宋体"/>
          <w:color w:val="auto"/>
          <w:sz w:val="24"/>
          <w:highlight w:val="none"/>
          <w:lang w:val="en-US" w:eastAsia="zh-CN"/>
        </w:rPr>
        <w:t xml:space="preserve">开标一览表</w:t>
      </w:r>
      <w:r>
        <w:rPr>
          <w:rFonts w:hint="eastAsia" w:ascii="宋体" w:hAnsi="宋体" w:eastAsia="宋体" w:cs="宋体"/>
          <w:color w:val="auto"/>
          <w:sz w:val="24"/>
          <w:highlight w:val="none"/>
          <w:lang w:val="zh-CN"/>
        </w:rPr>
        <w:t xml:space="preserve">》 中的全部内容的报价应包括完成该标的物的全部内容的成品、运至最终目的地的运输、装卸、保险、检测验收、售后服务等工作所发生的全部费用、组合安装调试费用（包含安装所需配件、耗材、人员费用及交通导改、安全文明措施费用等）、拆除、废料回收以及投标人企业利润、税金、代理服务费和政策性文件规定及合同包含的所有风险、责任等各项应有费用。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》中的全部内容计算单价和总价。《</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》中的每一单项均应计算并填写单价和总价，并由法定代表人或代理人签署。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w:t>
      </w:r>
      <w:r>
        <w:rPr>
          <w:rFonts w:hint="eastAsia" w:ascii="宋体" w:hAnsi="宋体" w:eastAsia="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投标文件每一页均应加盖供应商电子签章.</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97"/>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9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882"/>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7"/>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9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9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97"/>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9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9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97"/>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7"/>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.6评审过程中出现下列情形之一的，评审委员会应当启动异常低价投标（响应）审查程序：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投标（响应）报价低于采购项目预算 50% 的，即投标（响应）报价&lt;采购项目预算×50%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）投标（响应）报价低于采购项目最高限价 45% 的，即投标（响应）报价&lt;采购项目最高限价×45%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）评审委员会认定的供应商报价过低、有可能影响产品质量或者不能诚信履约的其他情形。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72"/>
        <w:ind w:left="0" w:firstLine="482"/>
        <w:keepLines w:val="0"/>
        <w:keepNext w:val="0"/>
        <w:pageBreakBefore w:val="0"/>
        <w:spacing w:after="0" w:line="360" w:lineRule="auto"/>
        <w:widowControl w:val="off"/>
        <w:rPr>
          <w:rFonts w:hint="eastAsia" w:ascii="宋体" w:hAnsi="宋体" w:eastAsia="宋体" w:cs="宋体"/>
          <w:b/>
          <w:color w:val="auto"/>
          <w:sz w:val="24"/>
          <w:szCs w:val="24"/>
          <w:highlight w:val="none"/>
          <w:lang w:val="zh-CN" w:eastAsia="zh-CN" w:bidi="ar-SA"/>
        </w:rPr>
        <w:outlineLvl w:val="9"/>
      </w:pPr>
      <w:r>
        <w:rPr>
          <w:rFonts w:hint="eastAsia" w:ascii="宋体" w:hAnsi="宋体" w:eastAsia="宋体" w:cs="宋体"/>
          <w:b/>
          <w:color w:val="auto"/>
          <w:sz w:val="24"/>
          <w:szCs w:val="24"/>
          <w:highlight w:val="none"/>
          <w:lang w:val="zh-CN" w:eastAsia="zh-CN" w:bidi="ar-SA"/>
        </w:rPr>
        <w:t xml:space="preserve">本项目投标人的澄清、说明或者补正采用线上澄清。</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97"/>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具体计算方式和支付金额按投标须知前附表要求为准</w:t>
      </w:r>
      <w:r>
        <w:rPr>
          <w:rFonts w:hint="eastAsia" w:ascii="宋体" w:hAnsi="宋体" w:eastAsia="宋体" w:cs="宋体"/>
          <w:bCs/>
          <w:color w:val="auto"/>
          <w:sz w:val="24"/>
          <w:highlight w:val="none"/>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59"/>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672"/>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672"/>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672"/>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672"/>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pStyle w:val="696"/>
        <w:ind w:left="0" w:firstLine="482"/>
        <w:jc w:val="both"/>
        <w:keepLines w:val="0"/>
        <w:keepNext w:val="0"/>
        <w:pageBreakBefore w:val="0"/>
        <w:spacing w:before="0" w:beforeAutospacing="0" w:after="0" w:afterAutospacing="0" w:line="360" w:lineRule="auto"/>
        <w:widowControl/>
        <w:rPr>
          <w:rFonts w:hint="eastAsia" w:ascii="宋体" w:hAnsi="宋体" w:eastAsia="宋体" w:cs="宋体"/>
          <w:i w:val="0"/>
          <w:caps w:val="0"/>
          <w:color w:val="auto"/>
          <w:spacing w:val="0"/>
          <w:sz w:val="24"/>
          <w:szCs w:val="24"/>
          <w:highlight w:val="none"/>
          <w:lang w:eastAsia="zh-CN"/>
        </w:rPr>
        <w:outlineLvl w:val="9"/>
        <w:suppressLineNumbers w:val="0"/>
      </w:pPr>
      <w:r>
        <w:rPr>
          <w:rFonts w:hint="eastAsia" w:ascii="宋体" w:hAnsi="宋体" w:eastAsia="宋体" w:cs="宋体"/>
          <w:b/>
          <w:color w:val="auto"/>
          <w:sz w:val="24"/>
          <w:szCs w:val="24"/>
          <w:highlight w:val="none"/>
        </w:rPr>
        <w:t xml:space="preserve">供应商无授权委托的情况下，必须提供法定代表人身份证，否则响应无效。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9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1、我们愿意按照招标文件的一切要求，提供以上项目的所有内容，我们的投标</w:t>
      </w:r>
      <w:r>
        <w:rPr>
          <w:rFonts w:hint="eastAsia" w:ascii="宋体" w:hAnsi="宋体" w:eastAsia="宋体" w:cs="宋体"/>
          <w:bCs/>
          <w:color w:val="auto"/>
          <w:sz w:val="24"/>
          <w:highlight w:val="none"/>
        </w:rPr>
        <w:t xml:space="preserve">价格包括完成该标的物的全部内容的成品、运至最终目的地的运输、装卸、保险、检测验收、售后服务等工作所发生的全部费用、组合安装调试费用（包含安装所需配件、耗材、人员费用及交通导改、安全文明措施费用等）、拆除、废料回收以及投标人企业利润、税金、代理服务费和政策性文件规定及合同包含的所有风险、责任等各项应有费用。</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93"/>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93"/>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89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896"/>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pStyle w:val="896"/>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p>
    <w:p>
      <w:pPr>
        <w:pStyle w:val="896"/>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896"/>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9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9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9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rPr>
        <w:t xml:space="preserve">3、开标一览表：</w:t>
      </w:r>
      <w:r>
        <w:rPr>
          <w:rFonts w:hint="eastAsia" w:ascii="宋体" w:hAnsi="宋体" w:eastAsia="宋体" w:cs="宋体"/>
          <w:b/>
          <w:color w:val="auto"/>
          <w:sz w:val="24"/>
          <w:highlight w:val="none"/>
        </w:rPr>
        <w:t xml:space="preserve">按投标系统内统一格式</w:t>
      </w:r>
      <w:r/>
    </w:p>
    <w:p>
      <w:pPr>
        <w:pStyle w:val="6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2"/>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en-US" w:eastAsia="zh-CN"/>
        </w:rPr>
        <w:t xml:space="preserve">公开分项报价</w:t>
      </w:r>
      <w:r/>
    </w:p>
    <w:p>
      <w:pPr>
        <w:pStyle w:val="89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公开分项报价</w:t>
      </w:r>
      <w:r/>
    </w:p>
    <w:tbl>
      <w:tblPr>
        <w:tblStyle w:val="671"/>
        <w:tblW w:w="9439"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9"/>
        <w:gridCol w:w="1604"/>
        <w:gridCol w:w="2757"/>
        <w:gridCol w:w="1189"/>
        <w:gridCol w:w="831"/>
        <w:gridCol w:w="784"/>
        <w:gridCol w:w="739"/>
        <w:gridCol w:w="796"/>
      </w:tblGrid>
      <w:tr>
        <w:trPr>
          <w:jc w:val="center"/>
          <w:trHeight w:val="566"/>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标的物名称</w:t>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规格</w:t>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jc w:val="center"/>
              <w:spacing w:line="360" w:lineRule="auto"/>
              <w:rPr>
                <w:color w:val="auto"/>
                <w:sz w:val="24"/>
                <w:highlight w:val="none"/>
              </w:rPr>
            </w:pPr>
            <w:r>
              <w:rPr>
                <w:rFonts w:hint="eastAsia"/>
                <w:color w:val="auto"/>
                <w:sz w:val="24"/>
                <w:highlight w:val="none"/>
                <w:lang w:val="zh-CN"/>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spacing w:line="360" w:lineRule="auto"/>
              <w:rPr>
                <w:color w:val="auto"/>
                <w:sz w:val="24"/>
                <w:highlight w:val="none"/>
              </w:rPr>
            </w:pPr>
            <w:r>
              <w:rPr>
                <w:color w:val="auto"/>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spacing w:line="360" w:lineRule="auto"/>
              <w:rPr>
                <w:color w:val="auto"/>
                <w:sz w:val="24"/>
                <w:highlight w:val="none"/>
              </w:rPr>
            </w:pPr>
            <w:r>
              <w:rPr>
                <w:color w:val="auto"/>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343" w:type="dxa"/>
            <w:vAlign w:val="center"/>
            <w:textDirection w:val="lrTb"/>
            <w:noWrap w:val="false"/>
          </w:tcPr>
          <w:p>
            <w:pPr>
              <w:spacing w:line="360" w:lineRule="auto"/>
              <w:rPr>
                <w:color w:val="auto"/>
                <w:sz w:val="24"/>
                <w:highlight w:val="none"/>
              </w:rPr>
            </w:pPr>
            <w:r>
              <w:rPr>
                <w:rFonts w:hint="eastAsia"/>
                <w:color w:val="auto"/>
                <w:sz w:val="24"/>
                <w:highlight w:val="none"/>
                <w:lang w:val="zh-CN"/>
              </w:rPr>
              <w:t xml:space="preserve">投标总报价：</w:t>
            </w:r>
            <w:r/>
          </w:p>
        </w:tc>
        <w:tc>
          <w:tcPr>
            <w:gridSpan w:val="6"/>
            <w:tcBorders>
              <w:top w:val="single" w:color="auto" w:sz="6" w:space="0"/>
              <w:left w:val="single" w:color="auto" w:sz="6" w:space="0"/>
              <w:bottom w:val="single" w:color="auto" w:sz="6" w:space="0"/>
              <w:right w:val="single" w:color="auto" w:sz="6" w:space="0"/>
            </w:tcBorders>
            <w:tcW w:w="7096" w:type="dxa"/>
            <w:vAlign w:val="center"/>
            <w:textDirection w:val="lrTb"/>
            <w:noWrap w:val="false"/>
          </w:tcPr>
          <w:p>
            <w:pPr>
              <w:spacing w:line="360" w:lineRule="auto"/>
              <w:rPr>
                <w:color w:val="auto"/>
                <w:sz w:val="24"/>
                <w:highlight w:val="none"/>
              </w:rPr>
            </w:pPr>
            <w:r>
              <w:rPr>
                <w:color w:val="auto"/>
                <w:sz w:val="24"/>
                <w:highlight w:val="none"/>
                <w:lang w:val="zh-CN"/>
              </w:rPr>
              <w:t xml:space="preserve">大写</w:t>
            </w:r>
            <w:r>
              <w:rPr>
                <w:rFonts w:hint="eastAsia"/>
                <w:color w:val="auto"/>
                <w:sz w:val="24"/>
                <w:highlight w:val="none"/>
                <w:lang w:val="zh-CN"/>
              </w:rPr>
              <w:t xml:space="preserve">：</w:t>
            </w:r>
            <w:r>
              <w:rPr>
                <w:color w:val="auto"/>
                <w:sz w:val="24"/>
                <w:highlight w:val="none"/>
                <w:lang w:val="zh-CN"/>
              </w:rPr>
              <w:t xml:space="preserve">       </w:t>
            </w:r>
            <w:r>
              <w:rPr>
                <w:rFonts w:hint="eastAsia"/>
                <w:color w:val="auto"/>
                <w:sz w:val="24"/>
                <w:highlight w:val="none"/>
                <w:lang w:val="zh-CN"/>
              </w:rPr>
              <w:t xml:space="preserve">                       </w:t>
            </w:r>
            <w:r>
              <w:rPr>
                <w:color w:val="auto"/>
                <w:sz w:val="24"/>
                <w:highlight w:val="none"/>
                <w:lang w:val="zh-CN"/>
              </w:rPr>
              <w:t xml:space="preserve">             元</w:t>
            </w:r>
            <w:r/>
          </w:p>
        </w:tc>
      </w:tr>
      <w:tr>
        <w:trPr>
          <w:jc w:val="center"/>
          <w:trHeight w:val="561"/>
        </w:trPr>
        <w:tc>
          <w:tcPr>
            <w:gridSpan w:val="8"/>
            <w:tcBorders>
              <w:top w:val="single" w:color="auto" w:sz="6" w:space="0"/>
              <w:left w:val="single" w:color="auto" w:sz="6" w:space="0"/>
              <w:bottom w:val="single" w:color="auto" w:sz="6" w:space="0"/>
              <w:right w:val="single" w:color="auto" w:sz="6" w:space="0"/>
            </w:tcBorders>
            <w:tcW w:w="9439" w:type="dxa"/>
            <w:vAlign w:val="center"/>
            <w:textDirection w:val="lrTb"/>
            <w:noWrap w:val="false"/>
          </w:tcPr>
          <w:p>
            <w:pPr>
              <w:spacing w:line="360" w:lineRule="auto"/>
              <w:rPr>
                <w:color w:val="auto"/>
                <w:sz w:val="24"/>
                <w:highlight w:val="none"/>
                <w:lang w:val="zh-CN"/>
              </w:rPr>
            </w:pPr>
            <w:r>
              <w:rPr>
                <w:rFonts w:hint="eastAsia"/>
                <w:bCs/>
                <w:color w:val="auto"/>
                <w:sz w:val="24"/>
                <w:highlight w:val="none"/>
              </w:rPr>
              <w:t xml:space="preserve">交付期</w:t>
            </w:r>
            <w:r>
              <w:rPr>
                <w:rFonts w:hint="eastAsia"/>
                <w:color w:val="auto"/>
                <w:sz w:val="24"/>
                <w:highlight w:val="none"/>
                <w:lang w:val="zh-CN"/>
              </w:rPr>
              <w:t xml:space="preserve">时间：</w:t>
            </w:r>
            <w:r/>
          </w:p>
        </w:tc>
      </w:tr>
    </w:tbl>
    <w:p>
      <w:pPr>
        <w:pStyle w:val="882"/>
        <w:ind w:left="0" w:firstLine="0"/>
        <w:rPr>
          <w:rFonts w:hint="eastAsia" w:ascii="宋体" w:hAnsi="宋体" w:eastAsia="宋体" w:cs="宋体"/>
          <w:bCs/>
          <w:color w:val="auto"/>
          <w:szCs w:val="24"/>
          <w:highlight w:val="none"/>
        </w:rPr>
        <w:outlineLvl w:val="1"/>
      </w:pPr>
      <w:r>
        <w:rPr>
          <w:rFonts w:hint="eastAsia" w:ascii="宋体" w:hAnsi="宋体" w:eastAsia="宋体" w:cs="宋体"/>
          <w:bCs/>
          <w:color w:val="auto"/>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6"/>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8"/>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hAnsi="宋体" w:eastAsia="宋体" w:cs="宋体"/>
          <w:color w:val="auto"/>
          <w:sz w:val="24"/>
          <w:highlight w:val="none"/>
        </w:rPr>
        <w:t xml:space="preserve">5、技术要求偏离表</w:t>
      </w:r>
      <w:r/>
    </w:p>
    <w:p>
      <w:pPr>
        <w:pStyle w:val="682"/>
        <w:jc w:val="center"/>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技术要求偏离表</w:t>
      </w:r>
      <w:r/>
    </w:p>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采购编号：</w:t>
      </w:r>
      <w:r>
        <w:rPr>
          <w:rFonts w:hint="eastAsia" w:hAnsi="宋体" w:eastAsia="宋体" w:cs="宋体"/>
          <w:color w:val="auto"/>
          <w:sz w:val="24"/>
          <w:highlight w:val="none"/>
          <w:u w:val="single"/>
        </w:rPr>
        <w:t xml:space="preserve">                      </w:t>
      </w:r>
      <w:r/>
    </w:p>
    <w:tbl>
      <w:tblPr>
        <w:tblStyle w:val="671"/>
        <w:tblW w:w="94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92"/>
        <w:gridCol w:w="2206"/>
        <w:gridCol w:w="1742"/>
        <w:gridCol w:w="2190"/>
        <w:gridCol w:w="2268"/>
      </w:tblGrid>
      <w:tr>
        <w:trPr>
          <w:jc w:val="center"/>
          <w:trHeight w:val="849" w:hRule="exact"/>
        </w:trPr>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采购文件技术要求</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供应商所投内容指标</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682"/>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备注说明（负偏离、符合、正偏离）</w:t>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r>
    </w:tbl>
    <w:p>
      <w:pPr>
        <w:spacing w:line="360" w:lineRule="auto"/>
        <w:rPr>
          <w:bCs/>
          <w:color w:val="auto"/>
          <w:sz w:val="24"/>
          <w:highlight w:val="none"/>
        </w:rPr>
      </w:pPr>
      <w:r>
        <w:rPr>
          <w:rFonts w:hint="eastAsia"/>
          <w:bCs/>
          <w:color w:val="auto"/>
          <w:sz w:val="24"/>
          <w:highlight w:val="none"/>
        </w:rPr>
        <w:t xml:space="preserve">注：投标人应对照招标文件技术规格，逐条说明所提供货物和服务已对招标文件的技术规格做出了实质性的响应，并声明与技术规格条文的偏差和例外。特别对有具体参数要求的指标，投标人必须提供所投产品的具体参数值。未在上表中说明的，将被认为完全响应招标文件的规定。</w:t>
      </w:r>
      <w:r/>
    </w:p>
    <w:p>
      <w:pPr>
        <w:pStyle w:val="682"/>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896"/>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6"/>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8"/>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bCs/>
          <w:color w:val="auto"/>
          <w:sz w:val="24"/>
          <w:highlight w:val="none"/>
        </w:rPr>
      </w:pPr>
      <w:r>
        <w:rPr>
          <w:b/>
          <w:bCs/>
          <w:color w:val="auto"/>
          <w:sz w:val="24"/>
          <w:highlight w:val="none"/>
        </w:rPr>
        <w:br w:type="page" w:clear="all"/>
      </w:r>
      <w:r>
        <w:rPr>
          <w:rFonts w:hint="eastAsia"/>
          <w:bCs/>
          <w:color w:val="auto"/>
          <w:sz w:val="24"/>
          <w:highlight w:val="none"/>
        </w:rPr>
        <w:t xml:space="preserve">6</w:t>
      </w:r>
      <w:r>
        <w:rPr>
          <w:bCs/>
          <w:color w:val="auto"/>
          <w:sz w:val="24"/>
          <w:highlight w:val="none"/>
        </w:rPr>
        <w:t xml:space="preserve">、投标货物数量、</w:t>
      </w:r>
      <w:r>
        <w:rPr>
          <w:rFonts w:hint="eastAsia"/>
          <w:bCs/>
          <w:color w:val="auto"/>
          <w:sz w:val="24"/>
          <w:highlight w:val="none"/>
        </w:rPr>
        <w:t xml:space="preserve">规格</w:t>
      </w:r>
      <w:r>
        <w:rPr>
          <w:bCs/>
          <w:color w:val="auto"/>
          <w:sz w:val="24"/>
          <w:highlight w:val="none"/>
        </w:rPr>
        <w:t xml:space="preserve">、</w:t>
      </w:r>
      <w:r>
        <w:rPr>
          <w:rFonts w:hint="eastAsia"/>
          <w:bCs/>
          <w:color w:val="auto"/>
          <w:sz w:val="24"/>
          <w:highlight w:val="none"/>
        </w:rPr>
        <w:t xml:space="preserve">交付期</w:t>
      </w:r>
      <w:r/>
    </w:p>
    <w:p>
      <w:pPr>
        <w:jc w:val="center"/>
        <w:spacing w:line="360" w:lineRule="auto"/>
        <w:rPr>
          <w:color w:val="auto"/>
          <w:sz w:val="24"/>
          <w:highlight w:val="none"/>
        </w:rPr>
      </w:pPr>
      <w:r>
        <w:rPr>
          <w:rFonts w:hint="eastAsia"/>
          <w:color w:val="auto"/>
          <w:sz w:val="24"/>
          <w:highlight w:val="none"/>
        </w:rPr>
        <w:t xml:space="preserve">投标货物数量、规格、</w:t>
      </w:r>
      <w:r>
        <w:rPr>
          <w:rFonts w:hint="eastAsia"/>
          <w:bCs/>
          <w:color w:val="auto"/>
          <w:sz w:val="24"/>
          <w:highlight w:val="none"/>
        </w:rPr>
        <w:t xml:space="preserve">交付期</w:t>
      </w:r>
      <w:r>
        <w:rPr>
          <w:rFonts w:hint="eastAsia"/>
          <w:color w:val="auto"/>
          <w:sz w:val="24"/>
          <w:highlight w:val="none"/>
        </w:rPr>
        <w:t xml:space="preserve">说明表</w:t>
      </w:r>
      <w:r/>
    </w:p>
    <w:tbl>
      <w:tblPr>
        <w:tblStyle w:val="671"/>
        <w:tblW w:w="873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64"/>
        <w:gridCol w:w="1757"/>
        <w:gridCol w:w="2761"/>
        <w:gridCol w:w="1143"/>
        <w:gridCol w:w="1137"/>
        <w:gridCol w:w="977"/>
      </w:tblGrid>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序号</w:t>
            </w:r>
            <w:r/>
          </w:p>
        </w:tc>
        <w:tc>
          <w:tcPr>
            <w:tcW w:w="1757"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标的物名称</w:t>
            </w:r>
            <w:r/>
          </w:p>
        </w:tc>
        <w:tc>
          <w:tcPr>
            <w:tcBorders>
              <w:bottom w:val="single" w:color="auto" w:sz="4" w:space="0"/>
            </w:tcBorders>
            <w:tcW w:w="2761" w:type="dxa"/>
            <w:vAlign w:val="top"/>
            <w:textDirection w:val="lrTb"/>
            <w:noWrap w:val="false"/>
          </w:tcPr>
          <w:p>
            <w:pPr>
              <w:jc w:val="center"/>
              <w:spacing w:line="360" w:lineRule="auto"/>
              <w:rPr>
                <w:bCs/>
                <w:color w:val="auto"/>
                <w:sz w:val="24"/>
                <w:highlight w:val="none"/>
              </w:rPr>
            </w:pPr>
            <w:r>
              <w:rPr>
                <w:rFonts w:hint="eastAsia"/>
                <w:bCs/>
                <w:color w:val="auto"/>
                <w:sz w:val="24"/>
                <w:highlight w:val="none"/>
              </w:rPr>
              <w:t xml:space="preserve">规格</w:t>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单位</w:t>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数量</w:t>
            </w:r>
            <w:r/>
          </w:p>
        </w:tc>
        <w:tc>
          <w:tcPr>
            <w:tcW w:w="977"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交付期</w:t>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1</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top w:val="single" w:color="auto" w:sz="4" w:space="0"/>
            </w:tcBorders>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2</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3</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gridSpan w:val="6"/>
            <w:tcW w:w="8739"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注明最快交付使用期限</w:t>
            </w:r>
            <w:r/>
          </w:p>
        </w:tc>
      </w:tr>
    </w:tbl>
    <w:p>
      <w:pPr>
        <w:spacing w:line="360" w:lineRule="auto"/>
        <w:rPr>
          <w:bCs/>
          <w:color w:val="auto"/>
          <w:sz w:val="24"/>
          <w:highlight w:val="none"/>
        </w:rPr>
      </w:pPr>
      <w:r>
        <w:rPr>
          <w:bCs/>
          <w:color w:val="auto"/>
          <w:sz w:val="24"/>
          <w:highlight w:val="none"/>
        </w:rPr>
      </w:r>
      <w:r/>
    </w:p>
    <w:p>
      <w:pPr>
        <w:pStyle w:val="896"/>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6"/>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8"/>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b/>
          <w:bCs/>
          <w:color w:val="auto"/>
          <w:sz w:val="24"/>
          <w:highlight w:val="none"/>
        </w:rPr>
      </w:pPr>
      <w:r>
        <w:rPr>
          <w:b/>
          <w:bCs/>
          <w:color w:val="auto"/>
          <w:sz w:val="24"/>
          <w:highlight w:val="none"/>
        </w:rPr>
      </w:r>
      <w:r/>
    </w:p>
    <w:p>
      <w:pPr>
        <w:spacing w:line="360" w:lineRule="auto"/>
        <w:rPr>
          <w:rFonts w:hint="eastAsia"/>
          <w:b/>
          <w:bCs/>
          <w:color w:val="auto"/>
          <w:sz w:val="24"/>
          <w:highlight w:val="none"/>
        </w:rPr>
      </w:pPr>
      <w:r/>
      <w:bookmarkStart w:id="44" w:name="_Toc73427854"/>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706"/>
        <w:ind w:firstLine="420"/>
        <w:rPr>
          <w:rFonts w:hint="eastAsia"/>
          <w:color w:val="auto"/>
          <w:highlight w:val="none"/>
        </w:rPr>
      </w:pPr>
      <w:r>
        <w:rPr>
          <w:rFonts w:hint="eastAsia"/>
          <w:color w:val="auto"/>
          <w:highlight w:val="none"/>
        </w:rPr>
      </w:r>
      <w:r/>
    </w:p>
    <w:p>
      <w:pPr>
        <w:rPr>
          <w:rFonts w:hint="eastAsia"/>
          <w:b/>
          <w:bCs/>
          <w:color w:val="auto"/>
          <w:sz w:val="24"/>
          <w:highlight w:val="none"/>
        </w:rPr>
      </w:pPr>
      <w:r>
        <w:rPr>
          <w:rFonts w:hint="eastAsia"/>
          <w:b/>
          <w:bCs/>
          <w:color w:val="auto"/>
          <w:sz w:val="24"/>
          <w:highlight w:val="none"/>
        </w:rPr>
      </w:r>
      <w:r/>
    </w:p>
    <w:p>
      <w:pPr>
        <w:pStyle w:val="705"/>
        <w:rPr>
          <w:rFonts w:hint="eastAsia"/>
          <w:color w:val="auto"/>
          <w:highlight w:val="none"/>
        </w:rPr>
      </w:pPr>
      <w:r>
        <w:rPr>
          <w:rFonts w:hint="eastAsia"/>
          <w:color w:val="auto"/>
          <w:highlight w:val="none"/>
        </w:rPr>
      </w:r>
      <w:bookmarkEnd w:id="44"/>
      <w:r/>
      <w:r/>
    </w:p>
    <w:p>
      <w:pPr>
        <w:pStyle w:val="706"/>
        <w:ind w:firstLine="420"/>
        <w:rPr>
          <w:rFonts w:hint="eastAsia"/>
          <w:color w:val="auto"/>
          <w:highlight w:val="none"/>
        </w:rPr>
      </w:pPr>
      <w:r>
        <w:rPr>
          <w:rFonts w:hint="eastAsia"/>
          <w:color w:val="auto"/>
          <w:highlight w:val="none"/>
        </w:rPr>
      </w:r>
      <w:r/>
    </w:p>
    <w:p>
      <w:pPr>
        <w:spacing w:line="360" w:lineRule="auto"/>
        <w:rPr>
          <w:bCs/>
          <w:color w:val="auto"/>
          <w:sz w:val="24"/>
          <w:highlight w:val="none"/>
        </w:rPr>
      </w:pPr>
      <w:r>
        <w:rPr>
          <w:rFonts w:hint="eastAsia"/>
          <w:bCs/>
          <w:color w:val="auto"/>
          <w:sz w:val="24"/>
          <w:highlight w:val="none"/>
        </w:rPr>
        <w:t xml:space="preserve">7</w:t>
      </w:r>
      <w:r>
        <w:rPr>
          <w:bCs/>
          <w:color w:val="auto"/>
          <w:sz w:val="24"/>
          <w:highlight w:val="none"/>
        </w:rPr>
        <w:t xml:space="preserve">、售后服务承诺书</w:t>
      </w:r>
      <w:r/>
    </w:p>
    <w:p>
      <w:pPr>
        <w:spacing w:line="360" w:lineRule="auto"/>
        <w:rPr>
          <w:b/>
          <w:bCs/>
          <w:color w:val="auto"/>
          <w:sz w:val="24"/>
          <w:highlight w:val="none"/>
        </w:rPr>
      </w:pPr>
      <w:r>
        <w:rPr>
          <w:b/>
          <w:bCs/>
          <w:color w:val="auto"/>
          <w:sz w:val="24"/>
          <w:highlight w:val="none"/>
        </w:rPr>
      </w:r>
      <w:r/>
    </w:p>
    <w:p>
      <w:pPr>
        <w:jc w:val="center"/>
        <w:spacing w:line="360" w:lineRule="auto"/>
        <w:rPr>
          <w:bCs/>
          <w:color w:val="auto"/>
          <w:sz w:val="24"/>
          <w:highlight w:val="none"/>
        </w:rPr>
      </w:pPr>
      <w:r>
        <w:rPr>
          <w:rFonts w:hint="eastAsia"/>
          <w:bCs/>
          <w:color w:val="auto"/>
          <w:sz w:val="24"/>
          <w:highlight w:val="none"/>
        </w:rPr>
        <w:t xml:space="preserve">售后服务承诺书</w:t>
      </w:r>
      <w:r/>
    </w:p>
    <w:tbl>
      <w:tblPr>
        <w:tblStyle w:val="671"/>
        <w:tblW w:w="8522" w:type="dxa"/>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3060"/>
        <w:gridCol w:w="1800"/>
        <w:gridCol w:w="2616"/>
      </w:tblGrid>
      <w:tr>
        <w:trPr>
          <w:trHeight w:val="538"/>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W w:w="306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售后服务内容</w:t>
            </w:r>
            <w:r/>
          </w:p>
        </w:tc>
        <w:tc>
          <w:tcPr>
            <w:tcW w:w="180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期限（时间）</w:t>
            </w:r>
            <w:r/>
          </w:p>
        </w:tc>
        <w:tc>
          <w:tcPr>
            <w:tcW w:w="261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p>
        </w:tc>
      </w:tr>
      <w:tr>
        <w:trPr>
          <w:trHeight w:val="548"/>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免费更换</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69"/>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免费维修</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667"/>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免费更换及维修期满后</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优惠更换或维修</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5"/>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服务响应</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455"/>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到达现场</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3"/>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解决问题</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854"/>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7</w:t>
            </w:r>
            <w:r/>
          </w:p>
        </w:tc>
        <w:tc>
          <w:tcPr>
            <w:tcW w:w="306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rPr>
          <w:rFonts w:ascii="宋体" w:hAnsi="宋体"/>
          <w:bCs/>
          <w:color w:val="auto"/>
          <w:sz w:val="24"/>
          <w:highlight w:val="none"/>
        </w:rPr>
      </w:pPr>
      <w:r>
        <w:rPr>
          <w:rFonts w:hint="eastAsia" w:ascii="宋体" w:hAnsi="宋体"/>
          <w:bCs/>
          <w:color w:val="auto"/>
          <w:sz w:val="24"/>
          <w:highlight w:val="none"/>
        </w:rPr>
        <w:t xml:space="preserve">注：1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上述1、2、3条请明确期限，4、5、6条请明确时间；</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针对服务内容有必须说明的事项，请在“备注”栏目内注明；</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如有其它售后服务内容，可自行参照填写。</w:t>
      </w:r>
      <w:r/>
    </w:p>
    <w:p>
      <w:pPr>
        <w:spacing w:line="360" w:lineRule="auto"/>
        <w:rPr>
          <w:bCs/>
          <w:color w:val="auto"/>
          <w:sz w:val="24"/>
          <w:highlight w:val="none"/>
        </w:rPr>
      </w:pPr>
      <w:r>
        <w:rPr>
          <w:bCs/>
          <w:color w:val="auto"/>
          <w:sz w:val="24"/>
          <w:highlight w:val="none"/>
        </w:rPr>
      </w:r>
      <w:r/>
    </w:p>
    <w:p>
      <w:pPr>
        <w:pStyle w:val="896"/>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6"/>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8"/>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pStyle w:val="664"/>
        <w:rPr>
          <w:rFonts w:hint="eastAsia" w:cs="Arial"/>
          <w:bCs/>
          <w:color w:val="auto"/>
          <w:sz w:val="24"/>
          <w:highlight w:val="none"/>
        </w:rPr>
      </w:pPr>
      <w:r>
        <w:rPr>
          <w:rFonts w:hint="eastAsia" w:cs="Arial"/>
          <w:bCs/>
          <w:color w:val="auto"/>
          <w:sz w:val="24"/>
          <w:highlight w:val="none"/>
        </w:rPr>
      </w:r>
      <w:r/>
    </w:p>
    <w:p>
      <w:pPr>
        <w:rPr>
          <w:rFonts w:hint="eastAsia" w:cs="Arial"/>
          <w:bCs/>
          <w:color w:val="auto"/>
          <w:sz w:val="24"/>
          <w:highlight w:val="none"/>
        </w:rPr>
      </w:pPr>
      <w:r>
        <w:rPr>
          <w:rFonts w:hint="eastAsia" w:cs="Arial"/>
          <w:bCs/>
          <w:color w:val="auto"/>
          <w:sz w:val="24"/>
          <w:highlight w:val="none"/>
        </w:rPr>
      </w:r>
      <w:r/>
    </w:p>
    <w:p>
      <w:pPr>
        <w:pStyle w:val="664"/>
        <w:rPr>
          <w:rFonts w:hint="eastAsia" w:cs="Arial"/>
          <w:bCs/>
          <w:color w:val="auto"/>
          <w:sz w:val="24"/>
          <w:highlight w:val="none"/>
        </w:rPr>
      </w:pPr>
      <w:r>
        <w:rPr>
          <w:rFonts w:hint="eastAsia" w:cs="Arial"/>
          <w:bCs/>
          <w:color w:val="auto"/>
          <w:sz w:val="24"/>
          <w:highlight w:val="none"/>
        </w:rPr>
      </w:r>
      <w:r/>
    </w:p>
    <w:p>
      <w:pPr>
        <w:rPr>
          <w:rFonts w:hint="eastAsia" w:cs="Arial"/>
          <w:bCs/>
          <w:color w:val="auto"/>
          <w:sz w:val="24"/>
          <w:highlight w:val="none"/>
        </w:rPr>
      </w:pPr>
      <w:r>
        <w:rPr>
          <w:rFonts w:hint="eastAsia" w:cs="Arial"/>
          <w:bCs/>
          <w:color w:val="auto"/>
          <w:sz w:val="24"/>
          <w:highlight w:val="none"/>
        </w:rPr>
      </w:r>
      <w:r/>
    </w:p>
    <w:p>
      <w:pPr>
        <w:pStyle w:val="664"/>
        <w:rPr>
          <w:rFonts w:hint="eastAsia" w:cs="Arial"/>
          <w:bCs/>
          <w:color w:val="auto"/>
          <w:sz w:val="24"/>
          <w:highlight w:val="none"/>
        </w:rPr>
      </w:pPr>
      <w:r>
        <w:rPr>
          <w:rFonts w:hint="eastAsia" w:cs="Arial"/>
          <w:bCs/>
          <w:color w:val="auto"/>
          <w:sz w:val="24"/>
          <w:highlight w:val="none"/>
        </w:rPr>
      </w:r>
      <w:r/>
    </w:p>
    <w:p>
      <w:pPr>
        <w:rPr>
          <w:rFonts w:hint="eastAsia" w:cs="Arial"/>
          <w:bCs/>
          <w:color w:val="auto"/>
          <w:sz w:val="24"/>
          <w:highlight w:val="none"/>
        </w:rPr>
      </w:pPr>
      <w:r>
        <w:rPr>
          <w:rFonts w:hint="eastAsia" w:cs="Arial"/>
          <w:bCs/>
          <w:color w:val="auto"/>
          <w:sz w:val="24"/>
          <w:highlight w:val="none"/>
        </w:rPr>
      </w:r>
      <w:r/>
    </w:p>
    <w:p>
      <w:pPr>
        <w:pStyle w:val="892"/>
        <w:spacing w:line="360" w:lineRule="auto"/>
        <w:tabs>
          <w:tab w:val="left" w:pos="8930" w:leader="none"/>
          <w:tab w:val="left" w:pos="9306" w:leader="none"/>
        </w:tabs>
        <w:rPr>
          <w:rStyle w:val="873"/>
          <w:rFonts w:hint="eastAsia" w:ascii="宋体" w:hAnsi="宋体" w:eastAsia="宋体" w:cs="宋体"/>
          <w:color w:val="auto"/>
          <w:sz w:val="24"/>
          <w:szCs w:val="24"/>
          <w:highlight w:val="none"/>
          <w:lang w:val="en-US" w:eastAsia="zh-CN"/>
        </w:rPr>
      </w:pPr>
      <w:r>
        <w:rPr>
          <w:rStyle w:val="873"/>
          <w:rFonts w:hint="eastAsia" w:hAnsi="宋体" w:eastAsia="宋体" w:cs="宋体"/>
          <w:color w:val="auto"/>
          <w:sz w:val="24"/>
          <w:szCs w:val="24"/>
          <w:highlight w:val="none"/>
          <w:lang w:val="en-US" w:eastAsia="zh-CN"/>
        </w:rPr>
        <w:t xml:space="preserve">8</w:t>
      </w:r>
      <w:r>
        <w:rPr>
          <w:rStyle w:val="873"/>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92"/>
        <w:spacing w:line="360" w:lineRule="auto"/>
        <w:tabs>
          <w:tab w:val="left" w:pos="8930" w:leader="none"/>
          <w:tab w:val="left" w:pos="9306" w:leader="none"/>
        </w:tabs>
        <w:rPr>
          <w:rStyle w:val="873"/>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2"/>
        <w:spacing w:line="360" w:lineRule="auto"/>
        <w:tabs>
          <w:tab w:val="left" w:pos="8930" w:leader="none"/>
          <w:tab w:val="left" w:pos="9306" w:leader="none"/>
        </w:tabs>
        <w:rPr>
          <w:rStyle w:val="873"/>
          <w:rFonts w:hint="eastAsia" w:ascii="宋体" w:hAnsi="宋体" w:eastAsia="宋体" w:cs="宋体"/>
          <w:color w:val="auto"/>
          <w:sz w:val="24"/>
          <w:szCs w:val="24"/>
          <w:highlight w:val="none"/>
          <w:lang w:val="en-US" w:eastAsia="zh-CN"/>
        </w:rPr>
      </w:pPr>
      <w:r>
        <w:rPr>
          <w:rStyle w:val="873"/>
          <w:rFonts w:hint="eastAsia" w:ascii="宋体" w:hAnsi="宋体" w:eastAsia="宋体" w:cs="宋体"/>
          <w:color w:val="auto"/>
          <w:sz w:val="24"/>
          <w:szCs w:val="24"/>
          <w:highlight w:val="none"/>
          <w:u w:val="single"/>
          <w:lang w:val="en-US" w:eastAsia="zh-CN"/>
        </w:rPr>
        <w:t xml:space="preserve">苏州睿乔招投标咨询服务有限公司</w:t>
      </w:r>
      <w:r>
        <w:rPr>
          <w:rStyle w:val="873"/>
          <w:rFonts w:hint="eastAsia" w:ascii="宋体" w:hAnsi="宋体" w:eastAsia="宋体" w:cs="宋体"/>
          <w:color w:val="auto"/>
          <w:sz w:val="24"/>
          <w:szCs w:val="24"/>
          <w:highlight w:val="none"/>
          <w:lang w:val="en-US" w:eastAsia="zh-CN"/>
        </w:rPr>
        <w:t xml:space="preserve">：</w:t>
      </w:r>
      <w:r/>
    </w:p>
    <w:p>
      <w:pPr>
        <w:pStyle w:val="892"/>
        <w:ind w:firstLine="480"/>
        <w:keepLines w:val="0"/>
        <w:keepNext w:val="0"/>
        <w:pageBreakBefore w:val="0"/>
        <w:spacing w:line="360" w:lineRule="auto"/>
        <w:widowControl/>
        <w:tabs>
          <w:tab w:val="left" w:pos="8930" w:leader="none"/>
          <w:tab w:val="left" w:pos="9306" w:leader="none"/>
        </w:tabs>
        <w:rPr>
          <w:rStyle w:val="873"/>
          <w:rFonts w:hint="eastAsia" w:ascii="宋体" w:hAnsi="宋体" w:eastAsia="宋体" w:cs="宋体"/>
          <w:color w:val="auto"/>
          <w:sz w:val="24"/>
          <w:szCs w:val="24"/>
          <w:highlight w:val="none"/>
          <w:lang w:val="en-US" w:eastAsia="zh-CN"/>
        </w:rPr>
        <w:outlineLvl w:val="9"/>
      </w:pPr>
      <w:r>
        <w:rPr>
          <w:rStyle w:val="873"/>
          <w:rFonts w:hint="eastAsia" w:ascii="宋体" w:hAnsi="宋体" w:eastAsia="宋体" w:cs="宋体"/>
          <w:color w:val="auto"/>
          <w:sz w:val="24"/>
          <w:szCs w:val="24"/>
          <w:highlight w:val="none"/>
          <w:lang w:val="en-US" w:eastAsia="zh-CN"/>
        </w:rPr>
        <w:t xml:space="preserve">我单位</w:t>
      </w:r>
      <w:r>
        <w:rPr>
          <w:rStyle w:val="873"/>
          <w:rFonts w:hint="eastAsia" w:ascii="宋体" w:hAnsi="宋体" w:eastAsia="宋体" w:cs="宋体"/>
          <w:color w:val="auto"/>
          <w:sz w:val="24"/>
          <w:szCs w:val="24"/>
          <w:highlight w:val="none"/>
          <w:u w:val="single"/>
          <w:lang w:val="en-US" w:eastAsia="zh-CN"/>
        </w:rPr>
        <w:t xml:space="preserve">              </w:t>
      </w:r>
      <w:r>
        <w:rPr>
          <w:rStyle w:val="873"/>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73"/>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9</w:t>
      </w:r>
      <w:r>
        <w:rPr>
          <w:rFonts w:hint="eastAsia" w:ascii="宋体" w:hAnsi="宋体" w:eastAsia="宋体" w:cs="宋体"/>
          <w:color w:val="auto"/>
          <w:sz w:val="24"/>
          <w:highlight w:val="none"/>
        </w:rPr>
        <w:t xml:space="preserve">、资格证明文件</w:t>
      </w:r>
      <w:r/>
    </w:p>
    <w:p>
      <w:pPr>
        <w:pStyle w:val="882"/>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882"/>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882"/>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2"/>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82"/>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71"/>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val="en-US" w:eastAsia="zh-CN"/>
              </w:rPr>
              <w:t xml:space="preserve">情况</w:t>
            </w:r>
            <w:r>
              <w:rPr>
                <w:rFonts w:hint="eastAsia" w:ascii="宋体" w:hAnsi="宋体" w:eastAsia="宋体" w:cs="宋体"/>
                <w:color w:val="auto"/>
                <w:sz w:val="24"/>
                <w:highlight w:val="none"/>
              </w:rPr>
              <w:t xml:space="preserve">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numPr>
          <w:ilvl w:val="0"/>
          <w:numId w:val="0"/>
        </w:num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 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 企业、微型企业）；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企业名称（盖章）：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9"/>
        <w:jc w:val="center"/>
        <w:spacing w:before="75" w:beforeAutospacing="0" w:after="75" w:afterAutospacing="0"/>
        <w:widowControl/>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jc w:val="left"/>
        <w:rPr>
          <w:rFonts w:hint="eastAsia" w:ascii="宋体" w:hAnsi="宋体" w:eastAsia="宋体" w:cs="宋体"/>
          <w:b w:val="0"/>
          <w:bCs/>
          <w:color w:val="auto"/>
          <w:sz w:val="24"/>
          <w:szCs w:val="24"/>
          <w:highlight w:val="none"/>
        </w:rPr>
        <w:outlineLvl w:val="0"/>
      </w:pPr>
      <w:r>
        <w:rPr>
          <w:rStyle w:val="859"/>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关于投标（响应）报价合理性的澄清说明（若项目涉及）</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6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7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5" w:name="OLE_LINK21"/>
      <w:r/>
      <w:bookmarkStart w:id="46" w:name="OLE_LINK24"/>
      <w:r/>
      <w:bookmarkStart w:id="47" w:name="OLE_LINK23"/>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文件第二章“投标人须知”第25.6条要求，在评标过程中当出现投标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报价低于采购项目预算50%或者投标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报价低于采购项目最高限价45%或者评标委员会认定的供应商报价过低、有可能影响产品质量或者不能诚信履约的其他情形时,评标委员会应当启动异常低价投标审查程序。评标委员会应当要求投标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人出具书面说明及必要的证明材料，对投标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评标委员会具体要求为准）。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5"/>
      <w:r/>
      <w:bookmarkEnd w:id="46"/>
      <w:r/>
      <w:bookmarkEnd w:id="47"/>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9"/>
        <w:jc w:val="center"/>
        <w:spacing w:before="75" w:beforeAutospacing="0" w:after="75" w:afterAutospacing="0"/>
        <w:widowControl/>
        <w:rPr>
          <w:rStyle w:val="859"/>
          <w:rFonts w:hint="eastAsia" w:ascii="宋体" w:hAnsi="宋体" w:eastAsia="宋体" w:cs="宋体"/>
          <w:b w:val="0"/>
          <w:bCs/>
          <w:color w:val="auto"/>
          <w:sz w:val="36"/>
          <w:szCs w:val="36"/>
          <w:highlight w:val="none"/>
        </w:rPr>
      </w:pPr>
      <w:r>
        <w:rPr>
          <w:rStyle w:val="859"/>
          <w:rFonts w:hint="eastAsia" w:ascii="宋体" w:hAnsi="宋体" w:eastAsia="宋体" w:cs="宋体"/>
          <w:b w:val="0"/>
          <w:bCs/>
          <w:color w:val="auto"/>
          <w:sz w:val="36"/>
          <w:szCs w:val="36"/>
          <w:highlight w:val="none"/>
        </w:rPr>
        <w:t xml:space="preserve">第四章 招标书</w:t>
      </w:r>
      <w:r/>
    </w:p>
    <w:p>
      <w:pPr>
        <w:pStyle w:val="887"/>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苏州市市政设施管理处</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2025年市政设施维护所需声屏障</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JSZC-320508-SZRQ-G2025-0025</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2025年市政设施维护所需声屏障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bookmarkStart w:id="48" w:name="_Toc5922"/>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）采购清单</w:t>
      </w:r>
      <w:r/>
    </w:p>
    <w:tbl>
      <w:tblPr>
        <w:tblStyle w:val="671"/>
        <w:tblW w:w="944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4"/>
        <w:gridCol w:w="2037"/>
        <w:gridCol w:w="2826"/>
        <w:gridCol w:w="1279"/>
        <w:gridCol w:w="1280"/>
        <w:gridCol w:w="1286"/>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
              </w:rPr>
              <w:t xml:space="preserve">各项单价预算</w:t>
            </w:r>
            <w:r>
              <w:rPr>
                <w:rFonts w:hint="eastAsia" w:ascii="宋体" w:hAnsi="宋体" w:eastAsia="宋体" w:cs="宋体"/>
                <w:color w:val="auto"/>
                <w:sz w:val="24"/>
                <w:szCs w:val="24"/>
                <w:highlight w:val="none"/>
                <w:lang w:bidi="ar"/>
              </w:rPr>
              <w:t xml:space="preserve">（元）</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吸音板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面板铝板1.2mm；背板镀锌板1.2mm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688.88</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亚克力透明屏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亚克力板厚度10mm;加铝合金外框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861.43</w:t>
            </w:r>
            <w:r/>
          </w:p>
        </w:tc>
      </w:tr>
      <w:tr>
        <w:trPr>
          <w:jc w:val="center"/>
          <w:trHeight w:val="21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钢立柱3米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150*150(含底板）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HW150*150*7*10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t=10mm,tw=7mm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h=150mm，b=150mm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2177.34</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下罩板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1.5厚镀锌板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208.87</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植筋胶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172.01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不锈钢螺杆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22*330（含螺母弹簧垫片）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9"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61.43</w:t>
            </w:r>
            <w:r/>
          </w:p>
        </w:tc>
      </w:tr>
    </w:tbl>
    <w:p>
      <w:pPr>
        <w:ind w:left="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注：1、上述为估算数量，最终结算以实际使用数量为准。</w:t>
      </w:r>
      <w:r>
        <w:rPr>
          <w:rFonts w:hint="eastAsia" w:ascii="宋体" w:hAnsi="宋体" w:eastAsia="宋体" w:cs="宋体"/>
          <w:color w:val="auto"/>
          <w:sz w:val="24"/>
          <w:szCs w:val="24"/>
          <w:highlight w:val="none"/>
          <w:lang w:val="en-US" w:eastAsia="zh-CN"/>
        </w:rPr>
        <w:t xml:space="preserve">投标单位提供的投标文件中各项单价报价不可超上表中的单价预算。</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2、本项目不接受进口产品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3、本项目核心产品：吸音板、亚克力透明屏</w:t>
      </w:r>
      <w:r/>
    </w:p>
    <w:p>
      <w:pPr>
        <w:ind w:left="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）技术商务要求</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（1）技术要求</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1、引用标准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1）《声屏障声学设计和测量规范》HJ/T90-2004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2）《声环境质量标准》GB3096-2008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3）《公路桥涵设计通用规范》JTG D60-2015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4）《钢结构设计标准》GB50017-2017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5）《冷弯薄壁型钢结构技术规范》GB50018-2002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6）《钢结构焊接规范》GB 50661-2011</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7）《钢结构工程施工质量验收标准》GB 50205-2020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2、声屏障主要技术要求</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★1）平均隔声量≥30dB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★2）平均降噪系数≥0.85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★3）力学性能：能承受3秒阵风风压4Kpa，无损坏</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★4）声屏障主体使用寿命25年以上（提供4000小时的盐雾试验）</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★5）耐温性：±40℃表面无损坏</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★6）声学性能：平均降噪8分贝以上</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7）降噪效果：≥8-12dB（A）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8）耐冻融-50±2℃</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9）声屏障整体色彩及金属吸音板开孔类型：由业主确定</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10）声屏障表面氟碳喷涂为烘烤型。</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11）钢结构制作前必须进行彻底除锈，除锈质量等级为Sa2½。声屏障钢构件采用热镀锌后聚酯粉末喷涂防腐，镀锌层厚度需≥65μm，聚酯粉末喷涂厚度需≥40μm。</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各供应商投标文件中提供具有检验检测能力的权威机构出具的★部分技术参数检测报告，未提供视为无效响应。</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3、声屏障材料物理性能</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主要由金属吸隔声屏体、透明亚克力隔声屏、钢立柱以及连接件组成。其构件应能达到吸声降噪、防火、防腐蚀、防老化、防炫目、自洁防尘、耐冻融等要求。应保证声屏障能在雨、雪等恶劣自然条件下正常工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4、声屏障的力学性能</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声屏障所在区域基本风压按Wo=0.45KN/m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，设计最大挠度为L/400。</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5、声屏障的环保性能</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声屏障吸隔声屏体在经雨淋、日晒等自然条件下，应能达到不下沉、不结块等耐候性，不能对大气环境造成二次污染。</w:t>
      </w:r>
      <w:r/>
    </w:p>
    <w:p>
      <w:pPr>
        <w:ind w:firstLine="482"/>
        <w:keepLines w:val="0"/>
        <w:keepNext w:val="0"/>
        <w:pageBreakBefore w:val="0"/>
        <w:spacing w:line="360" w:lineRule="auto"/>
        <w:widowControl w:val="off"/>
        <w:tabs>
          <w:tab w:val="left" w:pos="0"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（2）声屏障屏体制作技术要求说明：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1、声屏障屏体材料选用和结构形式                                       </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1）金属吸隔声屏体：面板采用优质铝合金穿孔板，厚度1.2mm，开孔率≥25％，开孔样式与高架现有款式保持一致或由采购人确定。背板及龙骨均采用优质镀锌钢板，板厚1.2mm, 龙骨1.5mm，内部采用离心法生产的48 kg/m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玻璃棉板外裹无碱憎水布。表面氟碳喷涂防腐处理（氟碳喷涂为烘烤型），穿孔面板双面喷涂，背板单面喷涂，本工程采用以上材料主要考虑到声屏障的整体强度、使用寿命、吸声性能的稳定性、以及美观等因素。</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2）透明亚克力隔声屏：为确保与高架现有款式一致，此次计划采购的透明隔声屏体为厚度10mm亚克力板、外包厚铝合金边框</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亚克力板性能指标需满足下表要求：</w:t>
      </w:r>
      <w:r/>
    </w:p>
    <w:tbl>
      <w:tblPr>
        <w:tblStyle w:val="67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268"/>
        <w:gridCol w:w="4394"/>
        <w:gridCol w:w="1439"/>
      </w:tblGrid>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指标</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拉伸强度（MPa）</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≥70</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拉伸断裂应变（%）</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弯曲强度（MPa）</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≥98</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弯曲弹性模量（MPa）</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≥3100</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荷支梁无缺口冲击强度（KJ/m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维卡软化温度（℃）</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透光率（%）</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w:t>
            </w:r>
            <w:r/>
          </w:p>
        </w:tc>
      </w:tr>
      <w:tr>
        <w:trPr>
          <w:trHeight w:val="340"/>
        </w:trPr>
        <w:tc>
          <w:tcPr>
            <w:tcW w:w="95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gridSpan w:val="2"/>
            <w:tcW w:w="6662"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防火性能</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B2级</w:t>
            </w:r>
            <w:r/>
          </w:p>
        </w:tc>
      </w:tr>
      <w:tr>
        <w:trPr>
          <w:cantSplit/>
          <w:trHeight w:val="340"/>
        </w:trPr>
        <w:tc>
          <w:tcPr>
            <w:tcW w:w="959" w:type="dxa"/>
            <w:vAlign w:val="center"/>
            <w:vMerge w:val="restart"/>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2268" w:type="dxa"/>
            <w:vAlign w:val="center"/>
            <w:vMerge w:val="restart"/>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老化性能（氙弧灯照射6000h之后）</w:t>
            </w:r>
            <w:r/>
          </w:p>
        </w:tc>
        <w:tc>
          <w:tcPr>
            <w:tcW w:w="4394" w:type="dxa"/>
            <w:vAlign w:val="center"/>
            <w:textDirection w:val="lrTb"/>
            <w:noWrap w:val="false"/>
          </w:tcPr>
          <w:p>
            <w:pPr>
              <w:ind w:left="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荷支梁无缺口冲击强度下降率（%）</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w:t>
            </w:r>
            <w:r/>
          </w:p>
        </w:tc>
      </w:tr>
      <w:tr>
        <w:trPr>
          <w:cantSplit/>
          <w:trHeight w:val="340"/>
        </w:trPr>
        <w:tc>
          <w:tcPr>
            <w:tcW w:w="959" w:type="dxa"/>
            <w:vAlign w:val="center"/>
            <w:vMerge w:val="continue"/>
            <w:textDirection w:val="lrTb"/>
            <w:noWrap w:val="false"/>
          </w:tcPr>
          <w:p>
            <w:pPr>
              <w:ind w:left="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268" w:type="dxa"/>
            <w:vAlign w:val="center"/>
            <w:vMerge w:val="continue"/>
            <w:textDirection w:val="lrTb"/>
            <w:noWrap w:val="false"/>
          </w:tcPr>
          <w:p>
            <w:pPr>
              <w:ind w:left="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4394" w:type="dxa"/>
            <w:vAlign w:val="center"/>
            <w:textDirection w:val="lrTb"/>
            <w:noWrap w:val="false"/>
          </w:tcPr>
          <w:p>
            <w:pPr>
              <w:ind w:left="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总透光率下降率（%）</w:t>
            </w:r>
            <w:r/>
          </w:p>
        </w:tc>
        <w:tc>
          <w:tcPr>
            <w:tcW w:w="1439" w:type="dxa"/>
            <w:vAlign w:val="center"/>
            <w:textDirection w:val="lrTb"/>
            <w:noWrap w:val="false"/>
          </w:tcPr>
          <w:p>
            <w:pPr>
              <w:ind w:left="0"/>
              <w:jc w:val="cente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r>
    </w:tbl>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亚克力板其他方面要求及检测要求参照《浇铸型聚甲基丙烯酸甲酯声屏板》GB/T 29641-2013执行。</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3）立柱：采用规格为150mm*150mm H型钢，HW150*150*7*10，t=10mm,tw=7mm，h=150mm，b=150mm，Q235B钢立柱。遇桥梁伸缩缝处两端则采用相邻两侧钢立柱翼板加宽，通过预埋件与基础（防撞墙）连接，钢立柱整体构件防锈保护须采用热镀锌及氟炭喷涂处理（氟碳喷涂为烘烤型）。 </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2、本次采购的声屏障采用金属吸音板+透明隔声屏组成复合式声屏障。旨在利用离心法制成的具有优良中低频吸声性能的玻璃纤维，再与高效的透明隔声亚克力板组合构成。声屏障总高度均为3米。</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1）声屏障材料组合安装。</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标准段：上部2米高度采用厚度10mm亚克力板、外包厚铝合金边框，下部1米高度采用带开孔的金属吸音板，立柱中心间距3040㎜；</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声屏障顶部装饰顶罩板、底部装饰盖板和立柱顶部背面弧型盖板均采用1.5mm镀锌钢板制作，防锈保护须采用氟碳喷涂面处理（氟碳喷涂为烘烤型）。金属吸隔声屏体及透明亚克力隔声屏在安装时是嵌入在钢立柱型腔槽口中以固定位置，并辅以防坠落装置。</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3、材料要求：1）综合技术指标须达到国家相关行业产品标准、规定。</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学性能良好，高效吸声降噪，吸声材料的吸声性能按GBJ47-1983《混响室法吸声系数测量规范》测定，在125HZ，250HZ，500HZ，1000HZ，2000HZ，及4000HZ等频率下，吸声系数应分别不低于0.25，0.40，0.80，0.85,0.95;声屏障隔声量按GBJ75-1984《建筑隔声测量规范》测定,应不低于30dB。       </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2）吸声材料防火性能按GBJ624-1997《建筑材料燃烧性能分级方法》测定应为A级。 </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3)吸声材料应耐冻融；耐冻融性能按149-2003《膨胀聚苯板薄抹灰外墙外保温系统》中3.2.4耐冻融实验方式进行，循环30次后试件应无剥落、开裂、起层等现象。 </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吸声材料应耐腐蚀、耐老化；能在露天环境裸露使用；耐高低温、抗酸碱侵蚀；吸声材料耐候性能按JG149-2003《膨胀聚苯板薄抹灰外墙外保温系统》中附录C的实验方法测定，实验后，试件表面应无裂纹、粉化、剥落等现象。                                             </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吸声材料是影响降噪效果的主要因素，所以，很好的选择材料是至关重要的。综合考虑各种因素，要达到好的吸声降噪效果，同时又要有很好的物理性能及力学强度、耐候性，还要价格合理，所以本项目选择离心玻璃棉板，密度为48kg/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,这种离心玻璃棉具有容重轻，憎水性优良，吸声系数高、施工方便，属于不燃物等优点。                           </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声屏障承接的主要载荷是按1200N/㎡设计,对于声屏障需校核钢立柱的强度、地脚螺栓的强度。</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立柱强度：立柱在风压下承受剪切和弯矩，本项目选用的立柱，对立柱进行受力分析后发现立柱的底端是危险截面，承受较大的剪应力和弯矩，经校核本设计选用的立柱能满足强度要求。</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地脚螺栓采用M22不锈钢螺栓，耐候环氧胶树脂粘合剂或耐温湿高强度植筋胶。单个螺栓最终抗拔力应在现场先做试验确定，其值不得小于100KN。</w:t>
      </w:r>
      <w:r/>
    </w:p>
    <w:p>
      <w:pPr>
        <w:numPr>
          <w:ilvl w:val="0"/>
          <w:numId w:val="3"/>
        </w:num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声屏障连接系统要求 ：金属吸音板与下罩板连接处须布置加固条，再进行锚固连接。单元屏体之间、声屏障屏体与钢立柱的连接应紧密、可靠。连接处应贴热缩弹性体材料，以保证隔声性能良好。</w:t>
      </w:r>
      <w:r/>
    </w:p>
    <w:p>
      <w:pPr>
        <w:pStyle w:val="891"/>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、其他要求</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次采购的免费质保期为36个月（若中标单位投标文件中承诺优于36个月，按投标文件承诺时间为准。结算货款时，乙方需向甲方提供免费质保期限承诺函，写明具体免费质保期限。）。质保期内中标方要及时响应采购方对产品提出三包要求，并提出相应的服务承诺，如因材料质量出现问题，中标方负责包修、包退、包换、一切费用由中标方承担。中标方应以优良的售后服务态度，提供1小时以内响应，2小时内到达现场，确认方案后4小时以内完成采购人提出的维修或更换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单位负责完成声屏障的组合安装及调试工作。在接到采购方的采购需求后，应在24h内安排发货并组织专业人员准备进场安装。如因安装不当造成声屏障材料或其他设施、车辆损坏，由中标单位负责赔偿；本项目安装作业期间应当严格做好各项安全文明措施，并服从采购人及各级主管部门的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安装调试过程中，涉及到的废料全部由中标供应商</w:t>
      </w:r>
      <w:r>
        <w:rPr>
          <w:rFonts w:hint="eastAsia" w:ascii="宋体" w:hAnsi="宋体" w:cs="宋体"/>
          <w:color w:val="auto"/>
          <w:sz w:val="24"/>
          <w:szCs w:val="24"/>
          <w:highlight w:val="none"/>
          <w:lang w:val="en-US" w:eastAsia="zh-CN"/>
        </w:rPr>
        <w:t xml:space="preserve">处置</w:t>
      </w:r>
      <w:r>
        <w:rPr>
          <w:rFonts w:hint="eastAsia" w:ascii="宋体" w:hAnsi="宋体" w:eastAsia="宋体" w:cs="宋体"/>
          <w:color w:val="auto"/>
          <w:sz w:val="24"/>
          <w:szCs w:val="24"/>
          <w:highlight w:val="none"/>
        </w:rPr>
        <w:t xml:space="preserve">，需包含垃圾外运费用，倾倒地点应符合苏州市的规定。</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采购文件提出的要求，并未对一切细节作出规定，也未充分引述全部有关标准和规范的条文，投标供应商提供的所有产品（包括制造、安装、调试以及节能环保等）都应符合已颁布的现行中华人民共和国认可的（部颁、行业）标准和国际标准化组织以及等效或更优的其他国家的权威性标准和规范的有关条文。如果这些标准内容有矛盾时，应在满足标准时效性的前提下按最高标准的条款执行。</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为交钥匙工程，投标供应商应对所要采购的全部内容（包括完成该标的物的全部内容的成品、运至最终目的地的运输、装卸、保险、检测验收、售后服务等工作所发生的全部费用、组合安装调试费用（包含安装所需配件、耗材、人员费用及交通导改、安全文明措施费用等）、拆除、废料回收以及投标人企业利润、税金、代理服务费和政策性文件规定及合同包含的所有风险、责任等各项应有费用。）进行报价，只响应其中部分内容者，其响应文件将被拒绝。每一项货物的报价均不得超过该项的最高限价单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采购项目地点：采购方指定地点</w:t>
      </w:r>
      <w:r>
        <w:rPr>
          <w:rFonts w:hint="eastAsia" w:ascii="宋体" w:hAnsi="宋体" w:eastAsia="宋体" w:cs="宋体"/>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采购项目合同履行期限：自合同签订之日起6个月或按实结算金额达到合同总金额为止。（取先满足采购方实际交货要求的条件为最终交货期限）</w:t>
      </w:r>
      <w:r>
        <w:rPr>
          <w:rFonts w:hint="eastAsia" w:ascii="宋体" w:hAnsi="宋体" w:eastAsia="宋体" w:cs="宋体"/>
          <w:color w:val="auto"/>
          <w:sz w:val="24"/>
          <w:szCs w:val="24"/>
          <w:highlight w:val="none"/>
          <w:lang w:val="zh-CN"/>
        </w:rPr>
        <w:t xml:space="preserve">。</w:t>
      </w:r>
      <w:r/>
    </w:p>
    <w:p>
      <w:pPr>
        <w:spacing w:line="360" w:lineRule="auto"/>
        <w:rPr>
          <w:color w:val="auto"/>
          <w:sz w:val="24"/>
          <w:highlight w:val="none"/>
        </w:rPr>
      </w:pPr>
      <w:r>
        <w:rPr>
          <w:rFonts w:hint="eastAsia" w:ascii="宋体" w:hAnsi="宋体"/>
          <w:color w:val="auto"/>
          <w:sz w:val="24"/>
          <w:highlight w:val="none"/>
          <w:lang w:val="en-US" w:eastAsia="zh-CN"/>
        </w:rPr>
        <w:t xml:space="preserve">五、</w:t>
      </w:r>
      <w:r>
        <w:rPr>
          <w:rFonts w:hint="eastAsia"/>
          <w:color w:val="auto"/>
          <w:sz w:val="24"/>
          <w:highlight w:val="none"/>
        </w:rPr>
        <w:t xml:space="preserve">综合说明</w:t>
      </w:r>
      <w:r/>
    </w:p>
    <w:p>
      <w:pPr>
        <w:ind w:firstLine="480"/>
        <w:spacing w:line="360" w:lineRule="auto"/>
        <w:rPr>
          <w:rFonts w:hint="eastAsia"/>
          <w:color w:val="auto"/>
          <w:sz w:val="24"/>
          <w:highlight w:val="none"/>
        </w:rPr>
      </w:pPr>
      <w:r>
        <w:rPr>
          <w:rFonts w:hint="eastAsia"/>
          <w:color w:val="auto"/>
          <w:sz w:val="24"/>
          <w:highlight w:val="none"/>
        </w:rPr>
        <w:t xml:space="preserve">1、所有投标产品均需符合国家最新标准及行业要求。</w:t>
      </w:r>
      <w:r/>
    </w:p>
    <w:p>
      <w:pPr>
        <w:ind w:firstLine="480"/>
        <w:spacing w:line="360" w:lineRule="auto"/>
        <w:rPr>
          <w:rFonts w:hint="eastAsia"/>
          <w:color w:val="auto"/>
          <w:sz w:val="24"/>
          <w:highlight w:val="none"/>
        </w:rPr>
      </w:pPr>
      <w:r>
        <w:rPr>
          <w:rFonts w:hint="eastAsia"/>
          <w:color w:val="auto"/>
          <w:sz w:val="24"/>
          <w:highlight w:val="none"/>
        </w:rPr>
        <w:t xml:space="preserve">2、上述数量为估算数量，最终以实际使用数量为准。采购方按实际使用量支付价款，但不得违反相关法律法规。</w:t>
      </w:r>
      <w:r/>
    </w:p>
    <w:p>
      <w:pPr>
        <w:ind w:firstLine="480"/>
        <w:spacing w:line="360" w:lineRule="auto"/>
        <w:rPr>
          <w:rFonts w:hint="eastAsia"/>
          <w:color w:val="auto"/>
          <w:sz w:val="24"/>
          <w:highlight w:val="none"/>
        </w:rPr>
      </w:pPr>
      <w:r>
        <w:rPr>
          <w:rFonts w:hint="eastAsia"/>
          <w:color w:val="auto"/>
          <w:sz w:val="24"/>
          <w:highlight w:val="none"/>
        </w:rPr>
        <w:t xml:space="preserve">3、投标人必须承诺招标文件中提出的全部技术规格与要求，如果以其中某些条款不响应时，应在文件中逐条列出，未列出的视同响应。</w:t>
      </w:r>
      <w:r/>
    </w:p>
    <w:p>
      <w:pPr>
        <w:ind w:firstLine="480"/>
        <w:spacing w:line="360" w:lineRule="auto"/>
        <w:rPr>
          <w:rFonts w:hint="eastAsia"/>
          <w:color w:val="auto"/>
          <w:sz w:val="24"/>
          <w:highlight w:val="none"/>
        </w:rPr>
      </w:pPr>
      <w:r>
        <w:rPr>
          <w:rFonts w:hint="eastAsia"/>
          <w:color w:val="auto"/>
          <w:sz w:val="24"/>
          <w:highlight w:val="none"/>
        </w:rPr>
        <w:t xml:space="preserve">4、如双方对验收结果有分歧，则以苏州市技术质量监督局的检验结果为准，检验费用由有过失的一方支付。</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、验收标准：根据标书要求及有关规定由采购方验收通过。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、投标响应文件必须如实进行实质性响应，量化指标必须列明具体数值。投标供应商提供的技术资料必须真实、准确，</w:t>
      </w:r>
      <w:r>
        <w:rPr>
          <w:rFonts w:ascii="宋体" w:hAnsi="宋体"/>
          <w:color w:val="auto"/>
          <w:sz w:val="24"/>
          <w:highlight w:val="none"/>
        </w:rPr>
        <w:t xml:space="preserve">如提供的参数虚假或对招标文件所要求说明的情况故意隐瞒或虚报，</w:t>
      </w:r>
      <w:r>
        <w:rPr>
          <w:rFonts w:hint="eastAsia" w:ascii="宋体" w:hAnsi="宋体"/>
          <w:color w:val="auto"/>
          <w:sz w:val="24"/>
          <w:highlight w:val="none"/>
        </w:rPr>
        <w:t xml:space="preserve">按《中华人民共和国政府采购法》第七十七条的相关办法处理。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采购文件提出的要求，并未对一切细节作出规定，也未充分引述全部有关标准和规范的条文，投标供应商提供的所有产品（包括设计、制造以及节能环保等）都应符合已颁布的现行中华人民共和国认可的（部颁、行业）标准和国际标准化组织以及等效或更优的其他国家的权威性标准和规范的有关条文。如果这些标准内容有矛盾时，应按最高标</w:t>
      </w:r>
      <w:r>
        <w:rPr>
          <w:rFonts w:hint="eastAsia" w:ascii="宋体" w:hAnsi="宋体" w:eastAsia="宋体" w:cs="宋体"/>
          <w:color w:val="auto"/>
          <w:sz w:val="24"/>
          <w:highlight w:val="none"/>
        </w:rPr>
        <w:t xml:space="preserve">准的条款执行。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验收标准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（1）‌材料验收‌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在交货前，</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应对标的物的质量、规格、性能、数量等进行详细而全面的检验，并出具一份收货证明，收货证明作为</w:t>
      </w:r>
      <w:r>
        <w:rPr>
          <w:rFonts w:hint="eastAsia" w:ascii="宋体" w:hAnsi="宋体" w:eastAsia="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验收的依据，但不能作为有关标的物质量、规格、数量或性能的最终检验结果。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检查成品外观平整度、防腐层完整性，确认无变形、磕碰等缺陷。焊接质量需均匀无裂缝，板材与配件间无缝隙。屏体与吸音材料需牢固无脱落，构件表面无流坠、毛刺等问题。焊缝应饱满均匀，无夹渣、裂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（2）‌质量验收‌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在准备进场安装前，须向</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提供详细的安装计划书、交通导改方案、安装人员信息、在有效期内的特种作业人员证书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若实际过程中涉及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、组合安装工艺要求及验收标准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需提供的</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按项目实际情况为准。经</w:t>
      </w:r>
      <w:r>
        <w:rPr>
          <w:rFonts w:hint="eastAsia" w:ascii="宋体" w:hAnsi="宋体" w:eastAsia="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审批通过后方可进场安装。安装调试完成后，</w:t>
      </w:r>
      <w:r>
        <w:rPr>
          <w:rFonts w:hint="eastAsia" w:ascii="宋体" w:hAnsi="宋体" w:eastAsia="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组织验收，验收结果须符合相关规范要求，验收不合格由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承担返工期间的一切费用。各项性能需满足国家要求。</w:t>
      </w:r>
      <w:r/>
    </w:p>
    <w:p>
      <w:pPr>
        <w:pStyle w:val="672"/>
        <w:ind w:left="0" w:firstLine="64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验收期限自标的物安装完成之日起15天内。特殊情况需延长的，双方应在合同的特殊条款中约定。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2、组织形式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负责货物安装调试及自检，</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单位随机安排工作人员监督关键工序。重点环节可留存影像资料，以便后期责任追根溯源。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待项目到验收环节，确定验收小组，可包含采购方代表（负责合同条款核对）、专家或其他技术人员（技术参数检测）、监管单位（安装规范性审查）、第三方检测机构（争议项仲裁），具体验收团队组成人员按项目实际情况为准。</w:t>
      </w:r>
      <w:bookmarkEnd w:id="48"/>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4"/>
          <w:highlight w:val="none"/>
        </w:rPr>
        <w:t xml:space="preserve">对属于《节能产品政府采购品目清单》中强制采购范围内产品的，供应商须提供</w:t>
      </w:r>
      <w:r>
        <w:rPr>
          <w:rFonts w:hint="eastAsia" w:ascii="宋体" w:hAnsi="宋体" w:cs="宋体"/>
          <w:b/>
          <w:bCs/>
          <w:color w:val="auto"/>
          <w:sz w:val="24"/>
          <w:highlight w:val="none"/>
          <w:lang w:val="en-US" w:eastAsia="zh-CN"/>
        </w:rPr>
        <w:t xml:space="preserve">该产品</w:t>
      </w:r>
      <w:r>
        <w:rPr>
          <w:rFonts w:hint="eastAsia" w:ascii="宋体" w:hAnsi="宋体" w:eastAsia="宋体" w:cs="宋体"/>
          <w:b/>
          <w:bCs/>
          <w:color w:val="auto"/>
          <w:sz w:val="24"/>
          <w:highlight w:val="none"/>
        </w:rPr>
        <w:t xml:space="preserve">有效期之内的节能产品认证证书，</w:t>
      </w:r>
      <w:r>
        <w:rPr>
          <w:rFonts w:hint="eastAsia" w:ascii="宋体" w:hAnsi="宋体" w:cs="宋体"/>
          <w:b/>
          <w:bCs/>
          <w:color w:val="auto"/>
          <w:sz w:val="24"/>
          <w:highlight w:val="none"/>
          <w:lang w:val="en-US" w:eastAsia="zh-CN"/>
        </w:rPr>
        <w:t xml:space="preserve">未提供的</w:t>
      </w:r>
      <w:r>
        <w:rPr>
          <w:rFonts w:hint="eastAsia" w:ascii="宋体" w:hAnsi="宋体" w:eastAsia="宋体" w:cs="宋体"/>
          <w:b/>
          <w:bCs/>
          <w:color w:val="auto"/>
          <w:sz w:val="24"/>
          <w:highlight w:val="none"/>
        </w:rPr>
        <w:t xml:space="preserve">视为未实质性响应</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上述品目清单可通过“中国政府采购网”（http://www.ccgp.gov.cn）查询</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highlight w:val="none"/>
          <w:lang w:val="en-US" w:eastAsia="zh-CN"/>
        </w:rPr>
        <w:t xml:space="preserve">工业</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bookmarkStart w:id="49" w:name="OLE_LINK2"/>
      <w:r>
        <w:rPr>
          <w:rFonts w:hint="eastAsia" w:ascii="宋体" w:hAnsi="宋体" w:eastAsia="宋体" w:cs="宋体"/>
          <w:color w:val="auto"/>
          <w:sz w:val="24"/>
          <w:highlight w:val="none"/>
        </w:rPr>
        <w:t xml:space="preserve">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bookmarkEnd w:id="49"/>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96"/>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pStyle w:val="896"/>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883"/>
        <w:jc w:val="center"/>
        <w:spacing w:after="312" w:line="480" w:lineRule="auto"/>
        <w:tabs>
          <w:tab w:val="right" w:pos="8302" w:leader="dot"/>
        </w:tabs>
        <w:rPr>
          <w:rStyle w:val="859"/>
          <w:rFonts w:hint="eastAsia" w:ascii="宋体" w:hAnsi="宋体" w:eastAsia="宋体" w:cs="宋体"/>
          <w:b w:val="0"/>
          <w:bCs/>
          <w:color w:val="auto"/>
          <w:sz w:val="36"/>
          <w:szCs w:val="36"/>
          <w:highlight w:val="none"/>
        </w:rPr>
      </w:pPr>
      <w:r>
        <w:rPr>
          <w:rStyle w:val="859"/>
          <w:rFonts w:hint="eastAsia" w:ascii="宋体" w:hAnsi="宋体" w:eastAsia="宋体" w:cs="宋体"/>
          <w:b w:val="0"/>
          <w:bCs/>
          <w:color w:val="auto"/>
          <w:sz w:val="36"/>
          <w:szCs w:val="36"/>
          <w:highlight w:val="none"/>
        </w:rPr>
        <w:t xml:space="preserve">第五章  合同文本</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  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6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  方：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根据《中华人民共和国民法典》、《中华人民共和国政府采购法》等相关法律法规的规定、苏州睿乔招投标咨询服务有限公司采购编号</w:t>
      </w:r>
      <w:r>
        <w:rPr>
          <w:rFonts w:hint="eastAsia" w:ascii="宋体" w:hAnsi="宋体" w:eastAsia="宋体" w:cs="宋体"/>
          <w:color w:val="auto"/>
          <w:sz w:val="24"/>
          <w:szCs w:val="24"/>
          <w:highlight w:val="none"/>
          <w:lang w:eastAsia="zh-CN"/>
        </w:rPr>
        <w:t xml:space="preserve">JSZC-320508-SZRQ-G2025-0025</w:t>
      </w:r>
      <w:r>
        <w:rPr>
          <w:rFonts w:hint="eastAsia" w:ascii="宋体" w:hAnsi="宋体" w:eastAsia="宋体" w:cs="宋体"/>
          <w:color w:val="auto"/>
          <w:sz w:val="24"/>
          <w:szCs w:val="24"/>
          <w:highlight w:val="none"/>
        </w:rPr>
        <w:t xml:space="preserve"> 号公开招标文件及该文件的响应文件和中标通知书甲乙双方就此次成交的</w:t>
      </w:r>
      <w:r>
        <w:rPr>
          <w:rFonts w:hint="eastAsia" w:ascii="宋体" w:hAnsi="宋体" w:eastAsia="宋体" w:cs="宋体"/>
          <w:color w:val="auto"/>
          <w:sz w:val="24"/>
          <w:szCs w:val="24"/>
          <w:highlight w:val="none"/>
          <w:lang w:eastAsia="zh-CN"/>
        </w:rPr>
        <w:t xml:space="preserve">2025年市政设施维护所需声屏障</w:t>
      </w:r>
      <w:r>
        <w:rPr>
          <w:rFonts w:hint="eastAsia" w:ascii="宋体" w:hAnsi="宋体" w:eastAsia="宋体" w:cs="宋体"/>
          <w:color w:val="auto"/>
          <w:sz w:val="24"/>
          <w:szCs w:val="24"/>
          <w:highlight w:val="none"/>
        </w:rPr>
        <w:t xml:space="preserve">的购销事宜，签订本合同书。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一、项目名称、型号、规格和主要配置、单价、数量、金额。</w:t>
      </w:r>
      <w:r/>
    </w:p>
    <w:tbl>
      <w:tblPr>
        <w:tblStyle w:val="671"/>
        <w:tblW w:w="89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637"/>
        <w:gridCol w:w="1984"/>
        <w:gridCol w:w="709"/>
        <w:gridCol w:w="1276"/>
        <w:gridCol w:w="1262"/>
        <w:gridCol w:w="1148"/>
      </w:tblGrid>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637"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品种名称</w:t>
            </w:r>
            <w:r/>
          </w:p>
        </w:tc>
        <w:tc>
          <w:tcPr>
            <w:tcW w:w="1984"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规格、型号</w:t>
            </w:r>
            <w:r/>
          </w:p>
        </w:tc>
        <w:tc>
          <w:tcPr>
            <w:tcW w:w="709"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w:t>
            </w:r>
            <w:r/>
          </w:p>
        </w:tc>
        <w:tc>
          <w:tcPr>
            <w:tcW w:w="127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单价（元）</w:t>
            </w:r>
            <w:r/>
          </w:p>
        </w:tc>
        <w:tc>
          <w:tcPr>
            <w:tcW w:w="1148"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总价（元）</w:t>
            </w:r>
            <w:r/>
          </w:p>
        </w:tc>
      </w:tr>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637"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62"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48"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637"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62"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48"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1637"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62"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48"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gridSpan w:val="7"/>
            <w:tcW w:w="8982"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合计金额大写：</w:t>
            </w:r>
            <w:r/>
          </w:p>
        </w:tc>
      </w:tr>
    </w:tbl>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采购项目合同履行期限：自合同签订之日起6个月或按实结算金额达到合同总金额为止。（取先满足采购方实际交货要求的条件为最终交货期限）。</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二、售后服务：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次采购的免费质保期36个月（若中标单位投标文件中承诺优于36个月，按投标文件承诺时间为准。结算货款时，乙方需向甲方提供免费质保期限承诺函，写明具体免费质保期限。）。质保期内乙方要及时响应甲方对产品提出三包要求，并提出相应的服务承诺，如质量出现问题成交商包修、包退、包换、一切费用由成交商承担。</w:t>
      </w:r>
      <w:bookmarkStart w:id="50" w:name="_Hlk177204111"/>
      <w:r>
        <w:rPr>
          <w:rFonts w:hint="eastAsia" w:ascii="宋体" w:hAnsi="宋体" w:eastAsia="宋体" w:cs="宋体"/>
          <w:color w:val="auto"/>
          <w:sz w:val="24"/>
          <w:szCs w:val="24"/>
          <w:highlight w:val="none"/>
        </w:rPr>
        <w:t xml:space="preserve">乙方应以优良的售后服务态度，提供1小时以内响应，接到甲方通知后，2小时到达施工现场，确定方案后4小时以内完成甲方提出的维修或更换要求。</w:t>
      </w:r>
      <w:bookmarkEnd w:id="50"/>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2、乙方负责完成该批声屏障材料的组合安装及调试工作。在接到采购方的采购需求后，应在24小时内内安排发货并组织专业人员准备进场安装。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未尽事项按招标文件及投标文件执行，如招标文件及投标文件中亦无约定，双方可另行协商达成书面文件并执行。书面补充协议与本合同具有同等效力，补充协议之间存在冲突的，应当以最新签订的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三、交货地点、方式：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1、交货地点：苏州市市政施设管理处指定地点。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2、乙方应在交货前向甲方提供交货计划、安装计划。</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3、运输、保险、装卸和组合安装调试的费用由乙方承担。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4、投标单位中标后，需在合同签订前向采购方提供★部分检测报告原件核查，若未能提供原件，采购方有权拒签合同。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四、质量保证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根据甲方按检验标准自己检验的结果或当地质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3、除特别约定外，合同条款成交的物的质量保证期均自标的物通过最终验收之日起计算。</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五、履约验收要求：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1、验收标准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（1）‌材料验收‌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在交货前，乙方应对标的物的质量、规格、性能、数量等进行详细而全面的检验，并出具一份收货证明，收货证明作为甲方验收的依据，但不能作为有关标的物质量、规格、数量或性能的最终检验结果。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检查成品外观平整度、防腐层完整性，确认无变形、磕碰等缺陷。焊接质量需均匀无裂缝，板材与配件间无缝隙。屏体与吸音材料需牢固无脱落，构件表面无流坠、毛刺等问题。焊缝应饱满均匀，无夹渣、裂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（2）‌质量验收‌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乙方在准备进场安装前，须向甲方提供详细的安装计划书、交通导改方案、安装人员信息、在有效期内的特种作业人员证书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若实际过程中涉及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、组合安装工艺要求及验收标准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需提供的</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按项目实际情况为准。经甲方审批通过后方可进场安装。安装调试完成后，甲方组织验收，验收结果须符合相关规范要求，验收不合格由乙方承担返工期间的一切费用。各项性能需满足国家要求。</w:t>
      </w:r>
      <w:r/>
    </w:p>
    <w:p>
      <w:pPr>
        <w:pStyle w:val="672"/>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验收期限自标的物安装完成之日起15天内。特殊情况需延长的，双方应在合同的特殊条款中约定。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2、组织形式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乙方负责货物安装调试及自检，甲方单位随机安排工作人员监督关键工序。重点环节可留存影像资料，以便后期责任追根溯源。</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待项目到验收环节，确定验收小组，可包含采购方代表（负责合同条款核对）、专家或其他技术人员（技术参数检测）、监管单位（安装规范性审查）、第三方检测机构（争议项仲裁），具体验收团队组成人员按项目实际情况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合同生效后，甲方非货物质量原因收货后退货的，应向乙方支付退货金额的10%，作为补偿金。该补偿金包含乙方退货来回运费、装卸等一切费用。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甲方逾期付款的应按照逾期付款金额的每天万分之四支付逾期付款违约金，但至多不超过逾期金额的5%。</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甲方违反合同规定，拒绝接收乙方交付的合格标的物，应当承担乙方由此造成的损失。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能交货（逾期超过十五天视为不能交货），或交货、安装不合格从而影响甲方正常使用的，甲方有权解除合同，乙方向甲方支付不能交货部分或者交货、安装质量不合格部分（单批次）所涉金额的10%违约金，如甲方解除合同的，乙方应向甲方支付合同未履行的交货部分所涉总额的5%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乙方在合同期限内不提供质保服务或提供质保服务不合格的，影响甲方正常使用货物的，应当向甲方支付合同总价款10%的违约金并赔偿甲方因此产生的损失。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未能按照本合同约定提供伴随服务及售后服务的，甲方有权责令乙方于3日内予以改正，乙方逾期不改正的或者经甲方责令改正超过3次的，视为乙方违约，乙方应当向甲方支付合同总价款10%的违约金并赔偿甲方因此产生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乙方有其他违反合同约定情形的，应当向甲方支付合同总价款5%的违约金。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（3）如双方对验收结果有分歧，则以苏州市技术质量监督局或第三方权威检测机构出具的检验结果为准，检验费用由有过失的一方支付。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4、验收合格后签署“政府采购履约验收书”，甲方将验收报告上交本单位财务部门，同发票一起入帐，作为甲方执行了政府采购的凭证。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六、价格与支付：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报价应包括完成该标的物的全部内容的成品、运至最终目的地的运输、装卸、保险、检测验收、售后服务等工作所发生的全部费用、组合安装调试费用（包含安装所需配件、耗材、人员费用及交通导改、安全文明措施费用等）、拆除、废料回收以及投标人企业利润、税金、代理服务费和政策性文件规定及合同包含的所有风险、责任等各项应有费用。</w:t>
      </w:r>
      <w:r/>
    </w:p>
    <w:p>
      <w:pPr>
        <w:ind w:left="0" w:firstLine="24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2、付款步骤：</w:t>
      </w:r>
      <w:r/>
    </w:p>
    <w:p>
      <w:pPr>
        <w:ind w:left="0" w:firstLine="24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生效后按如下方式支付款项：甲方向乙方支付合同金额的30%作为项目预付款。在签订合同时，乙方明确表示无需预付款或者主动要求降低预付款比例的，甲方可不适用上述关于预付款的规定。具体实施要求按苏财购【2020】52号：一、建立政府采购资金预付款制度的相关规定。</w:t>
      </w:r>
      <w:r/>
    </w:p>
    <w:p>
      <w:pPr>
        <w:ind w:left="0" w:firstLine="37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（2）按实结算：乙方根据甲方要求供货，乙方凭验收单，送货单，由甲方核定当月实际送货量，在甲方验收合格后的次月起三个月内付清已核定货款。每月的送货量汇总单以甲方、乙方签字为依据。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3、付款前，乙方须先向甲方提供以下凭据：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A、甲乙双方签字的送货回单、安装调试验收合格单。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B、国家规定合格的增值税发票。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C、由甲乙双方及招标代理机构签章的《政府采购履约验收书》。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4、付款方式：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（1）此项目货款以数字人民币形式支付。</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bookmarkStart w:id="51" w:name="_Hlk167699224"/>
      <w:r>
        <w:rPr>
          <w:rFonts w:hint="eastAsia" w:ascii="宋体" w:hAnsi="宋体" w:eastAsia="宋体" w:cs="宋体"/>
          <w:color w:val="auto"/>
          <w:sz w:val="24"/>
          <w:szCs w:val="24"/>
          <w:highlight w:val="none"/>
        </w:rPr>
        <w:t xml:space="preserve">账户信息（数字人民币账户）</w:t>
      </w:r>
      <w:bookmarkEnd w:id="51"/>
      <w:r/>
      <w:r/>
    </w:p>
    <w:p>
      <w:pPr>
        <w:ind w:left="0"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乙方单位名称：</w:t>
      </w:r>
      <w:r/>
    </w:p>
    <w:p>
      <w:pPr>
        <w:ind w:left="0"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p>
    <w:p>
      <w:pPr>
        <w:ind w:left="0"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数字钱包ID：</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七、不可抗力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因不可抗力或政策变化不能履行合同的，根据不可抗力的影响，部分或者全部免除责任。但合同一方延迟履行后发生不可抗力的，不能免除责任。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2、合同一方因不可抗力或政策变化不能履行合同的，应当及时通知对方，以减轻可能给对方造成的损失，并应当在合理期限内提供证明。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八、索赔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1、甲方有权根据当地产品质量检验机构或其他有权部门出具的检验证书向乙方提出索赔。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2、在本合同规定的检验期限和质量保证期内，如果乙方对甲方提出的索赔或差异有责任，则乙方应按甲方同意的下列一种或多种方式解决索赔事宜：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乙方同意退货，并按合同规定的货币将货款退还给甲方，并且承担由此发生的一切损失和费用，包括利息、银行手续费、运费、保险费、检验费、仓储费、装卸费以及为保护退回标的物所需的其他必要费用。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根据标的物的低劣程度、损坏程度以及甲方遭受损失的数额，经双方协商确定降低标的物的价格。</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用符合规格、质量和性能要求的新零件、部件或标的物来更换有缺陷的部分或修补缺陷部分，乙方应承担一切费用和风险并且负担甲方所发生的一切损失。同时，乙方应按合同规定，相应延长修补或被更换部件或标的物的质量保证期。</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九、特别约定：乙方在履行合同过程中，应安排专人负责现场安全，期间发生的一切安全事故均由乙方自行承担全部责任，与甲方无关。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十、合同的解除和转让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1、甲方和乙方协商一致，可以解除合同。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2、有下列情形之一，合同一方可以解除合同：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因不可抗力或政策变化致使不能实现合同目的，未受不可抗力或政策变化影响的一方有权解除合同；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因合同一方违约导致合同不能履行，另一方有权解除合同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3、合同的部分和全部都不得转让。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十一、合同生效及其它：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1、合同经甲乙双方代表签字并加盖公章（或合同章）后即生效，同时须上传网上公示。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2、苏州睿乔招投标咨询服务有限公司代理的项目编号为</w:t>
      </w:r>
      <w:r>
        <w:rPr>
          <w:rFonts w:hint="eastAsia" w:ascii="宋体" w:hAnsi="宋体" w:eastAsia="宋体" w:cs="宋体"/>
          <w:color w:val="auto"/>
          <w:sz w:val="24"/>
          <w:szCs w:val="24"/>
          <w:highlight w:val="none"/>
          <w:lang w:eastAsia="zh-CN"/>
        </w:rPr>
        <w:t xml:space="preserve">JSZC-320508-SZRQ-G2025-0025</w:t>
      </w:r>
      <w:r>
        <w:rPr>
          <w:rFonts w:hint="eastAsia" w:ascii="宋体" w:hAnsi="宋体" w:eastAsia="宋体" w:cs="宋体"/>
          <w:color w:val="auto"/>
          <w:sz w:val="24"/>
          <w:szCs w:val="24"/>
          <w:highlight w:val="none"/>
        </w:rPr>
        <w:t xml:space="preserve">号公开招标文件及该文件的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是本合同不可分割的组成部分。如上述文件与本合同内容不一致，双方认可按照本合同约定内容执行。合同在执行过程中出现的未尽事宜，双方在不违背本合同和招标文件的原则下协商解决，协商结果以书面形式盖章记录在案，作为本合同的附件，与本合同具有同等效力，但需向甲方提交二份备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52" w:name="_Hlk167699366"/>
      <w:r>
        <w:rPr>
          <w:rFonts w:hint="eastAsia" w:ascii="宋体" w:hAnsi="宋体" w:eastAsia="宋体" w:cs="宋体"/>
          <w:color w:val="auto"/>
          <w:sz w:val="24"/>
          <w:szCs w:val="24"/>
          <w:highlight w:val="none"/>
        </w:rPr>
        <w:t xml:space="preserve">本合同一式六份，甲方执两份，乙方执两份，采购代理方一份，财政监管部门一份。</w:t>
      </w:r>
      <w:bookmarkEnd w:id="52"/>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合同签定地：苏州市市政施设管理处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代表签名：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83"/>
        <w:jc w:val="center"/>
        <w:spacing w:after="312" w:line="480" w:lineRule="auto"/>
        <w:tabs>
          <w:tab w:val="right" w:pos="8302" w:leader="dot"/>
        </w:tabs>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3"/>
        <w:jc w:val="center"/>
        <w:spacing w:after="312" w:line="480" w:lineRule="auto"/>
        <w:tabs>
          <w:tab w:val="right" w:pos="8302" w:leader="dot"/>
        </w:tabs>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5"/>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5"/>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3"/>
        <w:jc w:val="center"/>
        <w:spacing w:after="312" w:line="480" w:lineRule="auto"/>
        <w:tabs>
          <w:tab w:val="right" w:pos="8302" w:leader="dot"/>
        </w:tabs>
        <w:rPr>
          <w:rFonts w:hint="eastAsia" w:ascii="宋体" w:hAnsi="宋体" w:eastAsia="宋体" w:cs="宋体"/>
          <w:b/>
          <w:color w:val="auto"/>
          <w:sz w:val="32"/>
          <w:szCs w:val="32"/>
          <w:highlight w:val="none"/>
        </w:rPr>
      </w:pPr>
      <w:r>
        <w:rPr>
          <w:rStyle w:val="859"/>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3" w:name="_Toc179806444"/>
      <w:r/>
      <w:bookmarkStart w:id="54" w:name="_Toc163571923"/>
      <w:r>
        <w:rPr>
          <w:rFonts w:hint="eastAsia" w:ascii="宋体" w:hAnsi="宋体" w:eastAsia="宋体" w:cs="宋体"/>
          <w:bCs/>
          <w:color w:val="auto"/>
          <w:sz w:val="24"/>
          <w:highlight w:val="none"/>
        </w:rPr>
        <w:t xml:space="preserve">一、评标办法</w:t>
      </w:r>
      <w:bookmarkEnd w:id="53"/>
      <w:r/>
      <w:bookmarkEnd w:id="5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shd w:val="clear" w:color="auto" w:fill="auto"/>
        </w:rPr>
        <w:t xml:space="preserve">如出现评标总得分最高的投标人有两个或两个以上的，以投标报价较低者优先作为该标段中标候选人，如果投标报价也相同的，则以抽签方式确定中标候选人</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工程项目为5%，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4"/>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价格的，为有效投标报价。超采购预算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投标报价得分=（评标基准价/投标报价）*价格权值*100，小数点后保留两位（价格权值为</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（二）综合实力比较（24分）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1、技术能力比较（5分）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（1）在满足招标文件★技术参数基础上，平均隔声量≥35dB的得1分。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（2）在满足招标文件★技术参数基础上，平均降噪系数＞0.9的得1分，平均降噪系数≥0.95的得2分。本项最高2分。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（3）在满足招标文件★技术参数基础上，提供4200小时及以上盐雾试验的得2分。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注：上述（1）-（3）需提供具有检验检测能力的权威机构出具的检测报告，未提供不得分。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2、投标人具有有效期内的质量管理、环境管理、职业健康管理体系认证证书，有一项得1分，本项最高3分，未提供不得分。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55" w:name="OLE_LINK3"/>
      <w:r>
        <w:rPr>
          <w:rFonts w:hint="eastAsia" w:ascii="宋体" w:hAnsi="宋体" w:eastAsia="宋体" w:cs="宋体"/>
          <w:color w:val="auto"/>
          <w:sz w:val="24"/>
          <w:szCs w:val="24"/>
          <w:highlight w:val="none"/>
        </w:rPr>
        <w:t xml:space="preserve">3、企业业绩：10分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投标人2020年1月1日（以签订的合同日期为准）至今类似项目供货及安装业绩，提供合同及竣工（交货）验收证明资料，有一份得2分，最高10分。</w:t>
      </w:r>
      <w:bookmarkEnd w:id="5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4、产品质保期限：在满足招标文件基础上，免费质保期每</w:t>
      </w:r>
      <w:bookmarkStart w:id="56" w:name="OLE_LINK1"/>
      <w:r>
        <w:rPr>
          <w:rFonts w:hint="eastAsia" w:ascii="宋体" w:hAnsi="宋体" w:eastAsia="宋体" w:cs="宋体"/>
          <w:color w:val="auto"/>
          <w:sz w:val="24"/>
          <w:szCs w:val="24"/>
          <w:highlight w:val="none"/>
        </w:rPr>
        <w:t xml:space="preserve">增加一年的得3分，最高得6分</w:t>
      </w:r>
      <w:bookmarkEnd w:id="56"/>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（三）技术质量（16分）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1、产品质量控制方案及质量承诺：8分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提供产品质量控制及承诺方案。内容包括不限于质量保证、制作工序质量控制、外观检验、声学性能检验、物理性能检验及产品质量承诺。提供方案完善、内容最齐全、控制最合理的得8分；提供方案完善的得4分；提供方案简单，配置一般的得1分；方案差和无方案不得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2、产品质量保障：8分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提供从原料到成品（含包装）的制造、加工流程及所使用设备的先进性和齐全性及现场生产环境布局等材料评定。对产品加工流程介绍详细、使用设备先进且齐全，现场生产环境布局整洁合理的得8分；对产品加工流程有部分介绍、但对使用设备介绍模糊，现场生产环境布局简单的得4分；对产品加工流程介绍简单、使用设备陈旧、现场生产环境局部差乱的得1分；未提供的不得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（四）投标产品质保及售后服务比较（16分）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售后服务：根据所提供售后服务方案的完整性、可靠性、与本项目实际需要相适应等方面综合分析比较打分。提供售后服务方案完善、售后内容配置最齐全、流程最合理的得8分；提供售后服务方案简单，售后内容配置薄弱的得4分；提供方案有漏洞的得1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2、提供针对本项</w:t>
      </w:r>
      <w:bookmarkStart w:id="57" w:name="_GoBack"/>
      <w:r/>
      <w:bookmarkEnd w:id="57"/>
      <w:r>
        <w:rPr>
          <w:rFonts w:hint="eastAsia" w:ascii="宋体" w:hAnsi="宋体" w:eastAsia="宋体" w:cs="宋体"/>
          <w:color w:val="auto"/>
          <w:sz w:val="24"/>
          <w:szCs w:val="24"/>
          <w:highlight w:val="none"/>
        </w:rPr>
        <w:t xml:space="preserve">目的培训及技术支持,内容科学合理、针对性强、条理清晰、全面完善、切合实际、可操作性强的得8分；内容具有可实施性的得4分；内容有涉及但不合理、针对性不强的得1分，未提供不得分。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产品安装服务能力（14分）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1、投标人提供主要安装方法，针对项目具体情况选择安装工艺，由评委会综合打分：全面、针对性强、可行性高的得7分；较全面、针对性较强、可行性较高的得4分；需要进一步完善的得 1 分；未提供相关内容的不得分。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提供占道安装作业区域桥上、桥下道路封闭组织方案，隔离、警示、导流等安全设施布置措施及安装前封闭导改交通、安装撤场后放行交通的现场组织实施流程，由评委会综合打分：方案科学完善、切实可行、针对性强、安全防护设施等布置完善的得7分；方案科学完善、切实可行、针对性强的得4分；方案有可实施性但需要 进一步完善的得1分；未提供相关内容不得分。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【注：针对评分标准中评分的每一条，投标人在投标文件中均应提供相关资料并作出相应说明供评委评判，不提供相关资料的视为不具备该项得分的条件。】</w:t>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etween w:val="none" w:color="000000" w:sz="0" w:space="0"/>
      </w:pBdr>
      <w:framePr w:wrap="around" w:vAnchor="text" w:hAnchor="margin" w:xAlign="center" w:y="1"/>
    </w:pPr>
    <w:r>
      <w:fldChar w:fldCharType="begin"/>
    </w:r>
    <w:r>
      <w:rPr>
        <w:rStyle w:val="865"/>
      </w:rPr>
      <w:instrText xml:space="preserve"> PAGE  </w:instrText>
    </w:r>
    <w:r>
      <w:fldChar w:fldCharType="separate"/>
    </w:r>
    <w:r>
      <w:rPr>
        <w:rStyle w:val="865"/>
      </w:rPr>
      <w:t xml:space="preserve">- 195 -</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876"/>
    <w:uiPriority w:val="0"/>
    <w:qFormat/>
    <w:pPr>
      <w:jc w:val="both"/>
      <w:widowControl w:val="off"/>
    </w:pPr>
    <w:rPr>
      <w:rFonts w:hint="default" w:ascii="Calibri" w:hAnsi="Calibri" w:eastAsia="宋体" w:cs="Times New Roman"/>
      <w:sz w:val="21"/>
      <w:szCs w:val="24"/>
      <w:lang w:val="en-US" w:eastAsia="zh-CN" w:bidi="ar-SA"/>
    </w:rPr>
  </w:style>
  <w:style w:type="paragraph" w:styleId="661">
    <w:name w:val="Heading 1"/>
    <w:basedOn w:val="660"/>
    <w:next w:val="660"/>
    <w:link w:val="70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0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1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1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1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1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1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1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Layout w:type="fixed"/>
      <w:tblCellMar>
        <w:left w:w="108" w:type="dxa"/>
        <w:top w:w="0" w:type="dxa"/>
        <w:right w:w="108" w:type="dxa"/>
        <w:bottom w:w="0" w:type="dxa"/>
      </w:tblCellMar>
    </w:tblPr>
  </w:style>
  <w:style w:type="paragraph" w:styleId="672">
    <w:name w:val="Body Text First Indent 2"/>
    <w:basedOn w:val="673"/>
    <w:uiPriority w:val="99"/>
    <w:unhideWhenUsed/>
    <w:qFormat/>
    <w:pPr>
      <w:ind w:firstLine="420"/>
    </w:pPr>
    <w:rPr>
      <w:rFonts w:ascii="楷体_GB2312" w:eastAsia="楷体_GB2312"/>
    </w:rPr>
  </w:style>
  <w:style w:type="paragraph" w:styleId="673">
    <w:name w:val="Body Text Indent"/>
    <w:basedOn w:val="660"/>
    <w:next w:val="674"/>
    <w:uiPriority w:val="0"/>
    <w:qFormat/>
    <w:pPr>
      <w:ind w:left="420"/>
      <w:spacing w:after="120"/>
    </w:pPr>
  </w:style>
  <w:style w:type="paragraph" w:styleId="674" w:customStyle="1">
    <w:name w:val="目录 51"/>
    <w:next w:val="660"/>
    <w:uiPriority w:val="0"/>
    <w:qFormat/>
    <w:pPr>
      <w:ind w:left="1275"/>
      <w:jc w:val="both"/>
    </w:pPr>
    <w:rPr>
      <w:rFonts w:hint="default" w:ascii="Calibri" w:hAnsi="Calibri" w:eastAsia="宋体" w:cs="Times New Roman"/>
      <w:sz w:val="21"/>
      <w:lang w:val="en-US" w:eastAsia="zh-CN" w:bidi="ar-SA"/>
    </w:rPr>
  </w:style>
  <w:style w:type="paragraph" w:styleId="675">
    <w:name w:val="toc 7"/>
    <w:basedOn w:val="660"/>
    <w:next w:val="660"/>
    <w:uiPriority w:val="39"/>
    <w:unhideWhenUsed/>
    <w:qFormat/>
    <w:pPr>
      <w:ind w:left="1701" w:right="0" w:firstLine="0"/>
      <w:spacing w:after="57"/>
    </w:pPr>
  </w:style>
  <w:style w:type="paragraph" w:styleId="676">
    <w:name w:val="Normal Indent"/>
    <w:basedOn w:val="660"/>
    <w:next w:val="660"/>
    <w:uiPriority w:val="0"/>
    <w:qFormat/>
    <w:pPr>
      <w:ind w:firstLine="200"/>
    </w:pPr>
    <w:rPr>
      <w:sz w:val="24"/>
    </w:rPr>
  </w:style>
  <w:style w:type="paragraph" w:styleId="677">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0"/>
    <w:uiPriority w:val="99"/>
    <w:semiHidden/>
    <w:unhideWhenUsed/>
    <w:qFormat/>
    <w:pPr>
      <w:jc w:val="left"/>
    </w:pPr>
  </w:style>
  <w:style w:type="paragraph" w:styleId="679">
    <w:name w:val="Body Text"/>
    <w:basedOn w:val="660"/>
    <w:next w:val="676"/>
    <w:uiPriority w:val="0"/>
    <w:qFormat/>
    <w:pPr>
      <w:spacing w:after="120"/>
    </w:pPr>
  </w:style>
  <w:style w:type="paragraph" w:styleId="680">
    <w:name w:val="toc 5"/>
    <w:basedOn w:val="660"/>
    <w:next w:val="660"/>
    <w:uiPriority w:val="39"/>
    <w:unhideWhenUsed/>
    <w:qFormat/>
    <w:pPr>
      <w:ind w:left="1134" w:right="0" w:firstLine="0"/>
      <w:spacing w:after="57"/>
    </w:pPr>
  </w:style>
  <w:style w:type="paragraph" w:styleId="681">
    <w:name w:val="toc 3"/>
    <w:basedOn w:val="660"/>
    <w:next w:val="660"/>
    <w:uiPriority w:val="39"/>
    <w:unhideWhenUsed/>
    <w:qFormat/>
    <w:pPr>
      <w:ind w:left="567" w:right="0" w:firstLine="0"/>
      <w:spacing w:after="57"/>
    </w:pPr>
  </w:style>
  <w:style w:type="paragraph" w:styleId="682">
    <w:name w:val="Plain Text"/>
    <w:basedOn w:val="660"/>
    <w:uiPriority w:val="0"/>
    <w:qFormat/>
    <w:rPr>
      <w:rFonts w:ascii="宋体" w:hAnsi="Courier New" w:cs="Times New Roman"/>
    </w:rPr>
  </w:style>
  <w:style w:type="paragraph" w:styleId="683">
    <w:name w:val="toc 8"/>
    <w:basedOn w:val="660"/>
    <w:next w:val="660"/>
    <w:uiPriority w:val="39"/>
    <w:unhideWhenUsed/>
    <w:qFormat/>
    <w:pPr>
      <w:ind w:left="1984" w:right="0" w:firstLine="0"/>
      <w:spacing w:after="57"/>
    </w:pPr>
  </w:style>
  <w:style w:type="paragraph" w:styleId="684">
    <w:name w:val="Body Text Indent 2"/>
    <w:basedOn w:val="660"/>
    <w:uiPriority w:val="0"/>
    <w:qFormat/>
    <w:pPr>
      <w:ind w:left="1" w:firstLine="480"/>
      <w:spacing w:line="400" w:lineRule="exact"/>
      <w:tabs>
        <w:tab w:val="left" w:pos="360" w:leader="none"/>
      </w:tabs>
    </w:pPr>
    <w:rPr>
      <w:rFonts w:ascii="Times New Roman" w:hAnsi="Times New Roman" w:cs="Times New Roman"/>
      <w:sz w:val="24"/>
    </w:rPr>
  </w:style>
  <w:style w:type="paragraph" w:styleId="685">
    <w:name w:val="endnote text"/>
    <w:basedOn w:val="660"/>
    <w:link w:val="854"/>
    <w:uiPriority w:val="99"/>
    <w:semiHidden/>
    <w:unhideWhenUsed/>
    <w:qFormat/>
    <w:pPr>
      <w:spacing w:after="0" w:line="240" w:lineRule="auto"/>
    </w:pPr>
    <w:rPr>
      <w:sz w:val="20"/>
    </w:rPr>
  </w:style>
  <w:style w:type="paragraph" w:styleId="686">
    <w:name w:val="Footer"/>
    <w:basedOn w:val="660"/>
    <w:link w:val="727"/>
    <w:uiPriority w:val="99"/>
    <w:unhideWhenUsed/>
    <w:qFormat/>
    <w:pPr>
      <w:spacing w:after="0" w:line="240" w:lineRule="auto"/>
      <w:tabs>
        <w:tab w:val="center" w:pos="7143" w:leader="none"/>
        <w:tab w:val="right" w:pos="14287" w:leader="none"/>
      </w:tabs>
    </w:pPr>
  </w:style>
  <w:style w:type="paragraph" w:styleId="687">
    <w:name w:val="Header"/>
    <w:basedOn w:val="660"/>
    <w:link w:val="725"/>
    <w:uiPriority w:val="99"/>
    <w:unhideWhenUsed/>
    <w:qFormat/>
    <w:pPr>
      <w:spacing w:after="0" w:line="240" w:lineRule="auto"/>
      <w:tabs>
        <w:tab w:val="center" w:pos="7143" w:leader="none"/>
        <w:tab w:val="right" w:pos="14287" w:leader="none"/>
      </w:tabs>
    </w:pPr>
  </w:style>
  <w:style w:type="paragraph" w:styleId="688">
    <w:name w:val="toc 1"/>
    <w:basedOn w:val="660"/>
    <w:next w:val="660"/>
    <w:uiPriority w:val="39"/>
    <w:unhideWhenUsed/>
    <w:qFormat/>
    <w:pPr>
      <w:ind w:left="0" w:right="0" w:firstLine="0"/>
      <w:spacing w:after="57"/>
    </w:pPr>
  </w:style>
  <w:style w:type="paragraph" w:styleId="689">
    <w:name w:val="toc 4"/>
    <w:basedOn w:val="660"/>
    <w:next w:val="660"/>
    <w:uiPriority w:val="39"/>
    <w:unhideWhenUsed/>
    <w:qFormat/>
    <w:pPr>
      <w:ind w:left="850" w:right="0" w:firstLine="0"/>
      <w:spacing w:after="57"/>
    </w:pPr>
  </w:style>
  <w:style w:type="paragraph" w:styleId="690">
    <w:name w:val="Subtitle"/>
    <w:basedOn w:val="660"/>
    <w:next w:val="660"/>
    <w:link w:val="720"/>
    <w:uiPriority w:val="11"/>
    <w:qFormat/>
    <w:pPr>
      <w:spacing w:before="200" w:after="200"/>
    </w:pPr>
    <w:rPr>
      <w:sz w:val="24"/>
      <w:szCs w:val="24"/>
    </w:rPr>
  </w:style>
  <w:style w:type="paragraph" w:styleId="691">
    <w:name w:val="footnote text"/>
    <w:basedOn w:val="660"/>
    <w:link w:val="853"/>
    <w:uiPriority w:val="99"/>
    <w:semiHidden/>
    <w:unhideWhenUsed/>
    <w:qFormat/>
    <w:pPr>
      <w:spacing w:after="40" w:line="240" w:lineRule="auto"/>
    </w:pPr>
    <w:rPr>
      <w:sz w:val="18"/>
    </w:rPr>
  </w:style>
  <w:style w:type="paragraph" w:styleId="692">
    <w:name w:val="toc 6"/>
    <w:basedOn w:val="660"/>
    <w:next w:val="660"/>
    <w:uiPriority w:val="39"/>
    <w:unhideWhenUsed/>
    <w:qFormat/>
    <w:pPr>
      <w:ind w:left="1417" w:right="0" w:firstLine="0"/>
      <w:spacing w:after="57"/>
    </w:pPr>
  </w:style>
  <w:style w:type="paragraph" w:styleId="693">
    <w:name w:val="table of figures"/>
    <w:basedOn w:val="660"/>
    <w:next w:val="660"/>
    <w:uiPriority w:val="99"/>
    <w:unhideWhenUsed/>
    <w:qFormat/>
    <w:pPr>
      <w:spacing w:after="0" w:afterAutospacing="0"/>
    </w:pPr>
  </w:style>
  <w:style w:type="paragraph" w:styleId="694">
    <w:name w:val="toc 2"/>
    <w:basedOn w:val="660"/>
    <w:next w:val="660"/>
    <w:uiPriority w:val="39"/>
    <w:unhideWhenUsed/>
    <w:qFormat/>
    <w:pPr>
      <w:ind w:left="283" w:right="0" w:firstLine="0"/>
      <w:spacing w:after="57"/>
    </w:pPr>
  </w:style>
  <w:style w:type="paragraph" w:styleId="695">
    <w:name w:val="toc 9"/>
    <w:basedOn w:val="660"/>
    <w:next w:val="660"/>
    <w:uiPriority w:val="39"/>
    <w:unhideWhenUsed/>
    <w:qFormat/>
    <w:pPr>
      <w:ind w:left="2268" w:right="0" w:firstLine="0"/>
      <w:spacing w:after="57"/>
    </w:pPr>
  </w:style>
  <w:style w:type="paragraph" w:styleId="696">
    <w:name w:val="Normal (Web)"/>
    <w:basedOn w:val="660"/>
    <w:uiPriority w:val="0"/>
    <w:qFormat/>
    <w:pPr>
      <w:jc w:val="left"/>
      <w:spacing w:before="100" w:beforeAutospacing="1" w:after="100" w:afterAutospacing="1"/>
      <w:widowControl/>
    </w:pPr>
    <w:rPr>
      <w:rFonts w:ascii="宋体" w:hAnsi="宋体" w:eastAsia="宋体" w:cs="Times New Roman"/>
      <w:sz w:val="24"/>
    </w:rPr>
  </w:style>
  <w:style w:type="paragraph" w:styleId="697">
    <w:name w:val="Title"/>
    <w:basedOn w:val="660"/>
    <w:next w:val="660"/>
    <w:link w:val="719"/>
    <w:uiPriority w:val="10"/>
    <w:qFormat/>
    <w:pPr>
      <w:contextualSpacing/>
      <w:spacing w:before="300" w:after="200"/>
    </w:pPr>
    <w:rPr>
      <w:sz w:val="48"/>
      <w:szCs w:val="48"/>
    </w:rPr>
  </w:style>
  <w:style w:type="character" w:styleId="698">
    <w:name w:val="Strong"/>
    <w:basedOn w:val="670"/>
    <w:uiPriority w:val="0"/>
    <w:qFormat/>
    <w:rPr>
      <w:b/>
    </w:rPr>
  </w:style>
  <w:style w:type="character" w:styleId="699">
    <w:name w:val="endnote reference"/>
    <w:uiPriority w:val="99"/>
    <w:semiHidden/>
    <w:unhideWhenUsed/>
    <w:qFormat/>
    <w:rPr>
      <w:vertAlign w:val="superscript"/>
    </w:rPr>
  </w:style>
  <w:style w:type="character" w:styleId="700">
    <w:name w:val="FollowedHyperlink"/>
    <w:basedOn w:val="670"/>
    <w:uiPriority w:val="99"/>
    <w:semiHidden/>
    <w:unhideWhenUsed/>
    <w:qFormat/>
    <w:rPr>
      <w:color w:val="333333"/>
      <w:u w:val="none"/>
    </w:rPr>
  </w:style>
  <w:style w:type="character" w:styleId="701">
    <w:name w:val="Emphasis"/>
    <w:basedOn w:val="670"/>
    <w:uiPriority w:val="20"/>
    <w:qFormat/>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5" w:customStyle="1">
    <w:name w:val="正文1"/>
    <w:basedOn w:val="660"/>
    <w:next w:val="660"/>
    <w:uiPriority w:val="0"/>
    <w:qFormat/>
    <w:pPr>
      <w:ind w:firstLine="480"/>
      <w:spacing w:line="440" w:lineRule="exact"/>
    </w:pPr>
    <w:rPr>
      <w:rFonts w:ascii="Times New Roman" w:hAnsi="Times New Roman" w:cs="Times New Roman"/>
      <w:bCs/>
      <w:color w:val="000000"/>
      <w:sz w:val="24"/>
      <w:szCs w:val="32"/>
    </w:rPr>
  </w:style>
  <w:style w:type="paragraph" w:styleId="706" w:customStyle="1">
    <w:name w:val="段"/>
    <w:next w:val="660"/>
    <w:uiPriority w:val="0"/>
    <w:qFormat/>
    <w:pPr>
      <w:ind w:firstLine="200"/>
      <w:jc w:val="both"/>
    </w:pPr>
    <w:rPr>
      <w:rFonts w:hint="default" w:ascii="宋体" w:hAnsi="Calibri" w:eastAsia="宋体" w:cs="Times New Roman"/>
      <w:sz w:val="21"/>
      <w:lang w:val="en-US" w:eastAsia="zh-CN" w:bidi="ar-SA"/>
    </w:rPr>
  </w:style>
  <w:style w:type="paragraph" w:styleId="707" w:customStyle="1">
    <w:name w:val="文本块1"/>
    <w:basedOn w:val="660"/>
    <w:uiPriority w:val="0"/>
    <w:qFormat/>
    <w:pPr>
      <w:ind w:left="630" w:right="-609" w:firstLine="420"/>
      <w:spacing w:line="360" w:lineRule="auto"/>
    </w:pPr>
    <w:rPr>
      <w:rFonts w:hint="eastAsia" w:ascii="仿宋_GB2312" w:hAnsi="Times New Roman" w:eastAsia="仿宋_GB2312" w:cs="Times New Roman"/>
      <w:szCs w:val="20"/>
    </w:rPr>
  </w:style>
  <w:style w:type="character" w:styleId="708" w:customStyle="1">
    <w:name w:val="Heading 1 Char"/>
    <w:link w:val="661"/>
    <w:uiPriority w:val="9"/>
    <w:qFormat/>
    <w:rPr>
      <w:rFonts w:ascii="Arial" w:hAnsi="Arial" w:eastAsia="Arial" w:cs="Arial"/>
      <w:sz w:val="40"/>
      <w:szCs w:val="40"/>
    </w:rPr>
  </w:style>
  <w:style w:type="character" w:styleId="709" w:customStyle="1">
    <w:name w:val="Heading 2 Char"/>
    <w:link w:val="662"/>
    <w:uiPriority w:val="9"/>
    <w:qFormat/>
    <w:rPr>
      <w:rFonts w:ascii="Arial" w:hAnsi="Arial" w:eastAsia="Arial" w:cs="Arial"/>
      <w:sz w:val="34"/>
    </w:rPr>
  </w:style>
  <w:style w:type="character" w:styleId="710" w:customStyle="1">
    <w:name w:val="Heading 3 Char"/>
    <w:link w:val="663"/>
    <w:uiPriority w:val="9"/>
    <w:qFormat/>
    <w:rPr>
      <w:rFonts w:ascii="Arial" w:hAnsi="Arial" w:eastAsia="Arial" w:cs="Arial"/>
      <w:sz w:val="30"/>
      <w:szCs w:val="30"/>
    </w:rPr>
  </w:style>
  <w:style w:type="character" w:styleId="711" w:customStyle="1">
    <w:name w:val="Heading 4 Char"/>
    <w:link w:val="664"/>
    <w:uiPriority w:val="9"/>
    <w:qFormat/>
    <w:rPr>
      <w:rFonts w:ascii="Arial" w:hAnsi="Arial" w:eastAsia="Arial" w:cs="Arial"/>
      <w:b/>
      <w:bCs/>
      <w:sz w:val="26"/>
      <w:szCs w:val="26"/>
    </w:rPr>
  </w:style>
  <w:style w:type="character" w:styleId="712" w:customStyle="1">
    <w:name w:val="Heading 5 Char"/>
    <w:link w:val="665"/>
    <w:uiPriority w:val="9"/>
    <w:qFormat/>
    <w:rPr>
      <w:rFonts w:ascii="Arial" w:hAnsi="Arial" w:eastAsia="Arial" w:cs="Arial"/>
      <w:b/>
      <w:bCs/>
      <w:sz w:val="24"/>
      <w:szCs w:val="24"/>
    </w:rPr>
  </w:style>
  <w:style w:type="character" w:styleId="713" w:customStyle="1">
    <w:name w:val="Heading 6 Char"/>
    <w:link w:val="666"/>
    <w:uiPriority w:val="9"/>
    <w:qFormat/>
    <w:rPr>
      <w:rFonts w:ascii="Arial" w:hAnsi="Arial" w:eastAsia="Arial" w:cs="Arial"/>
      <w:b/>
      <w:bCs/>
      <w:sz w:val="22"/>
      <w:szCs w:val="22"/>
    </w:rPr>
  </w:style>
  <w:style w:type="character" w:styleId="714" w:customStyle="1">
    <w:name w:val="Heading 7 Char"/>
    <w:link w:val="667"/>
    <w:uiPriority w:val="9"/>
    <w:qFormat/>
    <w:rPr>
      <w:rFonts w:ascii="Arial" w:hAnsi="Arial" w:eastAsia="Arial" w:cs="Arial"/>
      <w:b/>
      <w:bCs/>
      <w:i/>
      <w:iCs/>
      <w:sz w:val="22"/>
      <w:szCs w:val="22"/>
    </w:rPr>
  </w:style>
  <w:style w:type="character" w:styleId="715" w:customStyle="1">
    <w:name w:val="Heading 8 Char"/>
    <w:link w:val="668"/>
    <w:uiPriority w:val="9"/>
    <w:qFormat/>
    <w:rPr>
      <w:rFonts w:ascii="Arial" w:hAnsi="Arial" w:eastAsia="Arial" w:cs="Arial"/>
      <w:i/>
      <w:iCs/>
      <w:sz w:val="22"/>
      <w:szCs w:val="22"/>
    </w:rPr>
  </w:style>
  <w:style w:type="character" w:styleId="716" w:customStyle="1">
    <w:name w:val="Heading 9 Char"/>
    <w:link w:val="669"/>
    <w:uiPriority w:val="9"/>
    <w:qFormat/>
    <w:rPr>
      <w:rFonts w:ascii="Arial" w:hAnsi="Arial" w:eastAsia="Arial" w:cs="Arial"/>
      <w:i/>
      <w:iCs/>
      <w:sz w:val="21"/>
      <w:szCs w:val="21"/>
    </w:rPr>
  </w:style>
  <w:style w:type="paragraph" w:styleId="717">
    <w:name w:val="List Paragraph"/>
    <w:basedOn w:val="660"/>
    <w:uiPriority w:val="34"/>
    <w:qFormat/>
    <w:pPr>
      <w:contextualSpacing/>
      <w:ind w:left="720"/>
    </w:pPr>
  </w:style>
  <w:style w:type="paragraph" w:styleId="718">
    <w:name w:val="No Spacing"/>
    <w:uiPriority w:val="1"/>
    <w:qFormat/>
    <w:pPr>
      <w:spacing w:before="0" w:after="0" w:line="240" w:lineRule="auto"/>
    </w:pPr>
    <w:rPr>
      <w:rFonts w:hint="default" w:ascii="Calibri" w:hAnsi="Calibri" w:eastAsia="宋体" w:cs="Times New Roman"/>
    </w:rPr>
  </w:style>
  <w:style w:type="character" w:styleId="719" w:customStyle="1">
    <w:name w:val="Title Char"/>
    <w:link w:val="697"/>
    <w:uiPriority w:val="10"/>
    <w:qFormat/>
    <w:rPr>
      <w:sz w:val="48"/>
      <w:szCs w:val="48"/>
    </w:rPr>
  </w:style>
  <w:style w:type="character" w:styleId="720" w:customStyle="1">
    <w:name w:val="Subtitle Char"/>
    <w:link w:val="690"/>
    <w:uiPriority w:val="11"/>
    <w:qFormat/>
    <w:rPr>
      <w:sz w:val="24"/>
      <w:szCs w:val="24"/>
    </w:rPr>
  </w:style>
  <w:style w:type="paragraph" w:styleId="721">
    <w:name w:val="Quote"/>
    <w:basedOn w:val="660"/>
    <w:next w:val="660"/>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60"/>
    <w:next w:val="660"/>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87"/>
    <w:uiPriority w:val="99"/>
    <w:qFormat/>
  </w:style>
  <w:style w:type="character" w:styleId="726" w:customStyle="1">
    <w:name w:val="Footer Char"/>
    <w:link w:val="686"/>
    <w:uiPriority w:val="99"/>
    <w:qFormat/>
  </w:style>
  <w:style w:type="character" w:styleId="727" w:customStyle="1">
    <w:name w:val="Caption Char"/>
    <w:link w:val="686"/>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1"/>
    <w:uiPriority w:val="99"/>
    <w:qFormat/>
    <w:rPr>
      <w:sz w:val="18"/>
    </w:rPr>
  </w:style>
  <w:style w:type="character" w:styleId="854" w:customStyle="1">
    <w:name w:val="Endnote Text Char"/>
    <w:link w:val="685"/>
    <w:uiPriority w:val="99"/>
    <w:qFormat/>
    <w:rPr>
      <w:sz w:val="20"/>
    </w:rPr>
  </w:style>
  <w:style w:type="paragraph" w:styleId="855" w:customStyle="1">
    <w:name w:val="TOC Heading"/>
    <w:uiPriority w:val="39"/>
    <w:unhideWhenUsed/>
    <w:qFormat/>
    <w:rPr>
      <w:rFonts w:hint="default" w:ascii="Calibri" w:hAnsi="Calibri" w:eastAsia="宋体" w:cs="Times New Roman"/>
    </w:rPr>
  </w:style>
  <w:style w:type="paragraph" w:styleId="856" w:customStyle="1">
    <w:name w:val="标题 21"/>
    <w:basedOn w:val="660"/>
    <w:next w:val="660"/>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7" w:customStyle="1">
    <w:name w:val="默认段落字体1"/>
    <w:link w:val="660"/>
    <w:uiPriority w:val="0"/>
    <w:semiHidden/>
    <w:qFormat/>
  </w:style>
  <w:style w:type="table" w:styleId="858" w:customStyle="1">
    <w:name w:val="普通表格1"/>
    <w:uiPriority w:val="0"/>
    <w:semiHidden/>
    <w:qFormat/>
    <w:tblPr/>
  </w:style>
  <w:style w:type="character" w:styleId="859" w:customStyle="1">
    <w:name w:val="要点1"/>
    <w:link w:val="660"/>
    <w:uiPriority w:val="0"/>
    <w:qFormat/>
    <w:rPr>
      <w:rFonts w:ascii="Times New Roman" w:hAnsi="Times New Roman" w:eastAsia="宋体" w:cs="Times New Roman"/>
      <w:b/>
    </w:rPr>
  </w:style>
  <w:style w:type="character" w:styleId="860" w:customStyle="1">
    <w:name w:val="超链接1"/>
    <w:link w:val="660"/>
    <w:uiPriority w:val="0"/>
    <w:qFormat/>
    <w:rPr>
      <w:color w:val="333333"/>
      <w:u w:val="none"/>
    </w:rPr>
  </w:style>
  <w:style w:type="character" w:styleId="861" w:customStyle="1">
    <w:name w:val="强调1"/>
    <w:link w:val="660"/>
    <w:uiPriority w:val="0"/>
    <w:qFormat/>
  </w:style>
  <w:style w:type="character" w:styleId="862" w:customStyle="1">
    <w:name w:val="font31"/>
    <w:link w:val="660"/>
    <w:uiPriority w:val="0"/>
    <w:qFormat/>
    <w:rPr>
      <w:rFonts w:ascii="Times New Roman" w:hAnsi="Times New Roman" w:cs="Times New Roman"/>
      <w:color w:val="000000"/>
      <w:sz w:val="22"/>
      <w:szCs w:val="22"/>
      <w:u w:val="none"/>
    </w:rPr>
  </w:style>
  <w:style w:type="character" w:styleId="863" w:customStyle="1">
    <w:name w:val="font91"/>
    <w:link w:val="660"/>
    <w:uiPriority w:val="0"/>
    <w:qFormat/>
    <w:rPr>
      <w:rFonts w:ascii="Times New Roman" w:hAnsi="Times New Roman" w:cs="Times New Roman"/>
      <w:color w:val="000000"/>
      <w:sz w:val="22"/>
      <w:szCs w:val="22"/>
      <w:u w:val="none"/>
    </w:rPr>
  </w:style>
  <w:style w:type="character" w:styleId="864" w:customStyle="1">
    <w:name w:val="已访问的超链接1"/>
    <w:link w:val="660"/>
    <w:uiPriority w:val="0"/>
    <w:qFormat/>
    <w:rPr>
      <w:color w:val="333333"/>
      <w:u w:val="none"/>
    </w:rPr>
  </w:style>
  <w:style w:type="character" w:styleId="865" w:customStyle="1">
    <w:name w:val="页码1"/>
    <w:link w:val="660"/>
    <w:uiPriority w:val="0"/>
    <w:qFormat/>
  </w:style>
  <w:style w:type="character" w:styleId="866" w:customStyle="1">
    <w:name w:val="font21"/>
    <w:basedOn w:val="670"/>
    <w:link w:val="660"/>
    <w:uiPriority w:val="0"/>
    <w:qFormat/>
    <w:rPr>
      <w:rFonts w:ascii="Times New Roman" w:hAnsi="Times New Roman" w:cs="Times New Roman"/>
      <w:color w:val="000000"/>
      <w:sz w:val="22"/>
      <w:szCs w:val="22"/>
      <w:u w:val="none"/>
    </w:rPr>
  </w:style>
  <w:style w:type="character" w:styleId="867" w:customStyle="1">
    <w:name w:val="font61"/>
    <w:basedOn w:val="670"/>
    <w:link w:val="660"/>
    <w:uiPriority w:val="0"/>
    <w:qFormat/>
    <w:rPr>
      <w:rFonts w:hint="eastAsia" w:ascii="宋体" w:hAnsi="宋体" w:eastAsia="宋体" w:cs="宋体"/>
      <w:color w:val="000000"/>
      <w:sz w:val="22"/>
      <w:szCs w:val="22"/>
      <w:u w:val="none"/>
    </w:rPr>
  </w:style>
  <w:style w:type="character" w:styleId="868" w:customStyle="1">
    <w:name w:val="font11"/>
    <w:link w:val="660"/>
    <w:uiPriority w:val="0"/>
    <w:qFormat/>
    <w:rPr>
      <w:rFonts w:hint="eastAsia" w:ascii="宋体" w:hAnsi="宋体" w:eastAsia="宋体" w:cs="宋体"/>
      <w:color w:val="000000"/>
      <w:sz w:val="20"/>
      <w:szCs w:val="20"/>
      <w:u w:val="none"/>
    </w:rPr>
  </w:style>
  <w:style w:type="character" w:styleId="869" w:customStyle="1">
    <w:name w:val="font41"/>
    <w:link w:val="660"/>
    <w:uiPriority w:val="0"/>
    <w:qFormat/>
    <w:rPr>
      <w:rFonts w:ascii="Times New Roman" w:hAnsi="Times New Roman" w:cs="Times New Roman"/>
      <w:color w:val="000000"/>
      <w:sz w:val="22"/>
      <w:szCs w:val="22"/>
      <w:u w:val="none"/>
    </w:rPr>
  </w:style>
  <w:style w:type="character" w:styleId="870" w:customStyle="1">
    <w:name w:val="font51"/>
    <w:link w:val="660"/>
    <w:uiPriority w:val="0"/>
    <w:qFormat/>
    <w:rPr>
      <w:rFonts w:ascii="Times New Roman" w:hAnsi="Times New Roman" w:cs="Times New Roman"/>
      <w:color w:val="000000"/>
      <w:sz w:val="22"/>
      <w:szCs w:val="22"/>
      <w:u w:val="none"/>
    </w:rPr>
  </w:style>
  <w:style w:type="character" w:styleId="871" w:customStyle="1">
    <w:name w:val="批注框文本 Char"/>
    <w:link w:val="872"/>
    <w:uiPriority w:val="0"/>
    <w:qFormat/>
    <w:rPr>
      <w:sz w:val="18"/>
      <w:szCs w:val="18"/>
    </w:rPr>
  </w:style>
  <w:style w:type="paragraph" w:styleId="872" w:customStyle="1">
    <w:name w:val="批注框文本1"/>
    <w:basedOn w:val="660"/>
    <w:link w:val="871"/>
    <w:uiPriority w:val="0"/>
    <w:qFormat/>
    <w:rPr>
      <w:sz w:val="18"/>
      <w:szCs w:val="18"/>
    </w:rPr>
  </w:style>
  <w:style w:type="character" w:styleId="873" w:customStyle="1">
    <w:name w:val="NormalCharacter1"/>
    <w:link w:val="660"/>
    <w:uiPriority w:val="0"/>
    <w:qFormat/>
  </w:style>
  <w:style w:type="character" w:styleId="874" w:customStyle="1">
    <w:name w:val="font81"/>
    <w:basedOn w:val="670"/>
    <w:link w:val="660"/>
    <w:uiPriority w:val="0"/>
    <w:qFormat/>
    <w:rPr>
      <w:rFonts w:hint="eastAsia" w:ascii="宋体" w:hAnsi="宋体" w:eastAsia="宋体" w:cs="宋体"/>
      <w:color w:val="000000"/>
      <w:sz w:val="22"/>
      <w:szCs w:val="22"/>
      <w:u w:val="none"/>
    </w:rPr>
  </w:style>
  <w:style w:type="character" w:styleId="875" w:customStyle="1">
    <w:name w:val="font71"/>
    <w:link w:val="660"/>
    <w:uiPriority w:val="0"/>
    <w:qFormat/>
    <w:rPr>
      <w:rFonts w:hint="eastAsia" w:ascii="宋体" w:hAnsi="宋体" w:eastAsia="宋体" w:cs="宋体"/>
      <w:color w:val="000000"/>
      <w:sz w:val="22"/>
      <w:szCs w:val="22"/>
      <w:u w:val="none"/>
    </w:rPr>
  </w:style>
  <w:style w:type="character" w:styleId="876" w:customStyle="1">
    <w:name w:val="font01"/>
    <w:link w:val="660"/>
    <w:uiPriority w:val="0"/>
    <w:qFormat/>
    <w:rPr>
      <w:rFonts w:ascii="Times New Roman" w:hAnsi="Times New Roman" w:cs="Times New Roman"/>
      <w:color w:val="000000"/>
      <w:sz w:val="22"/>
      <w:szCs w:val="22"/>
      <w:u w:val="none"/>
    </w:rPr>
  </w:style>
  <w:style w:type="paragraph" w:styleId="877" w:customStyle="1">
    <w:name w:val="正文文本缩进 31"/>
    <w:basedOn w:val="660"/>
    <w:uiPriority w:val="0"/>
    <w:qFormat/>
    <w:pPr>
      <w:ind w:firstLine="480"/>
      <w:jc w:val="left"/>
      <w:spacing w:line="440" w:lineRule="atLeast"/>
    </w:pPr>
    <w:rPr>
      <w:rFonts w:ascii="Times New Roman" w:hAnsi="Times New Roman"/>
      <w:sz w:val="24"/>
    </w:rPr>
  </w:style>
  <w:style w:type="paragraph" w:styleId="878" w:customStyle="1">
    <w:name w:val="正文首行缩进 21"/>
    <w:basedOn w:val="879"/>
    <w:uiPriority w:val="99"/>
    <w:unhideWhenUsed/>
    <w:qFormat/>
    <w:pPr>
      <w:ind w:firstLine="420"/>
    </w:pPr>
  </w:style>
  <w:style w:type="paragraph" w:styleId="879" w:customStyle="1">
    <w:name w:val="正文文本缩进1"/>
    <w:basedOn w:val="660"/>
    <w:next w:val="674"/>
    <w:uiPriority w:val="0"/>
    <w:unhideWhenUsed/>
    <w:qFormat/>
    <w:pPr>
      <w:ind w:left="420"/>
      <w:spacing w:after="120"/>
    </w:pPr>
  </w:style>
  <w:style w:type="paragraph" w:styleId="880" w:customStyle="1">
    <w:name w:val="纯文本111"/>
    <w:basedOn w:val="660"/>
    <w:uiPriority w:val="0"/>
    <w:qFormat/>
    <w:pPr>
      <w:jc w:val="left"/>
      <w:widowControl/>
    </w:pPr>
    <w:rPr>
      <w:rFonts w:ascii="宋体" w:hAnsi="Courier New" w:eastAsia="楷体_GB2312" w:cs="Times New Roman"/>
      <w:sz w:val="26"/>
    </w:rPr>
  </w:style>
  <w:style w:type="paragraph" w:styleId="881" w:customStyle="1">
    <w:name w:val="正文文本1"/>
    <w:basedOn w:val="660"/>
    <w:next w:val="882"/>
    <w:uiPriority w:val="0"/>
    <w:qFormat/>
    <w:pPr>
      <w:spacing w:line="400" w:lineRule="exact"/>
    </w:pPr>
    <w:rPr>
      <w:rFonts w:ascii="楷体_GB2312" w:hAnsi="Times New Roman" w:eastAsia="楷体_GB2312" w:cs="Times New Roman"/>
      <w:sz w:val="28"/>
      <w:szCs w:val="20"/>
    </w:rPr>
  </w:style>
  <w:style w:type="paragraph" w:styleId="882" w:customStyle="1">
    <w:name w:val="正文缩进1"/>
    <w:basedOn w:val="660"/>
    <w:next w:val="660"/>
    <w:uiPriority w:val="0"/>
    <w:qFormat/>
    <w:pPr>
      <w:ind w:firstLine="420"/>
      <w:jc w:val="left"/>
    </w:pPr>
    <w:rPr>
      <w:rFonts w:ascii="Times New Roman" w:hAnsi="Times New Roman" w:eastAsia="楷体_GB2312" w:cs="Times New Roman"/>
      <w:sz w:val="24"/>
      <w:szCs w:val="20"/>
    </w:rPr>
  </w:style>
  <w:style w:type="paragraph" w:styleId="883" w:customStyle="1">
    <w:name w:val="目录 11"/>
    <w:basedOn w:val="660"/>
    <w:next w:val="660"/>
    <w:uiPriority w:val="0"/>
    <w:qFormat/>
    <w:pPr>
      <w:jc w:val="left"/>
    </w:pPr>
    <w:rPr>
      <w:rFonts w:ascii="Times New Roman" w:hAnsi="Times New Roman" w:eastAsia="楷体_GB2312" w:cs="Times New Roman"/>
      <w:sz w:val="24"/>
      <w:szCs w:val="20"/>
    </w:rPr>
  </w:style>
  <w:style w:type="paragraph" w:styleId="884" w:customStyle="1">
    <w:name w:val="页眉1"/>
    <w:basedOn w:val="66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5" w:customStyle="1">
    <w:name w:val="文档结构图1"/>
    <w:basedOn w:val="660"/>
    <w:uiPriority w:val="99"/>
    <w:qFormat/>
    <w:pPr>
      <w:shd w:val="clear" w:color="auto" w:fill="000080"/>
    </w:pPr>
  </w:style>
  <w:style w:type="paragraph" w:styleId="886" w:customStyle="1">
    <w:name w:val="列表1"/>
    <w:basedOn w:val="660"/>
    <w:uiPriority w:val="0"/>
    <w:qFormat/>
    <w:pPr>
      <w:jc w:val="center"/>
      <w:spacing w:line="20" w:lineRule="atLeast"/>
    </w:pPr>
    <w:rPr>
      <w:rFonts w:ascii="Arial" w:hAnsi="Arial" w:eastAsia="幼圆_GB2312"/>
      <w:sz w:val="18"/>
      <w:szCs w:val="24"/>
    </w:rPr>
  </w:style>
  <w:style w:type="paragraph" w:styleId="887" w:customStyle="1">
    <w:name w:val="正文文本缩进 21"/>
    <w:basedOn w:val="660"/>
    <w:uiPriority w:val="0"/>
    <w:qFormat/>
    <w:pPr>
      <w:ind w:left="1" w:firstLine="480"/>
      <w:spacing w:line="400" w:lineRule="exact"/>
      <w:tabs>
        <w:tab w:val="left" w:pos="360" w:leader="none"/>
      </w:tabs>
    </w:pPr>
    <w:rPr>
      <w:rFonts w:ascii="Times New Roman" w:hAnsi="Times New Roman" w:cs="Times New Roman"/>
      <w:sz w:val="24"/>
    </w:rPr>
  </w:style>
  <w:style w:type="paragraph" w:styleId="888"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89" w:customStyle="1">
    <w:name w:val="普通(网站)1"/>
    <w:basedOn w:val="660"/>
    <w:uiPriority w:val="99"/>
    <w:qFormat/>
    <w:pPr>
      <w:jc w:val="left"/>
      <w:spacing w:beforeAutospacing="1" w:afterAutospacing="1"/>
    </w:pPr>
    <w:rPr>
      <w:rFonts w:ascii="Times New Roman" w:hAnsi="Times New Roman" w:cs="Times New Roman"/>
      <w:sz w:val="24"/>
    </w:rPr>
  </w:style>
  <w:style w:type="paragraph" w:styleId="890" w:customStyle="1">
    <w:name w:val="页脚1"/>
    <w:basedOn w:val="660"/>
    <w:uiPriority w:val="0"/>
    <w:qFormat/>
    <w:pPr>
      <w:jc w:val="left"/>
      <w:tabs>
        <w:tab w:val="center" w:pos="4153" w:leader="none"/>
        <w:tab w:val="right" w:pos="8306" w:leader="none"/>
      </w:tabs>
    </w:pPr>
    <w:rPr>
      <w:sz w:val="18"/>
    </w:rPr>
  </w:style>
  <w:style w:type="paragraph" w:styleId="891" w:customStyle="1">
    <w:name w:val="p0"/>
    <w:basedOn w:val="660"/>
    <w:uiPriority w:val="0"/>
    <w:qFormat/>
    <w:rPr>
      <w:rFonts w:ascii="Times New Roman" w:hAnsi="Times New Roman"/>
      <w:szCs w:val="24"/>
    </w:rPr>
  </w:style>
  <w:style w:type="paragraph" w:styleId="892" w:customStyle="1">
    <w:name w:val="PlainText1"/>
    <w:basedOn w:val="660"/>
    <w:uiPriority w:val="0"/>
    <w:qFormat/>
    <w:rPr>
      <w:rFonts w:ascii="宋体" w:hAnsi="Courier New" w:eastAsia="楷体_GB2312"/>
      <w:sz w:val="28"/>
    </w:rPr>
  </w:style>
  <w:style w:type="paragraph" w:styleId="893" w:customStyle="1">
    <w:name w:val="纯文本2"/>
    <w:basedOn w:val="660"/>
    <w:uiPriority w:val="0"/>
    <w:qFormat/>
    <w:rPr>
      <w:rFonts w:ascii="宋体" w:hAnsi="Courier New" w:eastAsia="宋体" w:cs="Times New Roman"/>
    </w:rPr>
  </w:style>
  <w:style w:type="paragraph" w:styleId="894" w:customStyle="1">
    <w:name w:val="Plain Text1"/>
    <w:basedOn w:val="660"/>
    <w:uiPriority w:val="0"/>
    <w:qFormat/>
    <w:rPr>
      <w:rFonts w:ascii="宋体" w:hAnsi="Courier New" w:eastAsia="宋体" w:cs="Times New Roman"/>
      <w:sz w:val="26"/>
      <w:szCs w:val="20"/>
    </w:rPr>
  </w:style>
  <w:style w:type="paragraph" w:styleId="895" w:customStyle="1">
    <w:name w:val="纯文本4"/>
    <w:basedOn w:val="660"/>
    <w:uiPriority w:val="0"/>
    <w:qFormat/>
    <w:rPr>
      <w:rFonts w:ascii="宋体" w:hAnsi="Courier New" w:eastAsia="楷体_GB2312" w:cs="Times New Roman"/>
      <w:sz w:val="26"/>
      <w:szCs w:val="20"/>
    </w:rPr>
  </w:style>
  <w:style w:type="paragraph" w:styleId="896" w:customStyle="1">
    <w:name w:val="纯文本1"/>
    <w:basedOn w:val="660"/>
    <w:uiPriority w:val="0"/>
    <w:qFormat/>
    <w:rPr>
      <w:rFonts w:ascii="宋体" w:hAnsi="Courier New" w:eastAsia="楷体_GB2312" w:cs="Times New Roman"/>
      <w:sz w:val="28"/>
      <w:szCs w:val="20"/>
    </w:rPr>
  </w:style>
  <w:style w:type="paragraph" w:styleId="897" w:customStyle="1">
    <w:name w:val="首行缩进"/>
    <w:basedOn w:val="660"/>
    <w:uiPriority w:val="0"/>
    <w:qFormat/>
    <w:pPr>
      <w:ind w:firstLine="480"/>
    </w:pPr>
    <w:rPr>
      <w:rFonts w:ascii="Times New Roman" w:hAnsi="Times New Roman" w:cs="Times New Roman"/>
      <w:lang w:val="zh-CN"/>
    </w:rPr>
  </w:style>
  <w:style w:type="paragraph" w:styleId="898" w:customStyle="1">
    <w:name w:val="纯文本11"/>
    <w:basedOn w:val="660"/>
    <w:uiPriority w:val="0"/>
    <w:qFormat/>
    <w:pPr>
      <w:jc w:val="left"/>
      <w:widowControl/>
    </w:pPr>
    <w:rPr>
      <w:rFonts w:ascii="宋体" w:hAnsi="Courier New" w:eastAsia="楷体_GB2312"/>
      <w:sz w:val="26"/>
      <w:szCs w:val="20"/>
    </w:rPr>
  </w:style>
  <w:style w:type="paragraph" w:styleId="899" w:customStyle="1">
    <w:name w:val="列出段落1"/>
    <w:basedOn w:val="660"/>
    <w:uiPriority w:val="34"/>
    <w:qFormat/>
    <w:pPr>
      <w:ind w:firstLine="420"/>
    </w:pPr>
  </w:style>
  <w:style w:type="table" w:styleId="900" w:customStyle="1">
    <w:name w:val="网格型1"/>
    <w:basedOn w:val="858"/>
    <w:uiPriority w:val="59"/>
    <w:qFormat/>
    <w:pPr>
      <w:jc w:val="both"/>
      <w:widowControl w:val="off"/>
    </w:pPr>
    <w:rPr>
      <w:rFonts w:ascii="Times New Roman" w:hAnsi="Times New Roman" w:eastAsia="宋体" w:cs="Times New Roman"/>
      <w:sz w:val="20"/>
      <w:szCs w:val="20"/>
    </w:rPr>
    <w:tblPr/>
  </w:style>
  <w:style w:type="paragraph" w:styleId="901" w:customStyle="1">
    <w:name w:val="Default"/>
    <w:uiPriority w:val="0"/>
    <w:qFormat/>
    <w:pPr>
      <w:widowControl w:val="off"/>
    </w:pPr>
    <w:rPr>
      <w:rFonts w:ascii="宋体" w:hAnsi="宋体" w:eastAsia="宋体" w:cs="宋体"/>
      <w:color w:val="000000"/>
      <w:sz w:val="24"/>
      <w:szCs w:val="24"/>
      <w:lang w:val="en-US" w:eastAsia="zh-CN" w:bidi="ar-SA"/>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卞玥霏</cp:lastModifiedBy>
  <cp:revision>10</cp:revision>
  <dcterms:created xsi:type="dcterms:W3CDTF">2023-11-15T00:51:00Z</dcterms:created>
  <dcterms:modified xsi:type="dcterms:W3CDTF">2025-09-22T04:32:50Z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