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4D89E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50" w:line="360" w:lineRule="auto"/>
        <w:ind w:left="0" w:right="0" w:firstLine="0"/>
        <w:jc w:val="center"/>
        <w:textAlignment w:val="baseline"/>
        <w:rPr>
          <w:rFonts w:hint="eastAsia" w:ascii="宋体" w:hAnsi="宋体" w:eastAsia="宋体" w:cs="宋体"/>
          <w:spacing w:val="0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b/>
          <w:bCs/>
          <w:spacing w:val="0"/>
          <w:sz w:val="28"/>
          <w:szCs w:val="28"/>
          <w:u w:val="none" w:color="auto"/>
        </w:rPr>
        <w:t>智能制造产线夹具设计与调试实训室建设项目合同</w:t>
      </w:r>
    </w:p>
    <w:p w14:paraId="7303B9DE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50" w:line="360" w:lineRule="auto"/>
        <w:ind w:left="0" w:right="0" w:firstLine="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1"/>
          <w:szCs w:val="21"/>
        </w:rPr>
        <w:t>甲方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0"/>
          <w:sz w:val="21"/>
          <w:szCs w:val="21"/>
        </w:rPr>
        <w:t>买方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pacing w:val="0"/>
          <w:sz w:val="21"/>
          <w:szCs w:val="21"/>
        </w:rPr>
        <w:t xml:space="preserve">: </w:t>
      </w:r>
      <w:r>
        <w:rPr>
          <w:rFonts w:hint="eastAsia" w:ascii="宋体" w:hAnsi="宋体" w:eastAsia="宋体" w:cs="宋体"/>
          <w:spacing w:val="0"/>
          <w:sz w:val="21"/>
          <w:szCs w:val="21"/>
          <w:u w:val="single" w:color="auto"/>
        </w:rPr>
        <w:t xml:space="preserve"> 常州机电职业技术学院</w:t>
      </w:r>
      <w:r>
        <w:rPr>
          <w:rFonts w:hint="eastAsia" w:ascii="宋体" w:hAnsi="宋体" w:eastAsia="宋体" w:cs="宋体"/>
          <w:spacing w:val="0"/>
          <w:sz w:val="21"/>
          <w:szCs w:val="21"/>
          <w:u w:val="single" w:color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1"/>
          <w:szCs w:val="21"/>
          <w:u w:val="none" w:color="auto"/>
          <w:lang w:val="en-US" w:eastAsia="zh-CN"/>
        </w:rPr>
        <w:t xml:space="preserve">           合同编号：</w:t>
      </w:r>
      <w:r>
        <w:rPr>
          <w:rFonts w:hint="eastAsia" w:ascii="宋体" w:hAnsi="宋体" w:eastAsia="宋体" w:cs="宋体"/>
          <w:spacing w:val="0"/>
          <w:sz w:val="21"/>
          <w:szCs w:val="21"/>
          <w:u w:val="single" w:color="auto"/>
          <w:lang w:val="en-US" w:eastAsia="zh-CN"/>
        </w:rPr>
        <w:t xml:space="preserve"> </w:t>
      </w:r>
      <w:r>
        <w:rPr>
          <w:rFonts w:hint="eastAsia" w:cs="宋体"/>
          <w:spacing w:val="0"/>
          <w:sz w:val="21"/>
          <w:szCs w:val="21"/>
          <w:u w:val="single" w:color="auto"/>
          <w:lang w:val="en-US" w:eastAsia="zh-CN"/>
        </w:rPr>
        <w:t>XC202512047-Z</w:t>
      </w:r>
      <w:r>
        <w:rPr>
          <w:rFonts w:hint="eastAsia" w:ascii="宋体" w:hAnsi="宋体" w:eastAsia="宋体" w:cs="宋体"/>
          <w:spacing w:val="0"/>
          <w:sz w:val="21"/>
          <w:szCs w:val="21"/>
          <w:u w:val="single" w:color="auto"/>
          <w:lang w:val="en-US" w:eastAsia="zh-CN"/>
        </w:rPr>
        <w:t xml:space="preserve">  </w:t>
      </w:r>
    </w:p>
    <w:p w14:paraId="06A5824D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50" w:line="360" w:lineRule="auto"/>
        <w:ind w:left="0" w:right="0" w:firstLine="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  <w:u w:val="none" w:color="auto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1"/>
          <w:szCs w:val="21"/>
          <w:u w:val="none" w:color="auto"/>
        </w:rPr>
        <w:t>乙方</w:t>
      </w:r>
      <w:r>
        <w:rPr>
          <w:rFonts w:hint="eastAsia" w:ascii="宋体" w:hAnsi="宋体" w:eastAsia="宋体" w:cs="宋体"/>
          <w:spacing w:val="0"/>
          <w:sz w:val="21"/>
          <w:szCs w:val="21"/>
          <w:u w:val="none" w:color="auto"/>
          <w:lang w:eastAsia="zh-CN"/>
        </w:rPr>
        <w:t>（</w:t>
      </w:r>
      <w:r>
        <w:rPr>
          <w:rFonts w:hint="eastAsia" w:ascii="宋体" w:hAnsi="宋体" w:eastAsia="宋体" w:cs="宋体"/>
          <w:spacing w:val="0"/>
          <w:sz w:val="21"/>
          <w:szCs w:val="21"/>
          <w:u w:val="none" w:color="auto"/>
        </w:rPr>
        <w:t>卖方</w:t>
      </w:r>
      <w:r>
        <w:rPr>
          <w:rFonts w:hint="eastAsia" w:ascii="宋体" w:hAnsi="宋体" w:eastAsia="宋体" w:cs="宋体"/>
          <w:spacing w:val="0"/>
          <w:sz w:val="21"/>
          <w:szCs w:val="21"/>
          <w:u w:val="none" w:color="auto"/>
          <w:lang w:eastAsia="zh-CN"/>
        </w:rPr>
        <w:t>）</w:t>
      </w:r>
      <w:r>
        <w:rPr>
          <w:rFonts w:hint="eastAsia" w:ascii="宋体" w:hAnsi="宋体" w:eastAsia="宋体" w:cs="宋体"/>
          <w:spacing w:val="0"/>
          <w:sz w:val="21"/>
          <w:szCs w:val="21"/>
          <w:u w:val="none" w:color="auto"/>
        </w:rPr>
        <w:t>:</w:t>
      </w:r>
      <w:r>
        <w:rPr>
          <w:rFonts w:hint="eastAsia" w:ascii="宋体" w:hAnsi="宋体" w:eastAsia="宋体" w:cs="宋体"/>
          <w:spacing w:val="0"/>
          <w:sz w:val="21"/>
          <w:szCs w:val="21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0"/>
          <w:sz w:val="21"/>
          <w:szCs w:val="21"/>
          <w:u w:val="single" w:color="auto"/>
          <w:lang w:val="en-US" w:eastAsia="zh-CN"/>
        </w:rPr>
        <w:t xml:space="preserve">  东莞市力博特智能装备有限公司 </w:t>
      </w:r>
      <w:r>
        <w:rPr>
          <w:rFonts w:hint="eastAsia" w:ascii="宋体" w:hAnsi="宋体" w:eastAsia="宋体" w:cs="宋体"/>
          <w:spacing w:val="0"/>
          <w:sz w:val="21"/>
          <w:szCs w:val="21"/>
          <w:u w:val="none" w:color="auto"/>
          <w:lang w:val="en-US" w:eastAsia="zh-CN"/>
        </w:rPr>
        <w:t xml:space="preserve">    签订时间：</w:t>
      </w:r>
      <w:r>
        <w:rPr>
          <w:rFonts w:hint="eastAsia" w:cs="宋体"/>
          <w:spacing w:val="0"/>
          <w:sz w:val="21"/>
          <w:szCs w:val="21"/>
          <w:u w:val="none" w:color="auto"/>
          <w:lang w:val="en-US" w:eastAsia="zh-CN"/>
        </w:rPr>
        <w:t>2025</w:t>
      </w:r>
      <w:r>
        <w:rPr>
          <w:rFonts w:hint="eastAsia" w:ascii="宋体" w:hAnsi="宋体" w:eastAsia="宋体" w:cs="宋体"/>
          <w:spacing w:val="0"/>
          <w:sz w:val="21"/>
          <w:szCs w:val="21"/>
          <w:u w:val="none" w:color="auto"/>
          <w:lang w:val="en-US" w:eastAsia="zh-CN"/>
        </w:rPr>
        <w:t>年</w:t>
      </w:r>
      <w:r>
        <w:rPr>
          <w:rFonts w:hint="eastAsia" w:cs="宋体"/>
          <w:spacing w:val="0"/>
          <w:sz w:val="21"/>
          <w:szCs w:val="21"/>
          <w:u w:val="none" w:color="auto"/>
          <w:lang w:val="en-US" w:eastAsia="zh-CN"/>
        </w:rPr>
        <w:t>12</w:t>
      </w:r>
      <w:r>
        <w:rPr>
          <w:rFonts w:hint="eastAsia" w:ascii="宋体" w:hAnsi="宋体" w:eastAsia="宋体" w:cs="宋体"/>
          <w:spacing w:val="0"/>
          <w:sz w:val="21"/>
          <w:szCs w:val="21"/>
          <w:u w:val="none" w:color="auto"/>
          <w:lang w:val="en-US" w:eastAsia="zh-CN"/>
        </w:rPr>
        <w:t>月</w:t>
      </w:r>
      <w:r>
        <w:rPr>
          <w:rFonts w:hint="eastAsia" w:cs="宋体"/>
          <w:spacing w:val="0"/>
          <w:sz w:val="21"/>
          <w:szCs w:val="21"/>
          <w:u w:val="none" w:color="auto"/>
          <w:lang w:val="en-US" w:eastAsia="zh-CN"/>
        </w:rPr>
        <w:t>12</w:t>
      </w:r>
      <w:r>
        <w:rPr>
          <w:rFonts w:hint="eastAsia" w:ascii="宋体" w:hAnsi="宋体" w:eastAsia="宋体" w:cs="宋体"/>
          <w:spacing w:val="0"/>
          <w:sz w:val="21"/>
          <w:szCs w:val="21"/>
          <w:u w:val="none" w:color="auto"/>
          <w:lang w:val="en-US" w:eastAsia="zh-CN"/>
        </w:rPr>
        <w:t xml:space="preserve"> 日</w:t>
      </w:r>
    </w:p>
    <w:p w14:paraId="4AE16520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50" w:line="360" w:lineRule="auto"/>
        <w:ind w:left="0"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</w:rPr>
        <w:t>根据常州市政府采购中心/</w:t>
      </w:r>
      <w:r>
        <w:rPr>
          <w:rFonts w:hint="eastAsia" w:ascii="宋体" w:hAnsi="宋体" w:eastAsia="宋体" w:cs="宋体"/>
          <w:spacing w:val="0"/>
          <w:sz w:val="21"/>
          <w:szCs w:val="21"/>
          <w:lang w:val="en-US" w:eastAsia="zh-CN"/>
        </w:rPr>
        <w:t>常州青果招投标有限公司</w:t>
      </w:r>
      <w:r>
        <w:rPr>
          <w:rFonts w:hint="eastAsia" w:ascii="宋体" w:hAnsi="宋体" w:eastAsia="宋体" w:cs="宋体"/>
          <w:b w:val="0"/>
          <w:bCs w:val="0"/>
          <w:spacing w:val="0"/>
          <w:sz w:val="21"/>
          <w:szCs w:val="21"/>
          <w:u w:val="single"/>
          <w:lang w:val="en-US" w:eastAsia="zh-CN"/>
        </w:rPr>
        <w:t xml:space="preserve"> 2025 </w:t>
      </w:r>
      <w:r>
        <w:rPr>
          <w:rFonts w:hint="eastAsia" w:ascii="宋体" w:hAnsi="宋体" w:eastAsia="宋体" w:cs="宋体"/>
          <w:spacing w:val="0"/>
          <w:sz w:val="21"/>
          <w:szCs w:val="21"/>
        </w:rPr>
        <w:t xml:space="preserve">年 </w:t>
      </w:r>
      <w:r>
        <w:rPr>
          <w:rFonts w:hint="eastAsia" w:ascii="宋体" w:hAnsi="宋体" w:eastAsia="宋体" w:cs="宋体"/>
          <w:spacing w:val="0"/>
          <w:sz w:val="21"/>
          <w:szCs w:val="21"/>
          <w:u w:val="single" w:color="auto"/>
          <w:lang w:val="en-US" w:eastAsia="zh-CN"/>
        </w:rPr>
        <w:t xml:space="preserve"> 12 </w:t>
      </w:r>
      <w:r>
        <w:rPr>
          <w:rFonts w:hint="eastAsia" w:ascii="宋体" w:hAnsi="宋体" w:eastAsia="宋体" w:cs="宋体"/>
          <w:spacing w:val="0"/>
          <w:sz w:val="21"/>
          <w:szCs w:val="21"/>
        </w:rPr>
        <w:t xml:space="preserve">月 </w:t>
      </w:r>
      <w:r>
        <w:rPr>
          <w:rFonts w:hint="eastAsia" w:ascii="宋体" w:hAnsi="宋体" w:eastAsia="宋体" w:cs="宋体"/>
          <w:spacing w:val="0"/>
          <w:sz w:val="21"/>
          <w:szCs w:val="21"/>
          <w:u w:val="single" w:color="auto"/>
          <w:lang w:val="en-US" w:eastAsia="zh-CN"/>
        </w:rPr>
        <w:t xml:space="preserve"> 03 </w:t>
      </w:r>
      <w:r>
        <w:rPr>
          <w:rFonts w:hint="eastAsia" w:ascii="宋体" w:hAnsi="宋体" w:eastAsia="宋体" w:cs="宋体"/>
          <w:spacing w:val="0"/>
          <w:sz w:val="21"/>
          <w:szCs w:val="21"/>
        </w:rPr>
        <w:t>日进行的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〔2025〕</w:t>
      </w:r>
      <w:r>
        <w:rPr>
          <w:rFonts w:hint="eastAsia" w:ascii="宋体" w:hAnsi="宋体" w:eastAsia="宋体" w:cs="宋体"/>
          <w:spacing w:val="0"/>
          <w:sz w:val="21"/>
          <w:szCs w:val="21"/>
          <w:u w:val="single" w:color="auto"/>
          <w:lang w:val="en-US" w:eastAsia="zh-CN"/>
        </w:rPr>
        <w:t xml:space="preserve"> JSZC-320400-QGZB-G2025-0007 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号招标要求，甲、乙双方就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0"/>
          <w:sz w:val="21"/>
          <w:szCs w:val="21"/>
          <w:u w:val="single" w:color="auto"/>
        </w:rPr>
        <w:t xml:space="preserve">常州机电职业技术学院智能制造产线夹具设计与调试实训室建设 </w:t>
      </w:r>
      <w:r>
        <w:rPr>
          <w:rFonts w:hint="eastAsia" w:ascii="宋体" w:hAnsi="宋体" w:eastAsia="宋体" w:cs="宋体"/>
          <w:spacing w:val="0"/>
          <w:sz w:val="21"/>
          <w:szCs w:val="21"/>
        </w:rPr>
        <w:t xml:space="preserve"> 项目，本着平等互利的原则，通过共同协商，根据《中华人民共和国政府采购法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》《</w:t>
      </w:r>
      <w:r>
        <w:rPr>
          <w:rFonts w:hint="eastAsia" w:ascii="宋体" w:hAnsi="宋体" w:eastAsia="宋体" w:cs="宋体"/>
          <w:spacing w:val="0"/>
          <w:sz w:val="21"/>
          <w:szCs w:val="21"/>
        </w:rPr>
        <w:t>中华人民共和国民法典》及有关法律法规，就相关事宜达成如下合同。</w:t>
      </w:r>
    </w:p>
    <w:p w14:paraId="4EC0FDF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50" w:line="360" w:lineRule="auto"/>
        <w:ind w:left="0" w:right="0" w:firstLine="0"/>
        <w:jc w:val="left"/>
        <w:textAlignment w:val="baseline"/>
        <w:outlineLvl w:val="4"/>
        <w:rPr>
          <w:rFonts w:hint="eastAsia" w:ascii="宋体" w:hAnsi="宋体" w:eastAsia="宋体" w:cs="宋体"/>
          <w:spacing w:val="0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spacing w:val="0"/>
          <w:sz w:val="18"/>
          <w:szCs w:val="18"/>
        </w:rPr>
        <w:t>一、合同标的</w:t>
      </w:r>
    </w:p>
    <w:tbl>
      <w:tblPr>
        <w:tblStyle w:val="13"/>
        <w:tblW w:w="829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8"/>
        <w:gridCol w:w="1963"/>
        <w:gridCol w:w="910"/>
        <w:gridCol w:w="590"/>
        <w:gridCol w:w="527"/>
        <w:gridCol w:w="525"/>
        <w:gridCol w:w="1200"/>
        <w:gridCol w:w="1237"/>
        <w:gridCol w:w="794"/>
      </w:tblGrid>
      <w:tr w14:paraId="6AAD1F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48" w:type="dxa"/>
            <w:vAlign w:val="center"/>
          </w:tcPr>
          <w:p w14:paraId="789D345B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  <w:t>序号</w:t>
            </w:r>
          </w:p>
        </w:tc>
        <w:tc>
          <w:tcPr>
            <w:tcW w:w="1963" w:type="dxa"/>
            <w:vAlign w:val="center"/>
          </w:tcPr>
          <w:p w14:paraId="262DA968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  <w:t>名称</w:t>
            </w:r>
          </w:p>
        </w:tc>
        <w:tc>
          <w:tcPr>
            <w:tcW w:w="910" w:type="dxa"/>
            <w:vAlign w:val="center"/>
          </w:tcPr>
          <w:p w14:paraId="01A6F16F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  <w:t>型号规格</w:t>
            </w:r>
          </w:p>
        </w:tc>
        <w:tc>
          <w:tcPr>
            <w:tcW w:w="590" w:type="dxa"/>
            <w:vAlign w:val="center"/>
          </w:tcPr>
          <w:p w14:paraId="5B0B3C70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  <w:t>品牌</w:t>
            </w:r>
          </w:p>
        </w:tc>
        <w:tc>
          <w:tcPr>
            <w:tcW w:w="527" w:type="dxa"/>
            <w:tcBorders>
              <w:right w:val="single" w:color="auto" w:sz="4" w:space="0"/>
            </w:tcBorders>
            <w:vAlign w:val="center"/>
          </w:tcPr>
          <w:p w14:paraId="166B226B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  <w:t>数量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A8074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  <w:t>单位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5FC9F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  <w:t>单价</w:t>
            </w: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  <w:t>元</w:t>
            </w: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5D543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  <w:t>金额</w:t>
            </w: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  <w:t>元</w:t>
            </w: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3C1D2F17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  <w:t>备注</w:t>
            </w:r>
          </w:p>
        </w:tc>
      </w:tr>
      <w:tr w14:paraId="21A2F2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48" w:type="dxa"/>
            <w:vAlign w:val="center"/>
          </w:tcPr>
          <w:p w14:paraId="7DA7319D">
            <w:pPr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963" w:type="dxa"/>
            <w:vAlign w:val="center"/>
          </w:tcPr>
          <w:p w14:paraId="7BDD1F2C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  <w:t>智能夹具综合实训平台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F55AF8F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  <w:t>LBTSXPT-002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40A1B293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  <w:t>力博特</w:t>
            </w:r>
          </w:p>
        </w:tc>
        <w:tc>
          <w:tcPr>
            <w:tcW w:w="527" w:type="dxa"/>
            <w:tcBorders>
              <w:right w:val="single" w:color="auto" w:sz="4" w:space="0"/>
            </w:tcBorders>
            <w:vAlign w:val="center"/>
          </w:tcPr>
          <w:p w14:paraId="61D5D819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BBEC8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  <w:t>套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692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338,000.00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AEE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1,352,000.00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6272CFA8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ACC07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48" w:type="dxa"/>
            <w:vAlign w:val="center"/>
          </w:tcPr>
          <w:p w14:paraId="2013D1CC">
            <w:pPr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963" w:type="dxa"/>
            <w:vAlign w:val="center"/>
          </w:tcPr>
          <w:p w14:paraId="698A2D9F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  <w:t>数字孪生软件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1984D8C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FF0000"/>
                <w:spacing w:val="0"/>
                <w:sz w:val="18"/>
                <w:szCs w:val="18"/>
                <w:vertAlign w:val="baseline"/>
                <w:lang w:val="en-US" w:eastAsia="zh-CN"/>
              </w:rPr>
              <w:t>LBTLSRJ-002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0DBE1641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  <w:t>力博特</w:t>
            </w:r>
          </w:p>
        </w:tc>
        <w:tc>
          <w:tcPr>
            <w:tcW w:w="527" w:type="dxa"/>
            <w:tcBorders>
              <w:right w:val="single" w:color="auto" w:sz="4" w:space="0"/>
            </w:tcBorders>
            <w:vAlign w:val="center"/>
          </w:tcPr>
          <w:p w14:paraId="5069542E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49083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  <w:t>套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84E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51,800.00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646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207,200.00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2E39642F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C557E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48" w:type="dxa"/>
            <w:vAlign w:val="center"/>
          </w:tcPr>
          <w:p w14:paraId="00F81226">
            <w:pPr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963" w:type="dxa"/>
            <w:vAlign w:val="center"/>
          </w:tcPr>
          <w:p w14:paraId="3ADBC848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  <w:t>夹具虚拟教学软件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309DC75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  <w:t>V1.0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426F4B3F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  <w:t>力博特</w:t>
            </w:r>
          </w:p>
        </w:tc>
        <w:tc>
          <w:tcPr>
            <w:tcW w:w="527" w:type="dxa"/>
            <w:tcBorders>
              <w:right w:val="single" w:color="auto" w:sz="4" w:space="0"/>
            </w:tcBorders>
            <w:vAlign w:val="center"/>
          </w:tcPr>
          <w:p w14:paraId="0A490601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10421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  <w:t>节点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B0D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23,000.00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408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92,000.00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641340B9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B4ECB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48" w:type="dxa"/>
            <w:vAlign w:val="center"/>
          </w:tcPr>
          <w:p w14:paraId="62CB013D">
            <w:pPr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963" w:type="dxa"/>
            <w:vAlign w:val="center"/>
          </w:tcPr>
          <w:p w14:paraId="71CE9AB1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  <w:t>智能产线夹具资源包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4E61DC7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2C2E0F55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  <w:t>力博特</w:t>
            </w:r>
          </w:p>
        </w:tc>
        <w:tc>
          <w:tcPr>
            <w:tcW w:w="527" w:type="dxa"/>
            <w:tcBorders>
              <w:right w:val="single" w:color="auto" w:sz="4" w:space="0"/>
            </w:tcBorders>
            <w:vAlign w:val="center"/>
          </w:tcPr>
          <w:p w14:paraId="350F4903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89DE3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  <w:t>套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02F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140,000.00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1D6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140,000.00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15BB72EF">
            <w:pPr>
              <w:widowControl/>
              <w:jc w:val="center"/>
              <w:rPr>
                <w:rFonts w:hint="eastAsia" w:ascii="宋体" w:hAnsi="宋体" w:eastAsia="宋体" w:cs="宋体"/>
                <w:spacing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A676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8294" w:type="dxa"/>
            <w:gridSpan w:val="9"/>
            <w:vAlign w:val="center"/>
          </w:tcPr>
          <w:p w14:paraId="1DCC05A9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</w:rPr>
              <w:t>合计金额大写：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  <w:u w:val="single" w:color="auto"/>
                <w:lang w:val="en-US" w:eastAsia="zh-CN"/>
              </w:rPr>
              <w:t xml:space="preserve">   壹佰柒拾玖万壹仟贰佰元整 </w:t>
            </w: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</w:rPr>
              <w:t>;</w:t>
            </w: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</w:rPr>
              <w:t>小</w:t>
            </w: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</w:rPr>
              <w:t>写</w:t>
            </w: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  <w:u w:val="single" w:color="auto"/>
                <w:lang w:val="en-US" w:eastAsia="zh-CN"/>
              </w:rPr>
              <w:t xml:space="preserve"> 1,791,200.00 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</w:rPr>
              <w:t>元</w:t>
            </w:r>
          </w:p>
        </w:tc>
      </w:tr>
    </w:tbl>
    <w:p w14:paraId="6ECC895A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50" w:line="360" w:lineRule="auto"/>
        <w:ind w:left="0" w:right="0" w:firstLine="36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18"/>
          <w:szCs w:val="18"/>
        </w:rPr>
      </w:pPr>
    </w:p>
    <w:p w14:paraId="4D0F1FFD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</w:rPr>
        <w:t>本合同总价款是货物设计、制造、包装、仓储、运输装卸、保险、安装、调试及其材料及验收合格之前保管及保修期内备品备件、专用工具、伴随服务、技术图纸资料、人员培训发生的所有含税费用。本合同总价款还包含乙方应当提供的伴随服务/售后服务费用。</w:t>
      </w:r>
    </w:p>
    <w:p w14:paraId="45FF935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0"/>
        <w:jc w:val="left"/>
        <w:textAlignment w:val="baseline"/>
        <w:outlineLvl w:val="4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</w:rPr>
        <w:t>二、合同标的技术要求</w:t>
      </w:r>
    </w:p>
    <w:p w14:paraId="252AFFCA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2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</w:rPr>
        <w:t>1.技术质量要求：</w:t>
      </w:r>
      <w:r>
        <w:rPr>
          <w:rFonts w:hint="eastAsia" w:ascii="宋体" w:hAnsi="宋体" w:eastAsia="宋体" w:cs="宋体"/>
          <w:b/>
          <w:bCs/>
          <w:spacing w:val="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0"/>
          <w:sz w:val="21"/>
          <w:szCs w:val="21"/>
        </w:rPr>
        <w:t>以合同附件形式附后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pacing w:val="0"/>
          <w:sz w:val="21"/>
          <w:szCs w:val="21"/>
        </w:rPr>
        <w:t>详见附件1;</w:t>
      </w:r>
    </w:p>
    <w:p w14:paraId="66F77CED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</w:rPr>
        <w:t>2.下列文件是构成合同不可分割的部分，并与本合同具有同等法律效力，这些文件包括但不限于：</w:t>
      </w:r>
    </w:p>
    <w:p w14:paraId="1FBD3EAA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  <w:lang w:val="en-US" w:eastAsia="zh-CN"/>
        </w:rPr>
        <w:t>（</w:t>
      </w:r>
      <w:r>
        <w:rPr>
          <w:rFonts w:hint="eastAsia" w:ascii="宋体" w:hAnsi="宋体" w:eastAsia="宋体" w:cs="宋体"/>
          <w:spacing w:val="0"/>
          <w:sz w:val="21"/>
          <w:szCs w:val="21"/>
        </w:rPr>
        <w:t>1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  <w:lang w:val="en-US" w:eastAsia="zh-CN"/>
        </w:rPr>
        <w:t>JSZC-320400-QGZB-G2025-000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号招标文件。</w:t>
      </w:r>
    </w:p>
    <w:p w14:paraId="50A78E8E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（2）</w:t>
      </w:r>
      <w:r>
        <w:rPr>
          <w:rFonts w:hint="eastAsia" w:ascii="宋体" w:hAnsi="宋体" w:eastAsia="宋体" w:cs="宋体"/>
          <w:spacing w:val="0"/>
          <w:sz w:val="21"/>
          <w:szCs w:val="21"/>
        </w:rPr>
        <w:t>乙方提交的投标书。</w:t>
      </w:r>
    </w:p>
    <w:p w14:paraId="1B39976B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（3）</w:t>
      </w:r>
      <w:r>
        <w:rPr>
          <w:rFonts w:hint="eastAsia" w:ascii="宋体" w:hAnsi="宋体" w:eastAsia="宋体" w:cs="宋体"/>
          <w:spacing w:val="0"/>
          <w:sz w:val="21"/>
          <w:szCs w:val="21"/>
        </w:rPr>
        <w:t>谈判文件及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相关</w:t>
      </w:r>
      <w:r>
        <w:rPr>
          <w:rFonts w:hint="eastAsia" w:ascii="宋体" w:hAnsi="宋体" w:eastAsia="宋体" w:cs="宋体"/>
          <w:spacing w:val="0"/>
          <w:sz w:val="21"/>
          <w:szCs w:val="21"/>
        </w:rPr>
        <w:t>资料。</w:t>
      </w:r>
    </w:p>
    <w:p w14:paraId="2FDE6E0B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（4）</w:t>
      </w:r>
      <w:r>
        <w:rPr>
          <w:rFonts w:hint="eastAsia" w:ascii="宋体" w:hAnsi="宋体" w:eastAsia="宋体" w:cs="宋体"/>
          <w:spacing w:val="0"/>
          <w:sz w:val="21"/>
          <w:szCs w:val="21"/>
        </w:rPr>
        <w:t>乙方投标的其他资料及承诺。</w:t>
      </w:r>
    </w:p>
    <w:p w14:paraId="0D5977AF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（5）</w:t>
      </w:r>
      <w:r>
        <w:rPr>
          <w:rFonts w:hint="eastAsia" w:ascii="宋体" w:hAnsi="宋体" w:eastAsia="宋体" w:cs="宋体"/>
          <w:spacing w:val="0"/>
          <w:sz w:val="21"/>
          <w:szCs w:val="21"/>
        </w:rPr>
        <w:t>经甲、乙、双方确认的其他补充协议及相关资料。</w:t>
      </w:r>
    </w:p>
    <w:p w14:paraId="4791D1D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0"/>
        <w:jc w:val="left"/>
        <w:textAlignment w:val="baseline"/>
        <w:rPr>
          <w:rFonts w:hint="eastAsia" w:ascii="宋体" w:hAnsi="宋体" w:eastAsia="宋体" w:cs="宋体"/>
          <w:b/>
          <w:bCs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</w:rPr>
        <w:t>三、交货与运输</w:t>
      </w:r>
    </w:p>
    <w:p w14:paraId="034F73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2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</w:rPr>
        <w:t>1. 货物交付：</w:t>
      </w:r>
      <w:r>
        <w:rPr>
          <w:rFonts w:hint="eastAsia" w:ascii="宋体" w:hAnsi="宋体" w:eastAsia="宋体" w:cs="宋体"/>
          <w:spacing w:val="0"/>
          <w:sz w:val="21"/>
          <w:szCs w:val="21"/>
        </w:rPr>
        <w:t>自合同签订之日起90个日历日内完成交货安装并通过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甲方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验收，具体以货物运到现场的时间为准，此日期或甲方书面通知变更后的日期为计算迟交货物违约金的依据。</w:t>
      </w:r>
    </w:p>
    <w:p w14:paraId="7BE471F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2" w:firstLineChars="200"/>
        <w:jc w:val="left"/>
        <w:textAlignment w:val="baseline"/>
        <w:rPr>
          <w:rFonts w:hint="eastAsia" w:ascii="宋体" w:hAnsi="宋体" w:eastAsia="宋体" w:cs="宋体"/>
          <w:b/>
          <w:bCs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</w:rPr>
        <w:t>2. 资料交付</w:t>
      </w:r>
    </w:p>
    <w:p w14:paraId="7D1E74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</w:rPr>
        <w:t>乙方应在交付货物的同时向甲方提供全套随机文件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含产品合格证书、使用维护说明书、验收报告书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）壹套</w:t>
      </w:r>
      <w:r>
        <w:rPr>
          <w:rFonts w:hint="eastAsia" w:ascii="宋体" w:hAnsi="宋体" w:eastAsia="宋体" w:cs="宋体"/>
          <w:spacing w:val="0"/>
          <w:sz w:val="21"/>
          <w:szCs w:val="21"/>
        </w:rPr>
        <w:t>。</w:t>
      </w:r>
    </w:p>
    <w:p w14:paraId="2D757BE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2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</w:rPr>
        <w:t>3. 交货地点：</w:t>
      </w:r>
      <w:r>
        <w:rPr>
          <w:rFonts w:hint="eastAsia" w:ascii="宋体" w:hAnsi="宋体" w:eastAsia="宋体" w:cs="宋体"/>
          <w:spacing w:val="0"/>
          <w:sz w:val="21"/>
          <w:szCs w:val="21"/>
        </w:rPr>
        <w:t>乙方应将货物运到甲方指定的地点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pacing w:val="0"/>
          <w:sz w:val="21"/>
          <w:szCs w:val="21"/>
          <w:u w:val="single"/>
        </w:rPr>
        <w:t>常州机电职业技术学院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0"/>
          <w:sz w:val="21"/>
          <w:szCs w:val="21"/>
        </w:rPr>
        <w:t>。货物现场交付，甲方检验无误，签署收货通知单后货物所有权转移给甲方。</w:t>
      </w:r>
    </w:p>
    <w:p w14:paraId="4CBEF5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0"/>
        <w:jc w:val="left"/>
        <w:textAlignment w:val="baseline"/>
        <w:rPr>
          <w:rFonts w:hint="eastAsia" w:ascii="宋体" w:hAnsi="宋体" w:eastAsia="宋体" w:cs="宋体"/>
          <w:b/>
          <w:bCs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</w:rPr>
        <w:t>四、检验与验收</w:t>
      </w:r>
    </w:p>
    <w:p w14:paraId="7592809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</w:rPr>
        <w:t>乙方提供的所有货物在交接过程中都须进行严格的检验和试验。</w:t>
      </w:r>
    </w:p>
    <w:p w14:paraId="1E91B1B3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right="0" w:rightChars="0" w:firstLine="422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</w:rPr>
        <w:t>出厂检验：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乙方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提供货物的产品合格证。</w:t>
      </w:r>
    </w:p>
    <w:p w14:paraId="552CFC8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2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</w:rPr>
        <w:t>2. 到货检验：</w:t>
      </w:r>
      <w:r>
        <w:rPr>
          <w:rFonts w:hint="eastAsia" w:ascii="宋体" w:hAnsi="宋体" w:eastAsia="宋体" w:cs="宋体"/>
          <w:spacing w:val="0"/>
          <w:sz w:val="21"/>
          <w:szCs w:val="21"/>
        </w:rPr>
        <w:t>货物运达目的地后，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甲方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通知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乙方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派员及验收部门赴现场共同清验交收，并形成记录材料。清验中，若发现货物由于非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甲方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原因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包括运输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发生任何损坏、缺陷缺少或与合同规定的质量标准和规范不符，应做好记录，并由双方代表签字，各执一份，作为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甲方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向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乙方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提出修理、更换、索赔的依据。若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乙方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代表未按约定时间赴现场参加验收，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甲方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有权自行开箱清点检验，其检验结果和记录对双方同样有效，并作为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甲方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向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乙方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索赔的有效证据。</w:t>
      </w:r>
    </w:p>
    <w:p w14:paraId="1125D3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2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</w:rPr>
        <w:t>3.安装调试检验：</w:t>
      </w:r>
      <w:r>
        <w:rPr>
          <w:rFonts w:hint="eastAsia" w:ascii="宋体" w:hAnsi="宋体" w:eastAsia="宋体" w:cs="宋体"/>
          <w:spacing w:val="0"/>
          <w:sz w:val="21"/>
          <w:szCs w:val="21"/>
        </w:rPr>
        <w:t>货物安装调整后进行试运行，试用期1个月，结束后由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甲方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组织相关部门进行验收，并出具验收结果。若对验收结果有异议，可由双方委托权威的第三方检验机构进行检验。检验结果对双方都有约束力，检验费用由责任方负担。</w:t>
      </w:r>
    </w:p>
    <w:p w14:paraId="2F91CA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2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</w:rPr>
        <w:t>4.配套服务检验：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乙方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必须提供货物的现场安装、启动、调试、监督等服务；提供标的物组装和一般维修所必须的工具；提供在合同规定的期限内对所提供货物实行运行监督、维修服务的前提条件是该服务并不能免除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乙方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在质量保证期内所承担的义务；</w:t>
      </w:r>
    </w:p>
    <w:p w14:paraId="5215DFC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2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</w:rPr>
        <w:t>5.提出异议的时间和办法：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如有任何货物经检验和试验不符合技术规范的要求，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甲方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可以拒收。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乙方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应更换被拒收的货物，使之符合技术规范书的要求，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乙方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承担由此发生的一切费用。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乙方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如对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甲方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提出的修理、更换、索赔要求有异议，应在接到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甲方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书面通知后3天内提出，并在该时间内自费派代表赴现场同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甲方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代表共同复验。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乙方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在接到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甲方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按本合同规定提出的索赔通知后，应尽快修理、更换或补发短缺部分，由此产生的制造、修理和运费及保险费均由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乙方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负担。上述索赔，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甲方</w:t>
      </w:r>
      <w:r>
        <w:rPr>
          <w:rFonts w:hint="eastAsia" w:ascii="宋体" w:hAnsi="宋体" w:eastAsia="宋体" w:cs="宋体"/>
          <w:spacing w:val="0"/>
          <w:sz w:val="21"/>
          <w:szCs w:val="21"/>
        </w:rPr>
        <w:t>从付款中扣除。</w:t>
      </w:r>
    </w:p>
    <w:p w14:paraId="0723C22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0"/>
        <w:jc w:val="left"/>
        <w:textAlignment w:val="baseline"/>
        <w:rPr>
          <w:rFonts w:hint="eastAsia" w:ascii="宋体" w:hAnsi="宋体" w:eastAsia="宋体" w:cs="宋体"/>
          <w:b/>
          <w:bCs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</w:rPr>
        <w:t>五、履约保证金：</w:t>
      </w:r>
    </w:p>
    <w:p w14:paraId="75D1F06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</w:rPr>
        <w:t>为保障合同的有效履行，签订合同前，乙方应先缴纳合同总额的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  <w:lang w:val="en-US" w:eastAsia="zh-CN"/>
        </w:rPr>
        <w:t xml:space="preserve"> 5% </w:t>
      </w:r>
      <w:r>
        <w:rPr>
          <w:rFonts w:hint="eastAsia" w:ascii="宋体" w:hAnsi="宋体" w:eastAsia="宋体" w:cs="宋体"/>
          <w:spacing w:val="0"/>
          <w:sz w:val="21"/>
          <w:szCs w:val="21"/>
        </w:rPr>
        <w:t>的履约保证金，计</w:t>
      </w:r>
      <w:r>
        <w:rPr>
          <w:rFonts w:hint="eastAsia" w:ascii="宋体" w:hAnsi="宋体" w:eastAsia="宋体" w:cs="宋体"/>
          <w:spacing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  <w:lang w:val="en-US" w:eastAsia="zh-CN"/>
        </w:rPr>
        <w:t xml:space="preserve"> 89,560 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元；承诺的质保期满后15个工作日内退还履约保证金。（不计息）</w:t>
      </w:r>
    </w:p>
    <w:p w14:paraId="7D7B6D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0"/>
        <w:jc w:val="left"/>
        <w:textAlignment w:val="baseline"/>
        <w:rPr>
          <w:rFonts w:hint="eastAsia" w:ascii="宋体" w:hAnsi="宋体" w:eastAsia="宋体" w:cs="宋体"/>
          <w:b/>
          <w:bCs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</w:rPr>
        <w:t>六、付款方式：</w:t>
      </w:r>
    </w:p>
    <w:p w14:paraId="3B9D5A5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</w:rPr>
        <w:t>本合同经费按以下第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b/>
          <w:bCs/>
          <w:spacing w:val="0"/>
          <w:sz w:val="21"/>
          <w:szCs w:val="21"/>
          <w:u w:val="single"/>
        </w:rPr>
        <w:t>2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pacing w:val="0"/>
          <w:sz w:val="21"/>
          <w:szCs w:val="21"/>
        </w:rPr>
        <w:t>种方式支付：</w:t>
      </w:r>
    </w:p>
    <w:p w14:paraId="403F00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</w:rPr>
        <w:t>1.一次性支付，支付时间和方式</w:t>
      </w:r>
      <w:r>
        <w:rPr>
          <w:rFonts w:hint="eastAsia" w:ascii="宋体" w:hAnsi="宋体" w:eastAsia="宋体" w:cs="宋体"/>
          <w:spacing w:val="0"/>
          <w:sz w:val="21"/>
          <w:szCs w:val="21"/>
          <w:lang w:val="en-US" w:eastAsia="zh-CN"/>
        </w:rPr>
        <w:t>。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合同签订后，按验收标准验收合格后15个工作日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内支</w:t>
      </w:r>
      <w:r>
        <w:rPr>
          <w:rFonts w:hint="eastAsia" w:ascii="宋体" w:hAnsi="宋体" w:eastAsia="宋体" w:cs="宋体"/>
          <w:spacing w:val="0"/>
          <w:sz w:val="21"/>
          <w:szCs w:val="21"/>
        </w:rPr>
        <w:t>付合同总额的100%。</w:t>
      </w:r>
    </w:p>
    <w:p w14:paraId="456CAA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</w:rPr>
        <w:t>2.分期支付，支付时间和方式：</w:t>
      </w:r>
    </w:p>
    <w:p w14:paraId="507CB4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（1）合同签订后15个工作日内甲方支付给乙方合同总额的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  <w:lang w:eastAsia="zh-CN"/>
        </w:rPr>
        <w:t xml:space="preserve">30  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%作为预付款；</w:t>
      </w:r>
    </w:p>
    <w:p w14:paraId="1A2F3D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（2）余款待验收合格后15个工作日内甲方支付乙方合同总额的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  <w:lang w:eastAsia="zh-CN"/>
        </w:rPr>
        <w:t xml:space="preserve"> 70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%；</w:t>
      </w:r>
    </w:p>
    <w:p w14:paraId="03F395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  <w:u w:val="none"/>
        </w:rPr>
      </w:pPr>
      <w:r>
        <w:rPr>
          <w:rFonts w:hint="eastAsia" w:ascii="宋体" w:hAnsi="宋体" w:eastAsia="宋体" w:cs="宋体"/>
          <w:spacing w:val="0"/>
          <w:sz w:val="21"/>
          <w:szCs w:val="21"/>
        </w:rPr>
        <w:t>3.其他约定的支付方式，约定如下：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b/>
          <w:bCs/>
          <w:spacing w:val="0"/>
          <w:sz w:val="21"/>
          <w:szCs w:val="21"/>
          <w:u w:val="single"/>
        </w:rPr>
        <w:t>无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spacing w:val="0"/>
          <w:sz w:val="21"/>
          <w:szCs w:val="21"/>
          <w:u w:val="none"/>
          <w:lang w:eastAsia="zh-CN"/>
        </w:rPr>
        <w:t>；</w:t>
      </w:r>
    </w:p>
    <w:p w14:paraId="5424D38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0"/>
        <w:jc w:val="left"/>
        <w:textAlignment w:val="baseline"/>
        <w:rPr>
          <w:rFonts w:hint="eastAsia" w:ascii="宋体" w:hAnsi="宋体" w:eastAsia="宋体" w:cs="宋体"/>
          <w:b/>
          <w:bCs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</w:rPr>
        <w:t>七、质量保证期与售后服务</w:t>
      </w:r>
    </w:p>
    <w:p w14:paraId="28C1404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</w:rPr>
        <w:t>1.质量保证期为自物资设备验收合格并通过试运后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b/>
          <w:bCs/>
          <w:spacing w:val="0"/>
          <w:sz w:val="21"/>
          <w:szCs w:val="21"/>
          <w:u w:val="single"/>
          <w:lang w:val="en-US" w:eastAsia="zh-CN"/>
        </w:rPr>
        <w:t>壹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年。</w:t>
      </w:r>
    </w:p>
    <w:p w14:paraId="2FAB9D2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</w:rPr>
        <w:t>2.质保期内，乙方负责联系产品厂家对其提供的设备、软件进行维修或更换，不收取额外费用。</w:t>
      </w:r>
    </w:p>
    <w:p w14:paraId="42D681F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</w:rPr>
        <w:t>3.质量保证期内免费更换零配件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0"/>
          <w:sz w:val="21"/>
          <w:szCs w:val="21"/>
        </w:rPr>
        <w:t>人为损坏除外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），</w:t>
      </w:r>
      <w:r>
        <w:rPr>
          <w:rFonts w:hint="eastAsia" w:ascii="宋体" w:hAnsi="宋体" w:eastAsia="宋体" w:cs="宋体"/>
          <w:spacing w:val="0"/>
          <w:sz w:val="21"/>
          <w:szCs w:val="21"/>
        </w:rPr>
        <w:t>质量保证期满后实行终身有偿维修保养。在接到校方报修通知后，乙方维修人员白天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b/>
          <w:bCs/>
          <w:spacing w:val="0"/>
          <w:sz w:val="21"/>
          <w:szCs w:val="21"/>
          <w:u w:val="single"/>
        </w:rPr>
        <w:t>8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小时、夜间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pacing w:val="0"/>
          <w:sz w:val="21"/>
          <w:szCs w:val="21"/>
          <w:u w:val="single"/>
        </w:rPr>
        <w:t>24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小时内需按约定赶到现场提供故障排除服务，如涉及非本次采购的其他网络设备故障，仍需协助甲方排除故障，直至甲方系统完全恢复正常。</w:t>
      </w:r>
    </w:p>
    <w:p w14:paraId="5ECA492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</w:rPr>
        <w:t>4.超过质保期的设备，如遇生产厂商产品调整停止生产，乙方需提前通知甲方，并同时告知可替代的新产品。如设备发生硬件故障，甲方仍需维修时，乙方应按当时同类产品的市场维修价格提供产品维修。</w:t>
      </w:r>
    </w:p>
    <w:p w14:paraId="6711853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</w:rPr>
        <w:t>5.技术培训要求：乙方应安排专业技术人员提供现场技术培训，保证使用人员能正常操作设备的各种功能。</w:t>
      </w:r>
    </w:p>
    <w:p w14:paraId="00284D3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</w:rPr>
        <w:t>6.其他承诺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0"/>
          <w:sz w:val="21"/>
          <w:szCs w:val="21"/>
        </w:rPr>
        <w:t>根据项目实际情况填写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）</w:t>
      </w:r>
    </w:p>
    <w:p w14:paraId="72A612E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0"/>
        <w:jc w:val="left"/>
        <w:textAlignment w:val="baseline"/>
        <w:rPr>
          <w:rFonts w:hint="eastAsia" w:ascii="宋体" w:hAnsi="宋体" w:eastAsia="宋体" w:cs="宋体"/>
          <w:b/>
          <w:bCs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</w:rPr>
        <w:t>八、违约责任</w:t>
      </w:r>
    </w:p>
    <w:p w14:paraId="53DD72F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1.</w:t>
      </w:r>
      <w:r>
        <w:rPr>
          <w:rFonts w:hint="eastAsia" w:ascii="宋体" w:hAnsi="宋体" w:eastAsia="宋体" w:cs="宋体"/>
          <w:spacing w:val="0"/>
          <w:sz w:val="21"/>
          <w:szCs w:val="21"/>
        </w:rPr>
        <w:t>乙方不履行或未按约定要求完全履行合同，甲方有权扣除履约保证金作为违约金。</w:t>
      </w:r>
    </w:p>
    <w:p w14:paraId="4599B84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2.</w:t>
      </w:r>
      <w:r>
        <w:rPr>
          <w:rFonts w:hint="eastAsia" w:ascii="宋体" w:hAnsi="宋体" w:eastAsia="宋体" w:cs="宋体"/>
          <w:spacing w:val="0"/>
          <w:sz w:val="21"/>
          <w:szCs w:val="21"/>
        </w:rPr>
        <w:t>乙方逾期交货或者甲方逾期付款，应向对方支付违约金，迟延履行违约金以逾期部分价款总额每日千分之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pacing w:val="0"/>
          <w:sz w:val="21"/>
          <w:szCs w:val="21"/>
          <w:u w:val="single"/>
        </w:rPr>
        <w:t>八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0"/>
          <w:sz w:val="21"/>
          <w:szCs w:val="21"/>
        </w:rPr>
        <w:t>计算。任何一方逾期履行超过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pacing w:val="0"/>
          <w:sz w:val="21"/>
          <w:szCs w:val="21"/>
          <w:u w:val="single"/>
          <w:lang w:val="en-US" w:eastAsia="zh-CN"/>
        </w:rPr>
        <w:t>十</w:t>
      </w:r>
      <w:r>
        <w:rPr>
          <w:rFonts w:hint="eastAsia" w:ascii="宋体" w:hAnsi="宋体" w:eastAsia="宋体" w:cs="宋体"/>
          <w:spacing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天，应当以逾期部分价款总额</w:t>
      </w:r>
      <w:r>
        <w:rPr>
          <w:rFonts w:hint="eastAsia" w:ascii="宋体" w:hAnsi="宋体" w:eastAsia="宋体" w:cs="宋体"/>
          <w:b/>
          <w:bCs/>
          <w:spacing w:val="0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pacing w:val="0"/>
          <w:sz w:val="21"/>
          <w:szCs w:val="21"/>
          <w:u w:val="single"/>
        </w:rPr>
        <w:t>5%</w:t>
      </w:r>
      <w:r>
        <w:rPr>
          <w:rFonts w:hint="eastAsia" w:ascii="宋体" w:hAnsi="宋体" w:eastAsia="宋体" w:cs="宋体"/>
          <w:b/>
          <w:bCs/>
          <w:spacing w:val="0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向对方支付违约金，守约方有权解除合同或要求继续履行合同。</w:t>
      </w:r>
    </w:p>
    <w:p w14:paraId="2D4B59D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3.</w:t>
      </w:r>
      <w:r>
        <w:rPr>
          <w:rFonts w:hint="eastAsia" w:ascii="宋体" w:hAnsi="宋体" w:eastAsia="宋体" w:cs="宋体"/>
          <w:spacing w:val="0"/>
          <w:sz w:val="21"/>
          <w:szCs w:val="21"/>
        </w:rPr>
        <w:t>提供的产品部件不符合谈判文件的技术要求，必须按要求进行修复、拆除或重新采购；若乙方拒不按要求更正的，将对乙方处以不低于2倍的罚款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0"/>
          <w:sz w:val="21"/>
          <w:szCs w:val="21"/>
        </w:rPr>
        <w:t>按不合格部件价值计算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），</w:t>
      </w:r>
      <w:r>
        <w:rPr>
          <w:rFonts w:hint="eastAsia" w:ascii="宋体" w:hAnsi="宋体" w:eastAsia="宋体" w:cs="宋体"/>
          <w:spacing w:val="0"/>
          <w:sz w:val="21"/>
          <w:szCs w:val="21"/>
        </w:rPr>
        <w:t>且乙方应承担由此发生的一切费用，延误的工期不予顺延。</w:t>
      </w:r>
    </w:p>
    <w:p w14:paraId="5DC6ED4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right="0" w:firstLine="420" w:firstLineChars="200"/>
        <w:jc w:val="left"/>
        <w:textAlignment w:val="baseline"/>
        <w:rPr>
          <w:rFonts w:hint="default" w:ascii="宋体" w:hAnsi="宋体" w:eastAsia="宋体" w:cs="宋体"/>
          <w:color w:val="FF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FF0000"/>
          <w:spacing w:val="0"/>
          <w:sz w:val="21"/>
          <w:szCs w:val="21"/>
          <w:lang w:val="en-US" w:eastAsia="zh-CN"/>
        </w:rPr>
        <w:t>4.验收不合格甲方可以解除合同，乙方全额退还预付款，并按照合同总额20%支付违约金</w:t>
      </w:r>
    </w:p>
    <w:p w14:paraId="33547E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0"/>
        <w:jc w:val="left"/>
        <w:textAlignment w:val="baseline"/>
        <w:rPr>
          <w:rFonts w:hint="eastAsia" w:ascii="宋体" w:hAnsi="宋体" w:eastAsia="宋体" w:cs="宋体"/>
          <w:b/>
          <w:bCs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</w:rPr>
        <w:t>九、不可抗力</w:t>
      </w:r>
    </w:p>
    <w:p w14:paraId="5F74E3C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</w:rPr>
        <w:t>1.本合同所称不可抗力，是指不能预见、不能避免并不能克服的客观情况。</w:t>
      </w:r>
    </w:p>
    <w:p w14:paraId="12D2DEA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</w:rPr>
        <w:t>2.由于不可抗力事件，致使一方在履行其本合同项下的义务过程中遇到的障碍或延误，不能按规定的条款全部或部分履行其义务的，遇到不可抗力事件的一方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0"/>
          <w:sz w:val="21"/>
          <w:szCs w:val="21"/>
        </w:rPr>
        <w:t>受阻方</w:t>
      </w:r>
      <w:r>
        <w:rPr>
          <w:rFonts w:hint="eastAsia" w:ascii="宋体" w:hAnsi="宋体" w:eastAsia="宋体" w:cs="宋体"/>
          <w:spacing w:val="0"/>
          <w:sz w:val="21"/>
          <w:szCs w:val="21"/>
          <w:lang w:eastAsia="zh-CN"/>
        </w:rPr>
        <w:t>），</w:t>
      </w:r>
      <w:r>
        <w:rPr>
          <w:rFonts w:hint="eastAsia" w:ascii="宋体" w:hAnsi="宋体" w:eastAsia="宋体" w:cs="宋体"/>
          <w:spacing w:val="0"/>
          <w:sz w:val="21"/>
          <w:szCs w:val="21"/>
        </w:rPr>
        <w:t>不应视为违反本合同。</w:t>
      </w:r>
    </w:p>
    <w:p w14:paraId="6F2B35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</w:rPr>
        <w:t>3.不可抗力事件终止或被排除后，受阻方应继续履行本合同，并应立即通知另一方。受阻方应可延长履行义务的时间，延长期应相当于不可抗力事件实际造成延误的时间。</w:t>
      </w:r>
    </w:p>
    <w:p w14:paraId="32C1EF4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0"/>
        <w:jc w:val="left"/>
        <w:textAlignment w:val="baseline"/>
        <w:rPr>
          <w:rFonts w:hint="eastAsia" w:ascii="宋体" w:hAnsi="宋体" w:eastAsia="宋体" w:cs="宋体"/>
          <w:b/>
          <w:bCs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</w:rPr>
        <w:t>十、合同纠纷处理</w:t>
      </w:r>
    </w:p>
    <w:p w14:paraId="1619CE2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</w:rPr>
        <w:t>因履行本合同发生争议，由双方协商解决，解决不成则提交常州仲裁委员会仲裁。</w:t>
      </w:r>
    </w:p>
    <w:p w14:paraId="2B56C3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0"/>
        <w:jc w:val="left"/>
        <w:textAlignment w:val="baseline"/>
        <w:rPr>
          <w:rFonts w:hint="eastAsia" w:ascii="宋体" w:hAnsi="宋体" w:eastAsia="宋体" w:cs="宋体"/>
          <w:b/>
          <w:bCs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</w:rPr>
        <w:t>十一、生效</w:t>
      </w:r>
    </w:p>
    <w:p w14:paraId="058C05D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sz w:val="21"/>
          <w:szCs w:val="21"/>
        </w:rPr>
        <w:t>本合同自双方</w:t>
      </w:r>
      <w:r>
        <w:rPr>
          <w:rFonts w:hint="eastAsia" w:ascii="宋体" w:hAnsi="宋体" w:eastAsia="宋体" w:cs="宋体"/>
          <w:color w:val="FF0000"/>
          <w:spacing w:val="0"/>
          <w:sz w:val="21"/>
          <w:szCs w:val="21"/>
          <w:lang w:val="en-US" w:eastAsia="zh-CN"/>
        </w:rPr>
        <w:t>盖合同专用章</w:t>
      </w:r>
      <w:r>
        <w:rPr>
          <w:rFonts w:hint="eastAsia" w:ascii="宋体" w:hAnsi="宋体" w:eastAsia="宋体" w:cs="宋体"/>
          <w:spacing w:val="0"/>
          <w:sz w:val="21"/>
          <w:szCs w:val="21"/>
        </w:rPr>
        <w:t>之日起生效。见证方对甲方通过见证方平台采购本合同标的的事实进行见证，本合同的履行与见证方无关。</w:t>
      </w:r>
    </w:p>
    <w:p w14:paraId="4D49D09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left="0" w:right="0" w:firstLine="0"/>
        <w:jc w:val="left"/>
        <w:textAlignment w:val="baseline"/>
        <w:rPr>
          <w:rFonts w:hint="eastAsia" w:ascii="宋体" w:hAnsi="宋体" w:eastAsia="宋体" w:cs="宋体"/>
          <w:b/>
          <w:bCs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  <w:lang w:val="en-US" w:eastAsia="zh-CN"/>
        </w:rPr>
        <w:t>十二、合同份数</w:t>
      </w:r>
    </w:p>
    <w:p w14:paraId="05E4769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30" w:line="336" w:lineRule="auto"/>
        <w:ind w:right="0" w:firstLine="420" w:firstLineChars="20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1"/>
          <w:szCs w:val="21"/>
          <w:lang w:val="en-US" w:eastAsia="zh-CN"/>
        </w:rPr>
        <w:t>本合同一式伍份。甲方叁份、乙方贰份。</w:t>
      </w:r>
    </w:p>
    <w:tbl>
      <w:tblPr>
        <w:tblStyle w:val="10"/>
        <w:tblpPr w:leftFromText="180" w:rightFromText="180" w:vertAnchor="text" w:horzAnchor="page" w:tblpX="1749" w:tblpY="511"/>
        <w:tblOverlap w:val="never"/>
        <w:tblW w:w="86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5"/>
        <w:gridCol w:w="4367"/>
      </w:tblGrid>
      <w:tr w14:paraId="3AFF6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</w:trPr>
        <w:tc>
          <w:tcPr>
            <w:tcW w:w="4255" w:type="dxa"/>
            <w:vAlign w:val="center"/>
          </w:tcPr>
          <w:p w14:paraId="26F5CEF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/>
              <w:jc w:val="left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  <w:t>甲    方：</w:t>
            </w:r>
          </w:p>
        </w:tc>
        <w:tc>
          <w:tcPr>
            <w:tcW w:w="4367" w:type="dxa"/>
            <w:vAlign w:val="center"/>
          </w:tcPr>
          <w:p w14:paraId="1B6693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/>
              <w:jc w:val="left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  <w:t>乙   方：</w:t>
            </w:r>
          </w:p>
        </w:tc>
      </w:tr>
      <w:tr w14:paraId="51ACE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255" w:type="dxa"/>
            <w:vAlign w:val="center"/>
          </w:tcPr>
          <w:p w14:paraId="4D37C2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/>
              <w:jc w:val="left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  <w:t>单位名称(公章）:</w:t>
            </w: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常州机电职业技术学院</w:t>
            </w:r>
          </w:p>
        </w:tc>
        <w:tc>
          <w:tcPr>
            <w:tcW w:w="4367" w:type="dxa"/>
            <w:vAlign w:val="center"/>
          </w:tcPr>
          <w:p w14:paraId="78C2C61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/>
              <w:jc w:val="left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  <w:t>单位名称(公章）:</w:t>
            </w: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东莞市力博特智能装备有限公司 </w:t>
            </w:r>
          </w:p>
        </w:tc>
      </w:tr>
      <w:tr w14:paraId="2D903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255" w:type="dxa"/>
            <w:vAlign w:val="center"/>
          </w:tcPr>
          <w:p w14:paraId="0EC291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/>
              <w:jc w:val="left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  <w:t>单位地址：</w:t>
            </w: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常州市武进区鸣新中路26号  </w:t>
            </w:r>
          </w:p>
        </w:tc>
        <w:tc>
          <w:tcPr>
            <w:tcW w:w="4367" w:type="dxa"/>
            <w:vAlign w:val="center"/>
          </w:tcPr>
          <w:p w14:paraId="37067CF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/>
              <w:jc w:val="left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  <w:t>单位地址：</w:t>
            </w: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广东省东莞市长安镇正陇一路8号201室 </w:t>
            </w:r>
          </w:p>
        </w:tc>
      </w:tr>
      <w:tr w14:paraId="66046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255" w:type="dxa"/>
            <w:vAlign w:val="center"/>
          </w:tcPr>
          <w:p w14:paraId="0E468C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/>
              <w:jc w:val="left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  <w:t>法定代表人：</w:t>
            </w:r>
          </w:p>
        </w:tc>
        <w:tc>
          <w:tcPr>
            <w:tcW w:w="4367" w:type="dxa"/>
            <w:vAlign w:val="center"/>
          </w:tcPr>
          <w:p w14:paraId="0FAE1B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/>
              <w:jc w:val="left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  <w:t>法定代表人：吴辉强</w:t>
            </w:r>
          </w:p>
        </w:tc>
      </w:tr>
      <w:tr w14:paraId="4D0FB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255" w:type="dxa"/>
            <w:vAlign w:val="center"/>
          </w:tcPr>
          <w:p w14:paraId="5E70A4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/>
              <w:jc w:val="left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  <w:t>委托代理人：</w:t>
            </w:r>
          </w:p>
        </w:tc>
        <w:tc>
          <w:tcPr>
            <w:tcW w:w="4367" w:type="dxa"/>
            <w:vAlign w:val="center"/>
          </w:tcPr>
          <w:p w14:paraId="650A17A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/>
              <w:jc w:val="left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  <w:t>委托代理人：</w:t>
            </w:r>
          </w:p>
        </w:tc>
      </w:tr>
      <w:tr w14:paraId="79CF3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255" w:type="dxa"/>
            <w:vAlign w:val="center"/>
          </w:tcPr>
          <w:p w14:paraId="55B7737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/>
              <w:jc w:val="left"/>
              <w:textAlignment w:val="baseline"/>
              <w:rPr>
                <w:rFonts w:hint="default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  <w:t>项目负责人：刘江</w:t>
            </w:r>
            <w:bookmarkStart w:id="0" w:name="_GoBack"/>
            <w:bookmarkEnd w:id="0"/>
          </w:p>
        </w:tc>
        <w:tc>
          <w:tcPr>
            <w:tcW w:w="4367" w:type="dxa"/>
            <w:vAlign w:val="center"/>
          </w:tcPr>
          <w:p w14:paraId="39214F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/>
              <w:jc w:val="left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E0CB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255" w:type="dxa"/>
            <w:vAlign w:val="center"/>
          </w:tcPr>
          <w:p w14:paraId="218489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/>
              <w:jc w:val="left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  <w:t>开户银行：农行邱墅支行</w:t>
            </w:r>
          </w:p>
        </w:tc>
        <w:tc>
          <w:tcPr>
            <w:tcW w:w="4367" w:type="dxa"/>
            <w:shd w:val="clear" w:color="auto" w:fill="auto"/>
            <w:vAlign w:val="center"/>
          </w:tcPr>
          <w:p w14:paraId="5C717BB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/>
              <w:jc w:val="left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  <w:t>开户银行：中国建设银行股份有限公司东莞长安支行</w:t>
            </w:r>
          </w:p>
        </w:tc>
      </w:tr>
      <w:tr w14:paraId="56BAB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255" w:type="dxa"/>
            <w:vAlign w:val="center"/>
          </w:tcPr>
          <w:p w14:paraId="753FAE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/>
              <w:jc w:val="left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  <w:t>账   号：10-605701040004030</w:t>
            </w:r>
          </w:p>
        </w:tc>
        <w:tc>
          <w:tcPr>
            <w:tcW w:w="4367" w:type="dxa"/>
            <w:shd w:val="clear" w:color="auto" w:fill="auto"/>
            <w:vAlign w:val="center"/>
          </w:tcPr>
          <w:p w14:paraId="3EBC14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  <w:t>账   号：44050177910800004731</w:t>
            </w:r>
          </w:p>
        </w:tc>
      </w:tr>
      <w:tr w14:paraId="2234A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255" w:type="dxa"/>
            <w:vAlign w:val="center"/>
          </w:tcPr>
          <w:p w14:paraId="6A76DD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/>
              <w:jc w:val="left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  <w:t>税   号：123200004660069658</w:t>
            </w:r>
          </w:p>
        </w:tc>
        <w:tc>
          <w:tcPr>
            <w:tcW w:w="4367" w:type="dxa"/>
            <w:shd w:val="clear" w:color="auto" w:fill="auto"/>
            <w:vAlign w:val="center"/>
          </w:tcPr>
          <w:p w14:paraId="18E88A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  <w:t>税   号：91441900MA52ENQ61X</w:t>
            </w:r>
          </w:p>
        </w:tc>
      </w:tr>
      <w:tr w14:paraId="645E6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255" w:type="dxa"/>
            <w:vAlign w:val="center"/>
          </w:tcPr>
          <w:p w14:paraId="2EECE73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/>
              <w:jc w:val="left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  <w:t>电   话：</w:t>
            </w:r>
          </w:p>
        </w:tc>
        <w:tc>
          <w:tcPr>
            <w:tcW w:w="4367" w:type="dxa"/>
            <w:shd w:val="clear" w:color="auto" w:fill="auto"/>
            <w:vAlign w:val="center"/>
          </w:tcPr>
          <w:p w14:paraId="0305BD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vertAlign w:val="baseline"/>
                <w:lang w:val="en-US" w:eastAsia="zh-CN"/>
              </w:rPr>
              <w:t>电   话：13537645935</w:t>
            </w:r>
          </w:p>
        </w:tc>
      </w:tr>
    </w:tbl>
    <w:p w14:paraId="0A275B6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50" w:line="360" w:lineRule="auto"/>
        <w:ind w:right="0"/>
        <w:jc w:val="left"/>
        <w:textAlignment w:val="baseline"/>
        <w:rPr>
          <w:rFonts w:hint="eastAsia" w:ascii="宋体" w:hAnsi="宋体" w:eastAsia="宋体" w:cs="宋体"/>
          <w:spacing w:val="0"/>
          <w:sz w:val="21"/>
          <w:szCs w:val="21"/>
          <w:lang w:val="en-US" w:eastAsia="zh-CN"/>
        </w:rPr>
      </w:pPr>
    </w:p>
    <w:p w14:paraId="215178F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right="0" w:firstLine="0"/>
        <w:jc w:val="left"/>
        <w:textAlignment w:val="baseline"/>
        <w:rPr>
          <w:rFonts w:hint="eastAsia" w:ascii="宋体" w:hAnsi="宋体" w:eastAsia="宋体" w:cs="宋体"/>
          <w:b/>
          <w:bCs/>
          <w:spacing w:val="0"/>
          <w:sz w:val="24"/>
          <w:szCs w:val="24"/>
        </w:rPr>
      </w:pPr>
    </w:p>
    <w:p w14:paraId="7D37ED0E">
      <w:pPr>
        <w:rPr>
          <w:rFonts w:hint="eastAsia" w:ascii="宋体" w:hAnsi="宋体" w:eastAsia="宋体" w:cs="宋体"/>
          <w:b/>
          <w:bCs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0"/>
          <w:sz w:val="24"/>
          <w:szCs w:val="24"/>
        </w:rPr>
        <w:br w:type="page"/>
      </w:r>
    </w:p>
    <w:p w14:paraId="6CDEF6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right="0" w:firstLine="0"/>
        <w:jc w:val="left"/>
        <w:textAlignment w:val="baseline"/>
        <w:rPr>
          <w:rFonts w:hint="eastAsia" w:ascii="宋体" w:hAnsi="宋体" w:eastAsia="宋体" w:cs="宋体"/>
          <w:b/>
          <w:bCs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0"/>
          <w:sz w:val="24"/>
          <w:szCs w:val="24"/>
        </w:rPr>
        <w:t>附件1技术质量要求</w:t>
      </w:r>
    </w:p>
    <w:tbl>
      <w:tblPr>
        <w:tblStyle w:val="10"/>
        <w:tblW w:w="8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963"/>
        <w:gridCol w:w="7253"/>
      </w:tblGrid>
      <w:tr w14:paraId="4B435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" w:type="dxa"/>
            <w:vAlign w:val="center"/>
          </w:tcPr>
          <w:p w14:paraId="4AA36DF1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963" w:type="dxa"/>
            <w:vAlign w:val="center"/>
          </w:tcPr>
          <w:p w14:paraId="65736578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设备名称</w:t>
            </w:r>
          </w:p>
        </w:tc>
        <w:tc>
          <w:tcPr>
            <w:tcW w:w="7253" w:type="dxa"/>
            <w:vAlign w:val="center"/>
          </w:tcPr>
          <w:p w14:paraId="0CD7BEA8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参数</w:t>
            </w:r>
          </w:p>
        </w:tc>
      </w:tr>
      <w:tr w14:paraId="24155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" w:type="dxa"/>
            <w:vAlign w:val="top"/>
          </w:tcPr>
          <w:p w14:paraId="4833A68D">
            <w:pPr>
              <w:widowControl w:val="0"/>
              <w:spacing w:beforeLines="0" w:afterLines="0"/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63" w:type="dxa"/>
            <w:shd w:val="clear" w:color="auto" w:fill="auto"/>
            <w:vAlign w:val="top"/>
          </w:tcPr>
          <w:p w14:paraId="1E19C4BA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</w:rPr>
              <w:t>智能夹具综合实训平台</w:t>
            </w:r>
          </w:p>
        </w:tc>
        <w:tc>
          <w:tcPr>
            <w:tcW w:w="7253" w:type="dxa"/>
            <w:vAlign w:val="top"/>
          </w:tcPr>
          <w:p w14:paraId="0FEF9D13">
            <w:pPr>
              <w:pStyle w:val="15"/>
              <w:widowControl w:val="0"/>
              <w:spacing w:line="240" w:lineRule="auto"/>
              <w:ind w:firstLine="420" w:firstLineChars="20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采用模块化设计，集成七轴工业机器人、实训台主体、气路控制模块、电路控制模块、伺服控制模块、仓储模块、检测校正模块、安全防护模块，各功能模块具体要求如下；</w:t>
            </w:r>
          </w:p>
          <w:p w14:paraId="06AAF9CC">
            <w:pPr>
              <w:pStyle w:val="15"/>
              <w:widowControl w:val="0"/>
              <w:spacing w:line="240" w:lineRule="auto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一、七轴工业机器人：</w:t>
            </w:r>
          </w:p>
          <w:p w14:paraId="33AD10DC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1.动作类型：多关节型；</w:t>
            </w:r>
          </w:p>
          <w:p w14:paraId="4E891762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2.控制轴数：≥7轴；</w:t>
            </w:r>
          </w:p>
          <w:p w14:paraId="5EFBEBE6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3.工作范围：</w:t>
            </w:r>
          </w:p>
          <w:p w14:paraId="3F52BE97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轴1: ≥ 320°；</w:t>
            </w:r>
          </w:p>
          <w:p w14:paraId="0CE5FC7E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轴2: ≥ 220°；</w:t>
            </w:r>
          </w:p>
          <w:p w14:paraId="79792F54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轴3: ≥ 280°；</w:t>
            </w:r>
          </w:p>
          <w:p w14:paraId="2E31367E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轴4: ≥ 240°；</w:t>
            </w:r>
          </w:p>
          <w:p w14:paraId="5E8AA4DE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轴5: ≥ 360°；</w:t>
            </w:r>
          </w:p>
          <w:p w14:paraId="1E851C7A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轴6: ≥ 720°；</w:t>
            </w:r>
          </w:p>
          <w:p w14:paraId="6E1F7C83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轴7：≥ 600mm。</w:t>
            </w:r>
          </w:p>
          <w:p w14:paraId="5479065B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4.最大活动半径：≥920mm；</w:t>
            </w:r>
          </w:p>
          <w:p w14:paraId="1BB766C1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5.手部最大负载（手腕部）：≥10kg；</w:t>
            </w:r>
          </w:p>
          <w:p w14:paraId="47C5C382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6.驱动方式：AC伺服电机；</w:t>
            </w:r>
          </w:p>
          <w:p w14:paraId="12F62CDB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7.自带防碰撞检测，无需外配，灵敏度可以设置调节；</w:t>
            </w:r>
          </w:p>
          <w:p w14:paraId="016D17B7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8.重复定位精度：≤±0.05mm；</w:t>
            </w:r>
          </w:p>
          <w:p w14:paraId="1489B4FE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9.重量：≤120kg；</w:t>
            </w:r>
          </w:p>
          <w:p w14:paraId="05D267EB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10.环境温度：0℃~45℃；</w:t>
            </w:r>
          </w:p>
          <w:p w14:paraId="041EA262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11.环境湿度：20%～80%RH；</w:t>
            </w:r>
          </w:p>
          <w:p w14:paraId="1F74F727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12.振动：≤4.9m/s²；</w:t>
            </w:r>
          </w:p>
          <w:p w14:paraId="0E82E425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13.配套机器人原厂控制器、控制柜和示教器；</w:t>
            </w:r>
          </w:p>
          <w:p w14:paraId="0BA95839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14.机器人具有敏感的力反馈特性，当达到已设定的力时会立即停止，在风险评估后可不需要安装保护栏，使人和机器人能协同工作；</w:t>
            </w:r>
          </w:p>
          <w:p w14:paraId="1A8B3C61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15.设备并网通讯模组；</w:t>
            </w:r>
          </w:p>
          <w:p w14:paraId="56E47D4F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16.具备工业远程I/O端口输入输出、10K热敏电阻输入、气压检测输入通道；</w:t>
            </w:r>
          </w:p>
          <w:p w14:paraId="4D6C3825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17.设备状态输出：启动、停止、机械报警、系统报警、运行状态、维护提醒、并网实时状态；</w:t>
            </w:r>
          </w:p>
          <w:p w14:paraId="796ED9C2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18.具备工件夹紧反馈输出功能；</w:t>
            </w:r>
          </w:p>
          <w:p w14:paraId="58C1DA02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19.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机器人末端必须为球锁式结构，提供机器人末端的三维模型、二维图纸；</w:t>
            </w:r>
          </w:p>
          <w:p w14:paraId="731C8A08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.▲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机器人末端需要有配电块，配电块电信号≥9针；</w:t>
            </w:r>
          </w:p>
          <w:p w14:paraId="52E0E7ED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21.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不同机床夹具，具有单独机器人程序，并能根据实训需要单独调用和修改；</w:t>
            </w:r>
          </w:p>
          <w:p w14:paraId="31E92320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.▲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机器人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能与数字孪生互联，完成实时动态位置反馈和仿真。</w:t>
            </w:r>
          </w:p>
          <w:p w14:paraId="033D47D2">
            <w:pPr>
              <w:pStyle w:val="15"/>
              <w:widowControl w:val="0"/>
              <w:spacing w:line="240" w:lineRule="auto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二、实训台主体：</w:t>
            </w:r>
          </w:p>
          <w:p w14:paraId="2819B0EC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1.实训装置主体是钣金框架构架；</w:t>
            </w:r>
          </w:p>
          <w:p w14:paraId="49FBA67B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2.外形尺寸：≥长×宽×高2600mmX1400mm×1900mm；</w:t>
            </w:r>
          </w:p>
          <w:p w14:paraId="2A3C69B9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3.外观材料：采用冷轧钢板，承重钣金厚度≥3mm，外观钣金厚度≥1.5mm；</w:t>
            </w:r>
          </w:p>
          <w:p w14:paraId="610DCC2F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4.实训台面材料：需用工业铝合金型材，并具有T型槽，便于快速安装智能夹具；</w:t>
            </w:r>
          </w:p>
          <w:p w14:paraId="2DACF9CB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5.▲工作台面可安装多种设备夹具，并在实训台中模拟仿真夹具工作过程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提供模具电极项目案例、新能源压缩机涡旋叶轮项目案例的演示视频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；</w:t>
            </w:r>
          </w:p>
          <w:p w14:paraId="574C20CA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6.控制台主体颜色：乳白色；</w:t>
            </w:r>
          </w:p>
          <w:p w14:paraId="2BC7983C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7.柜体设计活动门板，检修、维护方便；</w:t>
            </w:r>
          </w:p>
          <w:p w14:paraId="7E6CE502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8.整机容量：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1kVA；</w:t>
            </w:r>
          </w:p>
          <w:p w14:paraId="536D03FC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9.电源输入：带有漏电保护功能，当由于接线错误而导致线路发生短路时，会自动断开电源，起到保护设备的功能；</w:t>
            </w:r>
          </w:p>
          <w:p w14:paraId="65556743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10.电源信息：单相三线～220V±10%  50Hz，设有过流保护； PLC的电源单独控制；</w:t>
            </w:r>
          </w:p>
          <w:p w14:paraId="2DE8CA4F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11.具有2处抽拉抽屉，采用承重型轨道设计，每个抽屉可承载≥50kg；</w:t>
            </w:r>
          </w:p>
          <w:p w14:paraId="7C7FD020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12.▲实训台具有可编程调控灯，灯条长度需不小于1米，颜色可自行编程；</w:t>
            </w:r>
          </w:p>
          <w:p w14:paraId="21C1A2AD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13.▲投标人需提供操作台操作说明书复印件，操作说明书中需包含实训台的操作、气路操作、电路操作、实训台故障检测和实训台维护保养等，操作说明书不少于20页。</w:t>
            </w:r>
          </w:p>
          <w:p w14:paraId="0E2E3F4E">
            <w:pPr>
              <w:pStyle w:val="15"/>
              <w:widowControl w:val="0"/>
              <w:spacing w:line="240" w:lineRule="auto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三、气路控制模块：</w:t>
            </w:r>
          </w:p>
          <w:p w14:paraId="2380008C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1.▲气路模块为可视化设计，并能90°翻转，能直观查看对应的电气配件；</w:t>
            </w:r>
          </w:p>
          <w:p w14:paraId="4CB9AB85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2.具有不少于8路气路，可自由组合，同时控制不同夹具；</w:t>
            </w:r>
          </w:p>
          <w:p w14:paraId="56CEC82A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3.具有气压检测值信号，在气压不足时输出报警，机器人不得运行；</w:t>
            </w:r>
          </w:p>
          <w:p w14:paraId="4023953F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4.气源可单独过滤，将气路中水分过滤并自动排出；</w:t>
            </w:r>
          </w:p>
          <w:p w14:paraId="4E6F97A9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5.气路均为快插形式，便于夹具安装时的气路安装；</w:t>
            </w:r>
          </w:p>
          <w:p w14:paraId="6139B09D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6.气路模块与仿真软件互联，软件能实时读取状态。</w:t>
            </w:r>
          </w:p>
          <w:p w14:paraId="6A9A3293">
            <w:pPr>
              <w:pStyle w:val="15"/>
              <w:widowControl w:val="0"/>
              <w:spacing w:line="240" w:lineRule="auto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四、电路控制模块：</w:t>
            </w:r>
          </w:p>
          <w:p w14:paraId="66D73C19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1.▲电路控制模块为可视化设计，并能90°翻转，能直观查看对应的电气配件工作状态；</w:t>
            </w:r>
          </w:p>
          <w:p w14:paraId="26AA8886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2.输入输出：30 输入/24 输出；</w:t>
            </w:r>
          </w:p>
          <w:p w14:paraId="5062E543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3.集成：2AI/2AO 模块；</w:t>
            </w:r>
          </w:p>
          <w:p w14:paraId="648B7D44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4.输入输出点均连接到安全插口上；</w:t>
            </w:r>
          </w:p>
          <w:p w14:paraId="20873550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5.输入电源：DC24V；</w:t>
            </w:r>
          </w:p>
          <w:p w14:paraId="39BB622E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6.通信集成模块：</w:t>
            </w:r>
          </w:p>
          <w:p w14:paraId="3E78938F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7.通信交互功能：</w:t>
            </w:r>
          </w:p>
          <w:p w14:paraId="79F5DB3A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8.▲具备通信交互功能，plc与客户端、MES 系统通信，通过局域网、设备信息相互传递，投标人须具备通信交互功能的自主知识产权，提供对应相关软件著作权证书复印件，复印件需盖投标人公章；</w:t>
            </w:r>
          </w:p>
          <w:p w14:paraId="72687CCC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9.具备与自动化产线、信息交互，自动化产线的状态实时呈现功能；</w:t>
            </w:r>
          </w:p>
          <w:p w14:paraId="154106DE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10.具备移动终端PLC、IO、TCP、串口调试监控功能；</w:t>
            </w:r>
          </w:p>
          <w:p w14:paraId="29AB69C7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11.低压电器采用防火材质；</w:t>
            </w:r>
          </w:p>
          <w:p w14:paraId="5131CCC2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12.具备产线故障设置及排除；</w:t>
            </w:r>
          </w:p>
          <w:p w14:paraId="53B58F6F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13.具备自主控制操作面板；</w:t>
            </w:r>
          </w:p>
          <w:p w14:paraId="6B58778A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14.通讯方式：TCP/MC/OPC 以太网协议；</w:t>
            </w:r>
          </w:p>
          <w:p w14:paraId="266E839F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15.电路控制模块与仿真软件能通讯控制互联，软件能实时读取电器状态等。</w:t>
            </w:r>
          </w:p>
          <w:p w14:paraId="6E040C7E">
            <w:pPr>
              <w:pStyle w:val="15"/>
              <w:widowControl w:val="0"/>
              <w:spacing w:line="240" w:lineRule="auto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五、伺服控制模块；</w:t>
            </w:r>
          </w:p>
          <w:p w14:paraId="212A635C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1.▲伺服控制模块可视化设计，并能90°翻转，能直观查看对应伺服器；</w:t>
            </w:r>
          </w:p>
          <w:p w14:paraId="5C34C020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2.机器人轴为单独控制，具有独立驱动器；</w:t>
            </w:r>
          </w:p>
          <w:p w14:paraId="4675B99C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3.具有独立电源控制；</w:t>
            </w:r>
          </w:p>
          <w:p w14:paraId="636F9766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4.输入电源：220V；</w:t>
            </w:r>
          </w:p>
          <w:p w14:paraId="4D6862B3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5.驱动器驱动轴数：≥7个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。</w:t>
            </w:r>
          </w:p>
          <w:p w14:paraId="31DE881D">
            <w:pPr>
              <w:pStyle w:val="15"/>
              <w:widowControl w:val="0"/>
              <w:spacing w:line="240" w:lineRule="auto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六、仓储：</w:t>
            </w:r>
          </w:p>
          <w:p w14:paraId="35BC3EBA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1.材料：铝合金；</w:t>
            </w:r>
          </w:p>
          <w:p w14:paraId="257AB3BA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2.工件和机器人末端手爪需配套工件托板与手爪托板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；</w:t>
            </w:r>
          </w:p>
          <w:p w14:paraId="2C270F8A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3.▲工件托板、手爪托板与仓储区的连接方式为磁吸快换式，可通过机器人示教器进行上电消磁或上磁；</w:t>
            </w:r>
          </w:p>
          <w:p w14:paraId="67A6665A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2.每个工件库含有传感器，能实时监控料位上有无工件托板或者手爪托板；</w:t>
            </w:r>
          </w:p>
          <w:p w14:paraId="47920266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3.电源：24v；</w:t>
            </w:r>
          </w:p>
          <w:p w14:paraId="6ADEDEAD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4.厚度≥2mm；</w:t>
            </w:r>
          </w:p>
          <w:p w14:paraId="7C5CD96A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6.料库工位可根据实训夹具数量进行调整；</w:t>
            </w:r>
          </w:p>
          <w:p w14:paraId="62B7AB6B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7.夹具定位为非完全定位，需具有一定间隙。</w:t>
            </w:r>
          </w:p>
          <w:p w14:paraId="67621AF5">
            <w:pPr>
              <w:pStyle w:val="15"/>
              <w:widowControl w:val="0"/>
              <w:spacing w:line="240" w:lineRule="auto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七、检测校正模块：</w:t>
            </w:r>
          </w:p>
          <w:p w14:paraId="2ADA93E2">
            <w:pPr>
              <w:pStyle w:val="15"/>
              <w:widowControl w:val="0"/>
              <w:spacing w:line="240" w:lineRule="auto"/>
              <w:ind w:firstLine="210" w:firstLineChars="10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辅助配套工具需满足所有实训台实训使用，对应需求配件如下：</w:t>
            </w:r>
          </w:p>
          <w:p w14:paraId="43409392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1.校正导轨：</w:t>
            </w:r>
          </w:p>
          <w:p w14:paraId="1D898D19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1）导轨长度：≥460mm；</w:t>
            </w:r>
          </w:p>
          <w:p w14:paraId="7655202F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2）有效行程：≥400mm；</w:t>
            </w:r>
          </w:p>
          <w:p w14:paraId="70F33F24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3）直线度误差：≥200mm范围内±0.01mm；</w:t>
            </w:r>
          </w:p>
          <w:p w14:paraId="3B115A69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4）线轨规格：≥30mm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。</w:t>
            </w:r>
          </w:p>
          <w:p w14:paraId="5EDBE310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2.基准大理石：</w:t>
            </w:r>
          </w:p>
          <w:p w14:paraId="5AB738DD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1）材质：大理石；</w:t>
            </w:r>
          </w:p>
          <w:p w14:paraId="72FFF6AF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2）精度：≥000级；</w:t>
            </w:r>
          </w:p>
          <w:p w14:paraId="28F631B0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3）形状：直角；</w:t>
            </w:r>
          </w:p>
          <w:p w14:paraId="20748ED2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4）规格：250mm×160mm×50mm；</w:t>
            </w:r>
          </w:p>
          <w:p w14:paraId="49BA23FA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5）精度：000级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。</w:t>
            </w:r>
          </w:p>
          <w:p w14:paraId="738F62D1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3.杠杆百分表及表座：</w:t>
            </w:r>
          </w:p>
          <w:p w14:paraId="256019BB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1）调节方式：万向节；</w:t>
            </w:r>
          </w:p>
          <w:p w14:paraId="0E7DFF14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2）表精度：≤0.01mm；</w:t>
            </w:r>
          </w:p>
          <w:p w14:paraId="018BF22E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3）表量程：≥0-0.8mm；</w:t>
            </w:r>
          </w:p>
          <w:p w14:paraId="32C3E5A8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4）表规格：30mm。</w:t>
            </w:r>
          </w:p>
          <w:p w14:paraId="528C4CCC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4.零点校正仪</w:t>
            </w:r>
          </w:p>
          <w:p w14:paraId="7FB1E630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1）校正方式：激光测距；</w:t>
            </w:r>
          </w:p>
          <w:p w14:paraId="1F55D9B0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2）重复精度≤1mm;</w:t>
            </w:r>
          </w:p>
          <w:p w14:paraId="57934177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3）光源：红色半导体激光，655nm；</w:t>
            </w:r>
          </w:p>
          <w:p w14:paraId="45819F35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4）▲零点校正仪具备数显显示，快速校正零位功能，零点校正仪定位精度需小于0.01mm；零点校正仪需含有自校正模块，能校正检测仪误差（须提供配套机器人零位电子矫正仪真实使用图片，图片不少于3张）。</w:t>
            </w:r>
          </w:p>
          <w:p w14:paraId="5A7E1D4E">
            <w:pPr>
              <w:pStyle w:val="15"/>
              <w:widowControl w:val="0"/>
              <w:spacing w:line="240" w:lineRule="auto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八、安全防护模块：</w:t>
            </w:r>
          </w:p>
          <w:p w14:paraId="682291AD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1.▲为了便于学员操作，操作三面采用安全光栅防护，机器人侧采用围栏防护。光栅长度不能少于1m，光栅信号需接入机器人暂停信号，自动运行时有人员进入时机器人能自动停止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；</w:t>
            </w:r>
          </w:p>
          <w:p w14:paraId="425E2BF3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2.▲需提供实训台实物图，标明光栅与围栏位置并加盖投标人公章；</w:t>
            </w:r>
          </w:p>
          <w:p w14:paraId="3B7E1DC7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3.具有安全防护监控，可远程实时监控学员操作情况，可以回放检查错误；</w:t>
            </w:r>
          </w:p>
          <w:p w14:paraId="50286BED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4.光点光束：≥26光束；</w:t>
            </w:r>
          </w:p>
          <w:p w14:paraId="7AD519A7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5.防护等级：IP65；</w:t>
            </w:r>
          </w:p>
          <w:p w14:paraId="46ACA168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6.抗光干扰：≥10000LUX；</w:t>
            </w:r>
          </w:p>
          <w:p w14:paraId="1465954F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7.响应时间：≤10MS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；</w:t>
            </w:r>
          </w:p>
          <w:p w14:paraId="343B73EB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8.工作温度：-10℃～+55℃；</w:t>
            </w:r>
          </w:p>
          <w:p w14:paraId="6E9A71A7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9.监控像素：≥200万；</w:t>
            </w:r>
          </w:p>
          <w:p w14:paraId="44F48622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10.成像颜色：彩色；</w:t>
            </w:r>
          </w:p>
          <w:p w14:paraId="2D73B3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210" w:firstLineChars="100"/>
              <w:textAlignment w:val="baseline"/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11.焦距：≥2mm。</w:t>
            </w:r>
          </w:p>
        </w:tc>
      </w:tr>
      <w:tr w14:paraId="05126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" w:type="dxa"/>
            <w:vAlign w:val="top"/>
          </w:tcPr>
          <w:p w14:paraId="34277608">
            <w:pPr>
              <w:widowControl w:val="0"/>
              <w:spacing w:beforeLines="0" w:afterLines="0"/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963" w:type="dxa"/>
            <w:shd w:val="clear" w:color="auto" w:fill="auto"/>
            <w:vAlign w:val="top"/>
          </w:tcPr>
          <w:p w14:paraId="6891D8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数字孪生软件</w:t>
            </w:r>
          </w:p>
        </w:tc>
        <w:tc>
          <w:tcPr>
            <w:tcW w:w="7253" w:type="dxa"/>
            <w:vAlign w:val="top"/>
          </w:tcPr>
          <w:p w14:paraId="099BC123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1.▲数字孪生软件需与智能夹具实训台匹配使用，仿真动作和信号需与智能夹具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实训台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实际动作一致，需提供视频演示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；</w:t>
            </w:r>
          </w:p>
          <w:p w14:paraId="576E61E4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数字孪生软件为投标人自主研发，投标人需提供对应相关软件著作权证书复印件，复印件需加盖投标人公章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；</w:t>
            </w:r>
          </w:p>
          <w:p w14:paraId="37432A07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3.系统主要功能特点：</w:t>
            </w:r>
          </w:p>
          <w:p w14:paraId="6BD0ECB6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1）三维智能制造工厂场景能够任意方向旋转、视点切换以及360度全方位观看，具有直观立体，真实互动的效果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；</w:t>
            </w:r>
          </w:p>
          <w:p w14:paraId="1218D931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2）以实际智能夹具为蓝本进行建模，与真实的实训台一致，结构完整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；</w:t>
            </w:r>
          </w:p>
          <w:p w14:paraId="0D297083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3）能够快速进行正视图、顶视图、右视图切换，操作使用人性化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；</w:t>
            </w:r>
          </w:p>
          <w:p w14:paraId="7CEF475D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4）能够全屏，查看机器人的运行、功能操作、场景模型等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；</w:t>
            </w:r>
          </w:p>
          <w:p w14:paraId="76809C28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5）PLC信号的输入、输出工具，通过软件自带的PLC链接工具，读取PLC的输入、输出信号，在软件上实时反应运作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；</w:t>
            </w:r>
          </w:p>
          <w:p w14:paraId="79831B0C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6）通过软件自带的PLC链接工具，可接入多台PLC，读取多台PLC的输入、输出信号，在软件上实时反应运作。</w:t>
            </w:r>
          </w:p>
          <w:p w14:paraId="1A2DA23B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7）具备与机器人仿真通信，实现在线仿真，仿真画面与实际机器人动作的仿联动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；</w:t>
            </w:r>
          </w:p>
          <w:p w14:paraId="3B043E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8）具有查询仿真软件里的信息，如IO、寄存器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；</w:t>
            </w:r>
          </w:p>
          <w:p w14:paraId="5BD8C86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9）能与机器人互联，实现机器人动作与信号一致。</w:t>
            </w:r>
          </w:p>
        </w:tc>
      </w:tr>
      <w:tr w14:paraId="523E1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" w:type="dxa"/>
            <w:vAlign w:val="top"/>
          </w:tcPr>
          <w:p w14:paraId="1FE32B84">
            <w:pPr>
              <w:widowControl w:val="0"/>
              <w:spacing w:beforeLines="0" w:afterLines="0"/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963" w:type="dxa"/>
            <w:shd w:val="clear" w:color="auto" w:fill="auto"/>
            <w:vAlign w:val="top"/>
          </w:tcPr>
          <w:p w14:paraId="5123E4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夹具虚拟教学软件</w:t>
            </w:r>
          </w:p>
        </w:tc>
        <w:tc>
          <w:tcPr>
            <w:tcW w:w="7253" w:type="dxa"/>
            <w:vAlign w:val="top"/>
          </w:tcPr>
          <w:p w14:paraId="6EC276F3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1.内容要求：</w:t>
            </w:r>
          </w:p>
          <w:p w14:paraId="63236691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1）包含夹具虚拟拆装教学模块、情景式教学模块、交互式媒体模块、设备虚拟拆装教学模块；</w:t>
            </w:r>
          </w:p>
          <w:p w14:paraId="3A831D30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2）学习模块视频类资源包括：夹具拆卸流程与夹具结构运动流程；</w:t>
            </w:r>
          </w:p>
          <w:p w14:paraId="22D74758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3）训练模块包括：夹具结构拆卸与安装；</w:t>
            </w:r>
          </w:p>
          <w:p w14:paraId="203BFE65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4）考核模块包括：夹具结构拆卸与安装；</w:t>
            </w:r>
          </w:p>
          <w:p w14:paraId="56D67D49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5）▲提供一套夹具案例的各个功能模块截图，截图需清楚标明结构认知学习模块、夹具拆装训练模块、考核拆装模块等位置。</w:t>
            </w:r>
          </w:p>
          <w:p w14:paraId="07B3A03F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2.品质要求：</w:t>
            </w:r>
          </w:p>
          <w:p w14:paraId="7C05A5C8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1）动画色彩造型应和谐，帧与帧之间的关联性要强；动画演播过程流畅，播放时无明显噪点，无卡顿现象；</w:t>
            </w:r>
          </w:p>
          <w:p w14:paraId="249A1871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2）动画画工精细，画风正确表达微课内容；</w:t>
            </w:r>
          </w:p>
          <w:p w14:paraId="0C5B57CC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3）动画界面设计符合阅读习惯，简洁大方、配色合理。包括影片中各个主场景色彩气氛图、平面场景图、立体分层图、景物结构图等；</w:t>
            </w:r>
          </w:p>
          <w:p w14:paraId="3F15DF0D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4）动画内容符合我国法律法规，尊重各民族的风俗习惯，版权不存在争议。若其中包含少数民族或外国语言文字信息，应遵循其原内容完整性，使用原语言进行处理；</w:t>
            </w:r>
          </w:p>
          <w:p w14:paraId="7DB8C2EB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5）交互操作方式合理，交互逻辑清晰；</w:t>
            </w:r>
          </w:p>
          <w:p w14:paraId="18B89720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6）有清晰的系统帮助，有实时的操作提示。</w:t>
            </w:r>
          </w:p>
          <w:p w14:paraId="3FBB10AC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3.帮助提示相关要求：</w:t>
            </w:r>
          </w:p>
          <w:p w14:paraId="43CF8712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1）▲软件要提供详细的用户手册，说明软件系统要求、操作方法，提供软件操作界面截图；</w:t>
            </w:r>
          </w:p>
          <w:p w14:paraId="47373038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2）针对每步操作要对具体操作对象进行提示，要求该模型以高亮进行显示。</w:t>
            </w:r>
          </w:p>
          <w:p w14:paraId="70663399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4.工具相关要求：</w:t>
            </w:r>
          </w:p>
          <w:p w14:paraId="6D9A24E6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1）工具须摆放在工具台面上，相似工具按规格依次放置；</w:t>
            </w:r>
          </w:p>
          <w:p w14:paraId="644CAFB0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）工具及螺丝包括：断面密封胶、螺纹紧固胶、马克笔、扭矩扳手、声波张力仪、M2内六角扳手、M3内六角扳手、M4内六角扳手、M5内六角扳手、M6内六角扳手、十字螺丝刀、一字螺丝刀、内拉马、外拉马、斜口钳、橡胶锤、润滑脂、3轴同步带调节工装、扎带、M3×8内六角螺栓、M3×10内六角螺栓、M3×16内六角螺栓、M3×25内六角螺栓、M4×8-字螺栓、M4×16内六角螺栓、M4×20内六角螺栓、M4×25内六角螺栓、M4×40内六角螺栓、M5×25内六角螺栓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。</w:t>
            </w:r>
          </w:p>
          <w:p w14:paraId="41459E33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5.操作过程和操作方法要求：</w:t>
            </w:r>
          </w:p>
          <w:p w14:paraId="5A0868FF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1）在考核模式下不能以固定的线性流程进行操作，要求以实际的装调逻辑随意操作；</w:t>
            </w:r>
          </w:p>
          <w:p w14:paraId="3609C1AF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2）螺钉须匹配其规格，工具也要使用对应规格进行操作；</w:t>
            </w:r>
          </w:p>
          <w:p w14:paraId="39B92084">
            <w:pPr>
              <w:pStyle w:val="1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100" w:firstLine="210" w:firstLineChars="100"/>
              <w:textAlignment w:val="baseline"/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3）在虚拟场景内可以通过第一人称视角进行漫游，也可以切换到自由视角方便对操作的过程进行观察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。</w:t>
            </w:r>
          </w:p>
        </w:tc>
      </w:tr>
      <w:tr w14:paraId="1DF47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" w:type="dxa"/>
            <w:vAlign w:val="top"/>
          </w:tcPr>
          <w:p w14:paraId="4E88E1AB">
            <w:pPr>
              <w:widowControl w:val="0"/>
              <w:spacing w:beforeLines="0" w:afterLines="0"/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963" w:type="dxa"/>
            <w:shd w:val="clear" w:color="auto" w:fill="auto"/>
            <w:vAlign w:val="top"/>
          </w:tcPr>
          <w:p w14:paraId="47B67B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智能产线夹具资源包</w:t>
            </w:r>
          </w:p>
        </w:tc>
        <w:tc>
          <w:tcPr>
            <w:tcW w:w="7253" w:type="dxa"/>
            <w:vAlign w:val="top"/>
          </w:tcPr>
          <w:p w14:paraId="2759FC2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" w:beforeAutospacing="0" w:after="0" w:afterAutospacing="0"/>
              <w:ind w:firstLine="210" w:firstLineChars="10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▲资源包需包含以下项目：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模具电极项目案例、模具型芯项目案例、发动机活塞项目案例、音响外壳项目案例、新能源压缩机涡旋叶轮项目案例、高速电机轴芯项目案例；</w:t>
            </w:r>
          </w:p>
          <w:p w14:paraId="17DF7FD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" w:beforeAutospacing="0" w:after="0" w:afterAutospacing="0"/>
              <w:ind w:firstLine="210" w:firstLineChars="10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资源包里包含2D图纸（包含爆炸图、产品图、装配图）≥30张、3D模型文件（需包含六个项目的手爪、夹具、工件的模型）≥18个、案例的仿真视频≥26个、案例教材≥6个；</w:t>
            </w:r>
          </w:p>
          <w:p w14:paraId="5B5850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210" w:firstLineChars="100"/>
              <w:jc w:val="left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3.▲提供模具电极案例的爆炸图、产品图、装配图各一张的截图并加盖投标人公章，所提供文档需与提供货物一致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</w:p>
          <w:p w14:paraId="62F22B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210" w:firstLineChars="100"/>
              <w:jc w:val="left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4.▲提供模具电极案例的模型截图，截图需包含单动剪刀式手爪模型、柔性定位片式球锁式卡盘模型、柔性定位片式电极座模型，模型截图加盖投标人公章，所提供模型需与提供货物一致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</w:p>
          <w:p w14:paraId="4E526B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210" w:firstLineChars="100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5.▲3D图中，标准件需体现标准国标代码与国标名称，提供3D装配图需清楚体现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</w:p>
          <w:p w14:paraId="3016E1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210" w:firstLineChars="100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.▲提供模具电极项目案例的仿真演示视频，演示视频需包含单动剪刀式手爪的工作原理视频、柔性定位片球锁式卡盘工作原理视频；演示视频需有配音、字幕并且显示有投标人LOGO，提供的演示视频时长不小于50S，所提供仿真视频需与提供货物一致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</w:p>
          <w:p w14:paraId="7CD022B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210" w:firstLineChars="100"/>
              <w:textAlignment w:val="baseline"/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7.▲提供模具电极项目案例的教材截图并加盖投标人公章；提供模具电极项目案例截图需包含工件介绍和技术要求，所提供教材需与提供货物一致。</w:t>
            </w:r>
          </w:p>
        </w:tc>
      </w:tr>
    </w:tbl>
    <w:p w14:paraId="5302FA0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right="0" w:firstLine="0"/>
        <w:jc w:val="left"/>
        <w:textAlignment w:val="baseline"/>
        <w:rPr>
          <w:rFonts w:hint="eastAsia" w:ascii="宋体" w:hAnsi="宋体" w:eastAsia="宋体" w:cs="宋体"/>
          <w:b/>
          <w:bCs/>
          <w:spacing w:val="0"/>
          <w:sz w:val="24"/>
          <w:szCs w:val="24"/>
        </w:rPr>
      </w:pPr>
    </w:p>
    <w:p w14:paraId="5376EBD6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page"/>
      </w:r>
    </w:p>
    <w:p w14:paraId="4CF7AD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100"/>
        <w:textAlignment w:val="baseline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附件2：中标通知书</w:t>
      </w:r>
    </w:p>
    <w:p w14:paraId="688C3FD8"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drawing>
          <wp:inline distT="0" distB="0" distL="114300" distR="114300">
            <wp:extent cx="7045960" cy="5655310"/>
            <wp:effectExtent l="0" t="0" r="2540" b="25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t="10859" r="28311" b="788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45960" cy="565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footerReference r:id="rId6" w:type="default"/>
      <w:pgSz w:w="11906" w:h="16838"/>
      <w:pgMar w:top="1417" w:right="1417" w:bottom="1587" w:left="1417" w:header="0" w:footer="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7F" w:usb3="00000000" w:csb0="203F01FF" w:csb1="D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F7A9A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1870710</wp:posOffset>
              </wp:positionH>
              <wp:positionV relativeFrom="paragraph">
                <wp:posOffset>-347980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AB2209">
                          <w:pPr>
                            <w:pStyle w:val="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47.3pt;margin-top:-27.4pt;height:144pt;width:144pt;mso-position-horizontal-relative:margin;mso-wrap-style:none;z-index:251659264;mso-width-relative:page;mso-height-relative:page;" filled="f" stroked="f" coordsize="21600,21600" o:gfxdata="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V9n28dsAAAALAQAADwAAAAAAAAABACAAAAAiAAAAZHJzL2Rv&#10;d25yZXYueG1sUEsBAhQAFAAAAAgAh07iQAyJkQw3AgAAawQAAA4AAAAAAAAAAQAgAAAAKg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AAB2209">
                    <w:pPr>
                      <w:pStyle w:val="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A15283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17D68F"/>
    <w:multiLevelType w:val="singleLevel"/>
    <w:tmpl w:val="6017D68F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172A27"/>
    <w:rsid w:val="00A43C06"/>
    <w:rsid w:val="03C2759E"/>
    <w:rsid w:val="06615B6D"/>
    <w:rsid w:val="083040F0"/>
    <w:rsid w:val="105826EB"/>
    <w:rsid w:val="16164901"/>
    <w:rsid w:val="18EB3160"/>
    <w:rsid w:val="1AB85163"/>
    <w:rsid w:val="1C9F475A"/>
    <w:rsid w:val="252B4B4C"/>
    <w:rsid w:val="28EB0DF4"/>
    <w:rsid w:val="290F1666"/>
    <w:rsid w:val="2A7E571E"/>
    <w:rsid w:val="2C7B50BD"/>
    <w:rsid w:val="30DF0053"/>
    <w:rsid w:val="3437693D"/>
    <w:rsid w:val="357240D1"/>
    <w:rsid w:val="388A1731"/>
    <w:rsid w:val="3B6265BF"/>
    <w:rsid w:val="3E216046"/>
    <w:rsid w:val="3E4800C5"/>
    <w:rsid w:val="3F105341"/>
    <w:rsid w:val="3F340649"/>
    <w:rsid w:val="3FF734F7"/>
    <w:rsid w:val="40C30FDC"/>
    <w:rsid w:val="420626EA"/>
    <w:rsid w:val="43FD3866"/>
    <w:rsid w:val="455E3D2A"/>
    <w:rsid w:val="45801ED6"/>
    <w:rsid w:val="4BA44BB9"/>
    <w:rsid w:val="4C7D04A3"/>
    <w:rsid w:val="4D4E1446"/>
    <w:rsid w:val="51F82949"/>
    <w:rsid w:val="5246001F"/>
    <w:rsid w:val="530F7AAE"/>
    <w:rsid w:val="58412393"/>
    <w:rsid w:val="5B26391B"/>
    <w:rsid w:val="5E313453"/>
    <w:rsid w:val="64BE613B"/>
    <w:rsid w:val="657F4273"/>
    <w:rsid w:val="6CB46910"/>
    <w:rsid w:val="6D365409"/>
    <w:rsid w:val="7C7839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4"/>
    <w:basedOn w:val="1"/>
    <w:next w:val="1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semiHidden/>
    <w:unhideWhenUsed/>
    <w:qFormat/>
    <w:uiPriority w:val="99"/>
    <w:pPr>
      <w:ind w:firstLine="420"/>
    </w:p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semiHidden/>
    <w:qFormat/>
    <w:uiPriority w:val="0"/>
    <w:rPr>
      <w:rFonts w:ascii="宋体" w:hAnsi="宋体" w:eastAsia="宋体" w:cs="宋体"/>
      <w:sz w:val="15"/>
      <w:szCs w:val="15"/>
      <w:lang w:val="en-US" w:eastAsia="en-US" w:bidi="ar-SA"/>
    </w:rPr>
  </w:style>
  <w:style w:type="paragraph" w:styleId="6">
    <w:name w:val="Plain Text"/>
    <w:basedOn w:val="1"/>
    <w:next w:val="3"/>
    <w:unhideWhenUsed/>
    <w:qFormat/>
    <w:uiPriority w:val="99"/>
    <w:rPr>
      <w:rFonts w:ascii="宋体" w:hAnsi="Courier New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  <w:color w:val="000000"/>
      <w:sz w:val="24"/>
      <w:lang w:eastAsia="en-US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annotation reference"/>
    <w:basedOn w:val="11"/>
    <w:semiHidden/>
    <w:unhideWhenUsed/>
    <w:qFormat/>
    <w:uiPriority w:val="99"/>
    <w:rPr>
      <w:sz w:val="21"/>
      <w:szCs w:val="21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  <w:sz w:val="16"/>
      <w:szCs w:val="16"/>
      <w:lang w:val="en-US" w:eastAsia="en-US" w:bidi="ar-SA"/>
    </w:rPr>
  </w:style>
  <w:style w:type="paragraph" w:customStyle="1" w:styleId="15">
    <w:name w:val="附件"/>
    <w:basedOn w:val="1"/>
    <w:qFormat/>
    <w:uiPriority w:val="0"/>
    <w:pPr>
      <w:spacing w:line="360" w:lineRule="auto"/>
    </w:pPr>
    <w:rPr>
      <w:rFonts w:hint="eastAsia" w:ascii="仿宋" w:hAnsi="仿宋" w:cs="仿宋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5234</Words>
  <Characters>5858</Characters>
  <TotalTime>11</TotalTime>
  <ScaleCrop>false</ScaleCrop>
  <LinksUpToDate>false</LinksUpToDate>
  <CharactersWithSpaces>6041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2025-10-11T16:26:00Z</dcterms:created>
  <dc:creator>73527</dc:creator>
  <cp:lastModifiedBy>史琼艳</cp:lastModifiedBy>
  <dcterms:modified xsi:type="dcterms:W3CDTF">2025-12-12T10:52:48Z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2025-10-11T16:26:59Z</vt:filetime>
  </property>
  <property fmtid="{D5CDD505-2E9C-101B-9397-08002B2CF9AE}" pid="4" name="UsrData">
    <vt:lpwstr>68ea14ce2ad49d001fa539c9wl</vt:lpwstr>
  </property>
  <property fmtid="{D5CDD505-2E9C-101B-9397-08002B2CF9AE}" pid="5" name="KSOTemplateDocerSaveRecord">
    <vt:lpwstr>eyJoZGlkIjoiYzdkM2VkZmU0NzkyODIxNWEyYWVmZDY0MTY0YjJlNzQiLCJ1c2VySWQiOiIxNzc4NzEzNDEyIn0=</vt:lpwstr>
  </property>
  <property fmtid="{D5CDD505-2E9C-101B-9397-08002B2CF9AE}" pid="6" name="KSOProductBuildVer">
    <vt:lpwstr>2052-12.1.0.24034</vt:lpwstr>
  </property>
  <property fmtid="{D5CDD505-2E9C-101B-9397-08002B2CF9AE}" pid="7" name="ICV">
    <vt:lpwstr>DA26AEE2E33E407481703D02D357F74E_12</vt:lpwstr>
  </property>
</Properties>
</file>