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71" w:rsidRDefault="00996B71" w:rsidP="00996B71">
      <w:pPr>
        <w:pStyle w:val="1"/>
        <w:keepNext w:val="0"/>
        <w:keepLines w:val="0"/>
        <w:pageBreakBefore/>
        <w:rPr>
          <w:rFonts w:ascii="宋体" w:hAnsi="宋体" w:hint="eastAsia"/>
          <w:color w:val="auto"/>
          <w:sz w:val="32"/>
          <w:szCs w:val="32"/>
        </w:rPr>
      </w:pPr>
      <w:bookmarkStart w:id="0" w:name="_Toc3662"/>
      <w:bookmarkStart w:id="1" w:name="_Toc10647"/>
      <w:bookmarkStart w:id="2" w:name="_Toc36131457"/>
      <w:bookmarkStart w:id="3" w:name="_Toc10027"/>
      <w:r>
        <w:rPr>
          <w:rFonts w:ascii="宋体" w:hAnsi="宋体" w:hint="eastAsia"/>
          <w:color w:val="auto"/>
          <w:sz w:val="32"/>
          <w:szCs w:val="32"/>
        </w:rPr>
        <w:t>附表35 市政设施养护违约处罚明细表</w:t>
      </w:r>
      <w:bookmarkEnd w:id="0"/>
      <w:bookmarkEnd w:id="1"/>
      <w:bookmarkEnd w:id="2"/>
      <w:bookmarkEnd w:id="3"/>
    </w:p>
    <w:p w:rsidR="00996B71" w:rsidRDefault="00996B71" w:rsidP="00996B71">
      <w:pPr>
        <w:ind w:right="960"/>
        <w:jc w:val="left"/>
        <w:rPr>
          <w:rFonts w:ascii="仿宋_GB2312" w:eastAsia="仿宋_GB2312" w:hAnsi="宋体"/>
          <w:color w:val="auto"/>
          <w:sz w:val="28"/>
          <w:szCs w:val="28"/>
        </w:rPr>
      </w:pPr>
    </w:p>
    <w:tbl>
      <w:tblPr>
        <w:tblW w:w="14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1134"/>
        <w:gridCol w:w="9813"/>
        <w:gridCol w:w="1984"/>
        <w:gridCol w:w="898"/>
      </w:tblGrid>
      <w:tr w:rsidR="00996B71" w:rsidTr="008E516B">
        <w:trPr>
          <w:trHeight w:val="545"/>
          <w:jc w:val="center"/>
        </w:trPr>
        <w:tc>
          <w:tcPr>
            <w:tcW w:w="677" w:type="dxa"/>
            <w:vAlign w:val="center"/>
          </w:tcPr>
          <w:p w:rsidR="00996B71" w:rsidRDefault="00996B71" w:rsidP="008E516B">
            <w:pPr>
              <w:jc w:val="center"/>
              <w:rPr>
                <w:rFonts w:ascii="宋体" w:hAnsi="宋体"/>
                <w:b/>
              </w:rPr>
            </w:pPr>
            <w:r>
              <w:rPr>
                <w:rFonts w:ascii="宋体" w:hAnsi="宋体" w:hint="eastAsia"/>
                <w:b/>
              </w:rPr>
              <w:t>序号</w:t>
            </w:r>
          </w:p>
        </w:tc>
        <w:tc>
          <w:tcPr>
            <w:tcW w:w="1134" w:type="dxa"/>
            <w:vAlign w:val="center"/>
          </w:tcPr>
          <w:p w:rsidR="00996B71" w:rsidRDefault="00996B71" w:rsidP="008E516B">
            <w:pPr>
              <w:jc w:val="center"/>
              <w:rPr>
                <w:rFonts w:ascii="宋体" w:hAnsi="宋体"/>
                <w:b/>
              </w:rPr>
            </w:pPr>
            <w:r>
              <w:rPr>
                <w:rFonts w:ascii="宋体" w:hAnsi="宋体" w:hint="eastAsia"/>
                <w:b/>
              </w:rPr>
              <w:t>项目</w:t>
            </w:r>
          </w:p>
        </w:tc>
        <w:tc>
          <w:tcPr>
            <w:tcW w:w="9813" w:type="dxa"/>
            <w:vAlign w:val="center"/>
          </w:tcPr>
          <w:p w:rsidR="00996B71" w:rsidRDefault="00996B71" w:rsidP="008E516B">
            <w:pPr>
              <w:jc w:val="center"/>
              <w:rPr>
                <w:rFonts w:ascii="宋体" w:hAnsi="宋体"/>
                <w:b/>
              </w:rPr>
            </w:pPr>
            <w:r>
              <w:rPr>
                <w:rFonts w:ascii="宋体" w:hAnsi="宋体" w:hint="eastAsia"/>
                <w:b/>
              </w:rPr>
              <w:t>违规、违约内容</w:t>
            </w:r>
          </w:p>
        </w:tc>
        <w:tc>
          <w:tcPr>
            <w:tcW w:w="1984" w:type="dxa"/>
            <w:vAlign w:val="center"/>
          </w:tcPr>
          <w:p w:rsidR="00996B71" w:rsidRDefault="00996B71" w:rsidP="008E516B">
            <w:pPr>
              <w:jc w:val="center"/>
              <w:rPr>
                <w:rFonts w:ascii="宋体" w:hAnsi="宋体"/>
                <w:b/>
              </w:rPr>
            </w:pPr>
            <w:r>
              <w:rPr>
                <w:rFonts w:ascii="宋体" w:hAnsi="宋体" w:hint="eastAsia"/>
                <w:b/>
              </w:rPr>
              <w:t>处罚标准</w:t>
            </w:r>
          </w:p>
        </w:tc>
        <w:tc>
          <w:tcPr>
            <w:tcW w:w="898" w:type="dxa"/>
            <w:vAlign w:val="center"/>
          </w:tcPr>
          <w:p w:rsidR="00996B71" w:rsidRDefault="00996B71" w:rsidP="008E516B">
            <w:pPr>
              <w:jc w:val="center"/>
              <w:rPr>
                <w:rFonts w:ascii="宋体" w:hAnsi="宋体"/>
                <w:b/>
              </w:rPr>
            </w:pPr>
            <w:r>
              <w:rPr>
                <w:rFonts w:ascii="宋体" w:hAnsi="宋体" w:hint="eastAsia"/>
                <w:b/>
              </w:rPr>
              <w:t>备注</w:t>
            </w:r>
          </w:p>
        </w:tc>
      </w:tr>
      <w:tr w:rsidR="00996B71" w:rsidTr="008E516B">
        <w:trPr>
          <w:trHeight w:val="442"/>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restart"/>
            <w:vAlign w:val="center"/>
          </w:tcPr>
          <w:p w:rsidR="00996B71" w:rsidRDefault="00996B71" w:rsidP="008E516B">
            <w:pPr>
              <w:jc w:val="center"/>
              <w:rPr>
                <w:rFonts w:ascii="宋体" w:hAnsi="宋体"/>
                <w:b/>
              </w:rPr>
            </w:pPr>
            <w:r>
              <w:rPr>
                <w:rFonts w:ascii="宋体" w:hAnsi="宋体" w:hint="eastAsia"/>
                <w:b/>
              </w:rPr>
              <w:t>人员、</w:t>
            </w:r>
          </w:p>
          <w:p w:rsidR="00996B71" w:rsidRDefault="00996B71" w:rsidP="008E516B">
            <w:pPr>
              <w:jc w:val="center"/>
              <w:rPr>
                <w:rFonts w:ascii="宋体" w:hAnsi="宋体"/>
                <w:b/>
              </w:rPr>
            </w:pPr>
            <w:r>
              <w:rPr>
                <w:rFonts w:ascii="宋体" w:hAnsi="宋体" w:hint="eastAsia"/>
                <w:b/>
              </w:rPr>
              <w:t>设备、</w:t>
            </w:r>
          </w:p>
          <w:p w:rsidR="00996B71" w:rsidRDefault="00996B71" w:rsidP="008E516B">
            <w:pPr>
              <w:jc w:val="center"/>
              <w:rPr>
                <w:rFonts w:ascii="宋体" w:hAnsi="宋体"/>
                <w:b/>
              </w:rPr>
            </w:pPr>
            <w:r>
              <w:rPr>
                <w:rFonts w:ascii="宋体" w:hAnsi="宋体" w:hint="eastAsia"/>
                <w:b/>
              </w:rPr>
              <w:t>及材料</w:t>
            </w:r>
          </w:p>
        </w:tc>
        <w:tc>
          <w:tcPr>
            <w:tcW w:w="9813" w:type="dxa"/>
            <w:vAlign w:val="center"/>
          </w:tcPr>
          <w:p w:rsidR="00996B71" w:rsidRDefault="00996B71" w:rsidP="008E516B">
            <w:pPr>
              <w:spacing w:line="252" w:lineRule="auto"/>
              <w:jc w:val="left"/>
              <w:rPr>
                <w:rFonts w:ascii="宋体" w:eastAsia="宋体" w:hAnsi="宋体" w:hint="eastAsia"/>
              </w:rPr>
            </w:pPr>
            <w:r>
              <w:rPr>
                <w:rFonts w:ascii="宋体" w:hAnsi="宋体" w:hint="eastAsia"/>
              </w:rPr>
              <w:t>项目经理未经批准，擅自离开施工现场或出勤时间不足的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5000</w:t>
            </w:r>
            <w:r>
              <w:rPr>
                <w:rFonts w:ascii="宋体" w:hAnsi="宋体" w:hint="eastAsia"/>
                <w:b/>
                <w:szCs w:val="21"/>
              </w:rPr>
              <w:t>元</w:t>
            </w:r>
            <w:r>
              <w:rPr>
                <w:rFonts w:ascii="宋体" w:hAnsi="宋体" w:hint="eastAsia"/>
                <w:b/>
                <w:szCs w:val="21"/>
              </w:rPr>
              <w:t>/</w:t>
            </w:r>
            <w:r>
              <w:rPr>
                <w:rFonts w:ascii="宋体" w:hAnsi="宋体" w:hint="eastAsia"/>
                <w:b/>
                <w:szCs w:val="21"/>
              </w:rPr>
              <w:t>天</w:t>
            </w:r>
          </w:p>
        </w:tc>
        <w:tc>
          <w:tcPr>
            <w:tcW w:w="898" w:type="dxa"/>
            <w:vAlign w:val="center"/>
          </w:tcPr>
          <w:p w:rsidR="00996B71" w:rsidRDefault="00996B71" w:rsidP="008E516B">
            <w:pPr>
              <w:tabs>
                <w:tab w:val="left" w:pos="720"/>
              </w:tabs>
              <w:snapToGrid w:val="0"/>
              <w:jc w:val="center"/>
              <w:rPr>
                <w:rFonts w:ascii="宋体" w:eastAsia="宋体" w:hAnsi="宋体"/>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承包人擅自更换项目经理的或承包人无正当理由拒绝更换项目经理的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20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hAnsi="宋体"/>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eastAsia="宋体" w:hAnsi="宋体" w:hint="eastAsia"/>
              </w:rPr>
            </w:pPr>
            <w:r>
              <w:rPr>
                <w:rFonts w:ascii="宋体" w:hAnsi="宋体" w:hint="eastAsia"/>
              </w:rPr>
              <w:t>经发包人书面批准，承包人更换项目经理的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20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hAnsi="宋体"/>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项目经理同时担任其他项目的项目经理（无论是名义上还是实质上的项目负责人）的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10</w:t>
            </w:r>
            <w:r>
              <w:rPr>
                <w:rFonts w:ascii="宋体" w:hAnsi="宋体" w:hint="eastAsia"/>
                <w:b/>
                <w:szCs w:val="21"/>
              </w:rPr>
              <w:t>万元</w:t>
            </w:r>
          </w:p>
        </w:tc>
        <w:tc>
          <w:tcPr>
            <w:tcW w:w="898" w:type="dxa"/>
            <w:vAlign w:val="center"/>
          </w:tcPr>
          <w:p w:rsidR="00996B71" w:rsidRDefault="00996B71" w:rsidP="008E516B">
            <w:pPr>
              <w:tabs>
                <w:tab w:val="left" w:pos="720"/>
              </w:tabs>
              <w:snapToGrid w:val="0"/>
              <w:jc w:val="center"/>
              <w:rPr>
                <w:rFonts w:ascii="宋体" w:eastAsia="宋体" w:hAnsi="宋体" w:cs="Times New Roman"/>
                <w:kern w:val="2"/>
                <w:sz w:val="21"/>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承包人擅自更换主要施工管理人员的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5</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eastAsia="宋体" w:hAnsi="宋体"/>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承包人主要施工管理人员擅自离开施工现场的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2000</w:t>
            </w:r>
            <w:r>
              <w:rPr>
                <w:rFonts w:ascii="宋体" w:hAnsi="宋体" w:hint="eastAsia"/>
                <w:b/>
                <w:szCs w:val="21"/>
              </w:rPr>
              <w:t>元</w:t>
            </w:r>
            <w:r>
              <w:rPr>
                <w:rFonts w:ascii="宋体" w:hAnsi="宋体" w:hint="eastAsia"/>
                <w:b/>
                <w:szCs w:val="21"/>
              </w:rPr>
              <w:t>/</w:t>
            </w:r>
            <w:r>
              <w:rPr>
                <w:rFonts w:ascii="宋体" w:hAnsi="宋体" w:hint="eastAsia"/>
                <w:b/>
                <w:szCs w:val="21"/>
              </w:rPr>
              <w:t>人·天</w:t>
            </w:r>
          </w:p>
        </w:tc>
        <w:tc>
          <w:tcPr>
            <w:tcW w:w="898" w:type="dxa"/>
            <w:vAlign w:val="center"/>
          </w:tcPr>
          <w:p w:rsidR="00996B71" w:rsidRDefault="00996B71" w:rsidP="008E516B">
            <w:pPr>
              <w:tabs>
                <w:tab w:val="left" w:pos="720"/>
              </w:tabs>
              <w:snapToGrid w:val="0"/>
              <w:jc w:val="center"/>
              <w:rPr>
                <w:rFonts w:ascii="宋体" w:eastAsia="宋体" w:hAnsi="宋体"/>
                <w:szCs w:val="21"/>
              </w:rPr>
            </w:pPr>
          </w:p>
        </w:tc>
      </w:tr>
      <w:tr w:rsidR="00996B71" w:rsidTr="008E516B">
        <w:trPr>
          <w:trHeight w:val="419"/>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szCs w:val="21"/>
              </w:rPr>
            </w:pPr>
            <w:r>
              <w:rPr>
                <w:rFonts w:ascii="宋体" w:hAnsi="宋体" w:hint="eastAsia"/>
                <w:szCs w:val="21"/>
              </w:rPr>
              <w:t>现场作业人员及巡视人员到岗不满足合同要求，或未定员定岗</w:t>
            </w:r>
          </w:p>
        </w:tc>
        <w:tc>
          <w:tcPr>
            <w:tcW w:w="1984" w:type="dxa"/>
            <w:vAlign w:val="center"/>
          </w:tcPr>
          <w:p w:rsidR="00996B71" w:rsidRDefault="00996B71" w:rsidP="008E516B">
            <w:pPr>
              <w:tabs>
                <w:tab w:val="left" w:pos="720"/>
              </w:tabs>
              <w:jc w:val="center"/>
              <w:rPr>
                <w:rFonts w:ascii="宋体" w:hAnsi="宋体"/>
                <w:b/>
                <w:szCs w:val="21"/>
              </w:rPr>
            </w:pPr>
            <w:r>
              <w:rPr>
                <w:rFonts w:ascii="宋体" w:hAnsi="宋体" w:hint="eastAsia"/>
                <w:b/>
                <w:szCs w:val="21"/>
              </w:rPr>
              <w:t>5000</w:t>
            </w:r>
            <w:r>
              <w:rPr>
                <w:rFonts w:ascii="宋体" w:hAnsi="宋体" w:hint="eastAsia"/>
                <w:b/>
                <w:szCs w:val="21"/>
              </w:rPr>
              <w:t>元</w:t>
            </w:r>
            <w:r>
              <w:rPr>
                <w:rFonts w:ascii="宋体" w:hAnsi="宋体" w:hint="eastAsia"/>
                <w:b/>
                <w:szCs w:val="21"/>
              </w:rPr>
              <w:t>/</w:t>
            </w:r>
            <w:r>
              <w:rPr>
                <w:rFonts w:ascii="宋体" w:hAnsi="宋体" w:hint="eastAsia"/>
                <w:b/>
                <w:szCs w:val="21"/>
              </w:rPr>
              <w:t>人</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hAnsi="宋体"/>
                <w:szCs w:val="21"/>
              </w:rPr>
            </w:pPr>
          </w:p>
        </w:tc>
      </w:tr>
      <w:tr w:rsidR="00996B71" w:rsidTr="008E516B">
        <w:trPr>
          <w:trHeight w:val="407"/>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tabs>
                <w:tab w:val="left" w:pos="720"/>
              </w:tabs>
              <w:spacing w:line="252" w:lineRule="auto"/>
              <w:jc w:val="left"/>
              <w:rPr>
                <w:rFonts w:ascii="宋体" w:hAnsi="宋体"/>
                <w:szCs w:val="21"/>
              </w:rPr>
            </w:pPr>
            <w:r>
              <w:rPr>
                <w:rFonts w:ascii="宋体" w:hAnsi="宋体" w:hint="eastAsia"/>
                <w:szCs w:val="21"/>
              </w:rPr>
              <w:t>养护过程中，巡视员、施工作业人员未按要求统一着装</w:t>
            </w:r>
          </w:p>
        </w:tc>
        <w:tc>
          <w:tcPr>
            <w:tcW w:w="1984" w:type="dxa"/>
            <w:vAlign w:val="center"/>
          </w:tcPr>
          <w:p w:rsidR="00996B71" w:rsidRDefault="00996B71" w:rsidP="008E516B">
            <w:pPr>
              <w:tabs>
                <w:tab w:val="left" w:pos="720"/>
              </w:tabs>
              <w:jc w:val="center"/>
              <w:rPr>
                <w:rFonts w:ascii="宋体" w:hAnsi="宋体"/>
                <w:b/>
                <w:szCs w:val="21"/>
              </w:rPr>
            </w:pPr>
            <w:r>
              <w:rPr>
                <w:rFonts w:ascii="宋体" w:hAnsi="宋体" w:hint="eastAsia"/>
                <w:b/>
                <w:szCs w:val="21"/>
              </w:rPr>
              <w:t>1000</w:t>
            </w:r>
            <w:r>
              <w:rPr>
                <w:rFonts w:ascii="宋体" w:hAnsi="宋体" w:hint="eastAsia"/>
                <w:b/>
                <w:szCs w:val="21"/>
              </w:rPr>
              <w:t>元</w:t>
            </w:r>
            <w:r>
              <w:rPr>
                <w:rFonts w:ascii="宋体" w:hAnsi="宋体" w:hint="eastAsia"/>
                <w:b/>
                <w:szCs w:val="21"/>
              </w:rPr>
              <w:t>/</w:t>
            </w:r>
            <w:r>
              <w:rPr>
                <w:rFonts w:ascii="宋体" w:hAnsi="宋体" w:hint="eastAsia"/>
                <w:b/>
                <w:szCs w:val="21"/>
              </w:rPr>
              <w:t>人</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hAnsi="宋体"/>
                <w:strike/>
                <w:szCs w:val="21"/>
              </w:rPr>
            </w:pPr>
          </w:p>
        </w:tc>
      </w:tr>
      <w:tr w:rsidR="00996B71" w:rsidTr="008E516B">
        <w:trPr>
          <w:trHeight w:val="407"/>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rPr>
            </w:pPr>
            <w:r>
              <w:rPr>
                <w:rFonts w:ascii="宋体" w:hAnsi="宋体" w:hint="eastAsia"/>
              </w:rPr>
              <w:t>承包人未按主材名录规定主材品牌选购材料、或未对进场材料按要求进行申报即投入施工</w:t>
            </w:r>
          </w:p>
        </w:tc>
        <w:tc>
          <w:tcPr>
            <w:tcW w:w="1984" w:type="dxa"/>
            <w:vAlign w:val="center"/>
          </w:tcPr>
          <w:p w:rsidR="00996B71" w:rsidRDefault="00996B71" w:rsidP="008E516B">
            <w:pPr>
              <w:tabs>
                <w:tab w:val="left" w:pos="720"/>
              </w:tabs>
              <w:snapToGrid w:val="0"/>
              <w:jc w:val="center"/>
              <w:rPr>
                <w:rFonts w:ascii="宋体" w:hAnsi="宋体"/>
                <w:b/>
                <w:szCs w:val="21"/>
              </w:rPr>
            </w:pPr>
            <w:r>
              <w:rPr>
                <w:rFonts w:ascii="宋体" w:hAnsi="宋体" w:hint="eastAsia"/>
                <w:b/>
                <w:szCs w:val="21"/>
              </w:rPr>
              <w:t>10000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snapToGrid w:val="0"/>
              <w:jc w:val="center"/>
              <w:rPr>
                <w:rFonts w:ascii="宋体" w:hAnsi="宋体"/>
                <w:szCs w:val="21"/>
              </w:rPr>
            </w:pPr>
          </w:p>
        </w:tc>
      </w:tr>
      <w:tr w:rsidR="00996B71" w:rsidTr="008E516B">
        <w:trPr>
          <w:trHeight w:val="291"/>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eastAsia="宋体" w:hAnsi="宋体"/>
              </w:rPr>
            </w:pPr>
            <w:r>
              <w:rPr>
                <w:rFonts w:ascii="宋体" w:hAnsi="宋体" w:hint="eastAsia"/>
              </w:rPr>
              <w:t>机械设备擅自离开本标段，或养护作业时未按要求投入使用</w:t>
            </w:r>
          </w:p>
        </w:tc>
        <w:tc>
          <w:tcPr>
            <w:tcW w:w="1984" w:type="dxa"/>
            <w:vAlign w:val="center"/>
          </w:tcPr>
          <w:p w:rsidR="00996B71" w:rsidRDefault="00996B71" w:rsidP="008E516B">
            <w:pPr>
              <w:tabs>
                <w:tab w:val="left" w:pos="720"/>
              </w:tabs>
              <w:snapToGrid w:val="0"/>
              <w:jc w:val="center"/>
              <w:rPr>
                <w:rFonts w:ascii="宋体" w:hAnsi="宋体"/>
                <w:b/>
                <w:szCs w:val="21"/>
              </w:rPr>
            </w:pPr>
            <w:r>
              <w:rPr>
                <w:rFonts w:ascii="宋体" w:hAnsi="宋体" w:hint="eastAsia"/>
                <w:b/>
                <w:szCs w:val="21"/>
              </w:rPr>
              <w:t>3000</w:t>
            </w:r>
            <w:r>
              <w:rPr>
                <w:rFonts w:ascii="宋体" w:hAnsi="宋体" w:hint="eastAsia"/>
                <w:b/>
                <w:szCs w:val="21"/>
              </w:rPr>
              <w:t>～</w:t>
            </w:r>
            <w:r>
              <w:rPr>
                <w:rFonts w:ascii="宋体" w:hAnsi="宋体" w:hint="eastAsia"/>
                <w:b/>
                <w:szCs w:val="21"/>
              </w:rPr>
              <w:t>3</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jc w:val="center"/>
              <w:rPr>
                <w:rFonts w:ascii="宋体" w:hAnsi="宋体"/>
                <w:color w:val="FF0000"/>
                <w:szCs w:val="21"/>
              </w:rPr>
            </w:pPr>
          </w:p>
        </w:tc>
      </w:tr>
      <w:tr w:rsidR="00996B71" w:rsidTr="008E516B">
        <w:trPr>
          <w:trHeight w:val="545"/>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restart"/>
            <w:vAlign w:val="center"/>
          </w:tcPr>
          <w:p w:rsidR="00996B71" w:rsidRDefault="00996B71" w:rsidP="008E516B">
            <w:pPr>
              <w:jc w:val="center"/>
              <w:rPr>
                <w:rFonts w:ascii="宋体" w:hAnsi="宋体"/>
                <w:b/>
              </w:rPr>
            </w:pPr>
            <w:r>
              <w:rPr>
                <w:rFonts w:ascii="宋体" w:hAnsi="宋体" w:hint="eastAsia"/>
                <w:b/>
              </w:rPr>
              <w:t>巡视</w:t>
            </w:r>
          </w:p>
          <w:p w:rsidR="00996B71" w:rsidRDefault="00996B71" w:rsidP="008E516B">
            <w:pPr>
              <w:jc w:val="center"/>
              <w:rPr>
                <w:rFonts w:ascii="宋体" w:hAnsi="宋体"/>
                <w:b/>
              </w:rPr>
            </w:pPr>
            <w:r>
              <w:rPr>
                <w:rFonts w:ascii="宋体" w:hAnsi="宋体" w:hint="eastAsia"/>
                <w:b/>
              </w:rPr>
              <w:lastRenderedPageBreak/>
              <w:t>检查</w:t>
            </w:r>
          </w:p>
          <w:p w:rsidR="00996B71" w:rsidRDefault="00996B71" w:rsidP="008E516B">
            <w:pPr>
              <w:jc w:val="center"/>
              <w:rPr>
                <w:rFonts w:ascii="宋体" w:hAnsi="宋体"/>
                <w:b/>
              </w:rPr>
            </w:pPr>
          </w:p>
        </w:tc>
        <w:tc>
          <w:tcPr>
            <w:tcW w:w="9813" w:type="dxa"/>
            <w:vAlign w:val="center"/>
          </w:tcPr>
          <w:p w:rsidR="00996B71" w:rsidRDefault="00996B71" w:rsidP="00996B71">
            <w:pPr>
              <w:snapToGrid w:val="0"/>
              <w:spacing w:beforeLines="15" w:line="252" w:lineRule="auto"/>
              <w:jc w:val="left"/>
              <w:rPr>
                <w:rFonts w:ascii="宋体" w:hAnsi="宋体"/>
                <w:szCs w:val="21"/>
              </w:rPr>
            </w:pPr>
            <w:r>
              <w:rPr>
                <w:rFonts w:ascii="宋体" w:hAnsi="宋体" w:hint="eastAsia"/>
                <w:szCs w:val="21"/>
              </w:rPr>
              <w:lastRenderedPageBreak/>
              <w:t>承包人未建立巡视检查及台</w:t>
            </w:r>
            <w:proofErr w:type="gramStart"/>
            <w:r>
              <w:rPr>
                <w:rFonts w:ascii="宋体" w:hAnsi="宋体" w:hint="eastAsia"/>
                <w:szCs w:val="21"/>
              </w:rPr>
              <w:t>账管理</w:t>
            </w:r>
            <w:proofErr w:type="gramEnd"/>
            <w:r>
              <w:rPr>
                <w:rFonts w:ascii="宋体" w:hAnsi="宋体" w:hint="eastAsia"/>
                <w:szCs w:val="21"/>
              </w:rPr>
              <w:t>制度；未进行巡视岗前培训，无法提供培训记录；无巡视记录或巡视记录不到位</w:t>
            </w:r>
          </w:p>
        </w:tc>
        <w:tc>
          <w:tcPr>
            <w:tcW w:w="1984" w:type="dxa"/>
            <w:vAlign w:val="center"/>
          </w:tcPr>
          <w:p w:rsidR="00996B71" w:rsidRDefault="00996B71" w:rsidP="008E516B">
            <w:pPr>
              <w:tabs>
                <w:tab w:val="left" w:pos="720"/>
              </w:tabs>
              <w:jc w:val="center"/>
              <w:rPr>
                <w:rFonts w:ascii="宋体" w:hAnsi="宋体"/>
                <w:b/>
                <w:szCs w:val="21"/>
              </w:rPr>
            </w:pPr>
            <w:r>
              <w:rPr>
                <w:rFonts w:ascii="宋体" w:hAnsi="宋体" w:hint="eastAsia"/>
                <w:b/>
                <w:szCs w:val="21"/>
              </w:rPr>
              <w:t>2500</w:t>
            </w:r>
            <w:r>
              <w:rPr>
                <w:rFonts w:ascii="宋体" w:hAnsi="宋体" w:hint="eastAsia"/>
                <w:b/>
                <w:szCs w:val="21"/>
              </w:rPr>
              <w:t>元</w:t>
            </w:r>
            <w:r>
              <w:rPr>
                <w:rFonts w:ascii="宋体" w:hAnsi="宋体" w:hint="eastAsia"/>
                <w:b/>
                <w:szCs w:val="21"/>
              </w:rPr>
              <w:t>/</w:t>
            </w:r>
            <w:r>
              <w:rPr>
                <w:rFonts w:ascii="宋体" w:hAnsi="宋体" w:hint="eastAsia"/>
                <w:b/>
                <w:szCs w:val="21"/>
              </w:rPr>
              <w:t>项</w:t>
            </w:r>
          </w:p>
        </w:tc>
        <w:tc>
          <w:tcPr>
            <w:tcW w:w="898" w:type="dxa"/>
            <w:vAlign w:val="center"/>
          </w:tcPr>
          <w:p w:rsidR="00996B71" w:rsidRDefault="00996B71" w:rsidP="008E516B">
            <w:pPr>
              <w:tabs>
                <w:tab w:val="left" w:pos="720"/>
              </w:tabs>
              <w:jc w:val="center"/>
              <w:rPr>
                <w:rFonts w:ascii="宋体" w:hAnsi="宋体"/>
                <w:strike/>
                <w:szCs w:val="21"/>
              </w:rPr>
            </w:pPr>
          </w:p>
        </w:tc>
      </w:tr>
      <w:tr w:rsidR="00996B71" w:rsidTr="008E516B">
        <w:trPr>
          <w:trHeight w:val="388"/>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szCs w:val="21"/>
              </w:rPr>
            </w:pPr>
            <w:r>
              <w:rPr>
                <w:rFonts w:ascii="宋体" w:hAnsi="宋体" w:hint="eastAsia"/>
                <w:szCs w:val="21"/>
              </w:rPr>
              <w:t>巡视人员未进行巡视或巡视不到位（视情节轻重）</w:t>
            </w:r>
          </w:p>
        </w:tc>
        <w:tc>
          <w:tcPr>
            <w:tcW w:w="1984" w:type="dxa"/>
            <w:vAlign w:val="center"/>
          </w:tcPr>
          <w:p w:rsidR="00996B71" w:rsidRDefault="00996B71" w:rsidP="008E516B">
            <w:pPr>
              <w:tabs>
                <w:tab w:val="left" w:pos="720"/>
              </w:tabs>
              <w:spacing w:line="300" w:lineRule="auto"/>
              <w:jc w:val="center"/>
              <w:rPr>
                <w:rFonts w:ascii="宋体" w:hAnsi="宋体"/>
                <w:b/>
                <w:szCs w:val="21"/>
              </w:rPr>
            </w:pPr>
            <w:r>
              <w:rPr>
                <w:rFonts w:ascii="宋体" w:hAnsi="宋体" w:hint="eastAsia"/>
                <w:b/>
                <w:szCs w:val="21"/>
              </w:rPr>
              <w:t>2500-10000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jc w:val="center"/>
              <w:rPr>
                <w:rFonts w:ascii="宋体" w:hAnsi="宋体"/>
                <w:szCs w:val="21"/>
              </w:rPr>
            </w:pPr>
          </w:p>
        </w:tc>
      </w:tr>
      <w:tr w:rsidR="00996B71" w:rsidTr="008E516B">
        <w:trPr>
          <w:trHeight w:val="397"/>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996B71">
            <w:pPr>
              <w:snapToGrid w:val="0"/>
              <w:spacing w:beforeLines="15" w:line="252" w:lineRule="auto"/>
              <w:jc w:val="left"/>
              <w:rPr>
                <w:rFonts w:ascii="宋体" w:hAnsi="宋体"/>
                <w:szCs w:val="21"/>
              </w:rPr>
            </w:pPr>
            <w:r>
              <w:rPr>
                <w:rFonts w:ascii="宋体" w:hAnsi="宋体" w:hint="eastAsia"/>
                <w:szCs w:val="21"/>
              </w:rPr>
              <w:t>巡视人员未及时发现、或发现市政设施严重破损或破损设施存在安全隐患，未及时上报（视情节轻重）</w:t>
            </w:r>
          </w:p>
        </w:tc>
        <w:tc>
          <w:tcPr>
            <w:tcW w:w="1984" w:type="dxa"/>
            <w:vAlign w:val="center"/>
          </w:tcPr>
          <w:p w:rsidR="00996B71" w:rsidRDefault="00996B71" w:rsidP="008E516B">
            <w:pPr>
              <w:tabs>
                <w:tab w:val="left" w:pos="720"/>
              </w:tabs>
              <w:jc w:val="center"/>
              <w:rPr>
                <w:rFonts w:ascii="宋体" w:hAnsi="宋体"/>
                <w:b/>
                <w:szCs w:val="21"/>
              </w:rPr>
            </w:pPr>
            <w:r>
              <w:rPr>
                <w:rFonts w:ascii="宋体" w:hAnsi="宋体" w:hint="eastAsia"/>
                <w:b/>
                <w:szCs w:val="21"/>
              </w:rPr>
              <w:t>2500-10000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jc w:val="center"/>
              <w:rPr>
                <w:rFonts w:ascii="宋体" w:hAnsi="宋体"/>
                <w:szCs w:val="21"/>
              </w:rPr>
            </w:pPr>
          </w:p>
        </w:tc>
      </w:tr>
      <w:tr w:rsidR="00996B71" w:rsidTr="008E516B">
        <w:trPr>
          <w:trHeight w:val="545"/>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996B71">
            <w:pPr>
              <w:snapToGrid w:val="0"/>
              <w:spacing w:beforeLines="15" w:line="252" w:lineRule="auto"/>
              <w:jc w:val="left"/>
              <w:rPr>
                <w:rFonts w:ascii="宋体" w:hAnsi="宋体" w:hint="eastAsia"/>
                <w:szCs w:val="21"/>
              </w:rPr>
            </w:pPr>
            <w:r>
              <w:rPr>
                <w:rFonts w:ascii="宋体" w:hAnsi="宋体" w:hint="eastAsia"/>
                <w:szCs w:val="21"/>
              </w:rPr>
              <w:t>承包人在巡视过程中应及时调查取证并阻止其他单位或个人对市政设施的非法开挖、占用或破坏。若未发现、未报告，造成的市政设施损坏由承包商负责无偿修复，且对承包人进行追加处罚</w:t>
            </w:r>
          </w:p>
        </w:tc>
        <w:tc>
          <w:tcPr>
            <w:tcW w:w="1984" w:type="dxa"/>
            <w:vAlign w:val="center"/>
          </w:tcPr>
          <w:p w:rsidR="00996B71" w:rsidRDefault="00996B71" w:rsidP="00996B71">
            <w:pPr>
              <w:snapToGrid w:val="0"/>
              <w:spacing w:beforeLines="15" w:line="252" w:lineRule="auto"/>
              <w:jc w:val="center"/>
              <w:rPr>
                <w:rFonts w:ascii="宋体" w:hAnsi="宋体" w:hint="eastAsia"/>
                <w:szCs w:val="21"/>
              </w:rPr>
            </w:pPr>
            <w:r>
              <w:rPr>
                <w:rFonts w:ascii="宋体" w:hAnsi="宋体" w:hint="eastAsia"/>
                <w:b/>
                <w:szCs w:val="21"/>
              </w:rPr>
              <w:t>5</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tabs>
                <w:tab w:val="left" w:pos="720"/>
              </w:tabs>
              <w:jc w:val="center"/>
              <w:rPr>
                <w:rFonts w:ascii="宋体" w:hAnsi="宋体"/>
                <w:szCs w:val="21"/>
              </w:rPr>
            </w:pPr>
          </w:p>
        </w:tc>
      </w:tr>
      <w:tr w:rsidR="00996B71" w:rsidTr="008E516B">
        <w:trPr>
          <w:trHeight w:val="355"/>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restart"/>
            <w:vAlign w:val="center"/>
          </w:tcPr>
          <w:p w:rsidR="00996B71" w:rsidRDefault="00996B71" w:rsidP="008E516B">
            <w:pPr>
              <w:jc w:val="center"/>
              <w:rPr>
                <w:rFonts w:ascii="宋体" w:hAnsi="宋体" w:hint="eastAsia"/>
                <w:b/>
              </w:rPr>
            </w:pPr>
          </w:p>
          <w:p w:rsidR="00996B71" w:rsidRDefault="00996B71" w:rsidP="008E516B">
            <w:pPr>
              <w:jc w:val="center"/>
              <w:rPr>
                <w:rFonts w:ascii="宋体" w:hAnsi="宋体" w:hint="eastAsia"/>
                <w:b/>
              </w:rPr>
            </w:pPr>
          </w:p>
          <w:p w:rsidR="00996B71" w:rsidRDefault="00996B71" w:rsidP="008E516B">
            <w:pPr>
              <w:jc w:val="center"/>
              <w:rPr>
                <w:rFonts w:ascii="宋体" w:hAnsi="宋体"/>
                <w:b/>
              </w:rPr>
            </w:pPr>
            <w:r>
              <w:rPr>
                <w:rFonts w:ascii="宋体" w:hAnsi="宋体" w:hint="eastAsia"/>
                <w:b/>
              </w:rPr>
              <w:t>养护</w:t>
            </w:r>
          </w:p>
          <w:p w:rsidR="00996B71" w:rsidRDefault="00996B71" w:rsidP="008E516B">
            <w:pPr>
              <w:jc w:val="center"/>
              <w:rPr>
                <w:rFonts w:ascii="宋体" w:hAnsi="宋体"/>
                <w:b/>
              </w:rPr>
            </w:pPr>
            <w:r>
              <w:rPr>
                <w:rFonts w:ascii="宋体" w:hAnsi="宋体" w:hint="eastAsia"/>
                <w:b/>
              </w:rPr>
              <w:t>施工</w:t>
            </w:r>
          </w:p>
          <w:p w:rsidR="00996B71" w:rsidRDefault="00996B71" w:rsidP="008E516B">
            <w:pPr>
              <w:jc w:val="center"/>
              <w:rPr>
                <w:rFonts w:ascii="宋体" w:hAnsi="宋体"/>
                <w:b/>
              </w:rPr>
            </w:pPr>
            <w:r>
              <w:rPr>
                <w:rFonts w:ascii="宋体" w:hAnsi="宋体" w:hint="eastAsia"/>
                <w:b/>
              </w:rPr>
              <w:t>作业</w:t>
            </w:r>
          </w:p>
        </w:tc>
        <w:tc>
          <w:tcPr>
            <w:tcW w:w="9813" w:type="dxa"/>
            <w:vAlign w:val="center"/>
          </w:tcPr>
          <w:p w:rsidR="00996B71" w:rsidRDefault="00996B71" w:rsidP="008E516B">
            <w:pPr>
              <w:spacing w:line="252" w:lineRule="auto"/>
              <w:jc w:val="left"/>
              <w:rPr>
                <w:rFonts w:ascii="宋体" w:hAnsi="宋体"/>
              </w:rPr>
            </w:pPr>
            <w:proofErr w:type="gramStart"/>
            <w:r>
              <w:rPr>
                <w:rFonts w:ascii="宋体" w:hAnsi="宋体" w:hint="eastAsia"/>
              </w:rPr>
              <w:t>养护台帐资料</w:t>
            </w:r>
            <w:proofErr w:type="gramEnd"/>
            <w:r>
              <w:rPr>
                <w:rFonts w:ascii="宋体" w:hAnsi="宋体" w:hint="eastAsia"/>
              </w:rPr>
              <w:t>不完整、不及时、不准确</w:t>
            </w:r>
          </w:p>
        </w:tc>
        <w:tc>
          <w:tcPr>
            <w:tcW w:w="1984" w:type="dxa"/>
            <w:vAlign w:val="center"/>
          </w:tcPr>
          <w:p w:rsidR="00996B71" w:rsidRDefault="00996B71" w:rsidP="008E516B">
            <w:pPr>
              <w:jc w:val="center"/>
              <w:rPr>
                <w:rFonts w:ascii="宋体" w:hAnsi="宋体"/>
                <w:b/>
              </w:rPr>
            </w:pPr>
            <w:r>
              <w:rPr>
                <w:rFonts w:ascii="宋体" w:hAnsi="宋体" w:hint="eastAsia"/>
                <w:b/>
                <w:szCs w:val="21"/>
              </w:rPr>
              <w:t>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strike/>
              </w:rPr>
            </w:pPr>
          </w:p>
        </w:tc>
      </w:tr>
      <w:tr w:rsidR="00996B71" w:rsidTr="008E516B">
        <w:trPr>
          <w:trHeight w:val="355"/>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hint="eastAsia"/>
                <w:b/>
              </w:rPr>
            </w:pPr>
          </w:p>
        </w:tc>
        <w:tc>
          <w:tcPr>
            <w:tcW w:w="9813" w:type="dxa"/>
            <w:vAlign w:val="center"/>
          </w:tcPr>
          <w:p w:rsidR="00996B71" w:rsidRDefault="00996B71" w:rsidP="008E516B">
            <w:pPr>
              <w:spacing w:line="252" w:lineRule="auto"/>
              <w:jc w:val="left"/>
              <w:rPr>
                <w:rFonts w:ascii="宋体" w:hAnsi="宋体"/>
              </w:rPr>
            </w:pPr>
            <w:r>
              <w:rPr>
                <w:rFonts w:ascii="宋体" w:hAnsi="宋体" w:hint="eastAsia"/>
              </w:rPr>
              <w:t>各类表单未签字或签署不完整，工作不及时或不到位</w:t>
            </w:r>
          </w:p>
        </w:tc>
        <w:tc>
          <w:tcPr>
            <w:tcW w:w="1984" w:type="dxa"/>
            <w:vAlign w:val="center"/>
          </w:tcPr>
          <w:p w:rsidR="00996B71" w:rsidRDefault="00996B71" w:rsidP="008E516B">
            <w:pPr>
              <w:jc w:val="center"/>
              <w:rPr>
                <w:rFonts w:ascii="宋体" w:hAnsi="宋体"/>
                <w:b/>
                <w:szCs w:val="21"/>
              </w:rPr>
            </w:pPr>
            <w:r>
              <w:rPr>
                <w:rFonts w:ascii="宋体" w:hAnsi="宋体" w:hint="eastAsia"/>
                <w:b/>
                <w:szCs w:val="21"/>
              </w:rPr>
              <w:t>500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strike/>
              </w:rPr>
            </w:pPr>
          </w:p>
        </w:tc>
      </w:tr>
      <w:tr w:rsidR="00996B71" w:rsidTr="008E516B">
        <w:trPr>
          <w:trHeight w:val="545"/>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996B71">
            <w:pPr>
              <w:tabs>
                <w:tab w:val="left" w:pos="720"/>
              </w:tabs>
              <w:snapToGrid w:val="0"/>
              <w:spacing w:beforeLines="15" w:line="252" w:lineRule="auto"/>
              <w:jc w:val="left"/>
              <w:rPr>
                <w:rFonts w:ascii="宋体" w:hAnsi="宋体"/>
                <w:szCs w:val="21"/>
              </w:rPr>
            </w:pPr>
            <w:r>
              <w:rPr>
                <w:rFonts w:ascii="宋体" w:hAnsi="宋体" w:hint="eastAsia"/>
                <w:szCs w:val="21"/>
              </w:rPr>
              <w:t>承包人</w:t>
            </w:r>
            <w:r>
              <w:rPr>
                <w:rFonts w:ascii="宋体" w:hAnsi="宋体" w:hint="eastAsia"/>
              </w:rPr>
              <w:t>未能按时完成业主或监理布置的任务；</w:t>
            </w:r>
            <w:r>
              <w:rPr>
                <w:rFonts w:ascii="宋体" w:hAnsi="宋体" w:hint="eastAsia"/>
                <w:szCs w:val="21"/>
              </w:rPr>
              <w:t>对数字城管案件或社会投诉事件不及时回复或弄虚作假的（视情节轻重）</w:t>
            </w:r>
          </w:p>
        </w:tc>
        <w:tc>
          <w:tcPr>
            <w:tcW w:w="1984" w:type="dxa"/>
            <w:vAlign w:val="center"/>
          </w:tcPr>
          <w:p w:rsidR="00996B71" w:rsidRDefault="00996B71" w:rsidP="008E516B">
            <w:pPr>
              <w:tabs>
                <w:tab w:val="left" w:pos="720"/>
              </w:tabs>
              <w:jc w:val="center"/>
              <w:rPr>
                <w:rFonts w:ascii="宋体" w:hAnsi="宋体"/>
                <w:b/>
                <w:szCs w:val="21"/>
              </w:rPr>
            </w:pPr>
            <w:r>
              <w:rPr>
                <w:rFonts w:ascii="宋体" w:hAnsi="宋体" w:hint="eastAsia"/>
                <w:b/>
                <w:szCs w:val="21"/>
              </w:rPr>
              <w:t>5000-15000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strike/>
              </w:rPr>
            </w:pPr>
          </w:p>
        </w:tc>
      </w:tr>
      <w:tr w:rsidR="00996B71" w:rsidTr="008E516B">
        <w:trPr>
          <w:trHeight w:val="385"/>
          <w:jc w:val="center"/>
        </w:trPr>
        <w:tc>
          <w:tcPr>
            <w:tcW w:w="677" w:type="dxa"/>
            <w:vAlign w:val="center"/>
          </w:tcPr>
          <w:p w:rsidR="00996B71" w:rsidRDefault="00996B71" w:rsidP="00996B71">
            <w:pPr>
              <w:numPr>
                <w:ilvl w:val="0"/>
                <w:numId w:val="1"/>
              </w:numPr>
              <w:jc w:val="center"/>
              <w:rPr>
                <w:rFonts w:ascii="宋体" w:eastAsia="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tabs>
                <w:tab w:val="left" w:pos="720"/>
              </w:tabs>
              <w:spacing w:line="252" w:lineRule="auto"/>
              <w:jc w:val="left"/>
              <w:rPr>
                <w:rFonts w:ascii="宋体" w:hAnsi="宋体" w:hint="eastAsia"/>
                <w:szCs w:val="21"/>
              </w:rPr>
            </w:pPr>
            <w:r>
              <w:rPr>
                <w:rFonts w:ascii="宋体" w:hAnsi="宋体" w:hint="eastAsia"/>
              </w:rPr>
              <w:t>管</w:t>
            </w:r>
            <w:proofErr w:type="gramStart"/>
            <w:r>
              <w:rPr>
                <w:rFonts w:ascii="宋体" w:hAnsi="宋体" w:hint="eastAsia"/>
              </w:rPr>
              <w:t>养范围</w:t>
            </w:r>
            <w:proofErr w:type="gramEnd"/>
            <w:r>
              <w:rPr>
                <w:rFonts w:ascii="宋体" w:hAnsi="宋体" w:hint="eastAsia"/>
              </w:rPr>
              <w:t>内的市政设施损坏，承包人未及时维修或处理（视情节轻重）</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2500-10000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strike/>
                <w:highlight w:val="green"/>
              </w:rPr>
            </w:pPr>
          </w:p>
        </w:tc>
      </w:tr>
      <w:tr w:rsidR="00996B71" w:rsidTr="008E516B">
        <w:trPr>
          <w:trHeight w:val="385"/>
          <w:jc w:val="center"/>
        </w:trPr>
        <w:tc>
          <w:tcPr>
            <w:tcW w:w="677" w:type="dxa"/>
            <w:vAlign w:val="center"/>
          </w:tcPr>
          <w:p w:rsidR="00996B71" w:rsidRDefault="00996B71" w:rsidP="00996B71">
            <w:pPr>
              <w:numPr>
                <w:ilvl w:val="0"/>
                <w:numId w:val="1"/>
              </w:numPr>
              <w:jc w:val="center"/>
              <w:rPr>
                <w:rFonts w:ascii="宋体" w:eastAsia="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tabs>
                <w:tab w:val="left" w:pos="720"/>
              </w:tabs>
              <w:spacing w:line="252" w:lineRule="auto"/>
              <w:jc w:val="left"/>
              <w:rPr>
                <w:rFonts w:ascii="宋体" w:hAnsi="宋体"/>
                <w:szCs w:val="21"/>
              </w:rPr>
            </w:pPr>
            <w:r>
              <w:rPr>
                <w:rFonts w:ascii="宋体" w:hAnsi="宋体" w:hint="eastAsia"/>
                <w:szCs w:val="21"/>
              </w:rPr>
              <w:t>养护维修质量不符合规范或合同文件相关要求（视情节轻重）</w:t>
            </w:r>
          </w:p>
        </w:tc>
        <w:tc>
          <w:tcPr>
            <w:tcW w:w="1984" w:type="dxa"/>
            <w:vAlign w:val="center"/>
          </w:tcPr>
          <w:p w:rsidR="00996B71" w:rsidRDefault="00996B71" w:rsidP="008E516B">
            <w:pPr>
              <w:jc w:val="center"/>
              <w:rPr>
                <w:rFonts w:ascii="宋体" w:hAnsi="宋体"/>
                <w:b/>
                <w:szCs w:val="21"/>
              </w:rPr>
            </w:pPr>
            <w:r>
              <w:rPr>
                <w:rFonts w:ascii="宋体" w:hAnsi="宋体" w:hint="eastAsia"/>
                <w:b/>
                <w:szCs w:val="21"/>
              </w:rPr>
              <w:t>2500-10000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strike/>
              </w:rPr>
            </w:pPr>
          </w:p>
        </w:tc>
      </w:tr>
      <w:tr w:rsidR="00996B71" w:rsidTr="008E516B">
        <w:trPr>
          <w:trHeight w:val="385"/>
          <w:jc w:val="center"/>
        </w:trPr>
        <w:tc>
          <w:tcPr>
            <w:tcW w:w="677" w:type="dxa"/>
            <w:vAlign w:val="center"/>
          </w:tcPr>
          <w:p w:rsidR="00996B71" w:rsidRDefault="00996B71" w:rsidP="00996B71">
            <w:pPr>
              <w:numPr>
                <w:ilvl w:val="0"/>
                <w:numId w:val="1"/>
              </w:numPr>
              <w:jc w:val="center"/>
              <w:rPr>
                <w:rFonts w:ascii="宋体" w:eastAsia="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996B71">
            <w:pPr>
              <w:spacing w:line="252" w:lineRule="auto"/>
              <w:jc w:val="left"/>
              <w:rPr>
                <w:rFonts w:ascii="宋体" w:hAnsi="宋体" w:hint="eastAsia"/>
              </w:rPr>
            </w:pPr>
            <w:r>
              <w:rPr>
                <w:rFonts w:ascii="宋体" w:hAnsi="宋体" w:hint="eastAsia"/>
              </w:rPr>
              <w:t>养护过程中未采取文明施工、环保措施或采取措施不到位。如现场布置、路面污染、降尘降噪等（视情节轻重）</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5000-15000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eastAsia="宋体" w:hAnsi="宋体" w:cs="Times New Roman"/>
                <w:kern w:val="2"/>
                <w:sz w:val="21"/>
                <w:szCs w:val="21"/>
              </w:rPr>
            </w:pPr>
          </w:p>
        </w:tc>
      </w:tr>
      <w:tr w:rsidR="00996B71" w:rsidTr="008E516B">
        <w:trPr>
          <w:trHeight w:val="385"/>
          <w:jc w:val="center"/>
        </w:trPr>
        <w:tc>
          <w:tcPr>
            <w:tcW w:w="677" w:type="dxa"/>
            <w:vAlign w:val="center"/>
          </w:tcPr>
          <w:p w:rsidR="00996B71" w:rsidRDefault="00996B71" w:rsidP="00996B71">
            <w:pPr>
              <w:numPr>
                <w:ilvl w:val="0"/>
                <w:numId w:val="1"/>
              </w:numPr>
              <w:jc w:val="center"/>
              <w:rPr>
                <w:rFonts w:ascii="宋体" w:eastAsia="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承包人凡被发现偷倒土、建筑垃圾，或其他原因受政府有关部门批评处罚或媒体曝光</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10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eastAsia="宋体" w:hAnsi="宋体" w:cs="Times New Roman"/>
                <w:kern w:val="2"/>
                <w:sz w:val="21"/>
                <w:szCs w:val="21"/>
              </w:rPr>
            </w:pPr>
          </w:p>
        </w:tc>
      </w:tr>
      <w:tr w:rsidR="00996B71" w:rsidTr="008E516B">
        <w:trPr>
          <w:trHeight w:val="332"/>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restart"/>
            <w:vAlign w:val="center"/>
          </w:tcPr>
          <w:p w:rsidR="00996B71" w:rsidRDefault="00996B71" w:rsidP="008E516B">
            <w:pPr>
              <w:jc w:val="center"/>
              <w:rPr>
                <w:rFonts w:ascii="宋体" w:hAnsi="宋体"/>
                <w:b/>
              </w:rPr>
            </w:pPr>
            <w:r>
              <w:rPr>
                <w:rFonts w:ascii="宋体" w:hAnsi="宋体" w:hint="eastAsia"/>
                <w:b/>
              </w:rPr>
              <w:t>其他</w:t>
            </w:r>
          </w:p>
        </w:tc>
        <w:tc>
          <w:tcPr>
            <w:tcW w:w="9813" w:type="dxa"/>
            <w:vAlign w:val="center"/>
          </w:tcPr>
          <w:p w:rsidR="00996B71" w:rsidRDefault="00996B71" w:rsidP="00996B71">
            <w:pPr>
              <w:tabs>
                <w:tab w:val="left" w:pos="720"/>
              </w:tabs>
              <w:snapToGrid w:val="0"/>
              <w:spacing w:beforeLines="15" w:line="252" w:lineRule="auto"/>
              <w:jc w:val="left"/>
              <w:rPr>
                <w:rFonts w:ascii="宋体" w:hAnsi="宋体" w:hint="eastAsia"/>
                <w:szCs w:val="21"/>
              </w:rPr>
            </w:pPr>
            <w:r>
              <w:rPr>
                <w:rFonts w:ascii="宋体" w:hAnsi="宋体" w:hint="eastAsia"/>
                <w:szCs w:val="21"/>
              </w:rPr>
              <w:t>因承包人原因发生有责投诉、或</w:t>
            </w:r>
            <w:proofErr w:type="gramStart"/>
            <w:r>
              <w:rPr>
                <w:rFonts w:ascii="宋体" w:hAnsi="宋体" w:hint="eastAsia"/>
                <w:szCs w:val="21"/>
              </w:rPr>
              <w:t>遭新闻</w:t>
            </w:r>
            <w:proofErr w:type="gramEnd"/>
            <w:r>
              <w:rPr>
                <w:rFonts w:ascii="宋体" w:hAnsi="宋体" w:hint="eastAsia"/>
                <w:szCs w:val="21"/>
              </w:rPr>
              <w:t>媒体曝光（视情节轻重）</w:t>
            </w:r>
          </w:p>
        </w:tc>
        <w:tc>
          <w:tcPr>
            <w:tcW w:w="1984" w:type="dxa"/>
            <w:vAlign w:val="center"/>
          </w:tcPr>
          <w:p w:rsidR="00996B71" w:rsidRDefault="00996B71" w:rsidP="008E516B">
            <w:pPr>
              <w:jc w:val="center"/>
              <w:rPr>
                <w:rFonts w:ascii="宋体" w:hAnsi="宋体"/>
                <w:b/>
              </w:rPr>
            </w:pPr>
            <w:r>
              <w:rPr>
                <w:rFonts w:ascii="宋体" w:hAnsi="宋体" w:hint="eastAsia"/>
                <w:b/>
                <w:szCs w:val="21"/>
              </w:rPr>
              <w:t>5000-25000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rPr>
            </w:pPr>
          </w:p>
        </w:tc>
      </w:tr>
      <w:tr w:rsidR="00996B71" w:rsidTr="008E516B">
        <w:trPr>
          <w:trHeight w:val="284"/>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996B71">
            <w:pPr>
              <w:tabs>
                <w:tab w:val="left" w:pos="720"/>
              </w:tabs>
              <w:snapToGrid w:val="0"/>
              <w:spacing w:beforeLines="15" w:line="252" w:lineRule="auto"/>
              <w:jc w:val="left"/>
              <w:rPr>
                <w:rFonts w:ascii="宋体" w:hAnsi="宋体" w:hint="eastAsia"/>
                <w:szCs w:val="21"/>
              </w:rPr>
            </w:pPr>
            <w:r>
              <w:rPr>
                <w:rFonts w:ascii="宋体" w:hAnsi="宋体" w:hint="eastAsia"/>
                <w:szCs w:val="21"/>
              </w:rPr>
              <w:t>对雨雪灾害天气、重大活动保障、应急处置事件保障不力（视情节轻重）</w:t>
            </w:r>
          </w:p>
        </w:tc>
        <w:tc>
          <w:tcPr>
            <w:tcW w:w="1984" w:type="dxa"/>
            <w:vAlign w:val="center"/>
          </w:tcPr>
          <w:p w:rsidR="00996B71" w:rsidRDefault="00996B71" w:rsidP="008E516B">
            <w:pPr>
              <w:jc w:val="center"/>
              <w:rPr>
                <w:rFonts w:ascii="宋体" w:hAnsi="宋体"/>
                <w:b/>
              </w:rPr>
            </w:pPr>
            <w:r>
              <w:rPr>
                <w:rFonts w:ascii="宋体" w:hAnsi="宋体" w:hint="eastAsia"/>
                <w:b/>
                <w:szCs w:val="21"/>
              </w:rPr>
              <w:t>5000-25000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rPr>
            </w:pPr>
          </w:p>
        </w:tc>
      </w:tr>
      <w:tr w:rsidR="00996B71" w:rsidTr="008E516B">
        <w:trPr>
          <w:trHeight w:val="284"/>
          <w:jc w:val="center"/>
        </w:trPr>
        <w:tc>
          <w:tcPr>
            <w:tcW w:w="677" w:type="dxa"/>
            <w:vAlign w:val="center"/>
          </w:tcPr>
          <w:p w:rsidR="00996B71" w:rsidRDefault="00996B71" w:rsidP="00996B71">
            <w:pPr>
              <w:numPr>
                <w:ilvl w:val="0"/>
                <w:numId w:val="1"/>
              </w:numPr>
              <w:jc w:val="center"/>
              <w:rPr>
                <w:rFonts w:ascii="宋体" w:hAnsi="宋体" w:hint="eastAsia"/>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承包人虚报、乱报签证及进度款；报审资料不及时、不准确、不完整；经审核工程量核减超过</w:t>
            </w:r>
            <w:r>
              <w:rPr>
                <w:rFonts w:ascii="宋体" w:hAnsi="宋体" w:hint="eastAsia"/>
              </w:rPr>
              <w:t>10%</w:t>
            </w:r>
            <w:r>
              <w:rPr>
                <w:rFonts w:ascii="宋体" w:hAnsi="宋体" w:hint="eastAsia"/>
              </w:rPr>
              <w:t>的</w:t>
            </w:r>
            <w:r>
              <w:rPr>
                <w:rFonts w:ascii="宋体" w:hAnsi="宋体" w:hint="eastAsia"/>
              </w:rPr>
              <w:t xml:space="preserve"> </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5000-25000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rPr>
            </w:pPr>
          </w:p>
        </w:tc>
      </w:tr>
      <w:tr w:rsidR="00996B71" w:rsidTr="008E516B">
        <w:trPr>
          <w:trHeight w:val="284"/>
          <w:jc w:val="center"/>
        </w:trPr>
        <w:tc>
          <w:tcPr>
            <w:tcW w:w="677" w:type="dxa"/>
            <w:vAlign w:val="center"/>
          </w:tcPr>
          <w:p w:rsidR="00996B71" w:rsidRDefault="00996B71" w:rsidP="00996B71">
            <w:pPr>
              <w:numPr>
                <w:ilvl w:val="0"/>
                <w:numId w:val="1"/>
              </w:numPr>
              <w:jc w:val="center"/>
              <w:rPr>
                <w:rFonts w:ascii="宋体" w:hAnsi="宋体" w:hint="eastAsia"/>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rPr>
              <w:t>承包人未按时提交完整结算资料</w:t>
            </w:r>
          </w:p>
        </w:tc>
        <w:tc>
          <w:tcPr>
            <w:tcW w:w="1984" w:type="dxa"/>
            <w:vAlign w:val="center"/>
          </w:tcPr>
          <w:p w:rsidR="00996B71" w:rsidRDefault="00996B71" w:rsidP="008E516B">
            <w:pPr>
              <w:jc w:val="center"/>
              <w:rPr>
                <w:rFonts w:ascii="宋体" w:hAnsi="宋体"/>
                <w:b/>
                <w:szCs w:val="21"/>
              </w:rPr>
            </w:pPr>
            <w:r>
              <w:rPr>
                <w:rFonts w:ascii="宋体" w:hAnsi="宋体" w:hint="eastAsia"/>
                <w:b/>
                <w:szCs w:val="21"/>
              </w:rPr>
              <w:t>500</w:t>
            </w:r>
            <w:r>
              <w:rPr>
                <w:rFonts w:ascii="宋体" w:hAnsi="宋体" w:hint="eastAsia"/>
                <w:b/>
                <w:szCs w:val="21"/>
              </w:rPr>
              <w:t>元</w:t>
            </w:r>
            <w:r>
              <w:rPr>
                <w:rFonts w:ascii="宋体" w:hAnsi="宋体" w:hint="eastAsia"/>
                <w:b/>
                <w:szCs w:val="21"/>
              </w:rPr>
              <w:t>/</w:t>
            </w:r>
            <w:r>
              <w:rPr>
                <w:rFonts w:ascii="宋体" w:hAnsi="宋体" w:hint="eastAsia"/>
                <w:b/>
                <w:szCs w:val="21"/>
              </w:rPr>
              <w:t>天</w:t>
            </w:r>
          </w:p>
        </w:tc>
        <w:tc>
          <w:tcPr>
            <w:tcW w:w="898" w:type="dxa"/>
            <w:vAlign w:val="center"/>
          </w:tcPr>
          <w:p w:rsidR="00996B71" w:rsidRDefault="00996B71" w:rsidP="008E516B">
            <w:pPr>
              <w:jc w:val="center"/>
              <w:rPr>
                <w:rFonts w:ascii="宋体" w:eastAsia="宋体" w:hAnsi="宋体"/>
                <w:b/>
              </w:rPr>
            </w:pPr>
          </w:p>
        </w:tc>
      </w:tr>
      <w:tr w:rsidR="00996B71" w:rsidTr="008E516B">
        <w:trPr>
          <w:trHeight w:val="284"/>
          <w:jc w:val="center"/>
        </w:trPr>
        <w:tc>
          <w:tcPr>
            <w:tcW w:w="677" w:type="dxa"/>
            <w:vAlign w:val="center"/>
          </w:tcPr>
          <w:p w:rsidR="00996B71" w:rsidRDefault="00996B71" w:rsidP="00996B71">
            <w:pPr>
              <w:numPr>
                <w:ilvl w:val="0"/>
                <w:numId w:val="1"/>
              </w:numPr>
              <w:jc w:val="center"/>
              <w:rPr>
                <w:rFonts w:ascii="宋体" w:hAnsi="宋体" w:hint="eastAsia"/>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rPr>
            </w:pPr>
            <w:r>
              <w:rPr>
                <w:rFonts w:ascii="宋体" w:hAnsi="宋体" w:hint="eastAsia"/>
                <w:color w:val="auto"/>
              </w:rPr>
              <w:t>承包人发放农民工国家规定的高温费等津贴不到位的</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2000</w:t>
            </w:r>
            <w:r>
              <w:rPr>
                <w:rFonts w:ascii="宋体" w:hAnsi="宋体" w:hint="eastAsia"/>
                <w:b/>
                <w:szCs w:val="21"/>
              </w:rPr>
              <w:t>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eastAsia="宋体" w:hAnsi="宋体"/>
                <w:b/>
              </w:rPr>
            </w:pPr>
          </w:p>
        </w:tc>
      </w:tr>
      <w:tr w:rsidR="00996B71" w:rsidTr="008E516B">
        <w:trPr>
          <w:trHeight w:val="407"/>
          <w:jc w:val="center"/>
        </w:trPr>
        <w:tc>
          <w:tcPr>
            <w:tcW w:w="677" w:type="dxa"/>
            <w:vAlign w:val="center"/>
          </w:tcPr>
          <w:p w:rsidR="00996B71" w:rsidRDefault="00996B71" w:rsidP="00996B71">
            <w:pPr>
              <w:numPr>
                <w:ilvl w:val="0"/>
                <w:numId w:val="1"/>
              </w:numPr>
              <w:snapToGrid w:val="0"/>
              <w:jc w:val="center"/>
              <w:rPr>
                <w:rFonts w:ascii="宋体" w:hAnsi="宋体"/>
                <w:b/>
                <w:color w:val="000000"/>
              </w:rPr>
            </w:pPr>
          </w:p>
        </w:tc>
        <w:tc>
          <w:tcPr>
            <w:tcW w:w="1134" w:type="dxa"/>
            <w:vMerge/>
            <w:vAlign w:val="center"/>
          </w:tcPr>
          <w:p w:rsidR="00996B71" w:rsidRDefault="00996B71" w:rsidP="00996B71">
            <w:pPr>
              <w:snapToGrid w:val="0"/>
              <w:jc w:val="center"/>
              <w:rPr>
                <w:rFonts w:ascii="宋体" w:hAnsi="宋体"/>
                <w:b/>
              </w:rPr>
            </w:pPr>
          </w:p>
        </w:tc>
        <w:tc>
          <w:tcPr>
            <w:tcW w:w="9813" w:type="dxa"/>
            <w:vAlign w:val="center"/>
          </w:tcPr>
          <w:p w:rsidR="00996B71" w:rsidRDefault="00996B71" w:rsidP="00996B71">
            <w:pPr>
              <w:snapToGrid w:val="0"/>
              <w:spacing w:line="252" w:lineRule="auto"/>
              <w:jc w:val="left"/>
              <w:rPr>
                <w:rFonts w:ascii="宋体" w:hAnsi="宋体"/>
              </w:rPr>
            </w:pPr>
            <w:r>
              <w:rPr>
                <w:rFonts w:ascii="宋体" w:hAnsi="宋体" w:hint="eastAsia"/>
              </w:rPr>
              <w:t>发包人将定期或不定期对承包人施工期间的农民工工资发放进行调查，</w:t>
            </w:r>
            <w:proofErr w:type="gramStart"/>
            <w:r>
              <w:rPr>
                <w:rFonts w:ascii="宋体" w:hAnsi="宋体" w:hint="eastAsia"/>
              </w:rPr>
              <w:t>每调查</w:t>
            </w:r>
            <w:proofErr w:type="gramEnd"/>
            <w:r>
              <w:rPr>
                <w:rFonts w:ascii="宋体" w:hAnsi="宋体" w:hint="eastAsia"/>
              </w:rPr>
              <w:t>发现一次拖欠农民工工资情况；承包人若拖欠民工工资引起民工上访事件</w:t>
            </w:r>
          </w:p>
        </w:tc>
        <w:tc>
          <w:tcPr>
            <w:tcW w:w="1984" w:type="dxa"/>
            <w:vAlign w:val="center"/>
          </w:tcPr>
          <w:p w:rsidR="00996B71" w:rsidRDefault="00996B71" w:rsidP="008E516B">
            <w:pPr>
              <w:jc w:val="center"/>
              <w:rPr>
                <w:rFonts w:ascii="宋体" w:hAnsi="宋体" w:hint="eastAsia"/>
                <w:b/>
                <w:szCs w:val="21"/>
              </w:rPr>
            </w:pPr>
            <w:r>
              <w:rPr>
                <w:rFonts w:ascii="宋体" w:hAnsi="宋体" w:hint="eastAsia"/>
                <w:b/>
                <w:szCs w:val="21"/>
              </w:rPr>
              <w:t>5-10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color w:val="FF0000"/>
              </w:rPr>
            </w:pPr>
          </w:p>
        </w:tc>
      </w:tr>
      <w:tr w:rsidR="00996B71" w:rsidTr="008E516B">
        <w:trPr>
          <w:trHeight w:val="407"/>
          <w:jc w:val="center"/>
        </w:trPr>
        <w:tc>
          <w:tcPr>
            <w:tcW w:w="677" w:type="dxa"/>
            <w:vAlign w:val="center"/>
          </w:tcPr>
          <w:p w:rsidR="00996B71" w:rsidRPr="00996B71" w:rsidRDefault="00996B71" w:rsidP="00996B71">
            <w:pPr>
              <w:numPr>
                <w:ilvl w:val="0"/>
                <w:numId w:val="1"/>
              </w:numPr>
              <w:jc w:val="center"/>
              <w:rPr>
                <w:rFonts w:ascii="宋体" w:hAnsi="宋体"/>
              </w:rPr>
            </w:pPr>
          </w:p>
        </w:tc>
        <w:tc>
          <w:tcPr>
            <w:tcW w:w="1134" w:type="dxa"/>
            <w:vMerge/>
            <w:vAlign w:val="center"/>
          </w:tcPr>
          <w:p w:rsidR="00996B71" w:rsidRPr="00996B71" w:rsidRDefault="00996B71" w:rsidP="008E516B">
            <w:pPr>
              <w:jc w:val="center"/>
              <w:rPr>
                <w:rFonts w:ascii="宋体" w:hAnsi="宋体"/>
              </w:rPr>
            </w:pPr>
          </w:p>
        </w:tc>
        <w:tc>
          <w:tcPr>
            <w:tcW w:w="9813" w:type="dxa"/>
            <w:vAlign w:val="center"/>
          </w:tcPr>
          <w:p w:rsidR="00996B71" w:rsidRPr="00996B71" w:rsidRDefault="00996B71" w:rsidP="00996B71">
            <w:pPr>
              <w:snapToGrid w:val="0"/>
              <w:spacing w:line="360" w:lineRule="auto"/>
              <w:jc w:val="left"/>
              <w:rPr>
                <w:rFonts w:ascii="宋体" w:hAnsi="宋体"/>
              </w:rPr>
            </w:pPr>
            <w:r w:rsidRPr="00996B71">
              <w:rPr>
                <w:rFonts w:ascii="宋体" w:hAnsi="宋体" w:hint="eastAsia"/>
              </w:rPr>
              <w:t>中标人的项目管理团队、作业工人、专用设备等在中标合同期以及市政服务集团管理范围内的，以任何形式承担我司其它发包工程项目的施工管理或接受其它施工单位的分包项目管理</w:t>
            </w:r>
          </w:p>
        </w:tc>
        <w:tc>
          <w:tcPr>
            <w:tcW w:w="1984" w:type="dxa"/>
            <w:vAlign w:val="center"/>
          </w:tcPr>
          <w:p w:rsidR="00996B71" w:rsidRDefault="00996B71" w:rsidP="008E516B">
            <w:pPr>
              <w:jc w:val="center"/>
              <w:rPr>
                <w:rFonts w:ascii="宋体" w:hAnsi="宋体"/>
                <w:b/>
                <w:color w:val="FF0000"/>
                <w:szCs w:val="21"/>
              </w:rPr>
            </w:pPr>
            <w:r>
              <w:rPr>
                <w:rFonts w:ascii="宋体" w:hAnsi="宋体" w:hint="eastAsia"/>
                <w:b/>
                <w:szCs w:val="21"/>
              </w:rPr>
              <w:t>20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color w:val="FF0000"/>
              </w:rPr>
            </w:pPr>
          </w:p>
        </w:tc>
      </w:tr>
      <w:tr w:rsidR="00996B71" w:rsidTr="008E516B">
        <w:trPr>
          <w:trHeight w:val="412"/>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tabs>
                <w:tab w:val="left" w:pos="720"/>
              </w:tabs>
              <w:jc w:val="left"/>
              <w:rPr>
                <w:rFonts w:ascii="仿宋_GB2312" w:hAnsi="宋体" w:hint="eastAsia"/>
                <w:szCs w:val="21"/>
              </w:rPr>
            </w:pPr>
            <w:r>
              <w:rPr>
                <w:rFonts w:ascii="宋体" w:hAnsi="宋体" w:hint="eastAsia"/>
                <w:szCs w:val="21"/>
              </w:rPr>
              <w:t>施工期间发生安全事故系因承包人的原因所引起的，视情节轻重</w:t>
            </w:r>
          </w:p>
        </w:tc>
        <w:tc>
          <w:tcPr>
            <w:tcW w:w="1984" w:type="dxa"/>
            <w:vAlign w:val="center"/>
          </w:tcPr>
          <w:p w:rsidR="00996B71" w:rsidRDefault="00996B71" w:rsidP="008E516B">
            <w:pPr>
              <w:tabs>
                <w:tab w:val="left" w:pos="720"/>
              </w:tabs>
              <w:jc w:val="center"/>
              <w:rPr>
                <w:rFonts w:ascii="仿宋_GB2312" w:hAnsi="宋体" w:hint="eastAsia"/>
                <w:szCs w:val="21"/>
              </w:rPr>
            </w:pPr>
            <w:r>
              <w:rPr>
                <w:rFonts w:ascii="宋体" w:hAnsi="宋体" w:hint="eastAsia"/>
                <w:b/>
                <w:szCs w:val="21"/>
              </w:rPr>
              <w:t>3~10</w:t>
            </w:r>
            <w:r>
              <w:rPr>
                <w:rFonts w:ascii="宋体" w:hAnsi="宋体" w:hint="eastAsia"/>
                <w:b/>
                <w:szCs w:val="21"/>
              </w:rPr>
              <w:t>万元</w:t>
            </w:r>
            <w:r>
              <w:rPr>
                <w:rFonts w:ascii="宋体" w:hAnsi="宋体" w:hint="eastAsia"/>
                <w:b/>
                <w:szCs w:val="21"/>
              </w:rPr>
              <w:t>/</w:t>
            </w:r>
            <w:r>
              <w:rPr>
                <w:rFonts w:ascii="宋体" w:hAnsi="宋体" w:hint="eastAsia"/>
                <w:b/>
                <w:szCs w:val="21"/>
              </w:rPr>
              <w:t>次</w:t>
            </w:r>
          </w:p>
        </w:tc>
        <w:tc>
          <w:tcPr>
            <w:tcW w:w="898" w:type="dxa"/>
            <w:vAlign w:val="center"/>
          </w:tcPr>
          <w:p w:rsidR="00996B71" w:rsidRDefault="00996B71" w:rsidP="008E516B">
            <w:pPr>
              <w:jc w:val="center"/>
              <w:rPr>
                <w:rFonts w:ascii="宋体" w:hAnsi="宋体"/>
                <w:b/>
                <w:color w:val="FF0000"/>
              </w:rPr>
            </w:pPr>
          </w:p>
        </w:tc>
      </w:tr>
      <w:tr w:rsidR="00996B71" w:rsidTr="008E516B">
        <w:trPr>
          <w:trHeight w:val="412"/>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eastAsia="宋体" w:hAnsi="宋体" w:hint="eastAsia"/>
                <w:color w:val="FF0000"/>
              </w:rPr>
            </w:pPr>
            <w:r>
              <w:rPr>
                <w:rFonts w:ascii="宋体" w:hAnsi="宋体" w:hint="eastAsia"/>
                <w:color w:val="auto"/>
              </w:rPr>
              <w:t>未按招标文件和合同执行的行为进行处罚</w:t>
            </w:r>
          </w:p>
        </w:tc>
        <w:tc>
          <w:tcPr>
            <w:tcW w:w="1984" w:type="dxa"/>
            <w:vAlign w:val="center"/>
          </w:tcPr>
          <w:p w:rsidR="00996B71" w:rsidRDefault="00996B71" w:rsidP="008E516B">
            <w:pPr>
              <w:jc w:val="center"/>
              <w:rPr>
                <w:rFonts w:ascii="宋体" w:eastAsia="宋体" w:hAnsi="宋体" w:hint="eastAsia"/>
                <w:b/>
                <w:color w:val="FF0000"/>
                <w:szCs w:val="21"/>
              </w:rPr>
            </w:pPr>
            <w:r>
              <w:rPr>
                <w:rFonts w:ascii="宋体" w:hAnsi="宋体" w:hint="eastAsia"/>
                <w:b/>
                <w:color w:val="auto"/>
                <w:szCs w:val="21"/>
              </w:rPr>
              <w:t>5000</w:t>
            </w:r>
            <w:r>
              <w:rPr>
                <w:rFonts w:ascii="宋体" w:hAnsi="宋体" w:hint="eastAsia"/>
                <w:b/>
                <w:color w:val="auto"/>
                <w:szCs w:val="21"/>
              </w:rPr>
              <w:t>元</w:t>
            </w:r>
            <w:r>
              <w:rPr>
                <w:rFonts w:ascii="宋体" w:hAnsi="宋体" w:hint="eastAsia"/>
                <w:b/>
                <w:color w:val="auto"/>
                <w:szCs w:val="21"/>
              </w:rPr>
              <w:t>/</w:t>
            </w:r>
            <w:r>
              <w:rPr>
                <w:rFonts w:ascii="宋体" w:hAnsi="宋体" w:hint="eastAsia"/>
                <w:b/>
                <w:color w:val="auto"/>
                <w:szCs w:val="21"/>
              </w:rPr>
              <w:t>次</w:t>
            </w:r>
          </w:p>
        </w:tc>
        <w:tc>
          <w:tcPr>
            <w:tcW w:w="898" w:type="dxa"/>
            <w:vAlign w:val="center"/>
          </w:tcPr>
          <w:p w:rsidR="00996B71" w:rsidRDefault="00996B71" w:rsidP="008E516B">
            <w:pPr>
              <w:jc w:val="center"/>
              <w:rPr>
                <w:rFonts w:ascii="宋体" w:hAnsi="宋体"/>
                <w:b/>
                <w:color w:val="FF0000"/>
              </w:rPr>
            </w:pPr>
          </w:p>
        </w:tc>
      </w:tr>
      <w:tr w:rsidR="00996B71" w:rsidTr="008E516B">
        <w:trPr>
          <w:trHeight w:val="407"/>
          <w:jc w:val="center"/>
        </w:trPr>
        <w:tc>
          <w:tcPr>
            <w:tcW w:w="677" w:type="dxa"/>
            <w:vAlign w:val="center"/>
          </w:tcPr>
          <w:p w:rsidR="00996B71" w:rsidRDefault="00996B71" w:rsidP="00996B71">
            <w:pPr>
              <w:numPr>
                <w:ilvl w:val="0"/>
                <w:numId w:val="1"/>
              </w:numPr>
              <w:jc w:val="center"/>
              <w:rPr>
                <w:rFonts w:ascii="宋体" w:hAnsi="宋体"/>
                <w:b/>
                <w:color w:val="000000"/>
              </w:rPr>
            </w:pPr>
          </w:p>
        </w:tc>
        <w:tc>
          <w:tcPr>
            <w:tcW w:w="1134" w:type="dxa"/>
            <w:vMerge/>
            <w:vAlign w:val="center"/>
          </w:tcPr>
          <w:p w:rsidR="00996B71" w:rsidRDefault="00996B71" w:rsidP="008E516B">
            <w:pPr>
              <w:jc w:val="center"/>
              <w:rPr>
                <w:rFonts w:ascii="宋体" w:hAnsi="宋体"/>
                <w:b/>
              </w:rPr>
            </w:pPr>
          </w:p>
        </w:tc>
        <w:tc>
          <w:tcPr>
            <w:tcW w:w="9813" w:type="dxa"/>
            <w:vAlign w:val="center"/>
          </w:tcPr>
          <w:p w:rsidR="00996B71" w:rsidRDefault="00996B71" w:rsidP="008E516B">
            <w:pPr>
              <w:spacing w:line="252" w:lineRule="auto"/>
              <w:jc w:val="left"/>
              <w:rPr>
                <w:rFonts w:ascii="宋体" w:hAnsi="宋体" w:hint="eastAsia"/>
                <w:szCs w:val="21"/>
              </w:rPr>
            </w:pPr>
            <w:r>
              <w:rPr>
                <w:rFonts w:ascii="宋体" w:hAnsi="宋体" w:hint="eastAsia"/>
              </w:rPr>
              <w:t>参照招标文件以及合同相关条款考核</w:t>
            </w:r>
          </w:p>
        </w:tc>
        <w:tc>
          <w:tcPr>
            <w:tcW w:w="1984" w:type="dxa"/>
            <w:vAlign w:val="center"/>
          </w:tcPr>
          <w:p w:rsidR="00996B71" w:rsidRDefault="00996B71" w:rsidP="008E516B">
            <w:pPr>
              <w:jc w:val="center"/>
              <w:rPr>
                <w:rFonts w:ascii="宋体" w:hAnsi="宋体" w:hint="eastAsia"/>
                <w:b/>
                <w:szCs w:val="21"/>
              </w:rPr>
            </w:pPr>
          </w:p>
        </w:tc>
        <w:tc>
          <w:tcPr>
            <w:tcW w:w="898" w:type="dxa"/>
            <w:vAlign w:val="center"/>
          </w:tcPr>
          <w:p w:rsidR="00996B71" w:rsidRDefault="00996B71" w:rsidP="008E516B">
            <w:pPr>
              <w:jc w:val="center"/>
              <w:rPr>
                <w:rFonts w:ascii="宋体" w:hAnsi="宋体"/>
                <w:b/>
                <w:color w:val="FF0000"/>
              </w:rPr>
            </w:pPr>
          </w:p>
        </w:tc>
      </w:tr>
    </w:tbl>
    <w:p w:rsidR="005C18F4" w:rsidRDefault="00996B71">
      <w:pPr>
        <w:rPr>
          <w:rFonts w:hint="eastAsia"/>
        </w:rPr>
      </w:pPr>
      <w:r w:rsidRPr="00996B71">
        <w:rPr>
          <w:rFonts w:hint="eastAsia"/>
        </w:rPr>
        <w:t>我方同意并接受采购人在招标文件、签约合同以及未来合同履行过程中设定的所有日常考核及综合考核制度，并无条件接受及承担因考核不达标或不合格产生的一切责任及后果。</w:t>
      </w:r>
      <w:r>
        <w:rPr>
          <w:rFonts w:hint="eastAsia"/>
        </w:rPr>
        <w:t>本考核表按照市政部发布的最新格式更新。</w:t>
      </w:r>
    </w:p>
    <w:p w:rsidR="00996B71" w:rsidRPr="00996B71" w:rsidRDefault="00996B71" w:rsidP="00996B71">
      <w:pPr>
        <w:pStyle w:val="2"/>
        <w:tabs>
          <w:tab w:val="left" w:pos="11235"/>
        </w:tabs>
        <w:ind w:leftChars="0" w:left="0" w:firstLineChars="0" w:firstLine="0"/>
      </w:pPr>
      <w:r>
        <w:rPr>
          <w:rFonts w:hint="eastAsia"/>
        </w:rPr>
        <w:t>考核人员：</w:t>
      </w:r>
      <w:r>
        <w:tab/>
        <w:t>日期：</w:t>
      </w:r>
    </w:p>
    <w:sectPr w:rsidR="00996B71" w:rsidRPr="00996B71" w:rsidSect="00996B71">
      <w:pgSz w:w="16838" w:h="11906" w:orient="landscape"/>
      <w:pgMar w:top="1134" w:right="1440" w:bottom="179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ȭхڢ  ڌ墠 ˎ̥">
    <w:altName w:val="Arial Unicode MS"/>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9B17"/>
    <w:multiLevelType w:val="singleLevel"/>
    <w:tmpl w:val="47B39B17"/>
    <w:lvl w:ilvl="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B71"/>
    <w:rsid w:val="005C18F4"/>
    <w:rsid w:val="00996B71"/>
    <w:rsid w:val="00AC7131"/>
    <w:rsid w:val="00D14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91"/>
        <w:ind w:left="783" w:right="278" w:hanging="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6B71"/>
    <w:pPr>
      <w:widowControl w:val="0"/>
      <w:spacing w:before="0"/>
      <w:ind w:left="0" w:right="0" w:firstLine="0"/>
      <w:jc w:val="both"/>
    </w:pPr>
    <w:rPr>
      <w:rFonts w:ascii="Microsoft YaHei ΢ȭхڢ  ڌ墠 ˎ̥" w:eastAsia="Microsoft YaHei ΢ȭхڢ  ڌ墠 ˎ̥" w:hAnsi="微软雅黑" w:cs="宋体"/>
      <w:color w:val="333333"/>
      <w:kern w:val="0"/>
      <w:sz w:val="19"/>
      <w:szCs w:val="19"/>
    </w:rPr>
  </w:style>
  <w:style w:type="paragraph" w:styleId="1">
    <w:name w:val="heading 1"/>
    <w:basedOn w:val="a"/>
    <w:next w:val="a"/>
    <w:link w:val="1Char"/>
    <w:uiPriority w:val="9"/>
    <w:qFormat/>
    <w:rsid w:val="00996B71"/>
    <w:pPr>
      <w:keepNext/>
      <w:keepLines/>
      <w:spacing w:line="360" w:lineRule="auto"/>
      <w:jc w:val="center"/>
      <w:outlineLvl w:val="0"/>
    </w:pPr>
    <w:rPr>
      <w:rFonts w:eastAsia="宋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96B71"/>
    <w:rPr>
      <w:rFonts w:ascii="Microsoft YaHei ΢ȭхڢ  ڌ墠 ˎ̥" w:eastAsia="宋体" w:hAnsi="微软雅黑" w:cs="宋体"/>
      <w:b/>
      <w:bCs/>
      <w:color w:val="333333"/>
      <w:kern w:val="44"/>
      <w:sz w:val="30"/>
      <w:szCs w:val="44"/>
    </w:rPr>
  </w:style>
  <w:style w:type="paragraph" w:styleId="a3">
    <w:name w:val="Body Text Indent"/>
    <w:basedOn w:val="a"/>
    <w:link w:val="Char"/>
    <w:uiPriority w:val="99"/>
    <w:semiHidden/>
    <w:unhideWhenUsed/>
    <w:rsid w:val="00996B71"/>
    <w:pPr>
      <w:spacing w:after="120"/>
      <w:ind w:leftChars="200" w:left="420"/>
    </w:pPr>
  </w:style>
  <w:style w:type="character" w:customStyle="1" w:styleId="Char">
    <w:name w:val="正文文本缩进 Char"/>
    <w:basedOn w:val="a0"/>
    <w:link w:val="a3"/>
    <w:uiPriority w:val="99"/>
    <w:semiHidden/>
    <w:rsid w:val="00996B71"/>
    <w:rPr>
      <w:rFonts w:ascii="Microsoft YaHei ΢ȭхڢ  ڌ墠 ˎ̥" w:eastAsia="Microsoft YaHei ΢ȭхڢ  ڌ墠 ˎ̥" w:hAnsi="微软雅黑" w:cs="宋体"/>
      <w:color w:val="333333"/>
      <w:kern w:val="0"/>
      <w:sz w:val="19"/>
      <w:szCs w:val="19"/>
    </w:rPr>
  </w:style>
  <w:style w:type="paragraph" w:styleId="2">
    <w:name w:val="Body Text First Indent 2"/>
    <w:basedOn w:val="a3"/>
    <w:link w:val="2Char"/>
    <w:uiPriority w:val="99"/>
    <w:semiHidden/>
    <w:unhideWhenUsed/>
    <w:rsid w:val="00996B71"/>
    <w:pPr>
      <w:ind w:firstLineChars="200" w:firstLine="420"/>
    </w:pPr>
  </w:style>
  <w:style w:type="character" w:customStyle="1" w:styleId="2Char">
    <w:name w:val="正文首行缩进 2 Char"/>
    <w:basedOn w:val="Char"/>
    <w:link w:val="2"/>
    <w:uiPriority w:val="99"/>
    <w:semiHidden/>
    <w:rsid w:val="00996B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2025-06-17T07:55:00Z</dcterms:created>
  <dcterms:modified xsi:type="dcterms:W3CDTF">2025-06-17T08:04:00Z</dcterms:modified>
</cp:coreProperties>
</file>