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w:t>
      </w:r>
      <w:bookmarkStart w:id="0" w:name="_GoBack"/>
      <w:r/>
      <w:bookmarkEnd w:id="0"/>
      <w:r>
        <w:rPr>
          <w:rFonts w:hint="eastAsia" w:ascii="宋体" w:hAnsi="宋体" w:eastAsia="宋体" w:cs="Times New Roman"/>
          <w:b/>
          <w:bCs/>
          <w:spacing w:val="20"/>
          <w:sz w:val="72"/>
          <w:szCs w:val="72"/>
        </w:rPr>
        <w:t xml:space="preserve">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4pt" to="-8.9pt,15.4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1" w:name="_Toc311189771"/>
      <w:r/>
      <w:bookmarkStart w:id="2" w:name="_Toc311189700"/>
      <w:r>
        <w:rPr>
          <w:rFonts w:hint="eastAsia" w:ascii="宋体" w:hAnsi="宋体" w:eastAsia="宋体" w:cs="Times New Roman"/>
          <w:b/>
          <w:sz w:val="32"/>
          <w:szCs w:val="32"/>
        </w:rPr>
        <w:t xml:space="preserve">：</w:t>
      </w:r>
      <w:r>
        <w:rPr>
          <w:rFonts w:hint="eastAsia" w:ascii="宋体" w:hAnsi="宋体" w:eastAsia="宋体" w:cs="宋体"/>
          <w:bCs/>
          <w:sz w:val="32"/>
          <w:szCs w:val="32"/>
        </w:rPr>
        <w:t xml:space="preserve">基层慢病健康管理提升项目——配套慢病管理一体机</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1"/>
      <w:r/>
      <w:bookmarkEnd w:id="2"/>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ascii="宋体" w:hAnsi="宋体" w:eastAsia="宋体" w:cs="宋体"/>
          <w:bCs/>
          <w:sz w:val="32"/>
          <w:szCs w:val="32"/>
        </w:rPr>
        <w:t xml:space="preserve">JSZC-320281-JZCG-G2025-0099</w:t>
      </w:r>
      <w:r/>
    </w:p>
    <w:p>
      <w:pPr>
        <w:ind w:firstLine="964"/>
        <w:keepLines/>
        <w:keepNext/>
        <w:spacing w:line="360" w:lineRule="auto"/>
        <w:rPr>
          <w:rFonts w:ascii="宋体" w:hAnsi="宋体" w:eastAsia="宋体" w:cs="Times New Roman"/>
          <w:bCs/>
          <w:sz w:val="32"/>
          <w:szCs w:val="32"/>
        </w:rPr>
        <w:outlineLvl w:val="1"/>
      </w:pPr>
      <w:r/>
      <w:bookmarkStart w:id="3" w:name="_Toc311189772"/>
      <w:r/>
      <w:bookmarkStart w:id="4"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3"/>
      <w:r/>
      <w:bookmarkEnd w:id="4"/>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二○二五年十二月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868"/>
        <w:spacing w:line="600" w:lineRule="exact"/>
        <w:tabs>
          <w:tab w:val="right" w:pos="9402" w:leader="dot"/>
        </w:tabs>
        <w:rPr>
          <w:rStyle w:val="877"/>
          <w:color w:val="auto"/>
          <w:sz w:val="30"/>
          <w:szCs w:val="30"/>
        </w:rPr>
      </w:pPr>
      <w:r>
        <w:rPr>
          <w:rFonts w:ascii="宋体" w:hAnsi="宋体" w:eastAsia="宋体" w:cs="Times New Roman"/>
          <w:bCs w:val="0"/>
          <w:sz w:val="30"/>
          <w:szCs w:val="30"/>
        </w:rPr>
        <w:fldChar w:fldCharType="begin"/>
      </w:r>
      <w:r>
        <w:rPr>
          <w:rFonts w:ascii="宋体" w:hAnsi="宋体" w:eastAsia="宋体" w:cs="Times New Roman"/>
          <w:bCs w:val="0"/>
          <w:sz w:val="30"/>
          <w:szCs w:val="30"/>
        </w:rPr>
        <w:instrText xml:space="preserve"> </w:instrText>
      </w:r>
      <w:r>
        <w:rPr>
          <w:rFonts w:hint="eastAsia" w:ascii="宋体" w:hAnsi="宋体" w:eastAsia="宋体" w:cs="Times New Roman"/>
          <w:bCs w:val="0"/>
          <w:sz w:val="30"/>
          <w:szCs w:val="30"/>
        </w:rPr>
        <w:instrText xml:space="preserve">TOC \o "1-1" \h \z \u</w:instrText>
      </w:r>
      <w:r>
        <w:rPr>
          <w:rFonts w:ascii="宋体" w:hAnsi="宋体" w:eastAsia="宋体" w:cs="Times New Roman"/>
          <w:bCs w:val="0"/>
          <w:sz w:val="30"/>
          <w:szCs w:val="30"/>
        </w:rPr>
        <w:instrText xml:space="preserve"> </w:instrText>
      </w:r>
      <w:r>
        <w:rPr>
          <w:rFonts w:ascii="宋体" w:hAnsi="宋体" w:eastAsia="宋体" w:cs="Times New Roman"/>
          <w:bCs w:val="0"/>
          <w:sz w:val="30"/>
          <w:szCs w:val="30"/>
        </w:rPr>
        <w:fldChar w:fldCharType="separate"/>
      </w:r>
      <w:hyperlink w:tooltip="#_Toc201302569" w:anchor="_Toc201302569" w:history="1">
        <w:r>
          <w:rPr>
            <w:rStyle w:val="877"/>
            <w:rFonts w:hint="eastAsia"/>
            <w:color w:val="auto"/>
            <w:sz w:val="30"/>
            <w:szCs w:val="30"/>
          </w:rPr>
          <w:t xml:space="preserve">第一章　投标邀请</w:t>
        </w:r>
        <w:r>
          <w:rPr>
            <w:rStyle w:val="877"/>
            <w:color w:val="auto"/>
            <w:sz w:val="30"/>
            <w:szCs w:val="30"/>
          </w:rPr>
          <w:tab/>
        </w:r>
        <w:r>
          <w:rPr>
            <w:rStyle w:val="877"/>
            <w:color w:val="auto"/>
            <w:sz w:val="30"/>
            <w:szCs w:val="30"/>
          </w:rPr>
          <w:fldChar w:fldCharType="begin"/>
        </w:r>
        <w:r>
          <w:rPr>
            <w:rStyle w:val="877"/>
            <w:color w:val="auto"/>
            <w:sz w:val="30"/>
            <w:szCs w:val="30"/>
          </w:rPr>
          <w:instrText xml:space="preserve"> PAGEREF _Toc201302569 \h </w:instrText>
        </w:r>
        <w:r>
          <w:rPr>
            <w:rStyle w:val="877"/>
            <w:color w:val="auto"/>
            <w:sz w:val="30"/>
            <w:szCs w:val="30"/>
          </w:rPr>
        </w:r>
        <w:r>
          <w:rPr>
            <w:rStyle w:val="877"/>
            <w:color w:val="auto"/>
            <w:sz w:val="30"/>
            <w:szCs w:val="30"/>
          </w:rPr>
          <w:fldChar w:fldCharType="separate"/>
        </w:r>
        <w:r>
          <w:rPr>
            <w:rStyle w:val="877"/>
            <w:rFonts w:hint="eastAsia"/>
            <w:color w:val="auto"/>
            <w:sz w:val="30"/>
            <w:szCs w:val="30"/>
          </w:rPr>
          <w:t xml:space="preserve">2</w:t>
        </w:r>
        <w:r>
          <w:rPr>
            <w:rStyle w:val="877"/>
            <w:color w:val="auto"/>
            <w:sz w:val="30"/>
            <w:szCs w:val="30"/>
          </w:rPr>
        </w:r>
        <w:r>
          <w:rPr>
            <w:rStyle w:val="877"/>
            <w:color w:val="auto"/>
            <w:sz w:val="30"/>
            <w:szCs w:val="30"/>
          </w:rPr>
          <w:fldChar w:fldCharType="end"/>
        </w:r>
      </w:hyperlink>
      <w:r/>
      <w:r/>
    </w:p>
    <w:p>
      <w:pPr>
        <w:pStyle w:val="868"/>
        <w:spacing w:line="600" w:lineRule="exact"/>
        <w:tabs>
          <w:tab w:val="right" w:pos="9402" w:leader="dot"/>
        </w:tabs>
        <w:rPr>
          <w:rStyle w:val="877"/>
          <w:color w:val="auto"/>
          <w:sz w:val="30"/>
          <w:szCs w:val="30"/>
        </w:rPr>
      </w:pPr>
      <w:r/>
      <w:hyperlink w:tooltip="#_Toc201302570" w:anchor="_Toc201302570" w:history="1">
        <w:r>
          <w:rPr>
            <w:rStyle w:val="877"/>
            <w:rFonts w:hint="eastAsia"/>
            <w:color w:val="auto"/>
            <w:sz w:val="30"/>
            <w:szCs w:val="30"/>
          </w:rPr>
          <w:t xml:space="preserve">第二章　投标人须知</w:t>
        </w:r>
        <w:r>
          <w:rPr>
            <w:rStyle w:val="877"/>
            <w:color w:val="auto"/>
            <w:sz w:val="30"/>
            <w:szCs w:val="30"/>
          </w:rPr>
          <w:tab/>
        </w:r>
        <w:r>
          <w:rPr>
            <w:rStyle w:val="877"/>
            <w:color w:val="auto"/>
            <w:sz w:val="30"/>
            <w:szCs w:val="30"/>
          </w:rPr>
          <w:fldChar w:fldCharType="begin"/>
        </w:r>
        <w:r>
          <w:rPr>
            <w:rStyle w:val="877"/>
            <w:color w:val="auto"/>
            <w:sz w:val="30"/>
            <w:szCs w:val="30"/>
          </w:rPr>
          <w:instrText xml:space="preserve"> PAGEREF _Toc201302570 \h </w:instrText>
        </w:r>
        <w:r>
          <w:rPr>
            <w:rStyle w:val="877"/>
            <w:color w:val="auto"/>
            <w:sz w:val="30"/>
            <w:szCs w:val="30"/>
          </w:rPr>
        </w:r>
        <w:r>
          <w:rPr>
            <w:rStyle w:val="877"/>
            <w:color w:val="auto"/>
            <w:sz w:val="30"/>
            <w:szCs w:val="30"/>
          </w:rPr>
          <w:fldChar w:fldCharType="separate"/>
        </w:r>
        <w:r>
          <w:rPr>
            <w:rStyle w:val="877"/>
            <w:rFonts w:hint="eastAsia"/>
            <w:color w:val="auto"/>
            <w:sz w:val="30"/>
            <w:szCs w:val="30"/>
          </w:rPr>
          <w:t xml:space="preserve">5</w:t>
        </w:r>
        <w:r>
          <w:rPr>
            <w:rStyle w:val="877"/>
            <w:color w:val="auto"/>
            <w:sz w:val="30"/>
            <w:szCs w:val="30"/>
          </w:rPr>
        </w:r>
        <w:r>
          <w:rPr>
            <w:rStyle w:val="877"/>
            <w:color w:val="auto"/>
            <w:sz w:val="30"/>
            <w:szCs w:val="30"/>
          </w:rPr>
          <w:fldChar w:fldCharType="end"/>
        </w:r>
      </w:hyperlink>
      <w:r/>
      <w:r/>
    </w:p>
    <w:p>
      <w:pPr>
        <w:pStyle w:val="868"/>
        <w:spacing w:line="600" w:lineRule="exact"/>
        <w:tabs>
          <w:tab w:val="right" w:pos="9402" w:leader="dot"/>
        </w:tabs>
        <w:rPr>
          <w:rStyle w:val="877"/>
          <w:color w:val="auto"/>
          <w:sz w:val="30"/>
          <w:szCs w:val="30"/>
        </w:rPr>
      </w:pPr>
      <w:r/>
      <w:hyperlink w:tooltip="#_Toc201302571" w:anchor="_Toc201302571" w:history="1">
        <w:r>
          <w:rPr>
            <w:rStyle w:val="877"/>
            <w:rFonts w:hint="eastAsia"/>
            <w:color w:val="auto"/>
            <w:sz w:val="30"/>
            <w:szCs w:val="30"/>
          </w:rPr>
          <w:t xml:space="preserve">第三章　项目要求和有关说明</w:t>
        </w:r>
        <w:r>
          <w:rPr>
            <w:rStyle w:val="877"/>
            <w:color w:val="auto"/>
            <w:sz w:val="30"/>
            <w:szCs w:val="30"/>
          </w:rPr>
          <w:tab/>
        </w:r>
        <w:r>
          <w:rPr>
            <w:rStyle w:val="877"/>
            <w:color w:val="auto"/>
            <w:sz w:val="30"/>
            <w:szCs w:val="30"/>
          </w:rPr>
          <w:fldChar w:fldCharType="begin"/>
        </w:r>
        <w:r>
          <w:rPr>
            <w:rStyle w:val="877"/>
            <w:color w:val="auto"/>
            <w:sz w:val="30"/>
            <w:szCs w:val="30"/>
          </w:rPr>
          <w:instrText xml:space="preserve"> PAGEREF _Toc201302571 \h </w:instrText>
        </w:r>
        <w:r>
          <w:rPr>
            <w:rStyle w:val="877"/>
            <w:color w:val="auto"/>
            <w:sz w:val="30"/>
            <w:szCs w:val="30"/>
          </w:rPr>
        </w:r>
        <w:r>
          <w:rPr>
            <w:rStyle w:val="877"/>
            <w:color w:val="auto"/>
            <w:sz w:val="30"/>
            <w:szCs w:val="30"/>
          </w:rPr>
          <w:fldChar w:fldCharType="separate"/>
        </w:r>
        <w:r>
          <w:rPr>
            <w:rStyle w:val="877"/>
            <w:rFonts w:hint="eastAsia"/>
            <w:color w:val="auto"/>
            <w:sz w:val="30"/>
            <w:szCs w:val="30"/>
          </w:rPr>
          <w:t xml:space="preserve">17</w:t>
        </w:r>
        <w:r>
          <w:rPr>
            <w:rStyle w:val="877"/>
            <w:color w:val="auto"/>
            <w:sz w:val="30"/>
            <w:szCs w:val="30"/>
          </w:rPr>
        </w:r>
        <w:r>
          <w:rPr>
            <w:rStyle w:val="877"/>
            <w:color w:val="auto"/>
            <w:sz w:val="30"/>
            <w:szCs w:val="30"/>
          </w:rPr>
          <w:fldChar w:fldCharType="end"/>
        </w:r>
      </w:hyperlink>
      <w:r/>
      <w:r/>
    </w:p>
    <w:p>
      <w:pPr>
        <w:pStyle w:val="868"/>
        <w:spacing w:line="600" w:lineRule="exact"/>
        <w:tabs>
          <w:tab w:val="right" w:pos="9402" w:leader="dot"/>
        </w:tabs>
        <w:rPr>
          <w:rStyle w:val="877"/>
          <w:color w:val="auto"/>
          <w:sz w:val="30"/>
          <w:szCs w:val="30"/>
        </w:rPr>
      </w:pPr>
      <w:r/>
      <w:hyperlink w:tooltip="#_Toc201302572" w:anchor="_Toc201302572" w:history="1">
        <w:r>
          <w:rPr>
            <w:rStyle w:val="877"/>
            <w:rFonts w:hint="eastAsia"/>
            <w:color w:val="auto"/>
            <w:sz w:val="30"/>
            <w:szCs w:val="30"/>
          </w:rPr>
          <w:t xml:space="preserve">第四章　评标方法和评标标准</w:t>
        </w:r>
        <w:r>
          <w:rPr>
            <w:rStyle w:val="877"/>
            <w:color w:val="auto"/>
            <w:sz w:val="30"/>
            <w:szCs w:val="30"/>
          </w:rPr>
          <w:tab/>
        </w:r>
        <w:r>
          <w:rPr>
            <w:rStyle w:val="877"/>
            <w:color w:val="auto"/>
            <w:sz w:val="30"/>
            <w:szCs w:val="30"/>
          </w:rPr>
          <w:fldChar w:fldCharType="begin"/>
        </w:r>
        <w:r>
          <w:rPr>
            <w:rStyle w:val="877"/>
            <w:color w:val="auto"/>
            <w:sz w:val="30"/>
            <w:szCs w:val="30"/>
          </w:rPr>
          <w:instrText xml:space="preserve"> PAGEREF _Toc201302572 \h </w:instrText>
        </w:r>
        <w:r>
          <w:rPr>
            <w:rStyle w:val="877"/>
            <w:color w:val="auto"/>
            <w:sz w:val="30"/>
            <w:szCs w:val="30"/>
          </w:rPr>
        </w:r>
        <w:r>
          <w:rPr>
            <w:rStyle w:val="877"/>
            <w:color w:val="auto"/>
            <w:sz w:val="30"/>
            <w:szCs w:val="30"/>
          </w:rPr>
          <w:fldChar w:fldCharType="separate"/>
        </w:r>
        <w:r>
          <w:rPr>
            <w:rStyle w:val="877"/>
            <w:rFonts w:hint="eastAsia"/>
            <w:color w:val="auto"/>
            <w:sz w:val="30"/>
            <w:szCs w:val="30"/>
          </w:rPr>
          <w:t xml:space="preserve">24</w:t>
        </w:r>
        <w:r>
          <w:rPr>
            <w:rStyle w:val="877"/>
            <w:color w:val="auto"/>
            <w:sz w:val="30"/>
            <w:szCs w:val="30"/>
          </w:rPr>
        </w:r>
        <w:r>
          <w:rPr>
            <w:rStyle w:val="877"/>
            <w:color w:val="auto"/>
            <w:sz w:val="30"/>
            <w:szCs w:val="30"/>
          </w:rPr>
          <w:fldChar w:fldCharType="end"/>
        </w:r>
      </w:hyperlink>
      <w:r/>
      <w:r/>
    </w:p>
    <w:p>
      <w:pPr>
        <w:pStyle w:val="868"/>
        <w:spacing w:line="600" w:lineRule="exact"/>
        <w:tabs>
          <w:tab w:val="right" w:pos="9402" w:leader="dot"/>
        </w:tabs>
        <w:rPr>
          <w:rStyle w:val="877"/>
          <w:color w:val="auto"/>
          <w:sz w:val="30"/>
          <w:szCs w:val="30"/>
        </w:rPr>
      </w:pPr>
      <w:r/>
      <w:hyperlink w:tooltip="#_Toc201302573" w:anchor="_Toc201302573" w:history="1">
        <w:r>
          <w:rPr>
            <w:rStyle w:val="877"/>
            <w:rFonts w:hint="eastAsia"/>
            <w:color w:val="auto"/>
            <w:sz w:val="30"/>
            <w:szCs w:val="30"/>
          </w:rPr>
          <w:t xml:space="preserve">第五章　合同书（格式）</w:t>
        </w:r>
        <w:r>
          <w:rPr>
            <w:rStyle w:val="877"/>
            <w:color w:val="auto"/>
            <w:sz w:val="30"/>
            <w:szCs w:val="30"/>
          </w:rPr>
          <w:tab/>
        </w:r>
        <w:r>
          <w:rPr>
            <w:rStyle w:val="877"/>
            <w:color w:val="auto"/>
            <w:sz w:val="30"/>
            <w:szCs w:val="30"/>
          </w:rPr>
          <w:fldChar w:fldCharType="begin"/>
        </w:r>
        <w:r>
          <w:rPr>
            <w:rStyle w:val="877"/>
            <w:color w:val="auto"/>
            <w:sz w:val="30"/>
            <w:szCs w:val="30"/>
          </w:rPr>
          <w:instrText xml:space="preserve"> PAGEREF _Toc201302573 \h </w:instrText>
        </w:r>
        <w:r>
          <w:rPr>
            <w:rStyle w:val="877"/>
            <w:color w:val="auto"/>
            <w:sz w:val="30"/>
            <w:szCs w:val="30"/>
          </w:rPr>
        </w:r>
        <w:r>
          <w:rPr>
            <w:rStyle w:val="877"/>
            <w:color w:val="auto"/>
            <w:sz w:val="30"/>
            <w:szCs w:val="30"/>
          </w:rPr>
          <w:fldChar w:fldCharType="separate"/>
        </w:r>
        <w:r>
          <w:rPr>
            <w:rStyle w:val="877"/>
            <w:rFonts w:hint="eastAsia"/>
            <w:color w:val="auto"/>
            <w:sz w:val="30"/>
            <w:szCs w:val="30"/>
          </w:rPr>
          <w:t xml:space="preserve">27</w:t>
        </w:r>
        <w:r>
          <w:rPr>
            <w:rStyle w:val="877"/>
            <w:color w:val="auto"/>
            <w:sz w:val="30"/>
            <w:szCs w:val="30"/>
          </w:rPr>
        </w:r>
        <w:r>
          <w:rPr>
            <w:rStyle w:val="877"/>
            <w:color w:val="auto"/>
            <w:sz w:val="30"/>
            <w:szCs w:val="30"/>
          </w:rPr>
          <w:fldChar w:fldCharType="end"/>
        </w:r>
      </w:hyperlink>
      <w:r/>
      <w:r/>
    </w:p>
    <w:p>
      <w:pPr>
        <w:pStyle w:val="868"/>
        <w:spacing w:line="600" w:lineRule="exact"/>
        <w:tabs>
          <w:tab w:val="right" w:pos="9402" w:leader="dot"/>
        </w:tabs>
        <w:rPr>
          <w:rStyle w:val="877"/>
          <w:color w:val="auto"/>
          <w:sz w:val="30"/>
          <w:szCs w:val="30"/>
        </w:rPr>
      </w:pPr>
      <w:r/>
      <w:hyperlink w:tooltip="#_Toc201302574" w:anchor="_Toc201302574" w:history="1">
        <w:r>
          <w:rPr>
            <w:rStyle w:val="877"/>
            <w:rFonts w:hint="eastAsia"/>
            <w:color w:val="auto"/>
            <w:sz w:val="30"/>
            <w:szCs w:val="30"/>
          </w:rPr>
          <w:t xml:space="preserve">第六章　投标文件的组成和格式</w:t>
        </w:r>
        <w:r>
          <w:rPr>
            <w:rStyle w:val="877"/>
            <w:color w:val="auto"/>
            <w:sz w:val="30"/>
            <w:szCs w:val="30"/>
          </w:rPr>
          <w:tab/>
        </w:r>
        <w:r>
          <w:rPr>
            <w:rStyle w:val="877"/>
            <w:color w:val="auto"/>
            <w:sz w:val="30"/>
            <w:szCs w:val="30"/>
          </w:rPr>
          <w:fldChar w:fldCharType="begin"/>
        </w:r>
        <w:r>
          <w:rPr>
            <w:rStyle w:val="877"/>
            <w:color w:val="auto"/>
            <w:sz w:val="30"/>
            <w:szCs w:val="30"/>
          </w:rPr>
          <w:instrText xml:space="preserve"> PAGEREF _Toc201302574 \h </w:instrText>
        </w:r>
        <w:r>
          <w:rPr>
            <w:rStyle w:val="877"/>
            <w:color w:val="auto"/>
            <w:sz w:val="30"/>
            <w:szCs w:val="30"/>
          </w:rPr>
        </w:r>
        <w:r>
          <w:rPr>
            <w:rStyle w:val="877"/>
            <w:color w:val="auto"/>
            <w:sz w:val="30"/>
            <w:szCs w:val="30"/>
          </w:rPr>
          <w:fldChar w:fldCharType="separate"/>
        </w:r>
        <w:r>
          <w:rPr>
            <w:rStyle w:val="877"/>
            <w:rFonts w:hint="eastAsia"/>
            <w:color w:val="auto"/>
            <w:sz w:val="30"/>
            <w:szCs w:val="30"/>
          </w:rPr>
          <w:t xml:space="preserve">31</w:t>
        </w:r>
        <w:r>
          <w:rPr>
            <w:rStyle w:val="877"/>
            <w:color w:val="auto"/>
            <w:sz w:val="30"/>
            <w:szCs w:val="30"/>
          </w:rPr>
        </w:r>
        <w:r>
          <w:rPr>
            <w:rStyle w:val="877"/>
            <w:color w:val="auto"/>
            <w:sz w:val="30"/>
            <w:szCs w:val="30"/>
          </w:rPr>
          <w:fldChar w:fldCharType="end"/>
        </w:r>
      </w:hyperlink>
      <w:r/>
      <w:r/>
    </w:p>
    <w:p>
      <w:pPr>
        <w:pStyle w:val="873"/>
        <w:spacing w:before="120" w:after="120" w:line="600" w:lineRule="exact"/>
        <w:sectPr>
          <w:footerReference w:type="even" r:id="rId11"/>
          <w:footnotePr/>
          <w:endnotePr/>
          <w:type w:val="nextPage"/>
          <w:pgSz w:w="11906" w:h="16838" w:orient="portrait"/>
          <w:pgMar w:top="1247" w:right="1247" w:bottom="1247" w:left="1247" w:header="680" w:footer="992" w:gutter="0"/>
          <w:pgNumType w:start="1"/>
          <w:cols w:num="1" w:sep="0" w:space="720" w:equalWidth="1"/>
          <w:docGrid w:linePitch="360"/>
        </w:sectPr>
      </w:pPr>
      <w:r>
        <w:rPr>
          <w:rFonts w:ascii="宋体" w:hAnsi="宋体" w:eastAsia="宋体" w:cs="Times New Roman"/>
          <w:szCs w:val="30"/>
        </w:rPr>
        <w:fldChar w:fldCharType="end"/>
      </w:r>
      <w:bookmarkStart w:id="5" w:name="_Toc166593155"/>
      <w:r/>
      <w:bookmarkStart w:id="6" w:name="_Toc166593357"/>
      <w:r/>
      <w:r/>
    </w:p>
    <w:p>
      <w:pPr>
        <w:pStyle w:val="873"/>
      </w:pPr>
      <w:r/>
      <w:r/>
    </w:p>
    <w:p>
      <w:pPr>
        <w:pStyle w:val="873"/>
      </w:pPr>
      <w:r/>
      <w:bookmarkStart w:id="7" w:name="_Toc201302569"/>
      <w:r>
        <w:rPr>
          <w:rFonts w:hint="eastAsia"/>
        </w:rPr>
        <w:t xml:space="preserve">第一章　投标邀请</w:t>
      </w:r>
      <w:bookmarkEnd w:id="5"/>
      <w:r/>
      <w:bookmarkEnd w:id="6"/>
      <w:r/>
      <w:bookmarkEnd w:id="7"/>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hint="eastAsia"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基层慢病健康管理提升项目——配套慢病管理一体机</w:t>
      </w:r>
      <w:r>
        <w:rPr>
          <w:rFonts w:ascii="宋体" w:hAnsi="宋体" w:eastAsia="宋体" w:cs="Times New Roman"/>
          <w:bCs/>
          <w:sz w:val="24"/>
          <w:szCs w:val="24"/>
        </w:rPr>
        <w:t xml:space="preserve">JSZC-320281-JZCG-G2025-0099</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r>
      <w:r>
        <w:rPr>
          <w:rFonts w:hint="eastAsia" w:ascii="宋体" w:hAnsi="宋体" w:eastAsia="宋体" w:cs="Times New Roman"/>
          <w:sz w:val="24"/>
          <w:szCs w:val="24"/>
        </w:rPr>
      </w:r>
      <w:r>
        <w:rPr>
          <w:rFonts w:ascii="宋体" w:hAnsi="宋体" w:eastAsia="宋体" w:cs="Times New Roman"/>
          <w:sz w:val="24"/>
          <w:szCs w:val="24"/>
        </w:rPr>
        <w:t xml:space="preserve">202</w:t>
      </w:r>
      <w:r>
        <w:rPr>
          <w:rFonts w:hint="eastAsia" w:ascii="宋体" w:hAnsi="宋体" w:eastAsia="宋体" w:cs="Times New Roman"/>
          <w:sz w:val="24"/>
          <w:szCs w:val="24"/>
        </w:rPr>
        <w:t xml:space="preserve">5</w:t>
      </w:r>
      <w:r>
        <w:rPr>
          <w:rFonts w:ascii="宋体" w:hAnsi="宋体" w:eastAsia="宋体" w:cs="Times New Roman"/>
          <w:sz w:val="24"/>
          <w:szCs w:val="24"/>
        </w:rPr>
        <w:t xml:space="preserve">-</w:t>
      </w:r>
      <w:r>
        <w:rPr>
          <w:rFonts w:hint="eastAsia" w:ascii="宋体" w:hAnsi="宋体" w:eastAsia="宋体" w:cs="Times New Roman"/>
          <w:sz w:val="24"/>
          <w:szCs w:val="24"/>
        </w:rPr>
        <w:t xml:space="preserve">12</w:t>
      </w:r>
      <w:r>
        <w:rPr>
          <w:rFonts w:ascii="宋体" w:hAnsi="宋体" w:eastAsia="宋体" w:cs="Times New Roman"/>
          <w:sz w:val="24"/>
          <w:szCs w:val="24"/>
        </w:rPr>
        <w:t xml:space="preserve">-</w:t>
      </w:r>
      <w:r>
        <w:rPr>
          <w:rFonts w:hint="eastAsia" w:ascii="宋体" w:hAnsi="宋体" w:eastAsia="宋体" w:cs="Times New Roman"/>
          <w:sz w:val="24"/>
          <w:szCs w:val="24"/>
        </w:rPr>
        <w:t xml:space="preserve">26   09</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r/>
      <w:r>
        <w:rPr>
          <w:rFonts w:hint="eastAsia" w:ascii="宋体" w:hAnsi="宋体" w:eastAsia="宋体" w:cs="Times New Roman"/>
          <w:sz w:val="24"/>
          <w:szCs w:val="24"/>
        </w:rPr>
      </w:r>
    </w:p>
    <w:p>
      <w:pPr>
        <w:spacing w:line="400" w:lineRule="exact"/>
        <w:rPr>
          <w:rFonts w:ascii="宋体" w:hAnsi="宋体" w:eastAsia="宋体" w:cs="Times New Roman"/>
          <w:b/>
          <w:sz w:val="24"/>
          <w:szCs w:val="24"/>
        </w:rPr>
      </w:pPr>
      <w:r/>
      <w:bookmarkStart w:id="8" w:name="_Toc166593358"/>
      <w:r/>
      <w:bookmarkStart w:id="9" w:name="_Toc166593156"/>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ascii="宋体" w:hAnsi="宋体" w:eastAsia="宋体" w:cs="Times New Roman"/>
          <w:bCs/>
          <w:sz w:val="24"/>
          <w:szCs w:val="24"/>
        </w:rPr>
        <w:t xml:space="preserve">JSZC-320281-JZCG-G2025-0099</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基层慢病健康管理提升项目——配套慢病管理一体机</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500</w:t>
      </w:r>
      <w:r>
        <w:rPr>
          <w:rFonts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最高限价：</w:t>
      </w:r>
      <w:r>
        <w:rPr>
          <w:rFonts w:hint="eastAsia" w:ascii="宋体" w:hAnsi="宋体" w:eastAsia="宋体" w:cs="Times New Roman"/>
          <w:sz w:val="24"/>
          <w:szCs w:val="24"/>
        </w:rPr>
        <w:t xml:space="preserve">500万元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本项目为江阴市人民医院的基层慢病健康管理提升项目——配套慢病管理一体机</w:t>
      </w:r>
      <w:r>
        <w:rPr>
          <w:rFonts w:hint="eastAsia" w:ascii="宋体" w:hAnsi="宋体" w:eastAsia="宋体" w:cs="Times New Roman"/>
          <w:sz w:val="24"/>
          <w:szCs w:val="28"/>
        </w:rPr>
        <w:t xml:space="preserve">。</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w:t>
      </w:r>
      <w:r>
        <w:rPr>
          <w:rFonts w:hint="eastAsia" w:ascii="宋体" w:hAnsi="宋体" w:eastAsia="宋体" w:cs="Times New Roman"/>
          <w:sz w:val="24"/>
          <w:szCs w:val="24"/>
        </w:rPr>
        <w:t xml:space="preserve">且亲自</w:t>
      </w:r>
      <w:r>
        <w:rPr>
          <w:rFonts w:hint="eastAsia" w:ascii="宋体" w:hAnsi="宋体" w:eastAsia="宋体" w:cs="Times New Roman"/>
          <w:sz w:val="24"/>
          <w:szCs w:val="24"/>
        </w:rPr>
        <w:t xml:space="preserve">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w:t>
      </w:r>
      <w:r>
        <w:rPr>
          <w:rFonts w:hint="eastAsia" w:ascii="宋体" w:hAnsi="宋体" w:eastAsia="宋体" w:cs="Times New Roman"/>
          <w:sz w:val="24"/>
          <w:szCs w:val="24"/>
        </w:rPr>
        <w:t xml:space="preserve">不</w:t>
      </w:r>
      <w:r>
        <w:rPr>
          <w:rFonts w:hint="eastAsia" w:ascii="宋体" w:hAnsi="宋体" w:eastAsia="宋体" w:cs="Times New Roman"/>
          <w:sz w:val="24"/>
          <w:szCs w:val="24"/>
        </w:rPr>
        <w:t xml:space="preserve">专门面向中小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采购，执行价格扣除优惠政策，对小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sz w:val="24"/>
        </w:rPr>
        <w:t xml:space="preserve">无。</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）平台下载获取。在采购文件有效获取期限内，从江苏省政府采购（苏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5</w:t>
      </w:r>
      <w:r>
        <w:rPr>
          <w:rFonts w:ascii="宋体" w:hAnsi="宋体" w:eastAsia="宋体" w:cs="Times New Roman"/>
          <w:sz w:val="24"/>
          <w:szCs w:val="24"/>
        </w:rPr>
        <w:t xml:space="preserve">-</w:t>
      </w:r>
      <w:r>
        <w:rPr>
          <w:rFonts w:hint="eastAsia" w:ascii="宋体" w:hAnsi="宋体" w:eastAsia="宋体" w:cs="Times New Roman"/>
          <w:sz w:val="24"/>
          <w:szCs w:val="24"/>
        </w:rPr>
        <w:t xml:space="preserve">12</w:t>
      </w:r>
      <w:r>
        <w:rPr>
          <w:rFonts w:ascii="宋体" w:hAnsi="宋体" w:eastAsia="宋体" w:cs="Times New Roman"/>
          <w:sz w:val="24"/>
          <w:szCs w:val="24"/>
        </w:rPr>
        <w:t xml:space="preserve">-26</w:t>
      </w:r>
      <w:r>
        <w:rPr>
          <w:rFonts w:hint="eastAsia" w:ascii="宋体" w:hAnsi="宋体" w:eastAsia="宋体" w:cs="Times New Roman"/>
          <w:sz w:val="24"/>
          <w:szCs w:val="24"/>
        </w:rPr>
        <w:t xml:space="preserve">  09</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）平台”（以下简称“苏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w:t>
      </w:r>
      <w:r>
        <w:rPr>
          <w:rFonts w:hint="eastAsia" w:ascii="宋体" w:hAnsi="宋体" w:eastAsia="宋体" w:cs="Times New Roman"/>
          <w:sz w:val="24"/>
          <w:szCs w:val="24"/>
        </w:rPr>
        <w:t xml:space="preserve">滨湖区</w:t>
      </w:r>
      <w:r>
        <w:rPr>
          <w:rFonts w:hint="eastAsia" w:ascii="宋体" w:hAnsi="宋体" w:eastAsia="宋体" w:cs="Times New Roman"/>
          <w:sz w:val="24"/>
          <w:szCs w:val="24"/>
        </w:rPr>
        <w:t xml:space="preserve">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注册的</w:t>
      </w:r>
      <w:r>
        <w:rPr>
          <w:rFonts w:hint="eastAsia" w:ascii="宋体" w:hAnsi="宋体" w:eastAsia="宋体" w:cs="Times New Roman"/>
          <w:sz w:val="24"/>
          <w:szCs w:val="24"/>
        </w:rPr>
        <w:t xml:space="preserve">供应商方可</w:t>
      </w:r>
      <w:r>
        <w:rPr>
          <w:rFonts w:hint="eastAsia" w:ascii="宋体" w:hAnsi="宋体" w:eastAsia="宋体" w:cs="Times New Roman"/>
          <w:sz w:val="24"/>
          <w:szCs w:val="24"/>
        </w:rPr>
        <w:t xml:space="preserve">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中进行CA绑定。登录“江苏省政府采购（苏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”系统供应商操作手册》（以下简称《操作手册》），下载地址：江阴市公共资源交易中心网站——资料下载（供应商）——“苏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平台中免费下载文件（“项目参与”找到需要获取采购文件的项目，点击“我要参与”——“参与投标”——“下载文件”），完成项目参与，将苏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平台中下载的采购文件（后缀名为“.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”）导入到“政府采购客户端”，离线按要求编制并加密响应文件（使用“CA数字证书”），导出加密的响应文件（后缀名为zip，不得超过</w:t>
      </w:r>
      <w:r>
        <w:rPr>
          <w:rFonts w:hint="eastAsia" w:ascii="宋体" w:hAnsi="宋体" w:eastAsia="宋体" w:cs="Times New Roman"/>
          <w:sz w:val="24"/>
          <w:szCs w:val="24"/>
        </w:rPr>
        <w:t xml:space="preserve">150M）并在苏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hint="eastAsia" w:ascii="宋体" w:hAnsi="宋体" w:eastAsia="宋体" w:cs="Times New Roman"/>
          <w:sz w:val="24"/>
          <w:szCs w:val="24"/>
        </w:rPr>
        <w:t xml:space="preserve">上传该加密</w:t>
      </w:r>
      <w:r>
        <w:rPr>
          <w:rFonts w:hint="eastAsia" w:ascii="宋体" w:hAnsi="宋体" w:eastAsia="宋体" w:cs="Times New Roman"/>
          <w:sz w:val="24"/>
          <w:szCs w:val="24"/>
        </w:rPr>
        <w:t xml:space="preserve">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平台提交数据电文形式的响应文件，通过苏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平台进入“开标大厅”开启（解密）响应文件。推荐</w:t>
      </w:r>
      <w:r>
        <w:rPr>
          <w:rFonts w:hint="eastAsia" w:ascii="宋体" w:hAnsi="宋体" w:eastAsia="宋体" w:cs="Times New Roman"/>
          <w:sz w:val="24"/>
          <w:szCs w:val="24"/>
        </w:rPr>
        <w:t xml:space="preserve">使用谷歌浏览器</w:t>
      </w:r>
      <w:r>
        <w:rPr>
          <w:rFonts w:hint="eastAsia" w:ascii="宋体" w:hAnsi="宋体" w:eastAsia="宋体" w:cs="Times New Roman"/>
          <w:sz w:val="24"/>
          <w:szCs w:val="24"/>
        </w:rPr>
        <w:t xml:space="preserve">，参与苏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江阴市人民医院</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w:t>
      </w:r>
      <w:r>
        <w:rPr>
          <w:rFonts w:hint="eastAsia" w:ascii="宋体" w:hAnsi="宋体" w:eastAsia="宋体" w:cs="Times New Roman"/>
          <w:sz w:val="24"/>
          <w:szCs w:val="24"/>
        </w:rPr>
        <w:t xml:space="preserve">江阴市寿山路</w:t>
      </w:r>
      <w:r>
        <w:rPr>
          <w:rFonts w:hint="eastAsia" w:ascii="宋体" w:hAnsi="宋体" w:eastAsia="宋体" w:cs="Times New Roman"/>
          <w:sz w:val="24"/>
          <w:szCs w:val="24"/>
        </w:rPr>
        <w:t xml:space="preserve">163号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项目联系人：徐女士</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联系电话：18921233102</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张先生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eastAsia="宋体" w:cs="Times New Roman"/>
          <w:sz w:val="24"/>
          <w:szCs w:val="24"/>
        </w:rPr>
        <w:t xml:space="preserve">张先生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873"/>
      </w:pPr>
      <w:r/>
      <w:r/>
    </w:p>
    <w:p>
      <w:pPr>
        <w:pStyle w:val="873"/>
      </w:pPr>
      <w:r/>
      <w:bookmarkStart w:id="10" w:name="_Toc201302570"/>
      <w:r>
        <w:rPr>
          <w:rFonts w:hint="eastAsia"/>
        </w:rPr>
        <w:t xml:space="preserve">第二章　</w:t>
      </w:r>
      <w:r>
        <w:rPr>
          <w:rFonts w:hint="eastAsia" w:hAnsi="宋体"/>
        </w:rPr>
        <w:t xml:space="preserve">投标人</w:t>
      </w:r>
      <w:r>
        <w:rPr>
          <w:rFonts w:hint="eastAsia"/>
        </w:rPr>
        <w:t xml:space="preserve">须知</w:t>
      </w:r>
      <w:bookmarkEnd w:id="8"/>
      <w:r/>
      <w:bookmarkEnd w:id="9"/>
      <w:r/>
      <w:bookmarkEnd w:id="10"/>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w:t>
      </w:r>
      <w:r>
        <w:rPr>
          <w:rFonts w:ascii="宋体" w:hAnsi="宋体" w:eastAsia="宋体" w:cs="Times New Roman"/>
          <w:sz w:val="24"/>
          <w:szCs w:val="24"/>
        </w:rPr>
        <w:t xml:space="preserve">采云</w:t>
      </w:r>
      <w:r>
        <w:rPr>
          <w:rFonts w:ascii="宋体" w:hAnsi="宋体" w:eastAsia="宋体" w:cs="Times New Roman"/>
          <w:sz w:val="24"/>
          <w:szCs w:val="24"/>
        </w:rPr>
        <w:t xml:space="preserve">）平台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报价明细表；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详细配置一览表；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血压检测模块、血氧检测模块、血糖检测模块相关设备部件属于医疗器械注册</w:t>
      </w:r>
      <w:r>
        <w:rPr>
          <w:rFonts w:hint="eastAsia" w:ascii="宋体" w:hAnsi="宋体" w:eastAsia="宋体" w:cs="Times New Roman"/>
          <w:sz w:val="24"/>
          <w:szCs w:val="24"/>
        </w:rPr>
        <w:t xml:space="preserve">范畴的，须提供《医疗器械注册证》；（扫描件）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投屏用电视</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投屏用显示</w:t>
      </w:r>
      <w:r>
        <w:rPr>
          <w:rFonts w:hint="eastAsia" w:ascii="宋体" w:hAnsi="宋体" w:eastAsia="宋体" w:cs="Times New Roman"/>
          <w:sz w:val="24"/>
          <w:szCs w:val="24"/>
        </w:rPr>
        <w:t xml:space="preserve">器具有国家确定的认证机构出具的、处于有效期之内的节能产品认证证书（投标产品型号必须与节能证书型号一致，明确到最小型号）；（扫描件）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（8）</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w:t>
      </w:r>
      <w:r>
        <w:rPr>
          <w:rFonts w:hint="eastAsia" w:ascii="宋体" w:hAnsi="宋体" w:eastAsia="宋体" w:cs="Times New Roman"/>
          <w:b/>
          <w:bCs/>
          <w:sz w:val="24"/>
          <w:szCs w:val="24"/>
        </w:rPr>
        <w:t xml:space="preserve">且亲自</w:t>
      </w:r>
      <w:r>
        <w:rPr>
          <w:rFonts w:hint="eastAsia" w:ascii="宋体" w:hAnsi="宋体" w:eastAsia="宋体" w:cs="Times New Roman"/>
          <w:b/>
          <w:bCs/>
          <w:sz w:val="24"/>
          <w:szCs w:val="24"/>
        </w:rPr>
        <w:t xml:space="preserve">参与的必须提供《法定代表人亲自投标声明》）</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（9）投标人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③投标文件构成资料为非中文时应提供中文译版。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④招标文件要求提供证书证件等原件电子件的，投标人提供的电子件应是对证书证件等原件通过扫描、拍照等方式进行数字化的可被电子交易平台识别的数字文件，否则评标委员会可以视其未提供。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⑤联合体投标的，由联合体牵头单位编制、提交投标文件。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ascii="宋体" w:hAnsi="宋体" w:eastAsia="宋体" w:cs="Times New Roman"/>
          <w:sz w:val="24"/>
          <w:szCs w:val="24"/>
        </w:rPr>
        <w:t xml:space="preserve">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w:t>
      </w:r>
      <w:r>
        <w:rPr>
          <w:rFonts w:ascii="宋体" w:hAnsi="宋体" w:eastAsia="宋体" w:cs="Times New Roman"/>
          <w:sz w:val="24"/>
          <w:szCs w:val="24"/>
        </w:rPr>
        <w:t xml:space="preserve">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w:t>
      </w:r>
      <w:r>
        <w:rPr>
          <w:rFonts w:ascii="宋体" w:hAnsi="宋体" w:eastAsia="宋体" w:cs="宋体"/>
          <w:sz w:val="24"/>
          <w:szCs w:val="24"/>
        </w:rPr>
        <w:t xml:space="preserve">远程不</w:t>
      </w:r>
      <w:r>
        <w:rPr>
          <w:rFonts w:ascii="宋体" w:hAnsi="宋体" w:eastAsia="宋体" w:cs="宋体"/>
          <w:sz w:val="24"/>
          <w:szCs w:val="24"/>
        </w:rPr>
        <w:t xml:space="preserve">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平台，在响应文件提交截止时间</w:t>
      </w:r>
      <w:r>
        <w:rPr>
          <w:rFonts w:hint="eastAsia" w:ascii="宋体" w:hAnsi="宋体" w:eastAsia="宋体" w:cs="宋体"/>
          <w:sz w:val="24"/>
          <w:szCs w:val="24"/>
        </w:rPr>
        <w:t xml:space="preserve">前制作</w:t>
      </w:r>
      <w:r>
        <w:rPr>
          <w:rFonts w:hint="eastAsia" w:ascii="宋体" w:hAnsi="宋体" w:eastAsia="宋体" w:cs="宋体"/>
          <w:sz w:val="24"/>
          <w:szCs w:val="24"/>
        </w:rPr>
        <w:t xml:space="preserve">并上传电子响应文件。供应商上传电子响应文件的时间不得迟于招标公告中规定的截止时间。供应商应充分考虑到网络环境、网络带宽等风险因素，如因供应商自身原因造成的电子响应文件上传不成功</w:t>
      </w:r>
      <w:r>
        <w:rPr>
          <w:rFonts w:hint="eastAsia" w:ascii="宋体" w:hAnsi="宋体" w:eastAsia="宋体" w:cs="宋体"/>
          <w:sz w:val="24"/>
          <w:szCs w:val="24"/>
        </w:rPr>
        <w:t xml:space="preserve">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平台主持，邀请供应商参加。响应文件开启时，苏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平台自动提取所有响应文件。响应文件开启解密之后30分钟内，供应商通过苏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w:t>
      </w:r>
      <w:r>
        <w:rPr>
          <w:rFonts w:hint="eastAsia" w:ascii="宋体" w:hAnsi="宋体" w:eastAsia="宋体" w:cs="宋体"/>
          <w:sz w:val="24"/>
          <w:szCs w:val="24"/>
        </w:rPr>
        <w:t xml:space="preserve">、政府采购客户端、CA驱动等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9、其他法律、法规及本招标文件规定的属无效投标的情形。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w:t>
      </w:r>
      <w:r>
        <w:rPr>
          <w:rFonts w:hint="eastAsia" w:ascii="宋体" w:hAnsi="宋体" w:eastAsia="宋体" w:cs="Times New Roman"/>
          <w:sz w:val="24"/>
          <w:szCs w:val="24"/>
        </w:rPr>
        <w:t xml:space="preserve">件（文件1-文件2）等进行审查，以确定投标单位是否具备投标资格。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接受联合体的项目，两个以上的自然人、法人或者其他组织组成一个联合体，以一个投标单位的身份共同参加政府采购活动的，联合体成员存在不良信用记录的，视同联合体存在不良信用记录。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（c）投标文件附有采购人不能接受的商务条件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（d）不符合招标文件中规定的其他实质性要求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w:t>
      </w:r>
      <w:r>
        <w:rPr>
          <w:rFonts w:hint="eastAsia" w:ascii="宋体" w:hAnsi="宋体" w:eastAsia="宋体" w:cs="Times New Roman"/>
          <w:sz w:val="24"/>
          <w:szCs w:val="24"/>
        </w:rPr>
        <w:t xml:space="preserve">响应性只根据</w:t>
      </w:r>
      <w:r>
        <w:rPr>
          <w:rFonts w:hint="eastAsia" w:ascii="宋体" w:hAnsi="宋体" w:eastAsia="宋体" w:cs="Times New Roman"/>
          <w:sz w:val="24"/>
          <w:szCs w:val="24"/>
        </w:rPr>
        <w:t xml:space="preserve">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3、评标方法：具体办法和标准详见招标文件第四章《评标方法和评标标准》。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w:t>
      </w:r>
      <w:r>
        <w:rPr>
          <w:rFonts w:ascii="宋体" w:hAnsi="宋体" w:eastAsia="宋体" w:cs="Times New Roman"/>
          <w:sz w:val="24"/>
          <w:szCs w:val="24"/>
        </w:rPr>
        <w:t xml:space="preserve">作出</w:t>
      </w:r>
      <w:r>
        <w:rPr>
          <w:rFonts w:ascii="宋体" w:hAnsi="宋体" w:eastAsia="宋体" w:cs="Times New Roman"/>
          <w:sz w:val="24"/>
          <w:szCs w:val="24"/>
        </w:rPr>
        <w:t xml:space="preserve">必要的澄清、说明或者补正。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投标人的澄清、说明或者补正应当采用书面形式，并加盖公章，或者由法定代表人或其授权</w:t>
      </w:r>
      <w:r>
        <w:rPr>
          <w:rFonts w:hint="eastAsia" w:ascii="宋体" w:hAnsi="宋体" w:eastAsia="宋体" w:cs="Times New Roman"/>
          <w:sz w:val="24"/>
          <w:szCs w:val="24"/>
        </w:rPr>
        <w:t xml:space="preserve">委托人</w:t>
      </w:r>
      <w:r>
        <w:rPr>
          <w:rFonts w:ascii="宋体" w:hAnsi="宋体" w:eastAsia="宋体" w:cs="Times New Roman"/>
          <w:sz w:val="24"/>
          <w:szCs w:val="24"/>
        </w:rPr>
        <w:t xml:space="preserve">签字。投标人的澄清、说明或者补正不得超出投标文件的范围或者改变投标文件的实质性内容。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w:t>
      </w:r>
      <w:r>
        <w:rPr>
          <w:rFonts w:ascii="宋体" w:hAnsi="宋体" w:eastAsia="宋体" w:cs="Times New Roman"/>
          <w:sz w:val="24"/>
          <w:szCs w:val="24"/>
        </w:rPr>
        <w:t xml:space="preserve">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（a）投标（响应）报价低于采购项目预算50%的，即投标（响应）报价＜采购项目预算×50%；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（b）投标（响应）报价低于采购项目最高限价45%的，即投标（响应）报价＜采购项目最高限价×45%；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（c）评标（评审）委员会认定的供应商报价过低、有可能影响产品质量或者不能诚信履约的其他情形。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（2）启动异常低价投标（响应）审查后，评标（评审）委员会应当要求相关供应商在评标现场合理的时间内,提供项目具体成本测算等与报价合理性相关的书面说明及相关证明材料，对投标（响应）价格</w:t>
      </w:r>
      <w:r>
        <w:rPr>
          <w:rFonts w:hint="eastAsia" w:ascii="宋体" w:hAnsi="宋体" w:eastAsia="宋体" w:cs="Times New Roman"/>
          <w:b/>
          <w:sz w:val="24"/>
          <w:szCs w:val="24"/>
        </w:rPr>
        <w:t xml:space="preserve">作出</w:t>
      </w:r>
      <w:r>
        <w:rPr>
          <w:rFonts w:hint="eastAsia" w:ascii="宋体" w:hAnsi="宋体" w:eastAsia="宋体" w:cs="Times New Roman"/>
          <w:b/>
          <w:sz w:val="24"/>
          <w:szCs w:val="24"/>
        </w:rPr>
        <w:t xml:space="preserve">解释，由评标（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评审）委员会应当将其作为无效投标（响应）处理。审查相关情况应当在评标（评审）报告中进行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第一中标候选单位，采购人确定为中标单位。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w:t>
      </w:r>
      <w:r>
        <w:rPr>
          <w:rFonts w:hint="eastAsia" w:ascii="宋体" w:hAnsi="宋体" w:eastAsia="宋体" w:cs="Times New Roman"/>
          <w:sz w:val="24"/>
          <w:szCs w:val="24"/>
        </w:rPr>
        <w:t xml:space="preserve">质疑按</w:t>
      </w:r>
      <w:r>
        <w:rPr>
          <w:rFonts w:hint="eastAsia" w:ascii="宋体" w:hAnsi="宋体" w:eastAsia="宋体" w:cs="Times New Roman"/>
          <w:sz w:val="24"/>
          <w:szCs w:val="24"/>
        </w:rPr>
        <w:t xml:space="preserve">《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w:t>
      </w:r>
      <w:r>
        <w:rPr>
          <w:rFonts w:hint="eastAsia" w:ascii="宋体" w:hAnsi="宋体" w:eastAsia="宋体" w:cs="Times New Roman"/>
          <w:sz w:val="24"/>
          <w:szCs w:val="24"/>
        </w:rPr>
        <w:t xml:space="preserve">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w:t>
      </w:r>
      <w:r>
        <w:rPr>
          <w:rFonts w:hint="eastAsia" w:ascii="宋体" w:hAnsi="宋体" w:eastAsia="宋体" w:cs="Times New Roman"/>
          <w:sz w:val="24"/>
          <w:szCs w:val="24"/>
        </w:rPr>
        <w:t xml:space="preserve">函应当</w:t>
      </w:r>
      <w:r>
        <w:rPr>
          <w:rFonts w:hint="eastAsia" w:ascii="宋体" w:hAnsi="宋体" w:eastAsia="宋体" w:cs="Times New Roman"/>
          <w:sz w:val="24"/>
          <w:szCs w:val="24"/>
        </w:rPr>
        <w:t xml:space="preserve">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w:t>
      </w:r>
      <w:r>
        <w:rPr>
          <w:rFonts w:hint="eastAsia" w:ascii="宋体" w:hAnsi="宋体" w:eastAsia="宋体" w:cs="Times New Roman"/>
          <w:sz w:val="24"/>
          <w:szCs w:val="24"/>
        </w:rPr>
        <w:t xml:space="preserve">式参加</w:t>
      </w:r>
      <w:r>
        <w:rPr>
          <w:rFonts w:hint="eastAsia" w:ascii="宋体" w:hAnsi="宋体" w:eastAsia="宋体" w:cs="Times New Roman"/>
          <w:sz w:val="24"/>
          <w:szCs w:val="24"/>
        </w:rPr>
        <w:t xml:space="preserve">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采购人收件人：徐女士   收件地址：江阴市人民医院敔</w:t>
      </w:r>
      <w:r>
        <w:rPr>
          <w:rFonts w:hint="eastAsia" w:ascii="宋体" w:hAnsi="宋体" w:eastAsia="宋体" w:cs="Times New Roman"/>
          <w:sz w:val="24"/>
          <w:szCs w:val="24"/>
          <w:u w:val="single"/>
        </w:rPr>
        <w:t xml:space="preserve">山湾院区</w:t>
      </w:r>
      <w:r>
        <w:rPr>
          <w:rFonts w:hint="eastAsia" w:ascii="宋体" w:hAnsi="宋体" w:eastAsia="宋体" w:cs="Times New Roman"/>
          <w:sz w:val="24"/>
          <w:szCs w:val="24"/>
          <w:u w:val="single"/>
        </w:rPr>
        <w:t xml:space="preserve">1号楼一层医学工程部办公室   收件电话：</w:t>
      </w:r>
      <w:r>
        <w:rPr>
          <w:rFonts w:ascii="宋体" w:hAnsi="宋体" w:eastAsia="宋体" w:cs="Times New Roman"/>
          <w:sz w:val="24"/>
          <w:szCs w:val="24"/>
          <w:u w:val="single"/>
        </w:rPr>
        <w:t xml:space="preserve">0510</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88017546</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  收件地址：江阴市长江路188号江阴市政务服务中心619、621室  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”系统中本项目《投标供应商确认函》），且采购人、采购中心有权向“苏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w:t>
      </w:r>
      <w:r>
        <w:rPr>
          <w:rFonts w:hint="eastAsia" w:ascii="宋体" w:hAnsi="宋体" w:eastAsia="宋体" w:cs="Times New Roman"/>
          <w:sz w:val="24"/>
          <w:szCs w:val="24"/>
        </w:rPr>
        <w:t xml:space="preserve">有倾</w:t>
      </w:r>
      <w:r>
        <w:rPr>
          <w:rFonts w:hint="eastAsia" w:ascii="宋体" w:hAnsi="宋体" w:eastAsia="宋体" w:cs="Times New Roman"/>
          <w:sz w:val="24"/>
          <w:szCs w:val="24"/>
        </w:rPr>
        <w:t xml:space="preserve">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w:t>
      </w:r>
      <w:r>
        <w:rPr>
          <w:rFonts w:hint="eastAsia" w:ascii="宋体" w:hAnsi="宋体" w:eastAsia="宋体" w:cs="Times New Roman"/>
          <w:sz w:val="24"/>
          <w:szCs w:val="24"/>
        </w:rPr>
        <w:t xml:space="preserve">分之十</w:t>
      </w:r>
      <w:r>
        <w:rPr>
          <w:rFonts w:hint="eastAsia" w:ascii="宋体" w:hAnsi="宋体" w:eastAsia="宋体" w:cs="Times New Roman"/>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采购单位按照采购合同约定及时退还履约保证金，不计利息。</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6、江阴市政府采购中心监督合同的履行，协调和处理履约过程中的问题，同时对售后</w:t>
      </w:r>
      <w:r>
        <w:rPr>
          <w:rFonts w:hint="eastAsia" w:ascii="宋体" w:hAnsi="宋体" w:eastAsia="宋体" w:cs="Times New Roman"/>
          <w:bCs/>
          <w:sz w:val="24"/>
          <w:szCs w:val="24"/>
        </w:rPr>
        <w:t xml:space="preserve">服务进行评</w:t>
      </w:r>
      <w:r>
        <w:rPr>
          <w:rFonts w:hint="eastAsia" w:ascii="宋体" w:hAnsi="宋体" w:eastAsia="宋体" w:cs="Times New Roman"/>
          <w:sz w:val="24"/>
          <w:szCs w:val="24"/>
        </w:rPr>
        <w:t xml:space="preserve">价。中标方未履行招标文件、投标文件和合同规定的义务，政府采购中心将根据具体情况提请政府采购管理部门</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相应处理。不可抗力除外。</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1、根据</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财政部、工业和信息化部关于印发</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政府采购促进中小企业发展管理办法</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的通知</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（财库</w:t>
      </w:r>
      <w:r>
        <w:rPr>
          <w:rFonts w:hint="eastAsia" w:ascii="宋体" w:hAnsi="宋体" w:eastAsia="宋体" w:cs="Times New Roman"/>
          <w:sz w:val="24"/>
          <w:szCs w:val="24"/>
        </w:rPr>
        <w:t xml:space="preserve">[2020]</w:t>
      </w:r>
      <w:r>
        <w:rPr>
          <w:rFonts w:hint="eastAsia" w:ascii="宋体" w:hAnsi="宋体" w:eastAsia="宋体" w:cs="Times New Roman"/>
          <w:sz w:val="24"/>
          <w:szCs w:val="24"/>
          <w:lang w:val="zh-CN"/>
        </w:rPr>
        <w:t xml:space="preserve">46号）的规定，符合《政府采购促进中小企业发展管理办法》第四条所述情形的小型、微型企业参加本项目</w:t>
      </w:r>
      <w:r>
        <w:rPr>
          <w:rFonts w:hint="eastAsia" w:ascii="宋体" w:hAnsi="宋体" w:eastAsia="宋体" w:cs="Times New Roman"/>
          <w:sz w:val="24"/>
          <w:szCs w:val="24"/>
        </w:rPr>
        <w:t xml:space="preserve">，给予20%的价格扣除，用扣除后的价格参与评审。参加投标的</w:t>
      </w:r>
      <w:r>
        <w:rPr>
          <w:rFonts w:hint="eastAsia" w:ascii="宋体" w:hAnsi="宋体" w:eastAsia="宋体" w:cs="Times New Roman"/>
          <w:sz w:val="24"/>
          <w:szCs w:val="24"/>
          <w:lang w:val="zh-CN"/>
        </w:rPr>
        <w:t xml:space="preserve">小型、微型企业</w:t>
      </w:r>
      <w:r>
        <w:rPr>
          <w:rFonts w:hint="eastAsia" w:ascii="宋体" w:hAnsi="宋体" w:eastAsia="宋体" w:cs="Times New Roman"/>
          <w:sz w:val="24"/>
          <w:szCs w:val="24"/>
        </w:rPr>
        <w:t xml:space="preserve">，应当出具</w:t>
      </w:r>
      <w:r>
        <w:rPr>
          <w:rFonts w:hint="eastAsia" w:ascii="宋体" w:hAnsi="宋体" w:eastAsia="宋体" w:cs="Times New Roman"/>
          <w:sz w:val="24"/>
          <w:szCs w:val="24"/>
          <w:lang w:val="zh-CN"/>
        </w:rPr>
        <w:t xml:space="preserve">《政府采购促进中小企业发展管理办法》规定的</w:t>
      </w:r>
      <w:r>
        <w:rPr>
          <w:rFonts w:hint="eastAsia" w:ascii="宋体" w:hAnsi="宋体" w:eastAsia="宋体" w:cs="Times New Roman"/>
          <w:sz w:val="24"/>
          <w:szCs w:val="24"/>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3、残疾人福利性单位视同小型、微型企业，给予20%的价格扣除，用扣除后的价格参</w:t>
      </w:r>
      <w:r>
        <w:rPr>
          <w:rFonts w:hint="eastAsia" w:ascii="宋体" w:hAnsi="宋体" w:eastAsia="宋体" w:cs="Times New Roman"/>
          <w:sz w:val="24"/>
          <w:szCs w:val="24"/>
        </w:rPr>
        <w:t xml:space="preserve">与评审。参加投标的残疾人福利性单位，应当按照《财政部、民政部、中国残疾人联合会关于促进残疾人就业政府采购政策的通知》（财库〔2017〕141号）的规定提供《残疾人福利性单位声明函》。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4、同一投标人，上述三项价格扣除优惠不得重复享受。</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6、中标供应</w:t>
      </w:r>
      <w:r>
        <w:rPr>
          <w:rFonts w:hint="eastAsia" w:ascii="宋体" w:hAnsi="宋体" w:eastAsia="宋体" w:cs="Times New Roman"/>
          <w:sz w:val="24"/>
          <w:szCs w:val="24"/>
        </w:rPr>
        <w:t xml:space="preserve">商享受</w:t>
      </w:r>
      <w:r>
        <w:rPr>
          <w:rFonts w:hint="eastAsia" w:ascii="宋体" w:hAnsi="宋体" w:eastAsia="宋体" w:cs="Times New Roman"/>
          <w:sz w:val="24"/>
          <w:szCs w:val="24"/>
        </w:rPr>
        <w:t xml:space="preserve">中小企业扶持政策的，江阴市政府采购中心将随中标结果公开中标供应商的《中小企业声明函》。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7、供应商提供声明</w:t>
      </w:r>
      <w:r>
        <w:rPr>
          <w:rFonts w:hint="eastAsia" w:ascii="宋体" w:hAnsi="宋体" w:eastAsia="宋体" w:cs="Times New Roman"/>
          <w:sz w:val="24"/>
          <w:szCs w:val="24"/>
        </w:rPr>
        <w:t xml:space="preserve">函内容</w:t>
      </w:r>
      <w:r>
        <w:rPr>
          <w:rFonts w:hint="eastAsia" w:ascii="宋体" w:hAnsi="宋体" w:eastAsia="宋体" w:cs="Times New Roman"/>
          <w:sz w:val="24"/>
          <w:szCs w:val="24"/>
        </w:rPr>
        <w:t xml:space="preserve">不实的，属于提供虚假材料谋取中标，依照《中华人民共和国政府采购法》等国家有关规定追究相应责任。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10、本项目中如有涉及数据库、操作系统、通用服务器、工作站、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体式计算机、便携式计算机、台式计算机等七种软硬件的，供应商不得违反财政部、工信部共同发布数据库、操作系统、通用服务器、工作站、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w:t>
      </w:r>
      <w:r>
        <w:rPr>
          <w:rFonts w:hint="eastAsia" w:ascii="宋体" w:hAnsi="宋体" w:eastAsia="宋体" w:cs="Times New Roman"/>
          <w:sz w:val="24"/>
          <w:szCs w:val="24"/>
        </w:rPr>
        <w:t xml:space="preserve">出具检测报告。</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w:t>
      </w:r>
      <w:r>
        <w:rPr>
          <w:rFonts w:hint="eastAsia" w:ascii="宋体" w:hAnsi="宋体" w:eastAsia="宋体" w:cs="Times New Roman"/>
          <w:sz w:val="24"/>
          <w:szCs w:val="24"/>
        </w:rPr>
        <w:t xml:space="preserve">商履行</w:t>
      </w:r>
      <w:r>
        <w:rPr>
          <w:rFonts w:hint="eastAsia" w:ascii="宋体" w:hAnsi="宋体" w:eastAsia="宋体" w:cs="Times New Roman"/>
          <w:sz w:val="24"/>
          <w:szCs w:val="24"/>
        </w:rPr>
        <w:t xml:space="preserve">合同义务的担保或保险。如中标、成交供应</w:t>
      </w:r>
      <w:r>
        <w:rPr>
          <w:rFonts w:hint="eastAsia" w:ascii="宋体" w:hAnsi="宋体" w:eastAsia="宋体" w:cs="Times New Roman"/>
          <w:sz w:val="24"/>
          <w:szCs w:val="24"/>
        </w:rPr>
        <w:t xml:space="preserve">商未能</w:t>
      </w:r>
      <w:r>
        <w:rPr>
          <w:rFonts w:hint="eastAsia" w:ascii="宋体" w:hAnsi="宋体" w:eastAsia="宋体" w:cs="Times New Roman"/>
          <w:sz w:val="24"/>
          <w:szCs w:val="24"/>
        </w:rPr>
        <w:t xml:space="preserve">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w:t>
      </w:r>
      <w:r>
        <w:rPr>
          <w:rFonts w:ascii="宋体" w:hAnsi="宋体" w:eastAsia="宋体" w:cs="Times New Roman"/>
          <w:sz w:val="24"/>
          <w:szCs w:val="24"/>
        </w:rPr>
        <w:t xml:space="preserve">按锡财购</w:t>
      </w:r>
      <w:r>
        <w:rPr>
          <w:rFonts w:ascii="宋体" w:hAnsi="宋体" w:eastAsia="宋体" w:cs="Times New Roman"/>
          <w:sz w:val="24"/>
          <w:szCs w:val="24"/>
        </w:rPr>
        <w:t xml:space="preserve">【2020】17号文件执行。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w:t>
      </w:r>
      <w:r>
        <w:rPr>
          <w:rFonts w:ascii="宋体" w:hAnsi="宋体" w:eastAsia="宋体" w:cs="Times New Roman"/>
          <w:sz w:val="24"/>
          <w:szCs w:val="24"/>
        </w:rPr>
        <w:t xml:space="preserve">做好预授信</w:t>
      </w:r>
      <w:r>
        <w:rPr>
          <w:rFonts w:ascii="宋体" w:hAnsi="宋体" w:eastAsia="宋体" w:cs="Times New Roman"/>
          <w:sz w:val="24"/>
          <w:szCs w:val="24"/>
        </w:rPr>
        <w:t xml:space="preserve">。双方达成融资意向后签订融资协议，确定融资成交信息并约定融资回款账户。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873"/>
        <w:sectPr>
          <w:footnotePr/>
          <w:endnotePr/>
          <w:type w:val="nextPage"/>
          <w:pgSz w:w="11906" w:h="16838" w:orient="portrait"/>
          <w:pgMar w:top="1247" w:right="1247" w:bottom="1247" w:left="1247" w:header="680" w:footer="992" w:gutter="0"/>
          <w:cols w:num="1" w:sep="0" w:space="720" w:equalWidth="1"/>
          <w:docGrid w:linePitch="360"/>
        </w:sectPr>
      </w:pPr>
      <w:r/>
      <w:r/>
    </w:p>
    <w:p>
      <w:pPr>
        <w:pStyle w:val="873"/>
      </w:pPr>
      <w:r/>
      <w:r/>
    </w:p>
    <w:p>
      <w:pPr>
        <w:pStyle w:val="873"/>
        <w:rPr>
          <w:rFonts w:ascii="楷体_GB2312" w:hAnsi="Times New Roman" w:eastAsia="楷体_GB2312"/>
          <w:b/>
          <w:sz w:val="28"/>
          <w:szCs w:val="28"/>
        </w:rPr>
      </w:pPr>
      <w:r/>
      <w:bookmarkStart w:id="11" w:name="_Toc201302571"/>
      <w:r>
        <w:rPr>
          <w:rFonts w:hint="eastAsia"/>
        </w:rPr>
        <w:t xml:space="preserve">第三章　项目要求和有关说明</w:t>
      </w:r>
      <w:bookmarkEnd w:id="11"/>
      <w:r/>
      <w:r/>
    </w:p>
    <w:p>
      <w:pPr>
        <w:ind w:firstLine="482"/>
        <w:jc w:val="center"/>
        <w:spacing w:line="400" w:lineRule="exact"/>
        <w:widowControl/>
        <w:rPr>
          <w:rFonts w:ascii="宋体" w:hAnsi="宋体" w:eastAsia="宋体" w:cs="宋体"/>
          <w:b/>
          <w:bCs/>
          <w:sz w:val="24"/>
          <w:szCs w:val="24"/>
        </w:rPr>
      </w:pPr>
      <w:r/>
      <w:bookmarkStart w:id="12" w:name="_Toc251268361"/>
      <w:r>
        <w:rPr>
          <w:rFonts w:hint="eastAsia" w:ascii="宋体" w:hAnsi="宋体" w:eastAsia="宋体" w:cs="宋体"/>
          <w:b/>
          <w:bCs/>
          <w:sz w:val="24"/>
          <w:szCs w:val="24"/>
        </w:rPr>
        <w:t xml:space="preserve">（以下除“三、主要设备详细技术参数及功能要求”中的非打“★”项，其余均为实质性要求）</w:t>
      </w:r>
      <w:r/>
    </w:p>
    <w:p>
      <w:pPr>
        <w:jc w:val="center"/>
        <w:spacing w:line="400" w:lineRule="exact"/>
        <w:widowControl/>
        <w:rPr>
          <w:rFonts w:ascii="宋体" w:hAnsi="宋体" w:eastAsia="宋体" w:cs="Times New Roman"/>
          <w:b/>
          <w:sz w:val="24"/>
          <w:szCs w:val="24"/>
        </w:rPr>
      </w:pPr>
      <w:r>
        <w:rPr>
          <w:rFonts w:ascii="宋体" w:hAnsi="宋体" w:eastAsia="宋体" w:cs="Times New Roman"/>
          <w:b/>
          <w:sz w:val="24"/>
          <w:szCs w:val="24"/>
        </w:rPr>
      </w:r>
      <w:r/>
    </w:p>
    <w:p>
      <w:pPr>
        <w:spacing w:line="400" w:lineRule="exact"/>
        <w:rPr>
          <w:rFonts w:ascii="黑体" w:hAnsi="黑体" w:eastAsia="黑体" w:cs="Times New Roman"/>
          <w:bCs/>
          <w:sz w:val="28"/>
          <w:szCs w:val="28"/>
        </w:rPr>
      </w:pPr>
      <w:r>
        <w:rPr>
          <w:rFonts w:ascii="黑体" w:hAnsi="黑体" w:eastAsia="黑体" w:cs="Times New Roman"/>
          <w:bCs/>
          <w:sz w:val="28"/>
          <w:szCs w:val="28"/>
        </w:rPr>
        <w:t xml:space="preserve">一、项目概况： </w:t>
      </w:r>
      <w:r/>
    </w:p>
    <w:p>
      <w:pPr>
        <w:ind w:firstLine="480"/>
        <w:jc w:val="left"/>
        <w:spacing w:line="400" w:lineRule="exact"/>
        <w:rPr>
          <w:rFonts w:ascii="宋体" w:hAnsi="宋体" w:eastAsia="宋体" w:cs="Times New Roman"/>
          <w:sz w:val="24"/>
          <w:szCs w:val="24"/>
          <w:lang w:bidi="ar"/>
        </w:rPr>
      </w:pPr>
      <w:r>
        <w:rPr>
          <w:rFonts w:hint="eastAsia" w:ascii="宋体" w:hAnsi="宋体" w:eastAsia="宋体" w:cs="宋体"/>
          <w:bCs/>
          <w:sz w:val="24"/>
          <w:szCs w:val="24"/>
          <w:lang w:bidi="ar"/>
        </w:rPr>
        <w:t xml:space="preserve">目前江阴紧紧围绕“以人民健康为中心”，探索实现重大</w:t>
      </w:r>
      <w:r>
        <w:rPr>
          <w:rFonts w:hint="eastAsia" w:ascii="宋体" w:hAnsi="宋体" w:eastAsia="宋体" w:cs="宋体"/>
          <w:bCs/>
          <w:sz w:val="24"/>
          <w:szCs w:val="24"/>
          <w:lang w:bidi="ar"/>
        </w:rPr>
        <w:t xml:space="preserve">慢病数智化</w:t>
      </w:r>
      <w:r>
        <w:rPr>
          <w:rFonts w:hint="eastAsia" w:ascii="宋体" w:hAnsi="宋体" w:eastAsia="宋体" w:cs="宋体"/>
          <w:bCs/>
          <w:sz w:val="24"/>
          <w:szCs w:val="24"/>
          <w:lang w:bidi="ar"/>
        </w:rPr>
        <w:t xml:space="preserve">区域协同防控（星网计划），江阴已建成多家省级基层</w:t>
      </w:r>
      <w:r>
        <w:rPr>
          <w:rFonts w:hint="eastAsia" w:ascii="宋体" w:hAnsi="宋体" w:eastAsia="宋体" w:cs="宋体"/>
          <w:bCs/>
          <w:sz w:val="24"/>
          <w:szCs w:val="24"/>
          <w:lang w:bidi="ar"/>
        </w:rPr>
        <w:t xml:space="preserve">慢病筛防中心</w:t>
      </w:r>
      <w:r>
        <w:rPr>
          <w:rFonts w:hint="eastAsia" w:ascii="宋体" w:hAnsi="宋体" w:eastAsia="宋体" w:cs="宋体"/>
          <w:bCs/>
          <w:sz w:val="24"/>
          <w:szCs w:val="24"/>
          <w:lang w:bidi="ar"/>
        </w:rPr>
        <w:t xml:space="preserve">，依托</w:t>
      </w:r>
      <w:r>
        <w:rPr>
          <w:rFonts w:hint="eastAsia" w:ascii="宋体" w:hAnsi="宋体" w:eastAsia="宋体" w:cs="宋体"/>
          <w:bCs/>
          <w:sz w:val="24"/>
          <w:szCs w:val="24"/>
          <w:lang w:bidi="ar"/>
        </w:rPr>
        <w:t xml:space="preserve">医</w:t>
      </w:r>
      <w:r>
        <w:rPr>
          <w:rFonts w:hint="eastAsia" w:ascii="宋体" w:hAnsi="宋体" w:eastAsia="宋体" w:cs="宋体"/>
          <w:bCs/>
          <w:sz w:val="24"/>
          <w:szCs w:val="24"/>
          <w:lang w:bidi="ar"/>
        </w:rPr>
        <w:t xml:space="preserve">共体构建起“两筛三防”“三高共管”的成熟慢病管理体系，累计完成数万次慢病筛查与个性化管理服务。</w:t>
      </w:r>
      <w:r>
        <w:rPr>
          <w:rFonts w:hint="eastAsia" w:ascii="宋体" w:hAnsi="宋体" w:eastAsia="宋体" w:cs="Times New Roman"/>
          <w:sz w:val="24"/>
          <w:szCs w:val="24"/>
          <w:lang w:bidi="ar"/>
        </w:rPr>
        <w:t xml:space="preserve">为进一步提升社区卫生服务站（村卫生室）基本</w:t>
      </w:r>
      <w:r>
        <w:rPr>
          <w:rFonts w:hint="eastAsia" w:ascii="宋体" w:hAnsi="宋体" w:eastAsia="宋体" w:cs="Times New Roman"/>
          <w:sz w:val="24"/>
          <w:szCs w:val="24"/>
          <w:lang w:bidi="ar"/>
        </w:rPr>
        <w:t xml:space="preserve">公卫服务</w:t>
      </w:r>
      <w:r>
        <w:rPr>
          <w:rFonts w:hint="eastAsia" w:ascii="宋体" w:hAnsi="宋体" w:eastAsia="宋体" w:cs="Times New Roman"/>
          <w:sz w:val="24"/>
          <w:szCs w:val="24"/>
          <w:lang w:bidi="ar"/>
        </w:rPr>
        <w:t xml:space="preserve">能力，切实做好慢病筛查和</w:t>
      </w:r>
      <w:r>
        <w:rPr>
          <w:rFonts w:hint="eastAsia" w:ascii="宋体" w:hAnsi="宋体" w:eastAsia="宋体" w:cs="Times New Roman"/>
          <w:sz w:val="24"/>
          <w:szCs w:val="24"/>
          <w:lang w:bidi="ar"/>
        </w:rPr>
        <w:t xml:space="preserve">医防</w:t>
      </w:r>
      <w:r>
        <w:rPr>
          <w:rFonts w:hint="eastAsia" w:ascii="宋体" w:hAnsi="宋体" w:eastAsia="宋体" w:cs="Times New Roman"/>
          <w:sz w:val="24"/>
          <w:szCs w:val="24"/>
          <w:lang w:bidi="ar"/>
        </w:rPr>
        <w:t xml:space="preserve">融合工作，采购慢病健康管理工具——</w:t>
      </w:r>
      <w:r>
        <w:rPr>
          <w:rFonts w:ascii="宋体" w:hAnsi="宋体" w:eastAsia="宋体" w:cs="Times New Roman"/>
          <w:sz w:val="24"/>
          <w:szCs w:val="24"/>
        </w:rPr>
        <w:t xml:space="preserve">慢病管理一体机</w:t>
      </w:r>
      <w:r>
        <w:rPr>
          <w:rFonts w:hint="eastAsia" w:ascii="宋体" w:hAnsi="宋体" w:eastAsia="宋体" w:cs="Times New Roman"/>
          <w:sz w:val="24"/>
          <w:szCs w:val="24"/>
        </w:rPr>
        <w:t xml:space="preserve">，</w:t>
      </w:r>
      <w:r>
        <w:rPr>
          <w:rFonts w:hint="eastAsia" w:ascii="宋体" w:hAnsi="宋体" w:eastAsia="宋体" w:cs="Times New Roman"/>
          <w:sz w:val="24"/>
          <w:szCs w:val="24"/>
          <w:lang w:bidi="ar"/>
        </w:rPr>
        <w:t xml:space="preserve">配置到符合条件的基层站点使用</w:t>
      </w:r>
      <w:r>
        <w:rPr>
          <w:rFonts w:ascii="宋体" w:hAnsi="宋体" w:eastAsia="宋体" w:cs="Times New Roman"/>
          <w:sz w:val="24"/>
          <w:szCs w:val="24"/>
        </w:rPr>
        <w:t xml:space="preserve">。慢病管理一体机是指</w:t>
      </w:r>
      <w:r>
        <w:rPr>
          <w:rFonts w:ascii="宋体" w:hAnsi="宋体" w:eastAsia="宋体" w:cs="Times New Roman"/>
          <w:sz w:val="24"/>
          <w:szCs w:val="24"/>
          <w:lang w:bidi="ar"/>
        </w:rPr>
        <w:t xml:space="preserve">把人体各项健康指标的设备集成到一台仪器上，</w:t>
      </w:r>
      <w:r>
        <w:rPr>
          <w:rFonts w:ascii="宋体" w:hAnsi="宋体" w:eastAsia="宋体" w:cs="Times New Roman"/>
          <w:sz w:val="24"/>
          <w:szCs w:val="24"/>
          <w:lang w:bidi="ar"/>
        </w:rPr>
        <w:t xml:space="preserve">标配血压</w:t>
      </w:r>
      <w:r>
        <w:rPr>
          <w:rFonts w:ascii="宋体" w:hAnsi="宋体" w:eastAsia="宋体" w:cs="Times New Roman"/>
          <w:sz w:val="24"/>
          <w:szCs w:val="24"/>
          <w:lang w:bidi="ar"/>
        </w:rPr>
        <w:t xml:space="preserve">、血氧、血糖、体温、人体成分、心理状态等检测功能，以一体化工作台的方式呈现。体检者按照机器屏幕动画和语音提示自助完成一系列健康检测项目，体检完成后自动生成健康体检报告，并给予体检者健康指导、膳食指导等。</w:t>
      </w:r>
      <w:r>
        <w:rPr>
          <w:rFonts w:hint="eastAsia" w:ascii="宋体" w:hAnsi="宋体" w:eastAsia="宋体" w:cs="Times New Roman"/>
          <w:sz w:val="24"/>
          <w:szCs w:val="24"/>
          <w:lang w:bidi="ar"/>
        </w:rPr>
        <w:t xml:space="preserve">本项目最高限价：500万元。</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本项目标的所属行业：工业。</w:t>
      </w:r>
      <w:r/>
    </w:p>
    <w:p>
      <w:pPr>
        <w:jc w:val="left"/>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bCs/>
          <w:sz w:val="28"/>
          <w:szCs w:val="28"/>
        </w:rPr>
      </w:pPr>
      <w:r>
        <w:rPr>
          <w:rFonts w:ascii="黑体" w:hAnsi="黑体" w:eastAsia="黑体" w:cs="Times New Roman"/>
          <w:bCs/>
          <w:sz w:val="28"/>
          <w:szCs w:val="28"/>
        </w:rPr>
        <w:t xml:space="preserve">二、</w:t>
      </w:r>
      <w:r>
        <w:rPr>
          <w:rFonts w:hint="eastAsia" w:ascii="黑体" w:hAnsi="黑体" w:eastAsia="黑体" w:cs="Times New Roman"/>
          <w:bCs/>
          <w:sz w:val="28"/>
          <w:szCs w:val="28"/>
        </w:rPr>
        <w:t xml:space="preserve">采购清单</w:t>
      </w:r>
      <w:r>
        <w:rPr>
          <w:rFonts w:ascii="黑体" w:hAnsi="黑体" w:eastAsia="黑体" w:cs="Times New Roman"/>
          <w:bCs/>
          <w:sz w:val="28"/>
          <w:szCs w:val="28"/>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8"/>
        <w:gridCol w:w="1317"/>
        <w:gridCol w:w="4939"/>
        <w:gridCol w:w="1976"/>
        <w:gridCol w:w="698"/>
      </w:tblGrid>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spacing w:line="400" w:lineRule="exact"/>
              <w:widowControl/>
              <w:rPr>
                <w:rFonts w:ascii="宋体" w:hAnsi="宋体" w:eastAsia="宋体" w:cs="Times New Roman"/>
                <w:b/>
                <w:sz w:val="24"/>
                <w:szCs w:val="24"/>
              </w:rPr>
            </w:pPr>
            <w:r>
              <w:rPr>
                <w:rFonts w:ascii="宋体" w:hAnsi="宋体" w:eastAsia="宋体" w:cs="Times New Roman"/>
                <w:b/>
                <w:sz w:val="24"/>
                <w:szCs w:val="24"/>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761" w:type="pct"/>
            <w:vAlign w:val="center"/>
            <w:textDirection w:val="lrTb"/>
            <w:noWrap w:val="false"/>
          </w:tcPr>
          <w:p>
            <w:pPr>
              <w:jc w:val="center"/>
              <w:spacing w:line="400" w:lineRule="exact"/>
              <w:widowControl/>
              <w:rPr>
                <w:rFonts w:ascii="宋体" w:hAnsi="宋体" w:eastAsia="宋体" w:cs="Times New Roman"/>
                <w:b/>
                <w:sz w:val="24"/>
                <w:szCs w:val="24"/>
              </w:rPr>
            </w:pPr>
            <w:r>
              <w:rPr>
                <w:rFonts w:ascii="宋体" w:hAnsi="宋体" w:eastAsia="宋体" w:cs="Times New Roman"/>
                <w:b/>
                <w:sz w:val="24"/>
                <w:szCs w:val="24"/>
              </w:rPr>
              <w:t xml:space="preserve">项目名称</w:t>
            </w:r>
            <w:r/>
          </w:p>
        </w:tc>
        <w:tc>
          <w:tcPr>
            <w:shd w:val="clear" w:color="000000" w:fill="ffffff"/>
            <w:tcBorders>
              <w:top w:val="single" w:color="auto" w:sz="4" w:space="0"/>
              <w:left w:val="single" w:color="auto" w:sz="4" w:space="0"/>
              <w:bottom w:val="single" w:color="auto" w:sz="4" w:space="0"/>
              <w:right w:val="single" w:color="auto" w:sz="4" w:space="0"/>
            </w:tcBorders>
            <w:tcW w:w="2856" w:type="pct"/>
            <w:vAlign w:val="center"/>
            <w:textDirection w:val="lrTb"/>
            <w:noWrap w:val="false"/>
          </w:tcPr>
          <w:p>
            <w:pPr>
              <w:jc w:val="center"/>
              <w:spacing w:line="400" w:lineRule="exact"/>
              <w:widowControl/>
              <w:rPr>
                <w:rFonts w:ascii="宋体" w:hAnsi="宋体" w:eastAsia="宋体" w:cs="Times New Roman"/>
                <w:b/>
                <w:sz w:val="24"/>
                <w:szCs w:val="24"/>
              </w:rPr>
            </w:pPr>
            <w:r>
              <w:rPr>
                <w:rFonts w:ascii="宋体" w:hAnsi="宋体" w:eastAsia="宋体" w:cs="Times New Roman"/>
                <w:b/>
                <w:sz w:val="24"/>
                <w:szCs w:val="24"/>
              </w:rPr>
              <w:t xml:space="preserve">技术参数及功能要求</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spacing w:line="40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数量</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spacing w:line="400" w:lineRule="exact"/>
              <w:widowControl/>
              <w:rPr>
                <w:rFonts w:ascii="宋体" w:hAnsi="宋体" w:eastAsia="宋体" w:cs="Times New Roman"/>
                <w:b/>
                <w:sz w:val="24"/>
                <w:szCs w:val="24"/>
              </w:rPr>
            </w:pPr>
            <w:r>
              <w:rPr>
                <w:rFonts w:ascii="宋体" w:hAnsi="宋体" w:eastAsia="宋体" w:cs="Times New Roman"/>
                <w:b/>
                <w:sz w:val="24"/>
                <w:szCs w:val="24"/>
              </w:rPr>
              <w:t xml:space="preserve">单位</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761" w:type="pct"/>
            <w:vAlign w:val="center"/>
            <w:textDirection w:val="lrTb"/>
            <w:noWrap w:val="false"/>
          </w:tcPr>
          <w:p>
            <w:pPr>
              <w:jc w:val="center"/>
              <w:spacing w:line="400" w:lineRule="exact"/>
              <w:widowControl/>
              <w:rPr>
                <w:rFonts w:ascii="宋体" w:hAnsi="宋体" w:eastAsia="宋体" w:cs="Times New Roman"/>
                <w:sz w:val="24"/>
                <w:szCs w:val="24"/>
              </w:rPr>
            </w:pPr>
            <w:r/>
            <w:bookmarkStart w:id="13" w:name="OLE_LINK1"/>
            <w:r>
              <w:rPr>
                <w:rFonts w:ascii="宋体" w:hAnsi="宋体" w:eastAsia="宋体" w:cs="Times New Roman"/>
                <w:sz w:val="24"/>
                <w:szCs w:val="24"/>
              </w:rPr>
              <w:t xml:space="preserve">慢病管理一体机</w:t>
            </w:r>
            <w:bookmarkEnd w:id="13"/>
            <w:r/>
            <w:r/>
          </w:p>
        </w:tc>
        <w:tc>
          <w:tcPr>
            <w:shd w:val="clear" w:color="000000" w:fill="ffffff"/>
            <w:tcBorders>
              <w:top w:val="single" w:color="auto" w:sz="4" w:space="0"/>
              <w:left w:val="single" w:color="auto" w:sz="4" w:space="0"/>
              <w:bottom w:val="single" w:color="auto" w:sz="4" w:space="0"/>
              <w:right w:val="single" w:color="auto" w:sz="4" w:space="0"/>
            </w:tcBorders>
            <w:tcW w:w="2856" w:type="pct"/>
            <w:vAlign w:val="center"/>
            <w:textDirection w:val="lrTb"/>
            <w:noWrap w:val="false"/>
          </w:tcPr>
          <w:p>
            <w:pPr>
              <w:spacing w:line="400" w:lineRule="exact"/>
              <w:widowControl/>
              <w:rPr>
                <w:rFonts w:ascii="宋体" w:hAnsi="宋体" w:eastAsia="宋体" w:cs="Times New Roman"/>
                <w:sz w:val="24"/>
                <w:szCs w:val="24"/>
              </w:rPr>
            </w:pPr>
            <w:r>
              <w:rPr>
                <w:rFonts w:ascii="宋体" w:hAnsi="宋体" w:eastAsia="宋体" w:cs="Times New Roman"/>
                <w:sz w:val="24"/>
                <w:szCs w:val="24"/>
              </w:rPr>
              <w:t xml:space="preserve">含一体化操作台、主控计算机、打印机、识别摄像头、身份证读卡器、体温检测模块、血压检测模块、血氧检测模块、血糖检测模块、身高</w:t>
            </w:r>
            <w:r>
              <w:rPr>
                <w:rFonts w:hint="eastAsia" w:ascii="宋体" w:hAnsi="宋体" w:eastAsia="宋体" w:cs="Times New Roman"/>
                <w:sz w:val="24"/>
                <w:szCs w:val="24"/>
              </w:rPr>
              <w:t xml:space="preserve">体重</w:t>
            </w:r>
            <w:r>
              <w:rPr>
                <w:rFonts w:ascii="宋体" w:hAnsi="宋体" w:eastAsia="宋体" w:cs="Times New Roman"/>
                <w:sz w:val="24"/>
                <w:szCs w:val="24"/>
              </w:rPr>
              <w:t xml:space="preserve">检测模块、腰围尺</w:t>
            </w:r>
            <w:r>
              <w:rPr>
                <w:rFonts w:hint="eastAsia" w:ascii="宋体" w:hAnsi="宋体" w:eastAsia="宋体" w:cs="Times New Roman"/>
                <w:sz w:val="24"/>
                <w:szCs w:val="24"/>
              </w:rPr>
              <w:t xml:space="preserve">等</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血压检测模块、血氧检测模块、血糖检测模块相关设备部件属于医疗器械注册范畴的，须提供《医疗器械注册证》。（扫描件）</w:t>
            </w:r>
            <w:r/>
          </w:p>
          <w:p>
            <w:pPr>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详见主要设备详细技术参数及功能要求</w:t>
            </w:r>
            <w:r>
              <w:rPr>
                <w:rFonts w:hint="eastAsia" w:ascii="宋体" w:hAnsi="宋体" w:eastAsia="宋体" w:cs="Times New Roman"/>
                <w:sz w:val="24"/>
                <w:szCs w:val="24"/>
              </w:rPr>
              <w:t xml:space="preserve">）</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t xml:space="preserve">22</w:t>
            </w:r>
            <w:r>
              <w:rPr>
                <w:rFonts w:hint="eastAsia" w:ascii="宋体" w:hAnsi="宋体" w:eastAsia="宋体" w:cs="Times New Roman"/>
                <w:sz w:val="24"/>
                <w:szCs w:val="24"/>
              </w:rPr>
              <w:t xml:space="preserve">4</w:t>
            </w:r>
            <w:r/>
          </w:p>
          <w:p>
            <w:pPr>
              <w:jc w:val="center"/>
              <w:spacing w:line="400" w:lineRule="exact"/>
              <w:widowControl/>
              <w:rPr>
                <w:rFonts w:ascii="宋体" w:hAnsi="宋体" w:eastAsia="宋体" w:cs="Times New Roman"/>
                <w:sz w:val="24"/>
                <w:szCs w:val="24"/>
              </w:rPr>
            </w:pPr>
            <w:r>
              <w:rPr>
                <w:rFonts w:hint="eastAsia" w:ascii="宋体" w:hAnsi="宋体" w:eastAsia="宋体" w:cs="Times New Roman"/>
                <w:sz w:val="22"/>
              </w:rPr>
              <w:t xml:space="preserve">（含2台备用机）</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t xml:space="preserve">台</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761" w:type="pct"/>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t xml:space="preserve">会诊摄像头</w:t>
            </w:r>
            <w:r/>
          </w:p>
        </w:tc>
        <w:tc>
          <w:tcPr>
            <w:shd w:val="clear" w:color="000000" w:fill="ffffff"/>
            <w:tcBorders>
              <w:top w:val="single" w:color="auto" w:sz="4" w:space="0"/>
              <w:left w:val="single" w:color="auto" w:sz="4" w:space="0"/>
              <w:bottom w:val="single" w:color="auto" w:sz="4" w:space="0"/>
              <w:right w:val="single" w:color="auto" w:sz="4" w:space="0"/>
            </w:tcBorders>
            <w:tcW w:w="2856" w:type="pct"/>
            <w:vAlign w:val="center"/>
            <w:textDirection w:val="lrTb"/>
            <w:noWrap w:val="false"/>
          </w:tcPr>
          <w:p>
            <w:pPr>
              <w:spacing w:line="400" w:lineRule="exact"/>
              <w:widowControl/>
              <w:rPr>
                <w:rFonts w:ascii="宋体" w:hAnsi="宋体" w:eastAsia="宋体" w:cs="Times New Roman"/>
                <w:sz w:val="24"/>
                <w:szCs w:val="24"/>
              </w:rPr>
            </w:pPr>
            <w:r>
              <w:rPr>
                <w:rFonts w:ascii="宋体" w:hAnsi="宋体" w:eastAsia="宋体" w:cs="Times New Roman"/>
                <w:sz w:val="24"/>
                <w:szCs w:val="24"/>
              </w:rPr>
              <w:t xml:space="preserve">支持远程会诊等视频通讯应用；集成麦克风；具备便于安装在电脑端的固定结构，支持角度旋转调节并配备广角镜头；分辨率不低于720P；支持人脸识别功能</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t xml:space="preserve">249</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t xml:space="preserve">个</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761" w:type="pct"/>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t xml:space="preserve">投屏用电视</w:t>
            </w:r>
            <w:r/>
          </w:p>
        </w:tc>
        <w:tc>
          <w:tcPr>
            <w:shd w:val="clear" w:color="000000" w:fill="ffffff"/>
            <w:tcBorders>
              <w:top w:val="single" w:color="auto" w:sz="4" w:space="0"/>
              <w:left w:val="single" w:color="auto" w:sz="4" w:space="0"/>
              <w:bottom w:val="single" w:color="auto" w:sz="4" w:space="0"/>
              <w:right w:val="single" w:color="auto" w:sz="4" w:space="0"/>
            </w:tcBorders>
            <w:tcW w:w="2856" w:type="pct"/>
            <w:vAlign w:val="center"/>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t xml:space="preserve">不低于2＋32GB储存，尺寸≥65英寸，刷新率≥144hz，分辨率≥4k</w:t>
            </w:r>
            <w:r/>
          </w:p>
          <w:p>
            <w:pPr>
              <w:jc w:val="left"/>
              <w:spacing w:line="400" w:lineRule="exact"/>
              <w:widowControl/>
              <w:rPr>
                <w:rFonts w:ascii="宋体" w:hAnsi="宋体" w:eastAsia="宋体" w:cs="Times New Roman"/>
                <w:b/>
                <w:sz w:val="24"/>
                <w:szCs w:val="24"/>
              </w:rPr>
            </w:pPr>
            <w:r>
              <w:rPr>
                <w:rFonts w:hint="eastAsia" w:ascii="宋体" w:hAnsi="宋体" w:eastAsia="宋体" w:cs="Times New Roman"/>
                <w:b/>
                <w:bCs/>
                <w:sz w:val="24"/>
                <w:szCs w:val="24"/>
              </w:rPr>
              <w:t xml:space="preserve">具有国家确定的认证机构出具的、处于有效期之内的节能产品认证证书（投标产品型号必须</w:t>
            </w:r>
            <w:r>
              <w:rPr>
                <w:rFonts w:hint="eastAsia" w:ascii="宋体" w:hAnsi="宋体" w:eastAsia="宋体" w:cs="Times New Roman"/>
                <w:b/>
                <w:bCs/>
                <w:sz w:val="24"/>
                <w:szCs w:val="24"/>
              </w:rPr>
              <w:t xml:space="preserve">与节能证书型号一致，明确到最小型号）。（投标文件中须提供证书扫描件）</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t xml:space="preserve">18</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t xml:space="preserve">台</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t xml:space="preserve">4</w:t>
            </w:r>
            <w:r/>
          </w:p>
        </w:tc>
        <w:tc>
          <w:tcPr>
            <w:shd w:val="clear" w:color="000000" w:fill="ffffff"/>
            <w:tcBorders>
              <w:top w:val="single" w:color="auto" w:sz="4" w:space="0"/>
              <w:left w:val="single" w:color="auto" w:sz="4" w:space="0"/>
              <w:bottom w:val="single" w:color="auto" w:sz="4" w:space="0"/>
              <w:right w:val="single" w:color="auto" w:sz="4" w:space="0"/>
            </w:tcBorders>
            <w:tcW w:w="761" w:type="pct"/>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t xml:space="preserve">投屏用显示器</w:t>
            </w:r>
            <w:r/>
          </w:p>
        </w:tc>
        <w:tc>
          <w:tcPr>
            <w:shd w:val="clear" w:color="000000" w:fill="ffffff"/>
            <w:tcBorders>
              <w:top w:val="single" w:color="auto" w:sz="4" w:space="0"/>
              <w:left w:val="single" w:color="auto" w:sz="4" w:space="0"/>
              <w:bottom w:val="single" w:color="auto" w:sz="4" w:space="0"/>
              <w:right w:val="single" w:color="auto" w:sz="4" w:space="0"/>
            </w:tcBorders>
            <w:tcW w:w="2856" w:type="pct"/>
            <w:vAlign w:val="center"/>
            <w:textDirection w:val="lrTb"/>
            <w:noWrap w:val="false"/>
          </w:tcPr>
          <w:p>
            <w:pPr>
              <w:jc w:val="left"/>
              <w:spacing w:line="400" w:lineRule="exact"/>
              <w:widowControl/>
              <w:rPr>
                <w:rFonts w:ascii="宋体" w:hAnsi="宋体" w:eastAsia="宋体" w:cs="Times New Roman"/>
                <w:sz w:val="24"/>
                <w:szCs w:val="24"/>
              </w:rPr>
            </w:pPr>
            <w:r>
              <w:rPr>
                <w:rFonts w:ascii="宋体" w:hAnsi="宋体" w:eastAsia="宋体" w:cs="Times New Roman"/>
                <w:sz w:val="24"/>
                <w:szCs w:val="24"/>
              </w:rPr>
              <w:t xml:space="preserve">尺寸≥32英寸，分辨率≥1080p，</w:t>
            </w:r>
            <w:r>
              <w:rPr>
                <w:rFonts w:ascii="宋体" w:hAnsi="宋体" w:eastAsia="宋体" w:cs="Times New Roman"/>
                <w:sz w:val="24"/>
                <w:szCs w:val="24"/>
              </w:rPr>
              <w:t xml:space="preserve">色域优于</w:t>
            </w:r>
            <w:r>
              <w:rPr>
                <w:rFonts w:ascii="宋体" w:hAnsi="宋体" w:eastAsia="宋体" w:cs="Times New Roman"/>
                <w:sz w:val="24"/>
                <w:szCs w:val="24"/>
              </w:rPr>
              <w:t xml:space="preserve">85％DCI-P3</w:t>
            </w:r>
            <w:r/>
          </w:p>
          <w:p>
            <w:pPr>
              <w:jc w:val="left"/>
              <w:spacing w:line="400" w:lineRule="exact"/>
              <w:widowControl/>
              <w:rPr>
                <w:rFonts w:ascii="宋体" w:hAnsi="宋体" w:eastAsia="宋体" w:cs="Times New Roman"/>
                <w:b/>
                <w:sz w:val="24"/>
                <w:szCs w:val="24"/>
              </w:rPr>
            </w:pPr>
            <w:r>
              <w:rPr>
                <w:rFonts w:hint="eastAsia" w:ascii="宋体" w:hAnsi="宋体" w:eastAsia="宋体" w:cs="Times New Roman"/>
                <w:b/>
                <w:bCs/>
                <w:sz w:val="24"/>
                <w:szCs w:val="24"/>
              </w:rPr>
              <w:t xml:space="preserve">具有国家确定的认证机构出具的、处于有效期之内的节能产品认证证书（投标产品型号必须与节能证书型号一致，明确到最小型号）。（投标文件中须提供证书扫描件）</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t xml:space="preserve">36</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t xml:space="preserve">台</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黑体" w:hAnsi="黑体" w:eastAsia="黑体" w:cs="Times New Roman"/>
          <w:bCs/>
          <w:sz w:val="28"/>
          <w:szCs w:val="28"/>
        </w:rPr>
      </w:pPr>
      <w:r>
        <w:rPr>
          <w:rFonts w:hint="eastAsia" w:ascii="黑体" w:hAnsi="黑体" w:eastAsia="黑体" w:cs="Times New Roman"/>
          <w:bCs/>
          <w:sz w:val="28"/>
          <w:szCs w:val="28"/>
        </w:rPr>
        <w:t xml:space="preserve">三</w:t>
      </w:r>
      <w:r>
        <w:rPr>
          <w:rFonts w:ascii="黑体" w:hAnsi="黑体" w:eastAsia="黑体" w:cs="Times New Roman"/>
          <w:bCs/>
          <w:sz w:val="28"/>
          <w:szCs w:val="28"/>
        </w:rPr>
        <w:t xml:space="preserve">、</w:t>
      </w:r>
      <w:r>
        <w:rPr>
          <w:rFonts w:hint="eastAsia" w:ascii="黑体" w:hAnsi="黑体" w:eastAsia="黑体" w:cs="Times New Roman"/>
          <w:bCs/>
          <w:sz w:val="28"/>
          <w:szCs w:val="28"/>
        </w:rPr>
        <w:t xml:space="preserve">主要设备详细技术参数及功能要求：</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慢病管理一体机</w:t>
      </w:r>
      <w:r/>
    </w:p>
    <w:p>
      <w:pPr>
        <w:numPr>
          <w:ilvl w:val="0"/>
          <w:numId w:val="1"/>
        </w:numPr>
        <w:spacing w:line="400" w:lineRule="exact"/>
        <w:rPr>
          <w:rFonts w:ascii="宋体" w:hAnsi="宋体" w:eastAsia="宋体" w:cs="Times New Roman"/>
          <w:b/>
          <w:sz w:val="24"/>
          <w:szCs w:val="24"/>
        </w:rPr>
      </w:pPr>
      <w:r>
        <w:rPr>
          <w:rFonts w:ascii="宋体" w:hAnsi="宋体" w:eastAsia="宋体" w:cs="Times New Roman"/>
          <w:b/>
          <w:sz w:val="24"/>
          <w:szCs w:val="24"/>
        </w:rPr>
        <w:t xml:space="preserve">一体化操作台</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所有检测人体各项健康指标的设备集成到一台仪器上，以一体化工作台的方式呈现，一体机配有移动轮</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设有1个检测区、1台触摸式显示屏</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体检全程3D动画语音提示，可自选检测项目次序排列，满足检测者自行检测需求</w:t>
      </w:r>
      <w:r/>
    </w:p>
    <w:p>
      <w:pPr>
        <w:numPr>
          <w:ilvl w:val="1"/>
          <w:numId w:val="2"/>
        </w:numPr>
        <w:spacing w:line="40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台车外壳为ABS材质，满足IS0 22196：2011及GB/T 16422.3-2022标准要求</w:t>
      </w:r>
      <w:r>
        <w:rPr>
          <w:rFonts w:hint="eastAsia" w:ascii="宋体" w:hAnsi="宋体" w:eastAsia="宋体" w:cs="Times New Roman"/>
          <w:b/>
          <w:bCs/>
          <w:sz w:val="24"/>
          <w:szCs w:val="24"/>
        </w:rPr>
        <w:t xml:space="preserve">（需提供相关佐证材料）</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台车外壳具备抗酒精、抗84等医疗机构常用消毒液体的特点</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符合人体工学设计，配备可升降椅凳，操作台下方</w:t>
      </w:r>
      <w:r>
        <w:rPr>
          <w:rFonts w:ascii="宋体" w:hAnsi="宋体" w:eastAsia="宋体" w:cs="Times New Roman"/>
          <w:sz w:val="24"/>
          <w:szCs w:val="24"/>
        </w:rPr>
        <w:t xml:space="preserve">留有容腿空间</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工作台侧面配置≥1L置物锐器盒支架及洗手液支架</w:t>
      </w:r>
      <w:r/>
    </w:p>
    <w:p>
      <w:pPr>
        <w:numPr>
          <w:ilvl w:val="0"/>
          <w:numId w:val="1"/>
        </w:numPr>
        <w:spacing w:line="400" w:lineRule="exact"/>
        <w:rPr>
          <w:rFonts w:ascii="宋体" w:hAnsi="宋体" w:eastAsia="宋体" w:cs="Times New Roman"/>
          <w:b/>
          <w:sz w:val="24"/>
          <w:szCs w:val="24"/>
        </w:rPr>
      </w:pPr>
      <w:r>
        <w:rPr>
          <w:rFonts w:ascii="宋体" w:hAnsi="宋体" w:eastAsia="宋体" w:cs="Times New Roman"/>
          <w:b/>
          <w:sz w:val="24"/>
          <w:szCs w:val="24"/>
        </w:rPr>
        <w:t xml:space="preserve">硬件集成与配置要求</w:t>
      </w:r>
      <w:r/>
    </w:p>
    <w:p>
      <w:pPr>
        <w:numPr>
          <w:ilvl w:val="1"/>
          <w:numId w:val="1"/>
        </w:numPr>
        <w:spacing w:line="400" w:lineRule="exact"/>
        <w:rPr>
          <w:rFonts w:ascii="宋体" w:hAnsi="宋体" w:eastAsia="宋体" w:cs="Times New Roman"/>
          <w:sz w:val="24"/>
          <w:szCs w:val="24"/>
        </w:rPr>
      </w:pPr>
      <w:r>
        <w:rPr>
          <w:rFonts w:ascii="宋体" w:hAnsi="宋体" w:eastAsia="宋体" w:cs="Segoe UI Symbol"/>
          <w:sz w:val="24"/>
          <w:szCs w:val="24"/>
        </w:rPr>
        <w:t xml:space="preserve">★</w:t>
      </w:r>
      <w:r>
        <w:rPr>
          <w:rFonts w:ascii="宋体" w:hAnsi="宋体" w:eastAsia="宋体" w:cs="Times New Roman"/>
          <w:sz w:val="24"/>
          <w:szCs w:val="24"/>
        </w:rPr>
        <w:t xml:space="preserve">主控计算机：显示屏≥2</w:t>
      </w:r>
      <w:r>
        <w:rPr>
          <w:rFonts w:hint="eastAsia" w:ascii="宋体" w:hAnsi="宋体" w:eastAsia="宋体" w:cs="Times New Roman"/>
          <w:sz w:val="24"/>
          <w:szCs w:val="24"/>
        </w:rPr>
        <w:t xml:space="preserve">1.5</w:t>
      </w:r>
      <w:r>
        <w:rPr>
          <w:rFonts w:ascii="宋体" w:hAnsi="宋体" w:eastAsia="宋体" w:cs="Times New Roman"/>
          <w:sz w:val="24"/>
          <w:szCs w:val="24"/>
        </w:rPr>
        <w:t xml:space="preserve">寸电容式触摸屏，显示器分辨率≥1920*1080，可兼容Windows10操作系统，CPU主频≥2.</w:t>
      </w:r>
      <w:r>
        <w:rPr>
          <w:rFonts w:hint="eastAsia" w:ascii="宋体" w:hAnsi="宋体" w:eastAsia="宋体" w:cs="Times New Roman"/>
          <w:sz w:val="24"/>
          <w:szCs w:val="24"/>
        </w:rPr>
        <w:t xml:space="preserve">7</w:t>
      </w:r>
      <w:r>
        <w:rPr>
          <w:rFonts w:ascii="宋体" w:hAnsi="宋体" w:eastAsia="宋体" w:cs="Times New Roman"/>
          <w:sz w:val="24"/>
          <w:szCs w:val="24"/>
        </w:rPr>
        <w:t xml:space="preserve">GHz，内存≥8G，固态硬盘≥256G</w:t>
      </w:r>
      <w:r>
        <w:rPr>
          <w:rFonts w:ascii="宋体" w:hAnsi="宋体" w:eastAsia="宋体" w:cs="Times New Roman"/>
          <w:b/>
          <w:bCs/>
          <w:sz w:val="24"/>
          <w:szCs w:val="24"/>
        </w:rPr>
        <w:t xml:space="preserve">（需提供相关佐证材料）</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 xml:space="preserve">检测区操作</w:t>
      </w:r>
      <w:r>
        <w:rPr>
          <w:rFonts w:ascii="宋体" w:hAnsi="宋体" w:eastAsia="宋体" w:cs="Times New Roman"/>
          <w:sz w:val="24"/>
          <w:szCs w:val="24"/>
        </w:rPr>
        <w:t xml:space="preserve">台面：长度满足95cm-100cm，宽度满足55cm-60cm，工作台高度满足65cm-70cm</w:t>
      </w:r>
      <w:r>
        <w:rPr>
          <w:rFonts w:ascii="宋体" w:hAnsi="宋体" w:eastAsia="宋体" w:cs="Times New Roman"/>
          <w:b/>
          <w:bCs/>
          <w:sz w:val="24"/>
          <w:szCs w:val="24"/>
        </w:rPr>
        <w:t xml:space="preserve">（需提供相关佐证材料）</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网络传输：采用有线网络连接，并支持无线网络（Wi-Fi）及4G/5G备用传输路径</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集成激光打印机，支持检测报告打印</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摄像头：200</w:t>
      </w:r>
      <w:r>
        <w:rPr>
          <w:rFonts w:ascii="宋体" w:hAnsi="宋体" w:eastAsia="宋体" w:cs="Times New Roman"/>
          <w:sz w:val="24"/>
          <w:szCs w:val="24"/>
        </w:rPr>
        <w:t xml:space="preserve">万像</w:t>
      </w:r>
      <w:r>
        <w:rPr>
          <w:rFonts w:ascii="宋体" w:hAnsi="宋体" w:eastAsia="宋体" w:cs="Times New Roman"/>
          <w:sz w:val="24"/>
          <w:szCs w:val="24"/>
        </w:rPr>
        <w:t xml:space="preserve">素以上，支持人脸识别或拍照存档</w:t>
      </w:r>
      <w:r/>
    </w:p>
    <w:p>
      <w:pPr>
        <w:numPr>
          <w:ilvl w:val="0"/>
          <w:numId w:val="1"/>
        </w:numPr>
        <w:spacing w:line="400" w:lineRule="exact"/>
        <w:rPr>
          <w:rFonts w:ascii="宋体" w:hAnsi="宋体" w:eastAsia="宋体" w:cs="Times New Roman"/>
          <w:b/>
          <w:sz w:val="24"/>
          <w:szCs w:val="24"/>
        </w:rPr>
      </w:pPr>
      <w:r>
        <w:rPr>
          <w:rFonts w:ascii="宋体" w:hAnsi="宋体" w:eastAsia="宋体" w:cs="Times New Roman"/>
          <w:b/>
          <w:sz w:val="24"/>
          <w:szCs w:val="24"/>
        </w:rPr>
        <w:t xml:space="preserve">身份认证与数据采集要求</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设备集成二代身份证读卡器、</w:t>
      </w:r>
      <w:r>
        <w:rPr>
          <w:rFonts w:ascii="宋体" w:hAnsi="宋体" w:eastAsia="宋体" w:cs="Times New Roman"/>
          <w:sz w:val="24"/>
          <w:szCs w:val="24"/>
        </w:rPr>
        <w:t xml:space="preserve">二维码扫描器</w:t>
      </w:r>
      <w:r>
        <w:rPr>
          <w:rFonts w:ascii="宋体" w:hAnsi="宋体" w:eastAsia="宋体" w:cs="Times New Roman"/>
          <w:sz w:val="24"/>
          <w:szCs w:val="24"/>
        </w:rPr>
        <w:t xml:space="preserve">，支持居民通过身份证、健康一码通、人脸识别等多种方式进行快速身份识别</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配置身份证阅读器，符合居民身份证阅读器通用技术要求，兼容ISO14443标准；</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采用非接触式IC卡技术，与计算机</w:t>
      </w:r>
      <w:r>
        <w:rPr>
          <w:rFonts w:hint="eastAsia" w:ascii="宋体" w:hAnsi="宋体" w:eastAsia="宋体" w:cs="Times New Roman"/>
          <w:sz w:val="24"/>
          <w:szCs w:val="24"/>
        </w:rPr>
        <w:t xml:space="preserve">或其他设备</w:t>
      </w:r>
      <w:r>
        <w:rPr>
          <w:rFonts w:ascii="宋体" w:hAnsi="宋体" w:eastAsia="宋体" w:cs="Times New Roman"/>
          <w:sz w:val="24"/>
          <w:szCs w:val="24"/>
        </w:rPr>
        <w:t xml:space="preserve">连接可用于读取居民身份证专用芯片</w:t>
      </w:r>
      <w:r>
        <w:rPr>
          <w:rFonts w:ascii="宋体" w:hAnsi="宋体" w:eastAsia="宋体" w:cs="Times New Roman"/>
          <w:sz w:val="24"/>
          <w:szCs w:val="24"/>
        </w:rPr>
        <w:t xml:space="preserve">内相关信息；读卡距离0-3CM，读卡速度≤1秒；无故障工作时间：≥5000小时</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身份认证</w:t>
      </w:r>
      <w:r>
        <w:rPr>
          <w:rFonts w:hint="eastAsia" w:ascii="宋体" w:hAnsi="宋体" w:eastAsia="宋体" w:cs="Times New Roman"/>
          <w:sz w:val="24"/>
          <w:szCs w:val="24"/>
        </w:rPr>
        <w:t xml:space="preserve">并</w:t>
      </w:r>
      <w:r>
        <w:rPr>
          <w:rFonts w:ascii="宋体" w:hAnsi="宋体" w:eastAsia="宋体" w:cs="Times New Roman"/>
          <w:sz w:val="24"/>
          <w:szCs w:val="24"/>
        </w:rPr>
        <w:t xml:space="preserve">采集人脸数据后，居民可以用人脸识别进行检测</w:t>
      </w:r>
      <w:r/>
    </w:p>
    <w:p>
      <w:pPr>
        <w:numPr>
          <w:ilvl w:val="0"/>
          <w:numId w:val="1"/>
        </w:numPr>
        <w:spacing w:line="400" w:lineRule="exact"/>
        <w:rPr>
          <w:rFonts w:ascii="宋体" w:hAnsi="宋体" w:eastAsia="宋体" w:cs="Times New Roman"/>
          <w:b/>
          <w:sz w:val="24"/>
          <w:szCs w:val="24"/>
        </w:rPr>
      </w:pPr>
      <w:r>
        <w:rPr>
          <w:rFonts w:ascii="宋体" w:hAnsi="宋体" w:eastAsia="宋体" w:cs="Times New Roman"/>
          <w:b/>
          <w:sz w:val="24"/>
          <w:szCs w:val="24"/>
        </w:rPr>
        <w:t xml:space="preserve">红外体温计</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测量方式：额温，1cm-3cm非接触式测量</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温度测量范围：32.0℃ ~ 43.0℃</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摄氏度华氏度可切换</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在35.0℃ ~ 42.0℃的温度显示范围内，最大允许误差±0.2℃，分辨率0.1℃/0.1°F。</w:t>
      </w:r>
      <w:r/>
    </w:p>
    <w:p>
      <w:pPr>
        <w:numPr>
          <w:ilvl w:val="0"/>
          <w:numId w:val="1"/>
        </w:numPr>
        <w:spacing w:line="400" w:lineRule="exact"/>
        <w:rPr>
          <w:rFonts w:ascii="宋体" w:hAnsi="宋体" w:eastAsia="宋体" w:cs="Times New Roman"/>
          <w:b/>
          <w:sz w:val="24"/>
          <w:szCs w:val="24"/>
        </w:rPr>
      </w:pPr>
      <w:r>
        <w:rPr>
          <w:rFonts w:ascii="宋体" w:hAnsi="宋体" w:eastAsia="宋体" w:cs="Times New Roman"/>
          <w:b/>
          <w:sz w:val="24"/>
          <w:szCs w:val="24"/>
        </w:rPr>
        <w:t xml:space="preserve">血压计</w:t>
      </w:r>
      <w:r/>
    </w:p>
    <w:p>
      <w:pPr>
        <w:numPr>
          <w:ilvl w:val="1"/>
          <w:numId w:val="1"/>
        </w:numPr>
        <w:spacing w:line="400" w:lineRule="exact"/>
        <w:rPr>
          <w:rFonts w:ascii="宋体" w:hAnsi="宋体" w:eastAsia="宋体" w:cs="Times New Roman"/>
          <w:sz w:val="24"/>
          <w:szCs w:val="24"/>
        </w:rPr>
      </w:pPr>
      <w:r>
        <w:rPr>
          <w:rFonts w:ascii="宋体" w:hAnsi="宋体" w:eastAsia="宋体" w:cs="Segoe UI Symbol"/>
          <w:b/>
          <w:sz w:val="24"/>
          <w:szCs w:val="24"/>
        </w:rPr>
        <w:t xml:space="preserve">★</w:t>
      </w:r>
      <w:r>
        <w:rPr>
          <w:rFonts w:ascii="宋体" w:hAnsi="宋体" w:eastAsia="宋体" w:cs="Times New Roman"/>
          <w:sz w:val="24"/>
          <w:szCs w:val="24"/>
        </w:rPr>
        <w:t xml:space="preserve">测量</w:t>
      </w:r>
      <w:r>
        <w:rPr>
          <w:rFonts w:hint="eastAsia" w:ascii="宋体" w:hAnsi="宋体" w:eastAsia="宋体" w:cs="Times New Roman"/>
          <w:sz w:val="24"/>
          <w:szCs w:val="24"/>
        </w:rPr>
        <w:t xml:space="preserve">要求</w:t>
      </w:r>
      <w:r>
        <w:rPr>
          <w:rFonts w:ascii="宋体" w:hAnsi="宋体" w:eastAsia="宋体" w:cs="Times New Roman"/>
          <w:sz w:val="24"/>
          <w:szCs w:val="24"/>
        </w:rPr>
        <w:t xml:space="preserve">：</w:t>
      </w:r>
      <w:r>
        <w:rPr>
          <w:rFonts w:hint="eastAsia" w:ascii="宋体" w:hAnsi="宋体" w:eastAsia="宋体" w:cs="宋体"/>
          <w:sz w:val="24"/>
          <w:szCs w:val="24"/>
          <w:lang w:bidi="ar"/>
        </w:rPr>
        <w:t xml:space="preserve">脉搏波法或示波法；</w:t>
      </w:r>
      <w:r>
        <w:rPr>
          <w:rFonts w:ascii="宋体" w:hAnsi="宋体" w:eastAsia="宋体" w:cs="Times New Roman"/>
          <w:sz w:val="24"/>
          <w:szCs w:val="24"/>
        </w:rPr>
        <w:t xml:space="preserve">隧道式臂筒</w:t>
      </w:r>
      <w:r>
        <w:rPr>
          <w:rFonts w:hint="eastAsia" w:ascii="宋体" w:hAnsi="宋体" w:eastAsia="宋体" w:cs="Times New Roman"/>
          <w:sz w:val="24"/>
          <w:szCs w:val="24"/>
        </w:rPr>
        <w:t xml:space="preserve">，</w:t>
      </w:r>
      <w:r>
        <w:rPr>
          <w:rFonts w:ascii="宋体" w:hAnsi="宋体" w:eastAsia="宋体" w:cs="Times New Roman"/>
          <w:sz w:val="24"/>
          <w:szCs w:val="24"/>
        </w:rPr>
        <w:t xml:space="preserve">适用周长范围：17cm～38cm</w:t>
      </w:r>
      <w:r>
        <w:rPr>
          <w:rFonts w:hint="eastAsia" w:ascii="宋体" w:hAnsi="宋体" w:eastAsia="宋体" w:cs="Times New Roman"/>
          <w:sz w:val="24"/>
          <w:szCs w:val="24"/>
        </w:rPr>
        <w:t xml:space="preserve">；</w:t>
      </w:r>
      <w:r>
        <w:rPr>
          <w:rFonts w:ascii="宋体" w:hAnsi="宋体" w:eastAsia="宋体" w:cs="Times New Roman"/>
          <w:sz w:val="24"/>
          <w:szCs w:val="24"/>
        </w:rPr>
        <w:t xml:space="preserve">压力</w:t>
      </w:r>
      <w:r>
        <w:rPr>
          <w:rFonts w:hint="eastAsia" w:ascii="宋体" w:hAnsi="宋体" w:eastAsia="宋体" w:cs="Times New Roman"/>
          <w:sz w:val="24"/>
          <w:szCs w:val="24"/>
        </w:rPr>
        <w:t xml:space="preserve">测量范围</w:t>
      </w:r>
      <w:r>
        <w:rPr>
          <w:rFonts w:ascii="宋体" w:hAnsi="宋体" w:eastAsia="宋体" w:cs="Times New Roman"/>
          <w:sz w:val="24"/>
          <w:szCs w:val="24"/>
        </w:rPr>
        <w:t xml:space="preserve">0</w:t>
      </w:r>
      <w:r>
        <w:rPr>
          <w:rFonts w:hint="eastAsia" w:ascii="宋体" w:hAnsi="宋体" w:eastAsia="宋体" w:cs="Times New Roman"/>
          <w:sz w:val="24"/>
          <w:szCs w:val="24"/>
        </w:rPr>
        <w:t xml:space="preserve"> </w:t>
      </w:r>
      <w:r>
        <w:rPr>
          <w:rFonts w:ascii="宋体" w:hAnsi="宋体" w:eastAsia="宋体" w:cs="Times New Roman"/>
          <w:sz w:val="24"/>
          <w:szCs w:val="24"/>
        </w:rPr>
        <w:t xml:space="preserve">mmHg～299</w:t>
      </w:r>
      <w:r>
        <w:rPr>
          <w:rFonts w:hint="eastAsia" w:ascii="宋体" w:hAnsi="宋体" w:eastAsia="宋体" w:cs="Times New Roman"/>
          <w:sz w:val="24"/>
          <w:szCs w:val="24"/>
        </w:rPr>
        <w:t xml:space="preserve"> </w:t>
      </w:r>
      <w:r>
        <w:rPr>
          <w:rFonts w:ascii="宋体" w:hAnsi="宋体" w:eastAsia="宋体" w:cs="Times New Roman"/>
          <w:sz w:val="24"/>
          <w:szCs w:val="24"/>
        </w:rPr>
        <w:t xml:space="preserve">mmHg，</w:t>
      </w:r>
      <w:r>
        <w:rPr>
          <w:rFonts w:hint="eastAsia" w:ascii="宋体" w:hAnsi="宋体" w:eastAsia="宋体" w:cs="Times New Roman"/>
          <w:sz w:val="24"/>
          <w:szCs w:val="24"/>
        </w:rPr>
        <w:t xml:space="preserve">准确度</w:t>
      </w:r>
      <w:r>
        <w:rPr>
          <w:rFonts w:ascii="宋体" w:hAnsi="宋体" w:eastAsia="宋体" w:cs="Times New Roman"/>
          <w:sz w:val="24"/>
          <w:szCs w:val="24"/>
        </w:rPr>
        <w:t xml:space="preserve">±2</w:t>
      </w:r>
      <w:r>
        <w:rPr>
          <w:rFonts w:hint="eastAsia" w:ascii="宋体" w:hAnsi="宋体" w:eastAsia="宋体" w:cs="Times New Roman"/>
          <w:sz w:val="24"/>
          <w:szCs w:val="24"/>
        </w:rPr>
        <w:t xml:space="preserve"> </w:t>
      </w:r>
      <w:r>
        <w:rPr>
          <w:rFonts w:ascii="宋体" w:hAnsi="宋体" w:eastAsia="宋体" w:cs="Times New Roman"/>
          <w:sz w:val="24"/>
          <w:szCs w:val="24"/>
        </w:rPr>
        <w:t xml:space="preserve">mmHg</w:t>
      </w:r>
      <w:r>
        <w:rPr>
          <w:rFonts w:hint="eastAsia" w:ascii="宋体" w:hAnsi="宋体" w:eastAsia="宋体" w:cs="Times New Roman"/>
          <w:sz w:val="24"/>
          <w:szCs w:val="24"/>
        </w:rPr>
        <w:t xml:space="preserve">；</w:t>
      </w:r>
      <w:r>
        <w:rPr>
          <w:rFonts w:ascii="宋体" w:hAnsi="宋体" w:eastAsia="宋体" w:cs="Times New Roman"/>
          <w:sz w:val="24"/>
          <w:szCs w:val="24"/>
        </w:rPr>
        <w:t xml:space="preserve">脉搏数</w:t>
      </w:r>
      <w:r>
        <w:rPr>
          <w:rFonts w:hint="eastAsia" w:ascii="宋体" w:hAnsi="宋体" w:eastAsia="宋体" w:cs="Times New Roman"/>
          <w:sz w:val="24"/>
          <w:szCs w:val="24"/>
        </w:rPr>
        <w:t xml:space="preserve">测量范围</w:t>
      </w:r>
      <w:r>
        <w:rPr>
          <w:rFonts w:ascii="宋体" w:hAnsi="宋体" w:eastAsia="宋体" w:cs="Times New Roman"/>
          <w:sz w:val="24"/>
          <w:szCs w:val="24"/>
        </w:rPr>
        <w:t xml:space="preserve">30次/分～199次/分</w:t>
      </w:r>
      <w:r>
        <w:rPr>
          <w:rFonts w:hint="eastAsia" w:ascii="宋体" w:hAnsi="宋体" w:eastAsia="宋体" w:cs="Times New Roman"/>
          <w:sz w:val="24"/>
          <w:szCs w:val="24"/>
        </w:rPr>
        <w:t xml:space="preserve">，准确度</w:t>
      </w:r>
      <w:r>
        <w:rPr>
          <w:rFonts w:ascii="宋体" w:hAnsi="宋体" w:eastAsia="宋体" w:cs="Times New Roman"/>
          <w:sz w:val="24"/>
          <w:szCs w:val="24"/>
        </w:rPr>
        <w:t xml:space="preserve">±2bpm或±2%，两者取最大</w:t>
      </w:r>
      <w:r>
        <w:rPr>
          <w:rFonts w:ascii="宋体" w:hAnsi="宋体" w:eastAsia="宋体" w:cs="Times New Roman"/>
          <w:b/>
          <w:bCs/>
          <w:sz w:val="24"/>
          <w:szCs w:val="24"/>
        </w:rPr>
        <w:t xml:space="preserve">（需提供相关佐证材料）</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可存储100组测量数据</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袖带寿命：血压计在快充快放模式下连续老化≥5万次</w:t>
      </w:r>
      <w:r/>
    </w:p>
    <w:p>
      <w:pPr>
        <w:numPr>
          <w:ilvl w:val="1"/>
          <w:numId w:val="1"/>
        </w:numPr>
        <w:spacing w:line="400" w:lineRule="exact"/>
        <w:rPr>
          <w:rFonts w:ascii="宋体" w:hAnsi="宋体" w:eastAsia="宋体" w:cs="Times New Roman"/>
          <w:sz w:val="24"/>
          <w:szCs w:val="24"/>
        </w:rPr>
      </w:pPr>
      <w:r>
        <w:rPr>
          <w:rFonts w:ascii="宋体" w:hAnsi="宋体" w:eastAsia="宋体" w:cs="Segoe UI Symbol"/>
          <w:b/>
          <w:sz w:val="24"/>
          <w:szCs w:val="24"/>
        </w:rPr>
        <w:t xml:space="preserve">★</w:t>
      </w:r>
      <w:r>
        <w:rPr>
          <w:rFonts w:ascii="宋体" w:hAnsi="宋体" w:eastAsia="宋体" w:cs="Times New Roman"/>
          <w:sz w:val="24"/>
          <w:szCs w:val="24"/>
        </w:rPr>
        <w:t xml:space="preserve">附加功能：具备蓝牙、抗菌设计、臂带部分可分离清洗、</w:t>
      </w:r>
      <w:r>
        <w:rPr>
          <w:rFonts w:ascii="宋体" w:hAnsi="宋体" w:eastAsia="宋体" w:cs="Times New Roman"/>
          <w:sz w:val="24"/>
          <w:szCs w:val="24"/>
        </w:rPr>
        <w:t xml:space="preserve">可动式臂筒</w:t>
      </w:r>
      <w:r>
        <w:rPr>
          <w:rFonts w:ascii="宋体" w:hAnsi="宋体" w:eastAsia="宋体" w:cs="Times New Roman"/>
          <w:sz w:val="24"/>
          <w:szCs w:val="24"/>
        </w:rPr>
        <w:t xml:space="preserve">等</w:t>
      </w:r>
      <w:r>
        <w:rPr>
          <w:rFonts w:ascii="宋体" w:hAnsi="宋体" w:eastAsia="宋体" w:cs="Times New Roman"/>
          <w:b/>
          <w:bCs/>
          <w:sz w:val="24"/>
          <w:szCs w:val="24"/>
        </w:rPr>
        <w:t xml:space="preserve">（需提供相关佐证材料）</w:t>
      </w:r>
      <w:r/>
    </w:p>
    <w:p>
      <w:pPr>
        <w:numPr>
          <w:ilvl w:val="0"/>
          <w:numId w:val="1"/>
        </w:numPr>
        <w:spacing w:line="400" w:lineRule="exact"/>
        <w:rPr>
          <w:rFonts w:ascii="宋体" w:hAnsi="宋体" w:eastAsia="宋体" w:cs="Times New Roman"/>
          <w:b/>
          <w:sz w:val="24"/>
          <w:szCs w:val="24"/>
        </w:rPr>
      </w:pPr>
      <w:r>
        <w:rPr>
          <w:rFonts w:ascii="宋体" w:hAnsi="宋体" w:eastAsia="宋体" w:cs="Times New Roman"/>
          <w:b/>
          <w:sz w:val="24"/>
          <w:szCs w:val="24"/>
        </w:rPr>
        <w:t xml:space="preserve">血氧仪</w:t>
      </w:r>
      <w:r/>
    </w:p>
    <w:p>
      <w:pPr>
        <w:numPr>
          <w:ilvl w:val="1"/>
          <w:numId w:val="1"/>
        </w:numPr>
        <w:spacing w:line="400" w:lineRule="exact"/>
        <w:rPr>
          <w:rFonts w:ascii="宋体" w:hAnsi="宋体" w:eastAsia="宋体" w:cs="Times New Roman"/>
          <w:sz w:val="24"/>
          <w:szCs w:val="24"/>
        </w:rPr>
      </w:pPr>
      <w:r>
        <w:rPr>
          <w:rFonts w:ascii="宋体" w:hAnsi="宋体" w:eastAsia="宋体" w:cs="Segoe UI Symbol"/>
          <w:b/>
          <w:sz w:val="24"/>
          <w:szCs w:val="24"/>
        </w:rPr>
        <w:t xml:space="preserve">★</w:t>
      </w:r>
      <w:r>
        <w:rPr>
          <w:rFonts w:ascii="宋体" w:hAnsi="宋体" w:eastAsia="宋体" w:cs="Times New Roman"/>
          <w:sz w:val="24"/>
          <w:szCs w:val="24"/>
        </w:rPr>
        <w:t xml:space="preserve">测量</w:t>
      </w:r>
      <w:r>
        <w:rPr>
          <w:rFonts w:hint="eastAsia" w:ascii="宋体" w:hAnsi="宋体" w:eastAsia="宋体" w:cs="Times New Roman"/>
          <w:sz w:val="24"/>
          <w:szCs w:val="24"/>
        </w:rPr>
        <w:t xml:space="preserve">要求</w:t>
      </w:r>
      <w:r>
        <w:rPr>
          <w:rFonts w:ascii="宋体" w:hAnsi="宋体" w:eastAsia="宋体" w:cs="Times New Roman"/>
          <w:sz w:val="24"/>
          <w:szCs w:val="24"/>
        </w:rPr>
        <w:t xml:space="preserve">：双波长发光二极管；</w:t>
      </w:r>
      <w:r>
        <w:rPr>
          <w:rFonts w:hint="eastAsia" w:ascii="宋体" w:hAnsi="宋体" w:eastAsia="宋体" w:cs="Times New Roman"/>
          <w:sz w:val="24"/>
          <w:szCs w:val="24"/>
        </w:rPr>
        <w:t xml:space="preserve">测量范围</w:t>
      </w:r>
      <w:r>
        <w:rPr>
          <w:rFonts w:ascii="宋体" w:hAnsi="宋体" w:eastAsia="宋体" w:cs="Times New Roman"/>
          <w:sz w:val="24"/>
          <w:szCs w:val="24"/>
        </w:rPr>
        <w:t xml:space="preserve">35%~100%；在 70%～100%范围内，测量误差为±2%（“%”为脉搏氧饱和度百分比）</w:t>
      </w:r>
      <w:r>
        <w:rPr>
          <w:rFonts w:ascii="宋体" w:hAnsi="宋体" w:eastAsia="宋体" w:cs="Times New Roman"/>
          <w:b/>
          <w:bCs/>
          <w:sz w:val="24"/>
          <w:szCs w:val="24"/>
        </w:rPr>
        <w:t xml:space="preserve">（需提供相关佐证材料）</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波长：红光：663nm，红外光：890nm；</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最大平均光输出功率：≤2mW；</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脉率监测误差：30～250bpm 范围内，监测误差为±2bpm或±2%，两者取最大</w:t>
      </w:r>
      <w:r/>
    </w:p>
    <w:p>
      <w:pPr>
        <w:numPr>
          <w:ilvl w:val="0"/>
          <w:numId w:val="1"/>
        </w:numPr>
        <w:spacing w:line="400" w:lineRule="exact"/>
        <w:rPr>
          <w:rFonts w:ascii="宋体" w:hAnsi="宋体" w:eastAsia="宋体" w:cs="Times New Roman"/>
          <w:b/>
          <w:sz w:val="24"/>
          <w:szCs w:val="24"/>
        </w:rPr>
      </w:pPr>
      <w:r>
        <w:rPr>
          <w:rFonts w:ascii="宋体" w:hAnsi="宋体" w:eastAsia="宋体" w:cs="Times New Roman"/>
          <w:b/>
          <w:sz w:val="24"/>
          <w:szCs w:val="24"/>
        </w:rPr>
        <w:t xml:space="preserve">血糖仪</w:t>
      </w:r>
      <w:r/>
    </w:p>
    <w:p>
      <w:pPr>
        <w:numPr>
          <w:ilvl w:val="1"/>
          <w:numId w:val="1"/>
        </w:numPr>
        <w:spacing w:line="400" w:lineRule="exact"/>
        <w:rPr>
          <w:rFonts w:ascii="宋体" w:hAnsi="宋体" w:eastAsia="宋体" w:cs="Times New Roman"/>
          <w:sz w:val="24"/>
          <w:szCs w:val="24"/>
        </w:rPr>
      </w:pPr>
      <w:r>
        <w:rPr>
          <w:rFonts w:ascii="宋体" w:hAnsi="宋体" w:eastAsia="宋体" w:cs="Segoe UI Symbol"/>
          <w:b/>
          <w:sz w:val="24"/>
          <w:szCs w:val="24"/>
        </w:rPr>
        <w:t xml:space="preserve">★</w:t>
      </w:r>
      <w:r>
        <w:rPr>
          <w:rFonts w:hint="eastAsia" w:ascii="宋体" w:hAnsi="宋体" w:eastAsia="宋体" w:cs="Times New Roman"/>
          <w:sz w:val="24"/>
          <w:szCs w:val="24"/>
        </w:rPr>
        <w:t xml:space="preserve">测量要求：</w:t>
      </w:r>
      <w:r>
        <w:rPr>
          <w:rFonts w:ascii="宋体" w:hAnsi="宋体" w:eastAsia="宋体" w:cs="Times New Roman"/>
          <w:sz w:val="24"/>
          <w:szCs w:val="24"/>
        </w:rPr>
        <w:t xml:space="preserve">电化学生物感应法</w:t>
      </w:r>
      <w:r>
        <w:rPr>
          <w:rFonts w:hint="eastAsia" w:ascii="宋体" w:hAnsi="宋体" w:eastAsia="宋体" w:cs="Times New Roman"/>
          <w:sz w:val="24"/>
          <w:szCs w:val="24"/>
        </w:rPr>
        <w:t xml:space="preserve">；</w:t>
      </w:r>
      <w:r>
        <w:rPr>
          <w:rFonts w:ascii="宋体" w:hAnsi="宋体" w:eastAsia="宋体" w:cs="Times New Roman"/>
          <w:sz w:val="24"/>
          <w:szCs w:val="24"/>
        </w:rPr>
        <w:t xml:space="preserve">测量范围20-600 mg/</w:t>
      </w:r>
      <w:r>
        <w:rPr>
          <w:rFonts w:ascii="宋体" w:hAnsi="宋体" w:eastAsia="宋体" w:cs="Times New Roman"/>
          <w:sz w:val="24"/>
          <w:szCs w:val="24"/>
        </w:rPr>
        <w:t xml:space="preserve">dL</w:t>
      </w:r>
      <w:r>
        <w:rPr>
          <w:rFonts w:ascii="宋体" w:hAnsi="宋体" w:eastAsia="宋体" w:cs="Times New Roman"/>
          <w:sz w:val="24"/>
          <w:szCs w:val="24"/>
        </w:rPr>
        <w:t xml:space="preserve">(1.1-33.3 </w:t>
      </w:r>
      <w:r>
        <w:rPr>
          <w:rFonts w:ascii="宋体" w:hAnsi="宋体" w:eastAsia="宋体" w:cs="Times New Roman"/>
          <w:sz w:val="24"/>
          <w:szCs w:val="24"/>
        </w:rPr>
        <w:t xml:space="preserve">mmol</w:t>
      </w:r>
      <w:r>
        <w:rPr>
          <w:rFonts w:ascii="宋体" w:hAnsi="宋体" w:eastAsia="宋体" w:cs="Times New Roman"/>
          <w:sz w:val="24"/>
          <w:szCs w:val="24"/>
        </w:rPr>
        <w:t xml:space="preserve">/L)</w:t>
      </w:r>
      <w:r>
        <w:rPr>
          <w:rFonts w:hint="eastAsia" w:ascii="宋体" w:hAnsi="宋体" w:eastAsia="宋体" w:cs="Times New Roman"/>
          <w:sz w:val="24"/>
          <w:szCs w:val="24"/>
        </w:rPr>
        <w:t xml:space="preserve">；</w:t>
      </w:r>
      <w:r>
        <w:rPr>
          <w:rFonts w:ascii="宋体" w:hAnsi="宋体" w:eastAsia="宋体" w:cs="Times New Roman"/>
          <w:sz w:val="24"/>
          <w:szCs w:val="24"/>
        </w:rPr>
        <w:t xml:space="preserve">当测试范围＞4.2mmol/L时，测量误差≤±20%；当测试范围≤4.2mmol/L时，测量误差≤±0.83mmol/L</w:t>
      </w:r>
      <w:r>
        <w:rPr>
          <w:rFonts w:ascii="宋体" w:hAnsi="宋体" w:eastAsia="宋体" w:cs="Times New Roman"/>
          <w:b/>
          <w:bCs/>
          <w:sz w:val="24"/>
          <w:szCs w:val="24"/>
        </w:rPr>
        <w:t xml:space="preserve">（需提供相关佐证材料）</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测量时间：≤5s</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样品体积：≤1微升的血量；</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记忆容量：≥350组测试结果</w:t>
      </w:r>
      <w:r/>
    </w:p>
    <w:p>
      <w:pPr>
        <w:numPr>
          <w:ilvl w:val="0"/>
          <w:numId w:val="1"/>
        </w:numPr>
        <w:spacing w:line="400" w:lineRule="exact"/>
        <w:rPr>
          <w:rFonts w:ascii="宋体" w:hAnsi="宋体" w:eastAsia="宋体" w:cs="Times New Roman"/>
          <w:b/>
          <w:sz w:val="24"/>
          <w:szCs w:val="24"/>
        </w:rPr>
      </w:pPr>
      <w:r>
        <w:rPr>
          <w:rFonts w:ascii="宋体" w:hAnsi="宋体" w:eastAsia="宋体" w:cs="Times New Roman"/>
          <w:b/>
          <w:sz w:val="24"/>
          <w:szCs w:val="24"/>
        </w:rPr>
        <w:t xml:space="preserve">身高体重秤</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体重测量方式：精密平衡压力传感器称重。</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身高测量方式：超声波测距。</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自动语音播报并LED显示。</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▲身高测量范围：20cm-210cm，精确度：±0.5cm</w:t>
      </w:r>
      <w:r>
        <w:rPr>
          <w:rFonts w:hint="eastAsia" w:ascii="宋体" w:hAnsi="宋体" w:eastAsia="宋体" w:cs="Times New Roman"/>
          <w:sz w:val="24"/>
          <w:szCs w:val="24"/>
        </w:rPr>
        <w:t xml:space="preserve">；</w:t>
      </w:r>
      <w:r>
        <w:rPr>
          <w:rFonts w:ascii="宋体" w:hAnsi="宋体" w:eastAsia="宋体" w:cs="Times New Roman"/>
          <w:sz w:val="24"/>
          <w:szCs w:val="24"/>
        </w:rPr>
        <w:t xml:space="preserve">体重测量范围：1kg-500kg，精确度：±0.1kg</w:t>
      </w:r>
      <w:r>
        <w:rPr>
          <w:rFonts w:ascii="宋体" w:hAnsi="宋体" w:eastAsia="宋体" w:cs="Times New Roman"/>
          <w:b/>
          <w:bCs/>
          <w:sz w:val="24"/>
          <w:szCs w:val="24"/>
        </w:rPr>
        <w:t xml:space="preserve">（需提供相关佐证材料）</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整体高度可定制，与血压计共同放置于测试人同侧</w:t>
      </w:r>
      <w:r/>
    </w:p>
    <w:p>
      <w:pPr>
        <w:numPr>
          <w:ilvl w:val="0"/>
          <w:numId w:val="1"/>
        </w:numPr>
        <w:spacing w:line="400" w:lineRule="exact"/>
        <w:rPr>
          <w:rFonts w:ascii="宋体" w:hAnsi="宋体" w:eastAsia="宋体" w:cs="Times New Roman"/>
          <w:b/>
          <w:sz w:val="24"/>
          <w:szCs w:val="24"/>
        </w:rPr>
      </w:pPr>
      <w:r>
        <w:rPr>
          <w:rFonts w:ascii="宋体" w:hAnsi="宋体" w:eastAsia="宋体" w:cs="Times New Roman"/>
          <w:b/>
          <w:sz w:val="24"/>
          <w:szCs w:val="24"/>
        </w:rPr>
        <w:t xml:space="preserve">配备蓝牙腰围</w:t>
      </w:r>
      <w:r>
        <w:rPr>
          <w:rFonts w:ascii="宋体" w:hAnsi="宋体" w:eastAsia="宋体" w:cs="Times New Roman"/>
          <w:b/>
          <w:sz w:val="24"/>
          <w:szCs w:val="24"/>
        </w:rPr>
        <w:t xml:space="preserve">尺，数据可自动传输至检测系统</w:t>
      </w:r>
      <w:r/>
    </w:p>
    <w:p>
      <w:pPr>
        <w:numPr>
          <w:ilvl w:val="0"/>
          <w:numId w:val="1"/>
        </w:numPr>
        <w:spacing w:line="400" w:lineRule="exact"/>
        <w:rPr>
          <w:rFonts w:ascii="宋体" w:hAnsi="宋体" w:eastAsia="宋体" w:cs="Times New Roman"/>
          <w:b/>
          <w:sz w:val="24"/>
          <w:szCs w:val="24"/>
        </w:rPr>
      </w:pPr>
      <w:r>
        <w:rPr>
          <w:rFonts w:hint="eastAsia" w:ascii="宋体" w:hAnsi="宋体" w:eastAsia="宋体" w:cs="宋体"/>
          <w:b/>
          <w:bCs/>
          <w:sz w:val="24"/>
          <w:szCs w:val="24"/>
          <w:lang w:bidi="ar"/>
        </w:rPr>
        <w:t xml:space="preserve">配备中医体质检测功能</w:t>
      </w:r>
      <w:r/>
    </w:p>
    <w:p>
      <w:pPr>
        <w:numPr>
          <w:ilvl w:val="0"/>
          <w:numId w:val="1"/>
        </w:numPr>
        <w:spacing w:line="400" w:lineRule="exact"/>
        <w:rPr>
          <w:rFonts w:ascii="宋体" w:hAnsi="宋体" w:eastAsia="宋体" w:cs="Times New Roman"/>
          <w:b/>
          <w:sz w:val="24"/>
          <w:szCs w:val="24"/>
        </w:rPr>
      </w:pPr>
      <w:r>
        <w:rPr>
          <w:rFonts w:ascii="宋体" w:hAnsi="宋体" w:eastAsia="宋体" w:cs="Times New Roman"/>
          <w:b/>
          <w:sz w:val="24"/>
          <w:szCs w:val="24"/>
        </w:rPr>
        <w:t xml:space="preserve">人体脂肪测试</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生物电阻抗分析测量脂肪率、水分率、肌肉量、骨骼量、基础代谢量</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脂肪率测量范围：5.0%~75.0%；水分率测量范围：35.0%~75.0%；肌肉量测量范围：10.0Kg~120.0Kg；骨骼量测量范围：0.5Kg~8.0Kg；基础代谢量测量范围：500~10000；</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体型判断：</w:t>
      </w:r>
      <w:r>
        <w:rPr>
          <w:rFonts w:hint="eastAsia" w:ascii="宋体" w:hAnsi="宋体" w:eastAsia="宋体" w:cs="Times New Roman"/>
          <w:sz w:val="24"/>
          <w:szCs w:val="24"/>
        </w:rPr>
        <w:t xml:space="preserve">隐性</w:t>
      </w:r>
      <w:r>
        <w:rPr>
          <w:rFonts w:ascii="宋体" w:hAnsi="宋体" w:eastAsia="宋体" w:cs="Times New Roman"/>
          <w:sz w:val="24"/>
          <w:szCs w:val="24"/>
        </w:rPr>
        <w:t xml:space="preserve">肥胖、脂肪过量、肥胖、低体重、标准体型、超重肌肉型、低脂肪、低脂肪肌肉型、运动员型等</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可测项目：去脂重量、细胞外液、细胞内液、脂肪量、总</w:t>
      </w:r>
      <w:r>
        <w:rPr>
          <w:rFonts w:ascii="宋体" w:hAnsi="宋体" w:eastAsia="宋体" w:cs="Times New Roman"/>
          <w:sz w:val="24"/>
          <w:szCs w:val="24"/>
        </w:rPr>
        <w:t xml:space="preserve">水份</w:t>
      </w:r>
      <w:r>
        <w:rPr>
          <w:rFonts w:ascii="宋体" w:hAnsi="宋体" w:eastAsia="宋体" w:cs="Times New Roman"/>
          <w:sz w:val="24"/>
          <w:szCs w:val="24"/>
        </w:rPr>
        <w:t xml:space="preserve">量、蛋白质量、无机盐量、</w:t>
      </w:r>
      <w:r>
        <w:rPr>
          <w:rFonts w:ascii="宋体" w:hAnsi="宋体" w:eastAsia="宋体" w:cs="Times New Roman"/>
          <w:sz w:val="24"/>
          <w:szCs w:val="24"/>
        </w:rPr>
        <w:t xml:space="preserve">骨矿量</w:t>
      </w:r>
      <w:r>
        <w:rPr>
          <w:rFonts w:ascii="宋体" w:hAnsi="宋体" w:eastAsia="宋体" w:cs="Times New Roman"/>
          <w:sz w:val="24"/>
          <w:szCs w:val="24"/>
        </w:rPr>
        <w:t xml:space="preserve">、目标体重、体重控制、脂肪控制、肌肉控制、肥胖度等</w:t>
      </w:r>
      <w:r/>
    </w:p>
    <w:p>
      <w:pPr>
        <w:numPr>
          <w:ilvl w:val="0"/>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心理测试：</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不少于30项专业心理测试题库，包括但不限于症状自评量表（SCL-90）、抑郁自评量表（SDS）、焦虑自评量表（SAS）、UCLA孤独量表、匹兹堡睡眠质量指数（PSQI）、艾森克个性测验（成人版）、生活事件量表、个人与社会功能量表（PSP）、Yale-Brown强迫量表、创伤后应激障碍检查表（PCL-5）、简明心理状况测验（MMSE）</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对心理状态进行综合分析评测，具备测试信息查找功能，可进行有针对性题库定制，满足各类用户心理测试需求</w:t>
      </w:r>
      <w:r/>
    </w:p>
    <w:p>
      <w:pPr>
        <w:numPr>
          <w:ilvl w:val="0"/>
          <w:numId w:val="1"/>
        </w:numPr>
        <w:spacing w:line="400" w:lineRule="exact"/>
        <w:rPr>
          <w:rFonts w:ascii="宋体" w:hAnsi="宋体" w:eastAsia="宋体" w:cs="Times New Roman"/>
          <w:b/>
          <w:sz w:val="24"/>
          <w:szCs w:val="24"/>
        </w:rPr>
      </w:pPr>
      <w:r>
        <w:rPr>
          <w:rFonts w:ascii="宋体" w:hAnsi="宋体" w:eastAsia="宋体" w:cs="Times New Roman"/>
          <w:b/>
          <w:sz w:val="24"/>
          <w:szCs w:val="24"/>
        </w:rPr>
        <w:t xml:space="preserve">设备软件</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设备开机后，每个模块连接情况在系统主界面显示，自</w:t>
      </w:r>
      <w:r>
        <w:rPr>
          <w:rFonts w:ascii="宋体" w:hAnsi="宋体" w:eastAsia="宋体" w:cs="Times New Roman"/>
          <w:sz w:val="24"/>
          <w:szCs w:val="24"/>
        </w:rPr>
        <w:t xml:space="preserve">检完成</w:t>
      </w:r>
      <w:r>
        <w:rPr>
          <w:rFonts w:ascii="宋体" w:hAnsi="宋体" w:eastAsia="宋体" w:cs="Times New Roman"/>
          <w:sz w:val="24"/>
          <w:szCs w:val="24"/>
        </w:rPr>
        <w:t xml:space="preserve">后，显示系统主界面</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▲系统主界面包含但不限于直接测试、游客登录、个人查询、云端管理、中医体质辨识、心理健康等功能模块</w:t>
      </w:r>
      <w:r>
        <w:rPr>
          <w:rFonts w:ascii="宋体" w:hAnsi="宋体" w:eastAsia="宋体" w:cs="Times New Roman"/>
          <w:b/>
          <w:bCs/>
          <w:sz w:val="24"/>
          <w:szCs w:val="24"/>
        </w:rPr>
        <w:t xml:space="preserve">（需提供相关佐证材料）</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具有AI健康评估报告功能，根据个人健康数据报告，提供健康指导建议，分析评估指导方案</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具备医生个人账号登录功能，统计医生工作量</w:t>
      </w:r>
      <w:r/>
    </w:p>
    <w:p>
      <w:pPr>
        <w:numPr>
          <w:ilvl w:val="0"/>
          <w:numId w:val="1"/>
        </w:numPr>
        <w:spacing w:line="400" w:lineRule="exact"/>
        <w:rPr>
          <w:rFonts w:ascii="宋体" w:hAnsi="宋体" w:eastAsia="宋体" w:cs="Times New Roman"/>
          <w:b/>
          <w:sz w:val="24"/>
          <w:szCs w:val="24"/>
        </w:rPr>
      </w:pPr>
      <w:r>
        <w:rPr>
          <w:rFonts w:ascii="宋体" w:hAnsi="宋体" w:eastAsia="宋体" w:cs="Times New Roman"/>
          <w:b/>
          <w:sz w:val="24"/>
          <w:szCs w:val="24"/>
        </w:rPr>
        <w:t xml:space="preserve">医疗设备接入与数据传输要求</w:t>
      </w:r>
      <w:r/>
    </w:p>
    <w:p>
      <w:pPr>
        <w:numPr>
          <w:ilvl w:val="1"/>
          <w:numId w:val="1"/>
        </w:numPr>
        <w:spacing w:line="400" w:lineRule="exact"/>
        <w:rPr>
          <w:rFonts w:ascii="宋体" w:hAnsi="宋体" w:eastAsia="宋体" w:cs="Times New Roman"/>
          <w:sz w:val="24"/>
          <w:szCs w:val="24"/>
        </w:rPr>
      </w:pPr>
      <w:r>
        <w:rPr>
          <w:rFonts w:ascii="宋体" w:hAnsi="宋体" w:eastAsia="宋体" w:cs="Segoe UI Symbol"/>
          <w:sz w:val="24"/>
          <w:szCs w:val="24"/>
        </w:rPr>
        <w:t xml:space="preserve">★</w:t>
      </w:r>
      <w:r>
        <w:rPr>
          <w:rFonts w:ascii="宋体" w:hAnsi="宋体" w:eastAsia="宋体" w:cs="Times New Roman"/>
          <w:sz w:val="24"/>
          <w:szCs w:val="24"/>
        </w:rPr>
        <w:t xml:space="preserve">一体</w:t>
      </w:r>
      <w:r>
        <w:rPr>
          <w:rFonts w:ascii="宋体" w:hAnsi="宋体" w:eastAsia="宋体" w:cs="Times New Roman"/>
          <w:sz w:val="24"/>
          <w:szCs w:val="24"/>
        </w:rPr>
        <w:t xml:space="preserve">机支持</w:t>
      </w:r>
      <w:r>
        <w:rPr>
          <w:rFonts w:ascii="宋体" w:hAnsi="宋体" w:eastAsia="宋体" w:cs="Times New Roman"/>
          <w:sz w:val="24"/>
          <w:szCs w:val="24"/>
        </w:rPr>
        <w:t xml:space="preserve">血压、血糖、血氧等至少3类医疗检测设备和身高体重、腰围检测设备的接入与数据实时加密传输</w:t>
      </w:r>
      <w:r>
        <w:rPr>
          <w:rFonts w:hint="eastAsia" w:ascii="宋体" w:hAnsi="宋体" w:eastAsia="宋体" w:cs="Times New Roman"/>
          <w:sz w:val="24"/>
          <w:szCs w:val="24"/>
        </w:rPr>
        <w:t xml:space="preserve">，</w:t>
      </w:r>
      <w:r>
        <w:rPr>
          <w:rFonts w:ascii="宋体" w:hAnsi="宋体" w:eastAsia="宋体" w:cs="Times New Roman"/>
          <w:sz w:val="24"/>
          <w:szCs w:val="24"/>
        </w:rPr>
        <w:t xml:space="preserve">各类医疗检测设备接入一体机采用有线连接</w:t>
      </w:r>
      <w:r>
        <w:rPr>
          <w:rFonts w:ascii="宋体" w:hAnsi="宋体" w:eastAsia="宋体" w:cs="Times New Roman"/>
          <w:b/>
          <w:bCs/>
          <w:sz w:val="24"/>
          <w:szCs w:val="24"/>
        </w:rPr>
        <w:t xml:space="preserve">（需提供相关佐证材料）</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数据传输支持实时传输、离线存储（≥50000条记录）及连线后自动补传、传输错误重传机制，确保数据的完整性与时效性</w:t>
      </w:r>
      <w:r/>
    </w:p>
    <w:p>
      <w:pPr>
        <w:numPr>
          <w:ilvl w:val="0"/>
          <w:numId w:val="1"/>
        </w:numPr>
        <w:spacing w:line="400" w:lineRule="exact"/>
        <w:rPr>
          <w:rFonts w:ascii="宋体" w:hAnsi="宋体" w:eastAsia="宋体" w:cs="Times New Roman"/>
          <w:b/>
          <w:sz w:val="24"/>
          <w:szCs w:val="24"/>
        </w:rPr>
      </w:pPr>
      <w:r>
        <w:rPr>
          <w:rFonts w:ascii="宋体" w:hAnsi="宋体" w:eastAsia="宋体" w:cs="Times New Roman"/>
          <w:b/>
          <w:sz w:val="24"/>
          <w:szCs w:val="24"/>
        </w:rPr>
        <w:t xml:space="preserve">设备使用及维护</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支持设备状态远程监测功能，能够对设备在线状态、校准周期、故障信息进行监控和预警，可远程升级软件系统等</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可远程更新维护系统，提供个性化量表维护</w:t>
      </w:r>
      <w:r/>
    </w:p>
    <w:p>
      <w:pPr>
        <w:numPr>
          <w:ilvl w:val="0"/>
          <w:numId w:val="1"/>
        </w:numPr>
        <w:spacing w:line="400" w:lineRule="exact"/>
        <w:rPr>
          <w:rFonts w:ascii="宋体" w:hAnsi="宋体" w:eastAsia="宋体" w:cs="Times New Roman"/>
          <w:sz w:val="24"/>
          <w:szCs w:val="24"/>
        </w:rPr>
      </w:pPr>
      <w:r>
        <w:rPr>
          <w:rFonts w:ascii="宋体" w:hAnsi="宋体" w:eastAsia="宋体" w:cs="Times New Roman"/>
          <w:b/>
          <w:sz w:val="24"/>
          <w:szCs w:val="24"/>
        </w:rPr>
        <w:t xml:space="preserve">设备信息管理平台</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通过手机可查看电子体检结果、历史记录、健康指导（运动、膳食、中医养生等）、疾病预防等健康宣教知识，为家人代查检测结果、绑定及解绑信息</w:t>
      </w:r>
      <w:r/>
    </w:p>
    <w:p>
      <w:pPr>
        <w:numPr>
          <w:ilvl w:val="1"/>
          <w:numId w:val="1"/>
        </w:numPr>
        <w:spacing w:line="400" w:lineRule="exact"/>
        <w:rPr>
          <w:rFonts w:ascii="宋体" w:hAnsi="宋体" w:eastAsia="宋体" w:cs="Times New Roman"/>
          <w:sz w:val="24"/>
          <w:szCs w:val="24"/>
        </w:rPr>
      </w:pPr>
      <w:r>
        <w:rPr>
          <w:rFonts w:ascii="宋体" w:hAnsi="宋体" w:eastAsia="宋体" w:cs="Times New Roman"/>
          <w:sz w:val="24"/>
          <w:szCs w:val="24"/>
        </w:rPr>
        <w:t xml:space="preserve">▲平台性能稳定性高，支持≥60个用户同时登录、查询体检记录和查询体检统计，响应时间≤5s</w:t>
      </w:r>
      <w:r>
        <w:rPr>
          <w:rFonts w:ascii="宋体" w:hAnsi="宋体" w:eastAsia="宋体" w:cs="Times New Roman"/>
          <w:b/>
          <w:bCs/>
          <w:sz w:val="24"/>
          <w:szCs w:val="24"/>
        </w:rPr>
        <w:t xml:space="preserve">（需提供相关佐证材料）</w:t>
      </w:r>
      <w:r/>
    </w:p>
    <w:p>
      <w:pPr>
        <w:numPr>
          <w:ilvl w:val="1"/>
          <w:numId w:val="1"/>
        </w:num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各年龄段体检人数的统计，以柱状图的形式展示；各年龄段体检人数的占比，以环状图的形式展示；以及各设备的体检人数汇总列表</w:t>
      </w:r>
      <w:r/>
    </w:p>
    <w:p>
      <w:pPr>
        <w:numPr>
          <w:ilvl w:val="1"/>
          <w:numId w:val="1"/>
        </w:numPr>
        <w:spacing w:line="400" w:lineRule="exact"/>
        <w:rPr>
          <w:rFonts w:ascii="宋体" w:hAnsi="宋体" w:eastAsia="宋体" w:cs="Times New Roman"/>
          <w:sz w:val="24"/>
          <w:szCs w:val="24"/>
        </w:rPr>
      </w:pPr>
      <w:r>
        <w:rPr>
          <w:rFonts w:hint="eastAsia" w:ascii="宋体" w:hAnsi="宋体" w:eastAsia="宋体" w:cs="宋体"/>
          <w:sz w:val="24"/>
          <w:szCs w:val="24"/>
        </w:rPr>
        <w:t xml:space="preserve">可查询本机的检测记录，统计、打印、导出、上</w:t>
      </w:r>
      <w:r>
        <w:rPr>
          <w:rFonts w:hint="eastAsia" w:ascii="宋体" w:hAnsi="宋体" w:eastAsia="宋体" w:cs="宋体"/>
          <w:sz w:val="24"/>
          <w:szCs w:val="24"/>
        </w:rPr>
        <w:t xml:space="preserve">传其他</w:t>
      </w:r>
      <w:r>
        <w:rPr>
          <w:rFonts w:hint="eastAsia" w:ascii="宋体" w:hAnsi="宋体" w:eastAsia="宋体" w:cs="宋体"/>
          <w:sz w:val="24"/>
          <w:szCs w:val="24"/>
        </w:rPr>
        <w:t xml:space="preserve">平台，首页可查看当天、本周、本月、本年的体检人数，每月体检人数变化趋势图</w:t>
      </w:r>
      <w:r/>
    </w:p>
    <w:p>
      <w:pPr>
        <w:numPr>
          <w:ilvl w:val="1"/>
          <w:numId w:val="1"/>
        </w:numPr>
        <w:spacing w:line="400" w:lineRule="exact"/>
        <w:rPr>
          <w:rFonts w:ascii="宋体" w:hAnsi="宋体" w:eastAsia="宋体" w:cs="Times New Roman"/>
          <w:sz w:val="24"/>
          <w:szCs w:val="24"/>
        </w:rPr>
      </w:pPr>
      <w:r>
        <w:rPr>
          <w:rFonts w:hint="eastAsia" w:ascii="宋体" w:hAnsi="宋体" w:eastAsia="宋体" w:cs="宋体"/>
          <w:sz w:val="24"/>
          <w:szCs w:val="24"/>
        </w:rPr>
        <w:t xml:space="preserve">具有异常统计功能，血压异常人数统计及占比、BMI异常人数统计及占比等，各区域均以柱状图和环形图进行展示</w:t>
      </w:r>
      <w:r>
        <w:rPr>
          <w:rFonts w:hint="eastAsia" w:ascii="宋体" w:hAnsi="宋体" w:cs="宋体"/>
          <w:sz w:val="24"/>
          <w:szCs w:val="24"/>
        </w:rPr>
        <w:t xml:space="preserve">血压异常</w:t>
      </w:r>
      <w:r>
        <w:rPr>
          <w:rFonts w:hint="eastAsia" w:ascii="宋体" w:hAnsi="宋体" w:eastAsia="宋体" w:cs="宋体"/>
          <w:sz w:val="24"/>
          <w:szCs w:val="24"/>
        </w:rPr>
        <w:t xml:space="preserve">人数统计和占比</w:t>
      </w:r>
      <w:r/>
    </w:p>
    <w:p>
      <w:pPr>
        <w:spacing w:after="120"/>
      </w:pPr>
      <w:r/>
      <w:r/>
    </w:p>
    <w:p>
      <w:pPr>
        <w:contextualSpacing/>
        <w:jc w:val="left"/>
        <w:spacing w:line="400" w:lineRule="exact"/>
        <w:rPr>
          <w:rFonts w:ascii="宋体" w:hAnsi="宋体" w:eastAsia="宋体" w:cs="Times New Roman"/>
          <w:b/>
          <w:sz w:val="24"/>
          <w:szCs w:val="24"/>
        </w:rPr>
      </w:pPr>
      <w:r>
        <w:rPr>
          <w:rFonts w:ascii="宋体" w:hAnsi="宋体" w:eastAsia="宋体" w:cs="Times New Roman"/>
          <w:b/>
          <w:sz w:val="24"/>
          <w:szCs w:val="24"/>
        </w:rPr>
        <w:t xml:space="preserve">备注：</w:t>
      </w:r>
      <w:r/>
    </w:p>
    <w:p>
      <w:pPr>
        <w:contextualSpacing/>
        <w:ind w:firstLine="482"/>
        <w:jc w:val="left"/>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w:t>
      </w:r>
      <w:r>
        <w:rPr>
          <w:rFonts w:ascii="宋体" w:hAnsi="宋体" w:eastAsia="宋体" w:cs="Times New Roman"/>
          <w:b/>
          <w:sz w:val="24"/>
          <w:szCs w:val="24"/>
        </w:rPr>
        <w:t xml:space="preserve">本项目核心产品为：慢病管理一体机。</w:t>
      </w:r>
      <w:r/>
    </w:p>
    <w:p>
      <w:pPr>
        <w:contextualSpacing/>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通过资格审查、符合性审查的多家投标人提供的</w:t>
      </w:r>
      <w:r>
        <w:rPr>
          <w:rFonts w:ascii="宋体" w:hAnsi="宋体" w:eastAsia="宋体" w:cs="Times New Roman"/>
          <w:b/>
          <w:sz w:val="24"/>
          <w:szCs w:val="24"/>
        </w:rPr>
        <w:t xml:space="preserve">核心产品品牌相同</w:t>
      </w:r>
      <w:r>
        <w:rPr>
          <w:rFonts w:ascii="宋体" w:hAnsi="宋体" w:eastAsia="宋体" w:cs="Times New Roman"/>
          <w:sz w:val="24"/>
          <w:szCs w:val="24"/>
        </w:rPr>
        <w:t xml:space="preserve">的，按一家投标人计算,评审后得分最高的同品牌投标人获得中标人推荐资格</w:t>
      </w:r>
      <w:r>
        <w:rPr>
          <w:rFonts w:hint="eastAsia" w:ascii="宋体" w:hAnsi="宋体" w:eastAsia="宋体" w:cs="Times New Roman"/>
          <w:sz w:val="24"/>
          <w:szCs w:val="24"/>
        </w:rPr>
        <w:t xml:space="preserve">；</w:t>
      </w:r>
      <w:r>
        <w:rPr>
          <w:rFonts w:ascii="宋体" w:hAnsi="宋体" w:eastAsia="宋体" w:cs="Times New Roman"/>
          <w:sz w:val="24"/>
          <w:szCs w:val="24"/>
        </w:rPr>
        <w:t xml:space="preserve">评审得分相同的，由采购人或者采购人委托评标委员会按照招标文件规定的方式确定一个投标人获得中标人推荐资格。</w:t>
      </w:r>
      <w:r/>
    </w:p>
    <w:p>
      <w:pPr>
        <w:ind w:firstLine="482"/>
        <w:spacing w:line="400" w:lineRule="exact"/>
        <w:rPr>
          <w:rFonts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rPr>
        <w:t xml:space="preserve">其中打</w:t>
      </w:r>
      <w:r>
        <w:rPr>
          <w:rFonts w:hint="eastAsia" w:ascii="宋体" w:hAnsi="宋体" w:eastAsia="宋体" w:cs="宋体"/>
          <w:b/>
          <w:bCs/>
          <w:sz w:val="24"/>
          <w:szCs w:val="24"/>
        </w:rPr>
        <w:t xml:space="preserve">“★”项为实质性要求，有一项负偏离将作为无效投标；打“▲”项为重要指标项。</w:t>
      </w:r>
      <w:r/>
    </w:p>
    <w:p>
      <w:pPr>
        <w:ind w:firstLine="482"/>
        <w:spacing w:line="400" w:lineRule="exact"/>
        <w:rPr>
          <w:rFonts w:ascii="宋体" w:hAnsi="宋体" w:eastAsia="宋体" w:cs="宋体"/>
          <w:b/>
          <w:bCs/>
          <w:sz w:val="24"/>
          <w:szCs w:val="24"/>
        </w:rPr>
      </w:pPr>
      <w:r>
        <w:rPr>
          <w:rFonts w:hint="eastAsia" w:ascii="宋体" w:hAnsi="宋体" w:eastAsia="宋体" w:cs="宋体"/>
          <w:b/>
          <w:bCs/>
          <w:sz w:val="24"/>
          <w:szCs w:val="24"/>
        </w:rPr>
        <w:t xml:space="preserve">未按要求提供佐证材料的视为负偏离，佐证材料可为产品注册证、有效检测报告、官方使用说明书、产品铭牌、实物照片、功能界面截图等。</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3、投标人必须如实地在偏离说明中做出明确的逐项响应承诺，并对其真实性负责。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4、如中标单位供货产品的技术参数与“投标文件技术规范描述”不符，则按“提供虚假材料谋取中标”处理。</w:t>
      </w:r>
      <w:r/>
    </w:p>
    <w:p>
      <w:pPr>
        <w:spacing w:after="120"/>
      </w:pPr>
      <w:r/>
      <w:r/>
    </w:p>
    <w:p>
      <w:pPr>
        <w:spacing w:line="400" w:lineRule="exact"/>
        <w:rPr>
          <w:rFonts w:ascii="黑体" w:hAnsi="黑体" w:eastAsia="黑体" w:cs="Times New Roman"/>
          <w:bCs/>
          <w:sz w:val="28"/>
          <w:szCs w:val="28"/>
        </w:rPr>
      </w:pPr>
      <w:r>
        <w:rPr>
          <w:rFonts w:ascii="黑体" w:hAnsi="黑体" w:eastAsia="黑体" w:cs="Times New Roman"/>
          <w:bCs/>
          <w:sz w:val="28"/>
          <w:szCs w:val="28"/>
        </w:rPr>
        <w:t xml:space="preserve">四、运输、安装、调试要求：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1、在所有设备的运输过程中，必须严格按标准保护措施进行包装，包装符合远距离运输、防潮、防震、防锈和防野蛮装卸等要求，能确保货物安全无损地运抵目的地。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2、供应</w:t>
      </w:r>
      <w:r>
        <w:rPr>
          <w:rFonts w:ascii="宋体" w:hAnsi="宋体" w:eastAsia="宋体" w:cs="Times New Roman"/>
          <w:sz w:val="24"/>
          <w:szCs w:val="24"/>
        </w:rPr>
        <w:t xml:space="preserve">商设备</w:t>
      </w:r>
      <w:r>
        <w:rPr>
          <w:rFonts w:ascii="宋体" w:hAnsi="宋体" w:eastAsia="宋体" w:cs="Times New Roman"/>
          <w:sz w:val="24"/>
          <w:szCs w:val="24"/>
        </w:rPr>
        <w:t xml:space="preserve">交货时，需包装完整无损坏，提供产品保修单、装箱单以及产品的主要材料、五金配件的质检报告、产品的合格证。</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3、供应商负责本项目的安装和调试，并保证其提供的货物符合国家、行业、地方、招标文件要求和供应商投标文件及合同规定的质量、性能和标准，并正确且安全地安装。</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黑体" w:hAnsi="黑体" w:eastAsia="黑体" w:cs="Times New Roman"/>
          <w:bCs/>
          <w:sz w:val="28"/>
          <w:szCs w:val="28"/>
        </w:rPr>
      </w:pPr>
      <w:r>
        <w:rPr>
          <w:rFonts w:ascii="黑体" w:hAnsi="黑体" w:eastAsia="黑体" w:cs="Times New Roman"/>
          <w:bCs/>
          <w:sz w:val="28"/>
          <w:szCs w:val="28"/>
        </w:rPr>
        <w:t xml:space="preserve">五、培训要求：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1、提供符合本项目包含的各系统的详细培训方案。</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2、培训人数：所有设备及软件使用人员、相关技术人员。</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培训内容：须向操作及维护人员提供各系统点位布置介绍、设备使用、配置、维护等相关内容以及各系统的应用培训，确保用户操作及维护人员能够对各系统足够了解和熟悉，能够独立进行系统的日常维护、使用和管理。</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黑体" w:hAnsi="黑体" w:eastAsia="黑体" w:cs="Times New Roman"/>
          <w:bCs/>
          <w:sz w:val="28"/>
          <w:szCs w:val="28"/>
        </w:rPr>
      </w:pPr>
      <w:r>
        <w:rPr>
          <w:rFonts w:ascii="黑体" w:hAnsi="黑体" w:eastAsia="黑体" w:cs="Times New Roman"/>
          <w:bCs/>
          <w:sz w:val="28"/>
          <w:szCs w:val="28"/>
        </w:rPr>
        <w:t xml:space="preserve">六、交货（完工）时间：</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双方合同签订之</w:t>
      </w:r>
      <w:r>
        <w:rPr>
          <w:rFonts w:ascii="宋体" w:hAnsi="宋体" w:eastAsia="宋体" w:cs="Times New Roman"/>
          <w:sz w:val="24"/>
          <w:szCs w:val="24"/>
        </w:rPr>
        <w:t xml:space="preserve">日起</w:t>
      </w:r>
      <w:r>
        <w:rPr>
          <w:rFonts w:ascii="宋体" w:hAnsi="宋体" w:eastAsia="宋体" w:cs="Times New Roman"/>
          <w:sz w:val="24"/>
          <w:szCs w:val="24"/>
          <w:u w:val="single"/>
        </w:rPr>
        <w:t xml:space="preserve"> 30 </w:t>
      </w:r>
      <w:r>
        <w:rPr>
          <w:rFonts w:ascii="宋体" w:hAnsi="宋体" w:eastAsia="宋体" w:cs="Times New Roman"/>
          <w:sz w:val="24"/>
          <w:szCs w:val="24"/>
        </w:rPr>
        <w:t xml:space="preserve">个</w:t>
      </w:r>
      <w:r>
        <w:rPr>
          <w:rFonts w:ascii="宋体" w:hAnsi="宋体" w:eastAsia="宋体" w:cs="Times New Roman"/>
          <w:sz w:val="24"/>
          <w:szCs w:val="24"/>
        </w:rPr>
        <w:t xml:space="preserve">自然日内(报出最早交货期限)。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2、采购人有权调整全部或部分所订购设备的供货期及安装调试期，供应商不得以此为理由增加保管费或任何其他费用。</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cs="Times New Roman"/>
          <w:bCs/>
          <w:sz w:val="24"/>
          <w:szCs w:val="24"/>
        </w:rPr>
      </w:pPr>
      <w:r>
        <w:rPr>
          <w:rFonts w:ascii="黑体" w:hAnsi="黑体" w:eastAsia="黑体" w:cs="Times New Roman"/>
          <w:bCs/>
          <w:sz w:val="28"/>
          <w:szCs w:val="28"/>
        </w:rPr>
        <w:t xml:space="preserve">七、交货（服务）地点：</w:t>
      </w:r>
      <w:r>
        <w:rPr>
          <w:rFonts w:hint="eastAsia" w:ascii="黑体" w:hAnsi="黑体" w:eastAsia="黑体" w:cs="Times New Roman"/>
          <w:bCs/>
          <w:sz w:val="28"/>
          <w:szCs w:val="28"/>
        </w:rPr>
        <w:t xml:space="preserve">江阴市各社区卫生服务站（村卫生室）</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bCs/>
          <w:sz w:val="28"/>
          <w:szCs w:val="28"/>
        </w:rPr>
      </w:pPr>
      <w:r>
        <w:rPr>
          <w:rFonts w:ascii="黑体" w:hAnsi="黑体" w:eastAsia="黑体" w:cs="Times New Roman"/>
          <w:bCs/>
          <w:sz w:val="28"/>
          <w:szCs w:val="28"/>
        </w:rPr>
        <w:t xml:space="preserve">八、质量保证及售后服务要求：</w:t>
      </w:r>
      <w:r/>
    </w:p>
    <w:p>
      <w:pPr>
        <w:ind w:firstLine="480"/>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供应商须保证所提供硬件产品包括相关附件为相应硬件厂家原装正品，软件产品为相关厂家正版软件，符合国家有关规定，慢病管理一体机不低于5年原厂质保</w:t>
      </w:r>
      <w:r>
        <w:rPr>
          <w:rFonts w:hint="eastAsia" w:ascii="宋体" w:hAnsi="宋体" w:eastAsia="宋体" w:cs="Times New Roman"/>
          <w:sz w:val="24"/>
          <w:szCs w:val="24"/>
        </w:rPr>
        <w:t xml:space="preserve">，其他</w:t>
      </w:r>
      <w:r>
        <w:rPr>
          <w:rFonts w:ascii="宋体" w:hAnsi="宋体" w:eastAsia="宋体" w:cs="Times New Roman"/>
          <w:sz w:val="24"/>
          <w:szCs w:val="24"/>
        </w:rPr>
        <w:t xml:space="preserve">不低于</w:t>
      </w:r>
      <w:r>
        <w:rPr>
          <w:rFonts w:hint="eastAsia" w:ascii="宋体" w:hAnsi="宋体" w:eastAsia="宋体" w:cs="Times New Roman"/>
          <w:sz w:val="24"/>
          <w:szCs w:val="24"/>
        </w:rPr>
        <w:t xml:space="preserve">2年</w:t>
      </w:r>
      <w:r>
        <w:rPr>
          <w:rFonts w:ascii="宋体" w:hAnsi="宋体" w:eastAsia="宋体" w:cs="Times New Roman"/>
          <w:sz w:val="24"/>
          <w:szCs w:val="24"/>
        </w:rPr>
        <w:t xml:space="preserve">原厂质保。</w:t>
      </w:r>
      <w:r/>
    </w:p>
    <w:p>
      <w:pPr>
        <w:ind w:firstLine="480"/>
        <w:spacing w:line="400" w:lineRule="exact"/>
        <w:widowControl/>
        <w:rPr>
          <w:rFonts w:ascii="宋体" w:hAnsi="宋体" w:eastAsia="宋体" w:cs="Times New Roman"/>
          <w:bCs/>
          <w:sz w:val="24"/>
          <w:szCs w:val="24"/>
        </w:rPr>
      </w:pPr>
      <w:r>
        <w:rPr>
          <w:rFonts w:ascii="宋体" w:hAnsi="宋体" w:eastAsia="宋体" w:cs="Times New Roman"/>
          <w:bCs/>
          <w:sz w:val="24"/>
          <w:szCs w:val="24"/>
        </w:rPr>
        <w:t xml:space="preserve">2、在保修期内，若出现质量问题，无条件、免费提供各种维修服务（包括零配件免费）。保修期满后，实行终身跟踪维修，按最低价收取零部件费用，不收取维修费及其他费用。</w:t>
      </w:r>
      <w:r/>
    </w:p>
    <w:p>
      <w:pPr>
        <w:ind w:firstLine="480"/>
        <w:spacing w:line="400" w:lineRule="exact"/>
        <w:widowControl/>
        <w:rPr>
          <w:rFonts w:ascii="宋体" w:hAnsi="宋体" w:eastAsia="宋体" w:cs="Times New Roman"/>
          <w:bCs/>
          <w:sz w:val="24"/>
          <w:szCs w:val="24"/>
        </w:rPr>
      </w:pPr>
      <w:r>
        <w:rPr>
          <w:rFonts w:ascii="宋体" w:hAnsi="宋体" w:eastAsia="宋体" w:cs="Times New Roman"/>
          <w:bCs/>
          <w:sz w:val="24"/>
          <w:szCs w:val="24"/>
        </w:rPr>
        <w:t xml:space="preserve">3、服务响应时间：0.5小时内响应，</w:t>
      </w:r>
      <w:r>
        <w:rPr>
          <w:rFonts w:hint="eastAsia" w:ascii="宋体" w:hAnsi="宋体" w:eastAsia="宋体" w:cs="Times New Roman"/>
          <w:bCs/>
          <w:sz w:val="24"/>
          <w:szCs w:val="24"/>
        </w:rPr>
        <w:t xml:space="preserve">4</w:t>
      </w:r>
      <w:r>
        <w:rPr>
          <w:rFonts w:ascii="宋体" w:hAnsi="宋体" w:eastAsia="宋体" w:cs="Times New Roman"/>
          <w:bCs/>
          <w:sz w:val="24"/>
          <w:szCs w:val="24"/>
        </w:rPr>
        <w:t xml:space="preserve">小时内到现场，并在</w:t>
      </w:r>
      <w:r>
        <w:rPr>
          <w:rFonts w:hint="eastAsia" w:ascii="宋体" w:hAnsi="宋体" w:eastAsia="宋体" w:cs="Times New Roman"/>
          <w:bCs/>
          <w:sz w:val="24"/>
          <w:szCs w:val="24"/>
        </w:rPr>
        <w:t xml:space="preserve">12</w:t>
      </w:r>
      <w:r>
        <w:rPr>
          <w:rFonts w:ascii="宋体" w:hAnsi="宋体" w:eastAsia="宋体" w:cs="Times New Roman"/>
          <w:bCs/>
          <w:sz w:val="24"/>
          <w:szCs w:val="24"/>
        </w:rPr>
        <w:t xml:space="preserve">小时内能排除故障，未能在规定时间内修复情况下，供应商应主动提供免费备品备件。</w:t>
      </w:r>
      <w:r/>
    </w:p>
    <w:p>
      <w:pPr>
        <w:ind w:firstLine="480"/>
        <w:spacing w:line="400" w:lineRule="exact"/>
        <w:widowControl/>
        <w:rPr>
          <w:rFonts w:ascii="宋体" w:hAnsi="宋体" w:eastAsia="宋体" w:cs="Times New Roman"/>
          <w:bCs/>
          <w:sz w:val="24"/>
          <w:szCs w:val="24"/>
        </w:rPr>
      </w:pPr>
      <w:r>
        <w:rPr>
          <w:rFonts w:hint="eastAsia" w:ascii="宋体" w:hAnsi="宋体" w:eastAsia="宋体" w:cs="Times New Roman"/>
          <w:bCs/>
          <w:sz w:val="24"/>
          <w:szCs w:val="24"/>
        </w:rPr>
        <w:t xml:space="preserve">4</w:t>
      </w:r>
      <w:r>
        <w:rPr>
          <w:rFonts w:ascii="宋体" w:hAnsi="宋体" w:eastAsia="宋体" w:cs="Times New Roman"/>
          <w:bCs/>
          <w:sz w:val="24"/>
          <w:szCs w:val="24"/>
        </w:rPr>
        <w:t xml:space="preserve">、在质量保证期内更换的任何配件，须为原设备原厂生产的；并且保证替代的零配件是新的未使用过和未经修复的。</w:t>
      </w:r>
      <w:r/>
    </w:p>
    <w:p>
      <w:pPr>
        <w:ind w:firstLine="480"/>
        <w:spacing w:line="400" w:lineRule="exact"/>
        <w:widowControl/>
        <w:rPr>
          <w:rFonts w:ascii="宋体" w:hAnsi="宋体" w:eastAsia="宋体" w:cs="Times New Roman"/>
          <w:bCs/>
          <w:sz w:val="24"/>
          <w:szCs w:val="24"/>
        </w:rPr>
      </w:pP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、提供的产品若有设计缺陷，供应商应主动召回。</w:t>
      </w:r>
      <w:r/>
    </w:p>
    <w:p>
      <w:pPr>
        <w:ind w:firstLine="480"/>
        <w:spacing w:line="400" w:lineRule="exact"/>
        <w:widowControl/>
        <w:rPr>
          <w:rFonts w:ascii="宋体" w:hAnsi="宋体" w:eastAsia="宋体" w:cs="Times New Roman"/>
          <w:bCs/>
          <w:sz w:val="24"/>
          <w:szCs w:val="24"/>
        </w:rPr>
      </w:pPr>
      <w:r>
        <w:rPr>
          <w:rFonts w:hint="eastAsia" w:ascii="宋体" w:hAnsi="宋体" w:eastAsia="宋体" w:cs="Times New Roman"/>
          <w:bCs/>
          <w:sz w:val="24"/>
          <w:szCs w:val="24"/>
        </w:rPr>
        <w:t xml:space="preserve">6</w:t>
      </w:r>
      <w:r>
        <w:rPr>
          <w:rFonts w:ascii="宋体" w:hAnsi="宋体" w:eastAsia="宋体" w:cs="Times New Roman"/>
          <w:bCs/>
          <w:sz w:val="24"/>
          <w:szCs w:val="24"/>
        </w:rPr>
        <w:t xml:space="preserve">、在质量保证期内，供应商应提供每年度技术巡检服务，巡检内容应包含：对设备使用状况的调查、升级软件、为机器除尘，故障预防工作。并向采购人提供巡检记录以及巡检报告。</w:t>
      </w:r>
      <w:r/>
    </w:p>
    <w:p>
      <w:pPr>
        <w:ind w:firstLine="480"/>
        <w:spacing w:line="400" w:lineRule="exact"/>
        <w:widowControl/>
        <w:rPr>
          <w:rFonts w:ascii="宋体" w:hAnsi="宋体" w:eastAsia="宋体" w:cs="Times New Roman"/>
          <w:bCs/>
          <w:sz w:val="24"/>
          <w:szCs w:val="24"/>
        </w:rPr>
      </w:pPr>
      <w:r>
        <w:rPr>
          <w:rFonts w:hint="eastAsia" w:ascii="宋体" w:hAnsi="宋体" w:eastAsia="宋体" w:cs="Times New Roman"/>
          <w:bCs/>
          <w:sz w:val="24"/>
          <w:szCs w:val="24"/>
        </w:rPr>
        <w:t xml:space="preserve">7</w:t>
      </w:r>
      <w:r>
        <w:rPr>
          <w:rFonts w:ascii="宋体" w:hAnsi="宋体" w:eastAsia="宋体" w:cs="Times New Roman"/>
          <w:bCs/>
          <w:sz w:val="24"/>
          <w:szCs w:val="24"/>
        </w:rPr>
        <w:t xml:space="preserve">、软件免费维护和升级服务的内容，供应商可根据自身情况，提供相应的软件服务方案。</w:t>
      </w:r>
      <w:r/>
    </w:p>
    <w:p>
      <w:pPr>
        <w:ind w:firstLine="480"/>
        <w:spacing w:line="400" w:lineRule="exact"/>
        <w:widowControl/>
        <w:rPr>
          <w:rFonts w:ascii="宋体" w:hAnsi="宋体" w:eastAsia="宋体" w:cs="Times New Roman"/>
          <w:bCs/>
          <w:sz w:val="24"/>
          <w:szCs w:val="24"/>
        </w:rPr>
      </w:pPr>
      <w:r>
        <w:rPr>
          <w:rFonts w:hint="eastAsia" w:ascii="宋体" w:hAnsi="宋体" w:eastAsia="宋体" w:cs="Times New Roman"/>
          <w:bCs/>
          <w:sz w:val="24"/>
          <w:szCs w:val="24"/>
        </w:rPr>
        <w:t xml:space="preserve">8、提供年度计量检测与校准服务并承担所产生费用。</w:t>
      </w:r>
      <w:r/>
    </w:p>
    <w:p>
      <w:pPr>
        <w:ind w:firstLine="480"/>
        <w:spacing w:line="400" w:lineRule="exact"/>
        <w:widowControl/>
        <w:rPr>
          <w:rFonts w:ascii="宋体" w:hAnsi="宋体" w:eastAsia="宋体" w:cs="Times New Roman"/>
          <w:bCs/>
          <w:sz w:val="24"/>
          <w:szCs w:val="24"/>
        </w:rPr>
      </w:pPr>
      <w:r>
        <w:rPr>
          <w:rFonts w:hint="eastAsia" w:ascii="宋体" w:hAnsi="宋体" w:eastAsia="宋体" w:cs="Times New Roman"/>
          <w:bCs/>
          <w:sz w:val="24"/>
          <w:szCs w:val="24"/>
        </w:rPr>
        <w:t xml:space="preserve">9、慢病管理一体机收集产生的数据支持与各使用机构医院HIS系统、慢病管理系统及健康信息平台互联互通，</w:t>
      </w:r>
      <w:r>
        <w:rPr>
          <w:rFonts w:hint="eastAsia" w:ascii="宋体" w:hAnsi="宋体" w:eastAsia="宋体" w:cs="Times New Roman"/>
          <w:bCs/>
          <w:sz w:val="24"/>
          <w:szCs w:val="24"/>
        </w:rPr>
        <w:t xml:space="preserve">支撑公卫业务</w:t>
      </w:r>
      <w:r>
        <w:rPr>
          <w:rFonts w:hint="eastAsia" w:ascii="宋体" w:hAnsi="宋体" w:eastAsia="宋体" w:cs="Times New Roman"/>
          <w:bCs/>
          <w:sz w:val="24"/>
          <w:szCs w:val="24"/>
        </w:rPr>
        <w:t xml:space="preserve">、家</w:t>
      </w:r>
      <w:r>
        <w:rPr>
          <w:rFonts w:hint="eastAsia" w:ascii="宋体" w:hAnsi="宋体" w:eastAsia="宋体" w:cs="Times New Roman"/>
          <w:bCs/>
          <w:sz w:val="24"/>
          <w:szCs w:val="24"/>
        </w:rPr>
        <w:t xml:space="preserve">医</w:t>
      </w:r>
      <w:r>
        <w:rPr>
          <w:rFonts w:hint="eastAsia" w:ascii="宋体" w:hAnsi="宋体" w:eastAsia="宋体" w:cs="Times New Roman"/>
          <w:bCs/>
          <w:sz w:val="24"/>
          <w:szCs w:val="24"/>
        </w:rPr>
        <w:t xml:space="preserve">业务及医院专</w:t>
      </w:r>
      <w:r>
        <w:rPr>
          <w:rFonts w:hint="eastAsia" w:ascii="宋体" w:hAnsi="宋体" w:eastAsia="宋体" w:cs="Times New Roman"/>
          <w:bCs/>
          <w:sz w:val="24"/>
          <w:szCs w:val="24"/>
        </w:rPr>
        <w:t xml:space="preserve">病管理</w:t>
      </w:r>
      <w:r>
        <w:rPr>
          <w:rFonts w:hint="eastAsia" w:ascii="宋体" w:hAnsi="宋体" w:eastAsia="宋体" w:cs="Times New Roman"/>
          <w:bCs/>
          <w:sz w:val="24"/>
          <w:szCs w:val="24"/>
        </w:rPr>
        <w:t xml:space="preserve">要求；配合相关信息系统厂商完成相关研发实施并承担所产生费用。</w:t>
      </w:r>
      <w:r/>
    </w:p>
    <w:p>
      <w:pPr>
        <w:spacing w:line="400" w:lineRule="exact"/>
        <w:widowControl/>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黑体" w:hAnsi="黑体" w:eastAsia="黑体" w:cs="Times New Roman"/>
          <w:bCs/>
          <w:sz w:val="28"/>
          <w:szCs w:val="28"/>
        </w:rPr>
      </w:pPr>
      <w:r>
        <w:rPr>
          <w:rFonts w:ascii="黑体" w:hAnsi="黑体" w:eastAsia="黑体" w:cs="Times New Roman"/>
          <w:bCs/>
          <w:sz w:val="28"/>
          <w:szCs w:val="28"/>
        </w:rPr>
        <w:t xml:space="preserve">九、付款方式：</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分两期付款</w:t>
      </w:r>
      <w:r/>
    </w:p>
    <w:p>
      <w:pPr>
        <w:ind w:firstLine="480"/>
        <w:spacing w:line="400" w:lineRule="exact"/>
        <w:tabs>
          <w:tab w:val="left" w:pos="312" w:leader="none"/>
        </w:tabs>
        <w:rPr>
          <w:rFonts w:ascii="宋体" w:hAnsi="宋体" w:eastAsia="宋体" w:cs="Times New Roman"/>
          <w:sz w:val="24"/>
          <w:szCs w:val="24"/>
        </w:rPr>
      </w:pPr>
      <w:r>
        <w:rPr>
          <w:rFonts w:hint="eastAsia" w:ascii="宋体" w:hAnsi="宋体" w:eastAsia="宋体" w:cs="Times New Roman"/>
          <w:sz w:val="24"/>
          <w:szCs w:val="24"/>
        </w:rPr>
        <w:t xml:space="preserve">第1期：</w:t>
      </w:r>
      <w:r>
        <w:rPr>
          <w:rFonts w:ascii="宋体" w:hAnsi="宋体" w:eastAsia="宋体" w:cs="Times New Roman"/>
          <w:sz w:val="24"/>
          <w:szCs w:val="24"/>
        </w:rPr>
        <w:t xml:space="preserve">全部设备到货后，</w:t>
      </w:r>
      <w:r>
        <w:rPr>
          <w:rFonts w:hint="eastAsia" w:ascii="宋体" w:hAnsi="宋体" w:eastAsia="宋体" w:cs="Times New Roman"/>
          <w:sz w:val="24"/>
          <w:szCs w:val="24"/>
        </w:rPr>
        <w:t xml:space="preserve">提供设备生产厂家授权，</w:t>
      </w:r>
      <w:r>
        <w:rPr>
          <w:rFonts w:ascii="宋体" w:hAnsi="宋体" w:eastAsia="宋体" w:cs="Times New Roman"/>
          <w:sz w:val="24"/>
          <w:szCs w:val="24"/>
        </w:rPr>
        <w:t xml:space="preserve">由买方逐一清点无误，与合同规</w:t>
      </w:r>
      <w:r>
        <w:rPr>
          <w:rFonts w:ascii="宋体" w:hAnsi="宋体" w:eastAsia="宋体" w:cs="Times New Roman"/>
          <w:sz w:val="24"/>
          <w:szCs w:val="24"/>
        </w:rPr>
        <w:t xml:space="preserve">定相符；设备软、硬件安装完毕，系统工作稳定，无故障，由买方组织验收，符合</w:t>
      </w:r>
      <w:r>
        <w:rPr>
          <w:rFonts w:hint="eastAsia" w:ascii="宋体" w:hAnsi="宋体" w:eastAsia="宋体" w:cs="Times New Roman"/>
          <w:sz w:val="24"/>
          <w:szCs w:val="24"/>
        </w:rPr>
        <w:t xml:space="preserve">招标文件及合同要求</w:t>
      </w:r>
      <w:r>
        <w:rPr>
          <w:rFonts w:ascii="宋体" w:hAnsi="宋体" w:eastAsia="宋体" w:cs="Times New Roman"/>
          <w:sz w:val="24"/>
          <w:szCs w:val="24"/>
        </w:rPr>
        <w:t xml:space="preserve">，正常运行满1个月后，</w:t>
      </w:r>
      <w:r>
        <w:rPr>
          <w:rFonts w:hint="eastAsia" w:ascii="宋体" w:hAnsi="宋体" w:eastAsia="宋体" w:cs="Times New Roman"/>
          <w:sz w:val="24"/>
          <w:szCs w:val="24"/>
        </w:rPr>
        <w:t xml:space="preserve">由买方组织验收合格签字后，买方</w:t>
      </w:r>
      <w:r>
        <w:rPr>
          <w:rFonts w:ascii="宋体" w:hAnsi="宋体" w:eastAsia="宋体" w:cs="Times New Roman"/>
          <w:sz w:val="24"/>
          <w:szCs w:val="24"/>
        </w:rPr>
        <w:t xml:space="preserve">将在10个工作日内支付合同总价的</w:t>
      </w:r>
      <w:r>
        <w:rPr>
          <w:rFonts w:hint="eastAsia" w:ascii="宋体" w:hAnsi="宋体" w:eastAsia="宋体" w:cs="Times New Roman"/>
          <w:sz w:val="24"/>
          <w:szCs w:val="24"/>
        </w:rPr>
        <w:t xml:space="preserve">90</w:t>
      </w:r>
      <w:r>
        <w:rPr>
          <w:rFonts w:ascii="宋体" w:hAnsi="宋体" w:eastAsia="宋体" w:cs="Times New Roman"/>
          <w:sz w:val="24"/>
          <w:szCs w:val="24"/>
        </w:rPr>
        <w:t xml:space="preserve">%。</w:t>
      </w:r>
      <w:r/>
    </w:p>
    <w:p>
      <w:pPr>
        <w:ind w:firstLine="480"/>
        <w:spacing w:line="400" w:lineRule="exact"/>
        <w:tabs>
          <w:tab w:val="left" w:pos="312" w:leader="none"/>
        </w:tabs>
        <w:rPr>
          <w:rFonts w:ascii="宋体" w:hAnsi="宋体" w:eastAsia="宋体" w:cs="Times New Roman"/>
          <w:sz w:val="24"/>
          <w:szCs w:val="24"/>
        </w:rPr>
      </w:pPr>
      <w:r>
        <w:rPr>
          <w:rFonts w:hint="eastAsia" w:ascii="宋体" w:hAnsi="宋体" w:eastAsia="宋体" w:cs="Times New Roman"/>
          <w:sz w:val="24"/>
          <w:szCs w:val="24"/>
        </w:rPr>
        <w:t xml:space="preserve">第2期：验收合格</w:t>
      </w:r>
      <w:r>
        <w:rPr>
          <w:rFonts w:ascii="宋体" w:hAnsi="宋体" w:eastAsia="宋体" w:cs="Times New Roman"/>
          <w:sz w:val="24"/>
          <w:szCs w:val="24"/>
        </w:rPr>
        <w:t xml:space="preserve">满</w:t>
      </w:r>
      <w:r>
        <w:rPr>
          <w:rFonts w:hint="eastAsia" w:ascii="宋体" w:hAnsi="宋体" w:eastAsia="宋体" w:cs="Times New Roman"/>
          <w:sz w:val="24"/>
          <w:szCs w:val="24"/>
        </w:rPr>
        <w:t xml:space="preserve">12</w:t>
      </w:r>
      <w:r>
        <w:rPr>
          <w:rFonts w:ascii="宋体" w:hAnsi="宋体" w:eastAsia="宋体" w:cs="Times New Roman"/>
          <w:sz w:val="24"/>
          <w:szCs w:val="24"/>
        </w:rPr>
        <w:t xml:space="preserve">个月，</w:t>
      </w:r>
      <w:r>
        <w:rPr>
          <w:rFonts w:hint="eastAsia" w:ascii="宋体" w:hAnsi="宋体" w:eastAsia="宋体" w:cs="Times New Roman"/>
          <w:sz w:val="24"/>
          <w:szCs w:val="24"/>
        </w:rPr>
        <w:t xml:space="preserve">买方</w:t>
      </w:r>
      <w:r>
        <w:rPr>
          <w:rFonts w:ascii="宋体" w:hAnsi="宋体" w:eastAsia="宋体" w:cs="Times New Roman"/>
          <w:sz w:val="24"/>
          <w:szCs w:val="24"/>
        </w:rPr>
        <w:t xml:space="preserve">将在</w:t>
      </w:r>
      <w:r>
        <w:rPr>
          <w:rFonts w:hint="eastAsia" w:ascii="宋体" w:hAnsi="宋体" w:eastAsia="宋体" w:cs="Times New Roman"/>
          <w:sz w:val="24"/>
          <w:szCs w:val="24"/>
        </w:rPr>
        <w:t xml:space="preserve">一个月</w:t>
      </w:r>
      <w:r>
        <w:rPr>
          <w:rFonts w:ascii="宋体" w:hAnsi="宋体" w:eastAsia="宋体" w:cs="Times New Roman"/>
          <w:sz w:val="24"/>
          <w:szCs w:val="24"/>
        </w:rPr>
        <w:t xml:space="preserve">内付</w:t>
      </w:r>
      <w:r>
        <w:rPr>
          <w:rFonts w:hint="eastAsia" w:ascii="宋体" w:hAnsi="宋体" w:eastAsia="宋体" w:cs="Times New Roman"/>
          <w:sz w:val="24"/>
          <w:szCs w:val="24"/>
        </w:rPr>
        <w:t xml:space="preserve">清余款</w:t>
      </w:r>
      <w:r>
        <w:rPr>
          <w:rFonts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如本项目为中小企业中标，则付款方式按照《保障中小企业款项支付条例》（中华人民共和国国务院第802号）执行</w:t>
      </w:r>
      <w:r>
        <w:rPr>
          <w:rFonts w:hint="eastAsia" w:ascii="宋体" w:hAnsi="宋体" w:eastAsia="宋体" w:cs="Times New Roman"/>
          <w:sz w:val="24"/>
          <w:szCs w:val="24"/>
        </w:rPr>
        <w:t xml:space="preserve">】</w:t>
      </w:r>
      <w:r/>
    </w:p>
    <w:p>
      <w:pPr>
        <w:spacing w:after="120"/>
      </w:pPr>
      <w:r/>
      <w:r/>
    </w:p>
    <w:p>
      <w:pPr>
        <w:spacing w:line="400" w:lineRule="exact"/>
        <w:rPr>
          <w:rFonts w:ascii="黑体" w:hAnsi="黑体" w:eastAsia="黑体" w:cs="Times New Roman"/>
          <w:bCs/>
          <w:sz w:val="28"/>
          <w:szCs w:val="28"/>
        </w:rPr>
      </w:pPr>
      <w:r>
        <w:rPr>
          <w:rFonts w:ascii="黑体" w:hAnsi="黑体" w:eastAsia="黑体" w:cs="Times New Roman"/>
          <w:bCs/>
          <w:sz w:val="28"/>
          <w:szCs w:val="28"/>
        </w:rPr>
        <w:t xml:space="preserve">十、有关说明：</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w:t>
      </w:r>
      <w:r>
        <w:rPr>
          <w:rFonts w:ascii="宋体" w:hAnsi="宋体" w:eastAsia="宋体" w:cs="Times New Roman"/>
          <w:bCs/>
          <w:sz w:val="24"/>
          <w:szCs w:val="24"/>
        </w:rPr>
        <w:t xml:space="preserve">公开招标为一次性报价。该项目为一个包，供应商报价内容必须报全，不得漏项</w:t>
      </w:r>
      <w:r>
        <w:rPr>
          <w:rFonts w:ascii="宋体" w:hAnsi="宋体" w:eastAsia="宋体" w:cs="Times New Roman"/>
          <w:sz w:val="24"/>
          <w:szCs w:val="24"/>
        </w:rPr>
        <w:t xml:space="preserve">。合同总价（即投标最终价）包括全部设备、系统、对接、安装、调试、培训、验收、税费等一切费用。</w:t>
      </w:r>
      <w:r/>
    </w:p>
    <w:p>
      <w:pPr>
        <w:ind w:firstLine="484"/>
        <w:spacing w:line="400" w:lineRule="exact"/>
        <w:rPr>
          <w:rFonts w:ascii="宋体" w:hAnsi="宋体" w:eastAsia="宋体" w:cs="Times New Roman"/>
          <w:bCs/>
          <w:spacing w:val="1"/>
          <w:sz w:val="24"/>
          <w:szCs w:val="24"/>
        </w:rPr>
      </w:pPr>
      <w:r>
        <w:rPr>
          <w:rFonts w:hint="eastAsia" w:ascii="宋体" w:hAnsi="宋体" w:eastAsia="宋体" w:cs="Times New Roman"/>
          <w:bCs/>
          <w:spacing w:val="1"/>
          <w:sz w:val="24"/>
          <w:szCs w:val="24"/>
        </w:rPr>
        <w:t xml:space="preserve">2</w:t>
      </w:r>
      <w:r>
        <w:rPr>
          <w:rFonts w:ascii="宋体" w:hAnsi="宋体" w:eastAsia="宋体" w:cs="Times New Roman"/>
          <w:bCs/>
          <w:spacing w:val="1"/>
          <w:sz w:val="24"/>
          <w:szCs w:val="24"/>
        </w:rPr>
        <w:t xml:space="preserve">、供应商可对现场进行勘查（不统一组织，供应商可与采购人直接联系安排，因供应商不进行现场勘查造成辅材附件费用计算不准等的后果均由供应商自己负责）。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产品质量必须符合《中华人民共和国国家标准》及我国最新颁布的与之相关的技术规范与正宗合格产品标准，同时必须满足招标书中所列全部规格、型号、具体配置、技术条件及功能要求和供方承诺的其它指标；产品质量出现问题，供方负责包退、包换、包修，其费用由供方负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、供方设备交货时，需包装完整无损坏，提供产品保修单、装箱单以及产品的主要材料、五金配件的质检报告、产品的合格证。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货物保管：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7、凡涉及招标文件的补充说明或修正，均以江阴市政府采购中心书面依据为准。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8、江阴市政府采购中心对本次招标结果不作任何解释。</w:t>
      </w:r>
      <w:bookmarkEnd w:id="12"/>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pStyle w:val="873"/>
      </w:pPr>
      <w:r/>
      <w:bookmarkStart w:id="14" w:name="_Toc201302572"/>
      <w:r>
        <w:rPr>
          <w:rFonts w:hint="eastAsia"/>
        </w:rPr>
        <w:t xml:space="preserve">第四章　评标方法和评标标准</w:t>
      </w:r>
      <w:bookmarkEnd w:id="14"/>
      <w:r/>
      <w:r/>
    </w:p>
    <w:p>
      <w:pPr>
        <w:jc w:val="left"/>
        <w:spacing w:line="400" w:lineRule="exact"/>
        <w:rPr>
          <w:rFonts w:ascii="黑体" w:hAnsi="黑体" w:eastAsia="黑体" w:cs="Times New Roman"/>
          <w:sz w:val="28"/>
          <w:szCs w:val="28"/>
        </w:rPr>
      </w:pPr>
      <w:r>
        <w:rPr>
          <w:rFonts w:ascii="黑体" w:hAnsi="黑体" w:eastAsia="黑体" w:cs="Times New Roman"/>
          <w:sz w:val="28"/>
          <w:szCs w:val="28"/>
        </w:rPr>
      </w:r>
      <w:r/>
    </w:p>
    <w:p>
      <w:pPr>
        <w:jc w:val="lef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本次评审采用综合评标法，</w:t>
      </w:r>
      <w:r>
        <w:rPr>
          <w:rFonts w:ascii="宋体" w:hAnsi="宋体" w:eastAsia="宋体" w:cs="Times New Roman"/>
          <w:sz w:val="24"/>
          <w:szCs w:val="24"/>
        </w:rPr>
        <w:t xml:space="preserve">是指投标文件满足招标文件全部实质性要求，</w:t>
      </w:r>
      <w:r>
        <w:rPr>
          <w:rFonts w:ascii="宋体" w:hAnsi="宋体" w:eastAsia="宋体" w:cs="Times New Roman"/>
          <w:sz w:val="24"/>
          <w:szCs w:val="24"/>
        </w:rPr>
        <w:t xml:space="preserve">且按照</w:t>
      </w:r>
      <w:r>
        <w:rPr>
          <w:rFonts w:ascii="宋体" w:hAnsi="宋体" w:eastAsia="宋体" w:cs="Times New Roman"/>
          <w:sz w:val="24"/>
          <w:szCs w:val="24"/>
        </w:rPr>
        <w:t xml:space="preserve">评审因素的量化指标评审得分最高的投标人为中标候选人的评标方法</w:t>
      </w:r>
      <w:r>
        <w:rPr>
          <w:rFonts w:hint="eastAsia" w:ascii="宋体" w:hAnsi="宋体" w:eastAsia="宋体" w:cs="Times New Roman"/>
          <w:sz w:val="24"/>
          <w:szCs w:val="24"/>
        </w:rPr>
        <w:t xml:space="preserve">，</w:t>
      </w:r>
      <w:r>
        <w:rPr>
          <w:rFonts w:ascii="宋体" w:hAnsi="宋体" w:eastAsia="宋体" w:cs="Times New Roman"/>
          <w:sz w:val="24"/>
          <w:szCs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注：每部分的得分保留小数点后两位，合计得分保留小数点后两位。</w:t>
      </w:r>
      <w:r/>
    </w:p>
    <w:p>
      <w:pPr>
        <w:jc w:val="left"/>
        <w:spacing w:line="400" w:lineRule="exact"/>
        <w:rPr>
          <w:rFonts w:ascii="宋体" w:hAnsi="宋体" w:eastAsia="宋体" w:cs="Times New Roman"/>
          <w:b/>
          <w:sz w:val="24"/>
          <w:szCs w:val="24"/>
        </w:rPr>
      </w:pPr>
      <w:r>
        <w:rPr>
          <w:rFonts w:ascii="宋体" w:hAnsi="宋体" w:eastAsia="宋体" w:cs="Times New Roman"/>
          <w:b/>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二、评分标准</w:t>
      </w:r>
      <w:r/>
    </w:p>
    <w:p>
      <w:pPr>
        <w:spacing w:line="400" w:lineRule="exact"/>
        <w:rPr>
          <w:rFonts w:ascii="黑体" w:hAnsi="黑体" w:eastAsia="黑体" w:cs="Times New Roman"/>
          <w:sz w:val="28"/>
          <w:szCs w:val="28"/>
        </w:rPr>
      </w:pPr>
      <w:r>
        <w:rPr>
          <w:rFonts w:ascii="黑体" w:hAnsi="黑体" w:eastAsia="黑体" w:cs="Times New Roman"/>
          <w:sz w:val="28"/>
          <w:szCs w:val="28"/>
        </w:rPr>
      </w:r>
      <w:r/>
    </w:p>
    <w:tbl>
      <w:tblPr>
        <w:tblW w:w="9825"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276"/>
        <w:gridCol w:w="899"/>
        <w:gridCol w:w="1280"/>
        <w:gridCol w:w="5664"/>
        <w:gridCol w:w="706"/>
      </w:tblGrid>
      <w:tr>
        <w:trPr>
          <w:jc w:val="center"/>
          <w:tblHeader/>
        </w:trPr>
        <w:tc>
          <w:tcPr>
            <w:tcBorders>
              <w:top w:val="single" w:color="auto" w:sz="8" w:space="0"/>
              <w:left w:val="single" w:color="auto" w:sz="8" w:space="0"/>
              <w:bottom w:val="single" w:color="auto" w:sz="6" w:space="0"/>
              <w:right w:val="single" w:color="auto" w:sz="6" w:space="0"/>
            </w:tcBorders>
            <w:tcW w:w="1276"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评分项</w:t>
            </w:r>
            <w:r/>
          </w:p>
        </w:tc>
        <w:tc>
          <w:tcPr>
            <w:tcBorders>
              <w:top w:val="single" w:color="auto" w:sz="8"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序号</w:t>
            </w:r>
            <w:r/>
          </w:p>
        </w:tc>
        <w:tc>
          <w:tcPr>
            <w:tcBorders>
              <w:top w:val="single" w:color="auto" w:sz="8"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评分因素</w:t>
            </w:r>
            <w:r/>
          </w:p>
        </w:tc>
        <w:tc>
          <w:tcPr>
            <w:tcBorders>
              <w:top w:val="single" w:color="auto" w:sz="8" w:space="0"/>
              <w:left w:val="single" w:color="auto" w:sz="6" w:space="0"/>
              <w:bottom w:val="single" w:color="auto" w:sz="6" w:space="0"/>
              <w:right w:val="single" w:color="auto" w:sz="6" w:space="0"/>
            </w:tcBorders>
            <w:tcW w:w="5664"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评分细则</w:t>
            </w:r>
            <w:r/>
          </w:p>
        </w:tc>
        <w:tc>
          <w:tcPr>
            <w:tcBorders>
              <w:top w:val="single" w:color="auto" w:sz="8"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分值</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一、价格部分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（30分）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满足招标文件要求且投标报价最低的投标报价为评标基准价，其价格为满分。其他投标人的价格</w:t>
            </w:r>
            <w:r>
              <w:rPr>
                <w:rFonts w:hint="eastAsia" w:ascii="宋体" w:hAnsi="宋体" w:eastAsia="宋体" w:cs="Times New Roman"/>
                <w:sz w:val="24"/>
                <w:szCs w:val="24"/>
              </w:rPr>
              <w:t xml:space="preserve">分按照</w:t>
            </w:r>
            <w:r>
              <w:rPr>
                <w:rFonts w:hint="eastAsia" w:ascii="宋体" w:hAnsi="宋体" w:eastAsia="宋体" w:cs="Times New Roman"/>
                <w:sz w:val="24"/>
                <w:szCs w:val="24"/>
              </w:rPr>
              <w:t xml:space="preserve">下列公式计算：</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投标报价得分＝（评标基准价/投标报价）×30分</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30</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二、技术部分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（55分）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主要技术指标响应情况</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eastAsia="宋体"/>
                <w:sz w:val="24"/>
                <w:szCs w:val="24"/>
              </w:rPr>
            </w:pPr>
            <w:r>
              <w:rPr>
                <w:rFonts w:hint="eastAsia" w:ascii="宋体" w:hAnsi="宋体" w:eastAsia="宋体"/>
                <w:sz w:val="24"/>
                <w:szCs w:val="24"/>
              </w:rPr>
              <w:t xml:space="preserve">根据所投产品的主要技术指标的性能、技术参数的响应情况进行评审打分，产品符合招标文件要求，无负偏离得31分。打“▲”项参数每一项负偏离扣1.5分，非打“▲”项参数每一项负偏离扣0.5分，扣完为止。</w:t>
            </w:r>
            <w:r>
              <w:rPr>
                <w:rFonts w:hint="eastAsia" w:ascii="宋体" w:hAnsi="宋体" w:eastAsia="宋体"/>
                <w:bCs/>
                <w:sz w:val="24"/>
                <w:szCs w:val="24"/>
              </w:rPr>
              <w:t xml:space="preserve">（未按要求提供证明材料的视为负偏离）</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31</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2.2</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项目</w:t>
            </w:r>
            <w:r>
              <w:rPr>
                <w:rFonts w:hint="eastAsia" w:ascii="宋体" w:hAnsi="宋体" w:eastAsia="宋体" w:cs="Times New Roman"/>
                <w:sz w:val="24"/>
                <w:szCs w:val="24"/>
              </w:rPr>
              <w:t xml:space="preserve">现状及需求分析</w:t>
            </w:r>
            <w:r/>
          </w:p>
        </w:tc>
        <w:tc>
          <w:tcPr>
            <w:tcBorders>
              <w:top w:val="single" w:color="auto" w:sz="6" w:space="0"/>
              <w:left w:val="single" w:color="auto" w:sz="6" w:space="0"/>
              <w:bottom w:val="single" w:color="auto" w:sz="6" w:space="0"/>
              <w:right w:val="single" w:color="auto" w:sz="6" w:space="0"/>
            </w:tcBorders>
            <w:tcW w:w="5664" w:type="dxa"/>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投标人针对本项目提供项目</w:t>
            </w:r>
            <w:r>
              <w:rPr>
                <w:rFonts w:hint="eastAsia" w:ascii="宋体" w:hAnsi="宋体" w:eastAsia="宋体" w:cs="Times New Roman"/>
                <w:sz w:val="24"/>
                <w:szCs w:val="24"/>
              </w:rPr>
              <w:t xml:space="preserve">现状及需求分析</w:t>
            </w:r>
            <w:r>
              <w:rPr>
                <w:rFonts w:ascii="宋体" w:hAnsi="宋体" w:eastAsia="宋体" w:cs="Times New Roman"/>
                <w:sz w:val="24"/>
                <w:szCs w:val="24"/>
              </w:rPr>
              <w:t xml:space="preserve">，包括</w:t>
            </w:r>
            <w:r>
              <w:rPr>
                <w:rFonts w:hint="eastAsia" w:ascii="宋体" w:hAnsi="宋体" w:eastAsia="宋体" w:cs="宋体"/>
                <w:sz w:val="24"/>
                <w:szCs w:val="24"/>
              </w:rPr>
              <w:t xml:space="preserve">①</w:t>
            </w:r>
            <w:r>
              <w:rPr>
                <w:rFonts w:ascii="宋体" w:hAnsi="宋体" w:eastAsia="宋体" w:cs="Times New Roman"/>
                <w:sz w:val="24"/>
                <w:szCs w:val="24"/>
              </w:rPr>
              <w:t xml:space="preserve">项目现状、</w:t>
            </w:r>
            <w:r>
              <w:rPr>
                <w:rFonts w:hint="eastAsia" w:ascii="宋体" w:hAnsi="宋体" w:eastAsia="宋体" w:cs="宋体"/>
                <w:sz w:val="24"/>
                <w:szCs w:val="24"/>
              </w:rPr>
              <w:t xml:space="preserve">②</w:t>
            </w:r>
            <w:r>
              <w:rPr>
                <w:rFonts w:ascii="宋体" w:hAnsi="宋体" w:eastAsia="宋体" w:cs="Times New Roman"/>
                <w:sz w:val="24"/>
                <w:szCs w:val="24"/>
              </w:rPr>
              <w:t xml:space="preserve">需求分析</w:t>
            </w:r>
            <w:r>
              <w:rPr>
                <w:rFonts w:ascii="宋体" w:hAnsi="宋体" w:eastAsia="宋体" w:cs="Times New Roman"/>
                <w:sz w:val="24"/>
                <w:szCs w:val="24"/>
                <w:lang w:bidi="ar"/>
              </w:rPr>
              <w:t xml:space="preserve">，</w:t>
            </w:r>
            <w:r>
              <w:rPr>
                <w:rFonts w:ascii="宋体" w:hAnsi="宋体" w:eastAsia="宋体" w:cs="Times New Roman"/>
                <w:sz w:val="24"/>
                <w:szCs w:val="24"/>
              </w:rPr>
              <w:t xml:space="preserve">方案内容描述全面合理符合采购需求的得</w:t>
            </w:r>
            <w:r>
              <w:rPr>
                <w:rFonts w:hint="eastAsia" w:ascii="宋体" w:hAnsi="宋体" w:eastAsia="宋体" w:cs="Times New Roman"/>
                <w:sz w:val="24"/>
                <w:szCs w:val="24"/>
              </w:rPr>
              <w:t xml:space="preserve">4</w:t>
            </w:r>
            <w:r>
              <w:rPr>
                <w:rFonts w:ascii="宋体" w:hAnsi="宋体" w:eastAsia="宋体" w:cs="Times New Roman"/>
                <w:sz w:val="24"/>
                <w:szCs w:val="24"/>
              </w:rPr>
              <w:t xml:space="preserve">分，每有一项内容缺失的扣2分；每有一项内容存在缺陷或不满足要求的扣1分，扣完为止。</w:t>
            </w:r>
            <w:r/>
          </w:p>
          <w:p>
            <w:pPr>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2.3</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实施</w:t>
            </w:r>
            <w:r>
              <w:rPr>
                <w:rFonts w:hint="eastAsia" w:ascii="宋体" w:hAnsi="宋体" w:eastAsia="宋体" w:cs="Times New Roman"/>
                <w:sz w:val="24"/>
                <w:szCs w:val="24"/>
              </w:rPr>
              <w:t xml:space="preserve">方案</w:t>
            </w:r>
            <w:r/>
          </w:p>
        </w:tc>
        <w:tc>
          <w:tcPr>
            <w:tcBorders>
              <w:top w:val="single" w:color="auto" w:sz="6" w:space="0"/>
              <w:left w:val="single" w:color="auto" w:sz="6" w:space="0"/>
              <w:bottom w:val="single" w:color="auto" w:sz="6" w:space="0"/>
              <w:right w:val="single" w:color="auto" w:sz="6" w:space="0"/>
            </w:tcBorders>
            <w:tcW w:w="5664" w:type="dxa"/>
            <w:vAlign w:val="bottom"/>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宋体"/>
                <w:sz w:val="24"/>
                <w:szCs w:val="24"/>
              </w:rPr>
              <w:t xml:space="preserve">投标人针对本项目提供实施方案，包括①包装运输方</w:t>
            </w:r>
            <w:r>
              <w:rPr>
                <w:rFonts w:hint="eastAsia" w:ascii="宋体" w:hAnsi="宋体" w:eastAsia="宋体" w:cs="宋体"/>
                <w:sz w:val="24"/>
                <w:szCs w:val="24"/>
              </w:rPr>
              <w:t xml:space="preserve">案、②进度计划、③安装调试流程、④安装调试技术重难点、⑤安装调试人员安排、⑥外部平台对接方案，方案内容描述全面合理符合采购需求的得12分，每有一项内容缺失的扣2分；每有一项内容存在缺陷或不满足要求的扣1分，扣完为止。</w:t>
            </w:r>
            <w:r/>
          </w:p>
          <w:p>
            <w:pPr>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12</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2.4</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售后服务方案</w:t>
            </w:r>
            <w:r/>
          </w:p>
        </w:tc>
        <w:tc>
          <w:tcPr>
            <w:tcBorders>
              <w:top w:val="single" w:color="auto" w:sz="6" w:space="0"/>
              <w:left w:val="single" w:color="auto" w:sz="6" w:space="0"/>
              <w:bottom w:val="single" w:color="auto" w:sz="6" w:space="0"/>
              <w:right w:val="single" w:color="auto" w:sz="6" w:space="0"/>
            </w:tcBorders>
            <w:tcW w:w="5664" w:type="dxa"/>
            <w:vAlign w:val="bottom"/>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投标人针对本项目提供售后服务方案,包括</w:t>
            </w:r>
            <w:r>
              <w:rPr>
                <w:rFonts w:hint="eastAsia" w:ascii="宋体" w:hAnsi="宋体" w:eastAsia="宋体" w:cs="宋体"/>
                <w:sz w:val="24"/>
                <w:szCs w:val="24"/>
              </w:rPr>
              <w:t xml:space="preserve">①</w:t>
            </w:r>
            <w:r>
              <w:rPr>
                <w:rFonts w:ascii="宋体" w:hAnsi="宋体" w:eastAsia="宋体" w:cs="Times New Roman"/>
                <w:sz w:val="24"/>
                <w:szCs w:val="24"/>
              </w:rPr>
              <w:t xml:space="preserve">售后服务内容、</w:t>
            </w:r>
            <w:r>
              <w:rPr>
                <w:rFonts w:hint="eastAsia" w:ascii="宋体" w:hAnsi="宋体" w:eastAsia="宋体" w:cs="宋体"/>
                <w:sz w:val="24"/>
                <w:szCs w:val="24"/>
              </w:rPr>
              <w:t xml:space="preserve">②售后服务人员安排及</w:t>
            </w:r>
            <w:r>
              <w:rPr>
                <w:rFonts w:ascii="宋体" w:hAnsi="宋体" w:eastAsia="宋体" w:cs="Times New Roman"/>
                <w:sz w:val="24"/>
                <w:szCs w:val="24"/>
              </w:rPr>
              <w:t xml:space="preserve">响应时间、</w:t>
            </w:r>
            <w:r>
              <w:rPr>
                <w:rFonts w:hint="eastAsia" w:ascii="宋体" w:hAnsi="宋体" w:eastAsia="宋体" w:cs="宋体"/>
                <w:sz w:val="24"/>
                <w:szCs w:val="24"/>
              </w:rPr>
              <w:t xml:space="preserve">③</w:t>
            </w:r>
            <w:r>
              <w:rPr>
                <w:rFonts w:hint="eastAsia" w:ascii="宋体" w:hAnsi="宋体" w:eastAsia="宋体" w:cs="Times New Roman"/>
                <w:sz w:val="24"/>
                <w:szCs w:val="24"/>
              </w:rPr>
              <w:t xml:space="preserve">巡检制度及备品备件、</w:t>
            </w:r>
            <w:r>
              <w:rPr>
                <w:rFonts w:hint="eastAsia" w:ascii="宋体" w:hAnsi="宋体" w:eastAsia="宋体" w:cs="宋体"/>
                <w:sz w:val="24"/>
                <w:szCs w:val="24"/>
              </w:rPr>
              <w:t xml:space="preserve">④</w:t>
            </w:r>
            <w:r>
              <w:rPr>
                <w:rFonts w:ascii="宋体" w:hAnsi="宋体" w:eastAsia="宋体" w:cs="Times New Roman"/>
                <w:sz w:val="24"/>
                <w:szCs w:val="24"/>
              </w:rPr>
              <w:t xml:space="preserve">培训方案</w:t>
            </w:r>
            <w:r>
              <w:rPr>
                <w:rFonts w:ascii="宋体" w:hAnsi="宋体" w:eastAsia="宋体" w:cs="Times New Roman"/>
                <w:sz w:val="24"/>
                <w:szCs w:val="24"/>
                <w:lang w:bidi="ar"/>
              </w:rPr>
              <w:t xml:space="preserve">，</w:t>
            </w:r>
            <w:r>
              <w:rPr>
                <w:rFonts w:ascii="宋体" w:hAnsi="宋体" w:eastAsia="宋体" w:cs="Times New Roman"/>
                <w:sz w:val="24"/>
                <w:szCs w:val="24"/>
              </w:rPr>
              <w:t xml:space="preserve">方案内容描述全面合理符合采购需求的得</w:t>
            </w:r>
            <w:r>
              <w:rPr>
                <w:rFonts w:hint="eastAsia" w:ascii="宋体" w:hAnsi="宋体" w:eastAsia="宋体" w:cs="Times New Roman"/>
                <w:sz w:val="24"/>
                <w:szCs w:val="24"/>
              </w:rPr>
              <w:t xml:space="preserve">8</w:t>
            </w:r>
            <w:r>
              <w:rPr>
                <w:rFonts w:ascii="宋体" w:hAnsi="宋体" w:eastAsia="宋体" w:cs="Times New Roman"/>
                <w:sz w:val="24"/>
                <w:szCs w:val="24"/>
              </w:rPr>
              <w:t xml:space="preserve">分，每有一项内容缺失的扣</w:t>
            </w:r>
            <w:r>
              <w:rPr>
                <w:rFonts w:hint="eastAsia" w:ascii="宋体" w:hAnsi="宋体" w:eastAsia="宋体" w:cs="Times New Roman"/>
                <w:sz w:val="24"/>
                <w:szCs w:val="24"/>
              </w:rPr>
              <w:t xml:space="preserve">2</w:t>
            </w:r>
            <w:r>
              <w:rPr>
                <w:rFonts w:ascii="宋体" w:hAnsi="宋体" w:eastAsia="宋体" w:cs="Times New Roman"/>
                <w:sz w:val="24"/>
                <w:szCs w:val="24"/>
              </w:rPr>
              <w:t xml:space="preserve">分；每有一项内容存在缺陷或不满足要求的扣</w:t>
            </w:r>
            <w:r>
              <w:rPr>
                <w:rFonts w:hint="eastAsia" w:ascii="宋体" w:hAnsi="宋体" w:eastAsia="宋体" w:cs="Times New Roman"/>
                <w:sz w:val="24"/>
                <w:szCs w:val="24"/>
              </w:rPr>
              <w:t xml:space="preserve">1</w:t>
            </w:r>
            <w:r>
              <w:rPr>
                <w:rFonts w:ascii="宋体" w:hAnsi="宋体" w:eastAsia="宋体" w:cs="Times New Roman"/>
                <w:sz w:val="24"/>
                <w:szCs w:val="24"/>
              </w:rPr>
              <w:t xml:space="preserve">分，扣完为止。</w:t>
            </w:r>
            <w:r/>
          </w:p>
          <w:p>
            <w:pPr>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w:t>
            </w:r>
            <w:r/>
          </w:p>
        </w:tc>
      </w:tr>
      <w:tr>
        <w:trPr>
          <w:jc w:val="center"/>
        </w:trPr>
        <w:tc>
          <w:tcPr>
            <w:tcBorders>
              <w:top w:val="single" w:color="auto" w:sz="6" w:space="0"/>
              <w:left w:val="single" w:color="auto" w:sz="8" w:space="0"/>
              <w:right w:val="single" w:color="auto" w:sz="6" w:space="0"/>
            </w:tcBorders>
            <w:tcW w:w="1276"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三、商务部分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（15分）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综合实力</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eastAsia="宋体"/>
                <w:sz w:val="24"/>
                <w:szCs w:val="24"/>
              </w:rPr>
            </w:pPr>
            <w:r>
              <w:rPr>
                <w:rFonts w:hint="eastAsia" w:ascii="宋体" w:hAnsi="宋体" w:eastAsia="宋体"/>
                <w:sz w:val="24"/>
                <w:szCs w:val="24"/>
              </w:rPr>
              <w:t xml:space="preserve">所投</w:t>
            </w:r>
            <w:r>
              <w:rPr>
                <w:rFonts w:ascii="宋体" w:hAnsi="宋体" w:eastAsia="宋体" w:cs="Times New Roman"/>
                <w:sz w:val="24"/>
                <w:szCs w:val="24"/>
              </w:rPr>
              <w:t xml:space="preserve">慢病管理一体机</w:t>
            </w:r>
            <w:r>
              <w:rPr>
                <w:rFonts w:hint="eastAsia" w:ascii="宋体" w:hAnsi="宋体" w:eastAsia="宋体" w:cs="Times New Roman"/>
                <w:sz w:val="24"/>
                <w:szCs w:val="24"/>
              </w:rPr>
              <w:t xml:space="preserve">生产厂家具有</w:t>
            </w:r>
            <w:r>
              <w:rPr>
                <w:rFonts w:hint="eastAsia" w:ascii="宋体" w:hAnsi="宋体" w:eastAsia="宋体"/>
                <w:sz w:val="24"/>
                <w:szCs w:val="24"/>
              </w:rPr>
              <w:t xml:space="preserve">①ISO9001质量管理体系认证、②ISO20000 IT服务管理体系认证、</w:t>
            </w:r>
            <w:r>
              <w:rPr>
                <w:rFonts w:hint="eastAsia" w:ascii="宋体" w:hAnsi="宋体" w:eastAsia="宋体" w:cs="宋体"/>
                <w:sz w:val="24"/>
                <w:szCs w:val="24"/>
              </w:rPr>
              <w:t xml:space="preserve">③</w:t>
            </w:r>
            <w:r>
              <w:rPr>
                <w:rFonts w:hint="eastAsia" w:ascii="宋体" w:hAnsi="宋体" w:eastAsia="宋体"/>
                <w:sz w:val="24"/>
                <w:szCs w:val="24"/>
              </w:rPr>
              <w:t xml:space="preserve">ISO27001信息安全管理体系认证证书、</w:t>
            </w:r>
            <w:r>
              <w:rPr>
                <w:rFonts w:hint="eastAsia" w:ascii="宋体" w:hAnsi="宋体" w:eastAsia="宋体" w:cs="宋体"/>
                <w:sz w:val="24"/>
                <w:szCs w:val="24"/>
              </w:rPr>
              <w:t xml:space="preserve">④</w:t>
            </w:r>
            <w:r>
              <w:rPr>
                <w:rFonts w:hint="eastAsia" w:ascii="宋体" w:hAnsi="宋体" w:eastAsia="宋体"/>
                <w:sz w:val="24"/>
                <w:szCs w:val="24"/>
              </w:rPr>
              <w:t xml:space="preserve">ISO13458医疗器械管理体系认证的，有一项得1.5分，最高得6分。</w:t>
            </w:r>
            <w:r/>
          </w:p>
          <w:p>
            <w:pPr>
              <w:spacing w:line="400" w:lineRule="exact"/>
              <w:rPr>
                <w:rFonts w:ascii="宋体" w:hAnsi="宋体" w:eastAsia="宋体"/>
                <w:sz w:val="24"/>
                <w:szCs w:val="24"/>
              </w:rPr>
            </w:pPr>
            <w:r>
              <w:rPr>
                <w:rFonts w:hint="eastAsia" w:ascii="宋体" w:hAnsi="宋体" w:eastAsia="宋体"/>
                <w:sz w:val="24"/>
                <w:szCs w:val="24"/>
              </w:rPr>
              <w:t xml:space="preserve">（须提供有效期内的证书扫描件）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6</w:t>
            </w:r>
            <w:r/>
          </w:p>
        </w:tc>
      </w:tr>
      <w:tr>
        <w:trPr>
          <w:jc w:val="center"/>
        </w:trPr>
        <w:tc>
          <w:tcPr>
            <w:tcBorders>
              <w:top w:val="single" w:color="auto" w:sz="6" w:space="0"/>
              <w:left w:val="single" w:color="auto" w:sz="8" w:space="0"/>
              <w:right w:val="single" w:color="auto" w:sz="6" w:space="0"/>
            </w:tcBorders>
            <w:tcW w:w="1276"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3.2</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配套软件</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eastAsia="宋体"/>
                <w:strike/>
                <w:sz w:val="24"/>
                <w:szCs w:val="24"/>
              </w:rPr>
            </w:pPr>
            <w:r>
              <w:rPr>
                <w:rFonts w:hint="eastAsia" w:ascii="宋体" w:hAnsi="宋体" w:eastAsia="宋体"/>
                <w:sz w:val="24"/>
                <w:szCs w:val="24"/>
              </w:rPr>
              <w:t xml:space="preserve">所投</w:t>
            </w:r>
            <w:r>
              <w:rPr>
                <w:rFonts w:ascii="宋体" w:hAnsi="宋体" w:eastAsia="宋体" w:cs="Times New Roman"/>
                <w:sz w:val="24"/>
                <w:szCs w:val="24"/>
              </w:rPr>
              <w:t xml:space="preserve">慢病管理一体机</w:t>
            </w:r>
            <w:r>
              <w:rPr>
                <w:rFonts w:hint="eastAsia" w:ascii="宋体" w:hAnsi="宋体" w:eastAsia="宋体" w:cs="Times New Roman"/>
                <w:sz w:val="24"/>
                <w:szCs w:val="24"/>
              </w:rPr>
              <w:t xml:space="preserve">使用的</w:t>
            </w:r>
            <w:r>
              <w:rPr>
                <w:rFonts w:hint="eastAsia" w:ascii="宋体" w:hAnsi="宋体" w:eastAsia="宋体"/>
                <w:sz w:val="24"/>
                <w:szCs w:val="24"/>
              </w:rPr>
              <w:t xml:space="preserve">设备信息管理平台具备县级以上公安机关信息系统安全等级保护三级备案证明的，得3分。（须提供备案证明扫描件）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3</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3.3</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业绩</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eastAsia="宋体"/>
                <w:strike/>
                <w:sz w:val="24"/>
                <w:szCs w:val="24"/>
              </w:rPr>
            </w:pPr>
            <w:r>
              <w:rPr>
                <w:rFonts w:hint="eastAsia" w:ascii="宋体" w:hAnsi="宋体" w:eastAsia="宋体"/>
                <w:sz w:val="24"/>
                <w:szCs w:val="24"/>
              </w:rPr>
              <w:t xml:space="preserve">2022年1月1日以来（以合同签订时间为准），投标人具有类似</w:t>
            </w:r>
            <w:r>
              <w:rPr>
                <w:rFonts w:hint="eastAsia" w:ascii="宋体" w:hAnsi="宋体" w:eastAsia="宋体"/>
                <w:sz w:val="24"/>
                <w:szCs w:val="24"/>
              </w:rPr>
              <w:t xml:space="preserve">项目（须包含慢病管理一体机）</w:t>
            </w:r>
            <w:r>
              <w:rPr>
                <w:rFonts w:hint="eastAsia" w:ascii="宋体" w:hAnsi="宋体" w:eastAsia="宋体"/>
                <w:sz w:val="24"/>
                <w:szCs w:val="24"/>
              </w:rPr>
              <w:t xml:space="preserve">成功案例的，有一个得2分，最高得6分。（须提供合同扫描件）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6</w:t>
            </w:r>
            <w:r/>
          </w:p>
        </w:tc>
      </w:tr>
    </w:tbl>
    <w:p>
      <w:pP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pStyle w:val="873"/>
      </w:pPr>
      <w:r/>
      <w:r/>
    </w:p>
    <w:p>
      <w:pPr>
        <w:pStyle w:val="873"/>
      </w:pPr>
      <w:r/>
      <w:bookmarkStart w:id="15" w:name="_Toc201302573"/>
      <w:r>
        <w:rPr>
          <w:rFonts w:hint="eastAsia"/>
        </w:rPr>
        <w:t xml:space="preserve">第五章　合同书（格式）</w:t>
      </w:r>
      <w:bookmarkEnd w:id="15"/>
      <w:r/>
      <w:r/>
    </w:p>
    <w:p>
      <w:pPr>
        <w:spacing w:line="400" w:lineRule="exact"/>
        <w:rPr>
          <w:rFonts w:ascii="宋体" w:hAnsi="宋体" w:eastAsia="宋体" w:cs="Times New Roman"/>
          <w:bCs/>
          <w:sz w:val="24"/>
          <w:szCs w:val="24"/>
        </w:rPr>
      </w:pPr>
      <w:r/>
      <w:bookmarkStart w:id="16" w:name="_Toc251268363"/>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根据《中华人民共和国政府采购法》、《中华人民共和国民法典》等法律法规的规定，甲乙双方按照江阴市政府采购中心的采购结果签订本合同。</w:t>
      </w:r>
      <w:r/>
    </w:p>
    <w:p>
      <w:pPr>
        <w:spacing w:line="400" w:lineRule="exact"/>
        <w:rPr>
          <w:rFonts w:ascii="楷体_GB2312" w:hAnsi="Times New Roman" w:eastAsia="楷体_GB2312" w:cs="Times New Roman"/>
          <w:sz w:val="24"/>
          <w:szCs w:val="24"/>
        </w:rPr>
      </w:pPr>
      <w:r>
        <w:rPr>
          <w:rFonts w:ascii="楷体_GB2312" w:hAnsi="Times New Roman" w:eastAsia="楷体_GB2312" w:cs="Times New Roman"/>
          <w:sz w:val="24"/>
          <w:szCs w:val="24"/>
        </w:rPr>
      </w:r>
      <w:r/>
    </w:p>
    <w:p>
      <w:pPr>
        <w:spacing w:line="400" w:lineRule="exact"/>
        <w:rPr>
          <w:rFonts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1、项目名称（项目编号）：</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2、项目采购清单（包含货物名称、规格、型号、数量、价格）：</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3、其他：</w:t>
      </w:r>
      <w:r>
        <w:rPr>
          <w:rFonts w:hint="eastAsia" w:ascii="宋体" w:hAnsi="宋体" w:eastAsia="宋体" w:cs="Times New Roman"/>
          <w:sz w:val="24"/>
          <w:szCs w:val="24"/>
          <w:u w:val="single"/>
        </w:rPr>
        <w:t xml:space="preserve">　　　　　　　　　　　　　　　　　　　　　　　　　　　　</w:t>
      </w:r>
      <w:r/>
    </w:p>
    <w:p>
      <w:pPr>
        <w:jc w:val="left"/>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（大写）。</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宋体"/>
          <w:bCs/>
          <w:sz w:val="24"/>
          <w:szCs w:val="24"/>
          <w:lang w:val="zh-CN"/>
        </w:rPr>
        <w:t xml:space="preserve">按实结算项目的结算金额以项目完成后审计部门的审计结果作为结算依据。</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分项价款如下：</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ind w:firstLine="480"/>
        <w:jc w:val="left"/>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本合同总价款是货物设计、制造、包装、仓储、运输装卸</w:t>
      </w:r>
      <w:r>
        <w:rPr>
          <w:rFonts w:hint="eastAsia" w:ascii="宋体" w:hAnsi="宋体" w:eastAsia="宋体" w:cs="楷体_GB2312"/>
          <w:sz w:val="24"/>
          <w:szCs w:val="24"/>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Times New Roman"/>
          <w:bCs/>
          <w:sz w:val="24"/>
          <w:szCs w:val="24"/>
        </w:rPr>
        <w:t xml:space="preserve">，以</w:t>
      </w:r>
      <w:r>
        <w:rPr>
          <w:rFonts w:hint="eastAsia" w:ascii="宋体" w:hAnsi="宋体" w:eastAsia="宋体" w:cs="Times New Roman"/>
          <w:sz w:val="24"/>
          <w:szCs w:val="24"/>
        </w:rPr>
        <w:t xml:space="preserve">及投标人认为需要的其他费用等。</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本合同总价款还包含乙方应当提供的伴随服务/售后服务费用。</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本合同执行期间合同总价款不变。</w:t>
      </w:r>
      <w:r>
        <w:rPr>
          <w:rFonts w:hint="eastAsia" w:ascii="宋体" w:hAnsi="宋体" w:eastAsia="宋体" w:cs="Times New Roman"/>
          <w:sz w:val="24"/>
          <w:szCs w:val="24"/>
          <w:lang w:val="zh-CN"/>
        </w:rPr>
        <w:t xml:space="preserve">（有另行规定的除外。）</w:t>
      </w:r>
      <w:r/>
    </w:p>
    <w:p>
      <w:pPr>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（1）招标文件；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（2）投标文件；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（3）中标通知书；</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（4）中标人在投标、评标过程中所作其它有关承诺、声明、书面澄清；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（5）甲乙双方商定的其他文件等。</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w:t>
      </w:r>
      <w:r/>
    </w:p>
    <w:p>
      <w:pPr>
        <w:ind w:firstLine="480"/>
        <w:jc w:val="left"/>
        <w:spacing w:line="400" w:lineRule="exact"/>
        <w:rPr>
          <w:rFonts w:ascii="宋体" w:hAnsi="宋体" w:eastAsia="宋体" w:cs="Times New Roman"/>
          <w:bCs/>
          <w:sz w:val="24"/>
          <w:szCs w:val="24"/>
        </w:rPr>
      </w:pP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、乙方所提供的货物的技术规格应与招标文件与投标文件规定的技术规格相一致；若技术性能无特殊说明，则按国家有关部门最新颁布的标准及规范为准。</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、乙方应保证货物是全新、未使用过的原装合格正品，并完全符合合同规定的质量、规格和性能的要求。乙方应保证其提供的货物在正确安装、正常使用和保养条件下，在其使用寿命内具有良好的性能。</w:t>
      </w:r>
      <w:r>
        <w:rPr>
          <w:rFonts w:hint="eastAsia" w:ascii="宋体" w:hAnsi="宋体" w:eastAsia="宋体" w:cs="Times New Roman"/>
          <w:sz w:val="24"/>
          <w:szCs w:val="24"/>
        </w:rPr>
        <w:t xml:space="preserve">如验收完成后发生质量问题，在质保期内应免费进行维修或更换。对于货物由设计、工艺、或材料的缺陷所发生的任何故障或不足都应终身免费更换。</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3、乙方承诺的质量保证：</w:t>
      </w:r>
      <w:r>
        <w:rPr>
          <w:rFonts w:hint="eastAsia" w:ascii="宋体" w:hAnsi="宋体" w:eastAsia="宋体" w:cs="Times New Roman"/>
          <w:bCs/>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包装要求</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2、每一包装单元内应附详细的装箱单和质量合格凭证。</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第八条　交货及验收</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1、交货地点、方式及日期：</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2、验收标准：按招标文件所规定的采购标准和乙方投标文件的承诺，根据实际按照《江苏省政府采购履约验收管理办法》（苏财</w:t>
      </w:r>
      <w:r>
        <w:rPr>
          <w:rFonts w:ascii="宋体" w:hAnsi="宋体" w:eastAsia="宋体" w:cs="Times New Roman"/>
          <w:sz w:val="24"/>
          <w:szCs w:val="24"/>
        </w:rPr>
        <w:t xml:space="preserve">规</w:t>
      </w:r>
      <w:r>
        <w:rPr>
          <w:rFonts w:ascii="宋体" w:hAnsi="宋体" w:eastAsia="宋体" w:cs="Times New Roman"/>
          <w:sz w:val="24"/>
          <w:szCs w:val="24"/>
        </w:rPr>
        <w:t xml:space="preserve">〔2024〕7号）组织验收，费用由</w:t>
      </w:r>
      <w:r>
        <w:rPr>
          <w:rFonts w:hint="eastAsia" w:ascii="宋体" w:hAnsi="宋体" w:eastAsia="宋体" w:cs="Times New Roman"/>
          <w:sz w:val="24"/>
          <w:szCs w:val="24"/>
        </w:rPr>
        <w:t xml:space="preserve">乙方</w:t>
      </w:r>
      <w:r>
        <w:rPr>
          <w:rFonts w:ascii="宋体" w:hAnsi="宋体" w:eastAsia="宋体" w:cs="Times New Roman"/>
          <w:sz w:val="24"/>
          <w:szCs w:val="24"/>
        </w:rPr>
        <w:t xml:space="preserve">承担。</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伴随服务／售后服务</w:t>
      </w:r>
      <w:r/>
    </w:p>
    <w:p>
      <w:pPr>
        <w:ind w:firstLine="480"/>
        <w:jc w:val="left"/>
        <w:spacing w:line="400" w:lineRule="exact"/>
        <w:rPr>
          <w:rFonts w:ascii="宋体" w:hAnsi="宋体" w:eastAsia="宋体" w:cs="Times New Roman"/>
          <w:sz w:val="24"/>
          <w:szCs w:val="24"/>
          <w:lang w:val="zh-CN"/>
        </w:rPr>
      </w:pPr>
      <w:r>
        <w:rPr>
          <w:rFonts w:ascii="宋体" w:hAnsi="宋体" w:eastAsia="宋体" w:cs="Times New Roman"/>
          <w:sz w:val="24"/>
          <w:szCs w:val="24"/>
          <w:lang w:val="zh-CN"/>
        </w:rPr>
        <w:t xml:space="preserve">1</w:t>
      </w:r>
      <w:r>
        <w:rPr>
          <w:rFonts w:hint="eastAsia" w:ascii="宋体" w:hAnsi="宋体" w:eastAsia="宋体" w:cs="Times New Roman"/>
          <w:sz w:val="24"/>
          <w:szCs w:val="24"/>
          <w:lang w:val="zh-CN"/>
        </w:rPr>
        <w:t xml:space="preserve">、乙方应按照国家有关法律法规规章和“三包”规定以及招标文件及投标文件所规定及承诺的“服务承诺”提供服务。</w:t>
      </w:r>
      <w:r/>
    </w:p>
    <w:p>
      <w:pPr>
        <w:ind w:firstLine="480"/>
        <w:jc w:val="left"/>
        <w:spacing w:line="400" w:lineRule="exact"/>
        <w:rPr>
          <w:rFonts w:ascii="宋体" w:hAnsi="宋体" w:eastAsia="宋体" w:cs="Times New Roman"/>
          <w:sz w:val="24"/>
          <w:szCs w:val="24"/>
          <w:lang w:val="zh-CN"/>
        </w:rPr>
      </w:pPr>
      <w:r>
        <w:rPr>
          <w:rFonts w:ascii="宋体" w:hAnsi="宋体" w:eastAsia="宋体" w:cs="Times New Roman"/>
          <w:sz w:val="24"/>
          <w:szCs w:val="24"/>
          <w:lang w:val="zh-CN"/>
        </w:rPr>
        <w:t xml:space="preserve">2</w:t>
      </w:r>
      <w:r>
        <w:rPr>
          <w:rFonts w:hint="eastAsia" w:ascii="宋体" w:hAnsi="宋体" w:eastAsia="宋体" w:cs="Times New Roman"/>
          <w:sz w:val="24"/>
          <w:szCs w:val="24"/>
          <w:lang w:val="zh-CN"/>
        </w:rPr>
        <w:t xml:space="preserve">、除前款规定外，乙方还应提供下列服务：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w:t>
      </w:r>
      <w:r>
        <w:rPr>
          <w:rFonts w:ascii="宋体" w:hAnsi="宋体" w:eastAsia="宋体" w:cs="Times New Roman"/>
          <w:sz w:val="24"/>
          <w:szCs w:val="24"/>
          <w:lang w:val="zh-CN"/>
        </w:rPr>
        <w:t xml:space="preserve">1</w:t>
      </w:r>
      <w:r>
        <w:rPr>
          <w:rFonts w:hint="eastAsia" w:ascii="宋体" w:hAnsi="宋体" w:eastAsia="宋体" w:cs="Times New Roman"/>
          <w:sz w:val="24"/>
          <w:szCs w:val="24"/>
          <w:lang w:val="zh-CN"/>
        </w:rPr>
        <w:t xml:space="preserve">）货物的现场安装、调试、运行、维护等；</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w:t>
      </w:r>
      <w:r>
        <w:rPr>
          <w:rFonts w:ascii="宋体" w:hAnsi="宋体" w:eastAsia="宋体" w:cs="Times New Roman"/>
          <w:sz w:val="24"/>
          <w:szCs w:val="24"/>
          <w:lang w:val="zh-CN"/>
        </w:rPr>
        <w:t xml:space="preserve">2</w:t>
      </w:r>
      <w:r>
        <w:rPr>
          <w:rFonts w:hint="eastAsia" w:ascii="宋体" w:hAnsi="宋体" w:eastAsia="宋体" w:cs="Times New Roman"/>
          <w:sz w:val="24"/>
          <w:szCs w:val="24"/>
          <w:lang w:val="zh-CN"/>
        </w:rPr>
        <w:t xml:space="preserve">）对甲方人员进行免费培训。</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3、乙方承诺的售后服务：</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4、若招标文件中不包含有关伴随服务或售后服务的承诺，双方作如下约定：</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（1）乙方应为甲方提供免费培训服务，并指派专人负责与甲方联系售后服务事宜。主要培训内容为货物的基本结构、性能、主要部件的构造及处理，日常使用操作、保养与管</w:t>
      </w:r>
      <w:r>
        <w:rPr>
          <w:rFonts w:hint="eastAsia" w:ascii="宋体" w:hAnsi="宋体" w:eastAsia="宋体" w:cs="Times New Roman"/>
          <w:sz w:val="24"/>
          <w:szCs w:val="24"/>
          <w:lang w:val="zh-CN"/>
        </w:rPr>
        <w:t xml:space="preserve">理、常见故障的排除、紧急情况的处理等，如甲方未使用过同类型货物，乙方还需就货物的功能对甲方人员进行相应的技术培训，培训地点主要在货物安装现场或由甲方安排。</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（2）所购货物按乙方投标承诺提供免费维护和质量保证，保修费用计入总价。</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（3）保修期内，乙方负责对其提供的货物整机进行维修和系统维护，不再收取任何费用，但不可抗力（如火灾、雷击等）造成的故障除外。</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（4）货物故障报修的响应时间按乙方投标承诺执行。</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（5）若货物故障在检修</w:t>
      </w:r>
      <w:r>
        <w:rPr>
          <w:rFonts w:ascii="宋体" w:hAnsi="宋体" w:eastAsia="宋体" w:cs="Times New Roman"/>
          <w:sz w:val="24"/>
          <w:szCs w:val="24"/>
          <w:lang w:val="zh-CN"/>
        </w:rPr>
        <w:t xml:space="preserve">8</w:t>
      </w:r>
      <w:r>
        <w:rPr>
          <w:rFonts w:hint="eastAsia" w:ascii="宋体" w:hAnsi="宋体" w:eastAsia="宋体" w:cs="Times New Roman"/>
          <w:sz w:val="24"/>
          <w:szCs w:val="24"/>
          <w:lang w:val="zh-CN"/>
        </w:rPr>
        <w:t xml:space="preserve">工作小时后仍无法排除，乙方应在</w:t>
      </w:r>
      <w:r>
        <w:rPr>
          <w:rFonts w:ascii="宋体" w:hAnsi="宋体" w:eastAsia="宋体" w:cs="Times New Roman"/>
          <w:sz w:val="24"/>
          <w:szCs w:val="24"/>
          <w:lang w:val="zh-CN"/>
        </w:rPr>
        <w:t xml:space="preserve">48</w:t>
      </w:r>
      <w:r>
        <w:rPr>
          <w:rFonts w:hint="eastAsia" w:ascii="宋体" w:hAnsi="宋体" w:eastAsia="宋体" w:cs="Times New Roman"/>
          <w:sz w:val="24"/>
          <w:szCs w:val="24"/>
          <w:lang w:val="zh-CN"/>
        </w:rPr>
        <w:t xml:space="preserve">小时内免费提供不低于故障货物规格型号档次的备用货物供甲方使用，直至故障货物修复。</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（6）所有货物保修服务方式均为乙方上门保修，即由乙方派员到货物使用现场维修，由此产生的一切费用均由乙方承担。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（7）保修期后的货物维护由双方协商再定。</w:t>
      </w:r>
      <w:r/>
    </w:p>
    <w:p>
      <w:pPr>
        <w:jc w:val="left"/>
        <w:spacing w:line="400" w:lineRule="exac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第十条　付款</w:t>
      </w:r>
      <w:r/>
    </w:p>
    <w:p>
      <w:pPr>
        <w:ind w:firstLine="42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第十一条　违约责任</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6、</w:t>
      </w:r>
      <w:r>
        <w:rPr>
          <w:rFonts w:hint="eastAsia" w:ascii="宋体" w:hAnsi="宋体" w:eastAsia="宋体" w:cs="Times New Roman"/>
          <w:sz w:val="24"/>
          <w:szCs w:val="24"/>
          <w:u w:val="single"/>
          <w:lang w:val="zh-CN"/>
        </w:rPr>
        <w:t xml:space="preserve">　　　　　　　　　　　　　　　　　　　　　　　　　　　　　　　　　　</w:t>
      </w:r>
      <w:r/>
    </w:p>
    <w:p>
      <w:pPr>
        <w:jc w:val="left"/>
        <w:spacing w:line="400" w:lineRule="exact"/>
        <w:widowControl/>
        <w:rPr>
          <w:rFonts w:ascii="黑体" w:hAnsi="黑体" w:eastAsia="黑体" w:cs="宋体"/>
          <w:bCs/>
          <w:sz w:val="24"/>
          <w:szCs w:val="24"/>
        </w:rPr>
      </w:pPr>
      <w:r>
        <w:rPr>
          <w:rFonts w:hint="eastAsia" w:ascii="黑体" w:hAnsi="黑体" w:eastAsia="黑体" w:cs="宋体"/>
          <w:bCs/>
          <w:sz w:val="24"/>
          <w:szCs w:val="24"/>
          <w:lang w:val="zh-CN"/>
        </w:rPr>
        <w:t xml:space="preserve">第十二条　</w:t>
      </w:r>
      <w:r>
        <w:rPr>
          <w:rFonts w:hint="eastAsia" w:ascii="黑体" w:hAnsi="黑体" w:eastAsia="黑体" w:cs="宋体"/>
          <w:bCs/>
          <w:sz w:val="24"/>
          <w:szCs w:val="24"/>
        </w:rPr>
        <w:t xml:space="preserve">不可抗力</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宋体"/>
          <w:bCs/>
          <w:sz w:val="24"/>
          <w:szCs w:val="24"/>
        </w:rPr>
        <w:t xml:space="preserve">本义务</w:t>
      </w:r>
      <w:r>
        <w:rPr>
          <w:rFonts w:hint="eastAsia" w:ascii="宋体" w:hAnsi="宋体" w:eastAsia="宋体" w:cs="宋体"/>
          <w:bCs/>
          <w:sz w:val="24"/>
          <w:szCs w:val="24"/>
        </w:rPr>
        <w:t xml:space="preserve">而造成的相关损失由其承担。</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sz w:val="24"/>
          <w:szCs w:val="24"/>
        </w:rPr>
        <w:t xml:space="preserve">第十三条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、除《中华人民共和国政府采购法》第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szCs w:val="24"/>
        </w:rPr>
      </w:pPr>
      <w:r>
        <w:rPr>
          <w:rFonts w:hint="eastAsia" w:ascii="黑体" w:hAnsi="黑体" w:eastAsia="黑体" w:cs="宋体"/>
          <w:sz w:val="24"/>
          <w:szCs w:val="24"/>
        </w:rPr>
        <w:t xml:space="preserve">第十四条  合同的终止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第十五条　争议的解决</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2、因履行本合同引起的或与本合同有关的争议，甲、乙双方应首先通过友好协商解决，如果协商不能解决争议，则采取向甲方所在地有管辖权的人民法院提起诉讼的方式解决争议。</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3、在诉讼期间，本合同应继续履行。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第十六条　合同生效及其他</w:t>
      </w:r>
      <w:r/>
    </w:p>
    <w:p>
      <w:pPr>
        <w:ind w:firstLine="420"/>
        <w:jc w:val="left"/>
        <w:spacing w:line="400" w:lineRule="exact"/>
        <w:widowControl/>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2、本合同一式四份，甲方、乙方、江阴市政府采购中心、江阴市财政局政府采购管理科各执一份。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r/>
    </w:p>
    <w:p>
      <w:pP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jc w:val="center"/>
        <w:spacing w:line="400" w:lineRule="exact"/>
        <w:rPr>
          <w:rFonts w:ascii="楷体_GB2312" w:hAnsi="Times New Roman" w:eastAsia="楷体_GB2312" w:cs="Times New Roman"/>
          <w:b/>
          <w:bCs/>
          <w:sz w:val="30"/>
          <w:szCs w:val="24"/>
        </w:rPr>
        <w:outlineLvl w:val="0"/>
      </w:pPr>
      <w:r>
        <w:rPr>
          <w:rFonts w:ascii="楷体_GB2312" w:hAnsi="Times New Roman" w:eastAsia="楷体_GB2312" w:cs="Times New Roman"/>
          <w:b/>
          <w:bCs/>
          <w:sz w:val="30"/>
          <w:szCs w:val="24"/>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16"/>
            <w:r/>
            <w:r/>
          </w:p>
        </w:tc>
      </w:tr>
    </w:tbl>
    <w:p>
      <w:pPr>
        <w:spacing w:line="400" w:lineRule="exact"/>
        <w:rPr>
          <w:rFonts w:ascii="黑体" w:hAnsi="Times New Roman" w:eastAsia="黑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Times New Roman" w:eastAsia="黑体" w:cs="Times New Roman"/>
          <w:bCs/>
          <w:sz w:val="30"/>
          <w:szCs w:val="24"/>
        </w:rPr>
      </w:r>
      <w:r/>
    </w:p>
    <w:p>
      <w:pPr>
        <w:pStyle w:val="873"/>
      </w:pPr>
      <w:r/>
      <w:r/>
    </w:p>
    <w:p>
      <w:pPr>
        <w:pStyle w:val="873"/>
      </w:pPr>
      <w:r/>
      <w:bookmarkStart w:id="17" w:name="_Toc201302574"/>
      <w:r>
        <w:rPr>
          <w:rFonts w:hint="eastAsia"/>
        </w:rPr>
        <w:t xml:space="preserve">第六章　投标文件的组成和格式</w:t>
      </w:r>
      <w:bookmarkEnd w:id="17"/>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18" w:name="_Toc222799676"/>
      <w:r/>
      <w:bookmarkStart w:id="19" w:name="_Toc194739809"/>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JSZC-320281-JZCG-G2025-0099</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基层慢病健康管理提升项目——配套慢病管理一体机</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20" w:name="_Toc194386107"/>
      <w:r/>
      <w:bookmarkStart w:id="21" w:name="_Toc158691780"/>
      <w:r/>
      <w:bookmarkStart w:id="22" w:name="_Toc145474400"/>
      <w:r>
        <w:rPr>
          <w:rFonts w:hint="eastAsia" w:ascii="宋体" w:hAnsi="宋体" w:eastAsia="宋体" w:cs="Times New Roman"/>
          <w:b/>
          <w:sz w:val="24"/>
          <w:szCs w:val="24"/>
        </w:rPr>
        <w:t xml:space="preserve">注:此表格无需填报具体内容，签章</w:t>
      </w:r>
      <w:r>
        <w:rPr>
          <w:rFonts w:hint="eastAsia" w:ascii="宋体" w:hAnsi="宋体" w:eastAsia="宋体" w:cs="Times New Roman"/>
          <w:b/>
          <w:sz w:val="24"/>
          <w:szCs w:val="24"/>
        </w:rPr>
        <w:t xml:space="preserve">上传即可</w:t>
      </w:r>
      <w:r>
        <w:rPr>
          <w:rFonts w:hint="eastAsia" w:ascii="宋体" w:hAnsi="宋体" w:eastAsia="宋体" w:cs="Times New Roman"/>
          <w:b/>
          <w:sz w:val="24"/>
          <w:szCs w:val="24"/>
        </w:rPr>
        <w:t xml:space="preserve">。</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20"/>
      <w:r/>
      <w:bookmarkEnd w:id="21"/>
      <w:r/>
      <w:bookmarkEnd w:id="22"/>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ascii="黑体" w:hAnsi="黑体" w:eastAsia="黑体" w:cs="Times New Roman"/>
          <w:sz w:val="28"/>
          <w:szCs w:val="28"/>
        </w:rPr>
      </w:pPr>
      <w:r/>
      <w:bookmarkStart w:id="23" w:name="_Toc194386110"/>
      <w:r/>
      <w:bookmarkStart w:id="24" w:name="_Toc129333640"/>
      <w:r/>
      <w:bookmarkStart w:id="25" w:name="_Toc158691783"/>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三、报价明细表</w:t>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877"/>
        <w:gridCol w:w="3113"/>
        <w:gridCol w:w="5224"/>
      </w:tblGrid>
      <w:tr>
        <w:trPr>
          <w:cantSplit/>
          <w:jc w:val="center"/>
          <w:trHeight w:val="437"/>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311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费用名称</w:t>
            </w:r>
            <w:r/>
          </w:p>
        </w:tc>
        <w:tc>
          <w:tcPr>
            <w:tcW w:w="522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价格</w:t>
            </w:r>
            <w:r/>
          </w:p>
        </w:tc>
      </w:tr>
      <w:tr>
        <w:trPr>
          <w:cantSplit/>
          <w:jc w:val="center"/>
          <w:trHeight w:val="456"/>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48"/>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00"/>
        </w:trPr>
        <w:tc>
          <w:tcPr>
            <w:gridSpan w:val="2"/>
            <w:tcW w:w="399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合计</w:t>
            </w:r>
            <w:r/>
          </w:p>
        </w:tc>
        <w:tc>
          <w:tcPr>
            <w:tcW w:w="5224" w:type="dxa"/>
            <w:vAlign w:val="center"/>
            <w:textDirection w:val="lrTb"/>
            <w:noWrap w:val="false"/>
          </w:tcPr>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小写：￥</w:t>
            </w:r>
            <w:r>
              <w:rPr>
                <w:rFonts w:hint="eastAsia" w:ascii="宋体" w:hAnsi="宋体" w:eastAsia="宋体" w:cs="Times New Roman"/>
                <w:sz w:val="24"/>
                <w:szCs w:val="24"/>
                <w:u w:val="single"/>
              </w:rPr>
              <w:t xml:space="preserve">                                </w:t>
            </w:r>
            <w:r/>
          </w:p>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大写：人民币</w:t>
            </w:r>
            <w:r>
              <w:rPr>
                <w:rFonts w:hint="eastAsia" w:ascii="宋体" w:hAnsi="宋体" w:eastAsia="宋体" w:cs="Times New Roman"/>
                <w:sz w:val="24"/>
                <w:szCs w:val="24"/>
                <w:u w:val="single"/>
              </w:rPr>
              <w:t xml:space="preserve">                            </w:t>
            </w:r>
            <w:r/>
          </w:p>
        </w:tc>
      </w:tr>
    </w:tbl>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bookmarkEnd w:id="18"/>
      <w:r/>
      <w:bookmarkEnd w:id="19"/>
      <w:r/>
      <w:bookmarkEnd w:id="23"/>
      <w:r/>
      <w:bookmarkEnd w:id="24"/>
      <w:r/>
      <w:bookmarkEnd w:id="25"/>
      <w:r/>
      <w:r/>
    </w:p>
    <w:p>
      <w:pPr>
        <w:jc w:val="center"/>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四、</w:t>
      </w:r>
      <w:r>
        <w:rPr>
          <w:rFonts w:hint="eastAsia" w:ascii="黑体" w:hAnsi="黑体" w:eastAsia="黑体" w:cs="Times New Roman"/>
          <w:sz w:val="28"/>
          <w:szCs w:val="28"/>
        </w:rPr>
        <w:t xml:space="preserve">详细配置一览表</w:t>
      </w:r>
      <w:r/>
    </w:p>
    <w:p>
      <w:pPr>
        <w:jc w:val="center"/>
        <w:spacing w:line="400" w:lineRule="exact"/>
        <w:rPr>
          <w:rFonts w:ascii="宋体" w:hAnsi="宋体" w:eastAsia="宋体" w:cs="Times New Roman"/>
          <w:b/>
          <w:sz w:val="24"/>
          <w:szCs w:val="24"/>
        </w:rPr>
      </w:pPr>
      <w:r>
        <w:rPr>
          <w:rFonts w:ascii="宋体" w:hAnsi="宋体" w:eastAsia="宋体" w:cs="Times New Roman"/>
          <w:b/>
          <w:sz w:val="24"/>
          <w:szCs w:val="24"/>
        </w:rPr>
      </w:r>
      <w:r/>
    </w:p>
    <w:tbl>
      <w:tblPr>
        <w:tblW w:w="5005"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675"/>
        <w:gridCol w:w="791"/>
        <w:gridCol w:w="827"/>
        <w:gridCol w:w="1099"/>
        <w:gridCol w:w="1235"/>
        <w:gridCol w:w="731"/>
        <w:gridCol w:w="851"/>
        <w:gridCol w:w="708"/>
        <w:gridCol w:w="709"/>
        <w:gridCol w:w="1276"/>
        <w:gridCol w:w="726"/>
        <w:gridCol w:w="10"/>
      </w:tblGrid>
      <w:tr>
        <w:trPr>
          <w:jc w:val="center"/>
          <w:trHeight w:val="360"/>
        </w:trPr>
        <w:tc>
          <w:tcPr>
            <w:tcBorders>
              <w:top w:val="single" w:color="auto" w:sz="12"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型号</w:t>
            </w:r>
            <w:r/>
          </w:p>
        </w:tc>
        <w:tc>
          <w:tcPr>
            <w:tcBorders>
              <w:top w:val="single" w:color="auto" w:sz="12"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数量/单位</w:t>
            </w:r>
            <w:r/>
          </w:p>
        </w:tc>
        <w:tc>
          <w:tcPr>
            <w:tcBorders>
              <w:top w:val="single" w:color="auto" w:sz="12"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单报价</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分项总报价</w:t>
            </w:r>
            <w:r/>
          </w:p>
        </w:tc>
        <w:tc>
          <w:tcPr>
            <w:tcBorders>
              <w:top w:val="single" w:color="auto" w:sz="12"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生产厂家</w:t>
            </w:r>
            <w:r/>
          </w:p>
        </w:tc>
        <w:tc>
          <w:tcPr>
            <w:tcBorders>
              <w:top w:val="single" w:color="auto" w:sz="12"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质保期</w:t>
            </w:r>
            <w:r/>
          </w:p>
        </w:tc>
        <w:tc>
          <w:tcPr>
            <w:tcBorders>
              <w:top w:val="single" w:color="auto" w:sz="12"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是否属于     小、微型企业产品</w:t>
            </w:r>
            <w:r/>
          </w:p>
        </w:tc>
        <w:tc>
          <w:tcPr>
            <w:gridSpan w:val="2"/>
            <w:tcBorders>
              <w:top w:val="single" w:color="auto" w:sz="12" w:space="0"/>
              <w:left w:val="single" w:color="auto" w:sz="4" w:space="0"/>
              <w:bottom w:val="single" w:color="auto" w:sz="6" w:space="0"/>
              <w:right w:val="single" w:color="auto" w:sz="12" w:space="0"/>
            </w:tcBorders>
            <w:tcW w:w="736" w:type="dxa"/>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备注</w:t>
            </w:r>
            <w:r/>
          </w:p>
        </w:tc>
      </w:tr>
      <w:tr>
        <w:trPr>
          <w:gridAfter w:val="1"/>
          <w:jc w:val="center"/>
          <w:trHeight w:val="407"/>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gridAfter w:val="1"/>
          <w:jc w:val="center"/>
          <w:trHeight w:val="280"/>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12"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12"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4" w:space="0"/>
            </w:tcBorders>
            <w:tcW w:w="127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12"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szCs w:val="21"/>
        </w:rPr>
      </w:pPr>
      <w:r>
        <w:rPr>
          <w:rFonts w:hint="eastAsia" w:ascii="宋体" w:hAnsi="宋体" w:eastAsia="宋体" w:cs="Times New Roman"/>
          <w:szCs w:val="21"/>
        </w:rPr>
        <w:t xml:space="preserve">注：1、所报产品的各项指标必须等于或大于采购文件需求中所列要求。</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2、请各投标单位根据本项目的相关需求，提出符合实际的报价明细，偏离或补充之处请作重点说明。</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3、本表可根据需要自行添行。</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4、因表述含糊导致的评审风险将由投标人承担。（必须如实填写品牌、型号。）</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在“是否属于小、微型企业产品”栏内填写“是”或“否”。如填写“是”，必须在“生产厂家”栏内加填小、微型企业的完整名称，以及提供《中小企业声明函》；如未按要求填写和提供有效证明或相关内容表述不清的，不得享受价格扣除。投标单位对所报相关数据的真实性负责，江阴市政府采购中心有权将相关内容进行公示；</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6、如有需要说明的事项，请在备注中列明。</w:t>
      </w:r>
      <w:r/>
    </w:p>
    <w:p>
      <w:pPr>
        <w:ind w:firstLine="420"/>
        <w:spacing w:line="360" w:lineRule="exact"/>
        <w:rPr>
          <w:rFonts w:ascii="宋体" w:hAnsi="宋体" w:eastAsia="宋体" w:cs="Times New Roman"/>
          <w:bCs/>
          <w:sz w:val="24"/>
          <w:szCs w:val="24"/>
        </w:rPr>
      </w:pPr>
      <w:r>
        <w:rPr>
          <w:rFonts w:hint="eastAsia" w:ascii="宋体" w:hAnsi="宋体" w:eastAsia="宋体" w:cs="Times New Roman"/>
          <w:szCs w:val="21"/>
        </w:rPr>
        <w:t xml:space="preserve">7、监狱企业、残疾人福利性单位视同小型、微型企业。</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五、商务、技术要求响应及偏离表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注：1、投标单位应据实、详细填写上述表格，因未标明或表述含糊导致的评审风险将由投标单位承担。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w:t>
      </w:r>
      <w:r>
        <w:rPr>
          <w:rFonts w:hint="eastAsia" w:ascii="宋体" w:hAnsi="宋体" w:eastAsia="宋体" w:cs="Times New Roman"/>
          <w:szCs w:val="21"/>
        </w:rPr>
        <w:t xml:space="preserve">作出</w:t>
      </w:r>
      <w:r>
        <w:rPr>
          <w:rFonts w:hint="eastAsia" w:ascii="宋体" w:hAnsi="宋体" w:eastAsia="宋体" w:cs="Times New Roman"/>
          <w:szCs w:val="21"/>
        </w:rPr>
        <w:t xml:space="preserve">说明；若投标单位对某一事项是否存在或是否属于偏离不能确定，亦必须清楚标明该事项并在“有无偏离”栏中填写“不能确定”。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4、“投标文件技术规范描述”完全照抄“招标文件技术要求”的，有被判定为负偏离的风险。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pPr w:horzAnchor="page" w:tblpX="1775" w:vertAnchor="text" w:tblpY="351"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pPr w:horzAnchor="page" w:tblpXSpec="center" w:vertAnchor="text" w:tblpY="351"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七、关于资格的声明函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八、我单位不具有违反《中华人民共和国政府采购法》第二十二条的任何情形。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w:t>
      </w:r>
      <w:r>
        <w:rPr>
          <w:rFonts w:hint="eastAsia" w:ascii="宋体" w:hAnsi="宋体" w:eastAsia="宋体" w:cs="Times New Roman"/>
          <w:b/>
          <w:bCs/>
          <w:szCs w:val="21"/>
        </w:rPr>
        <w:t xml:space="preserve">作出</w:t>
      </w:r>
      <w:r>
        <w:rPr>
          <w:rFonts w:hint="eastAsia" w:ascii="宋体" w:hAnsi="宋体" w:eastAsia="宋体" w:cs="Times New Roman"/>
          <w:b/>
          <w:bCs/>
          <w:szCs w:val="21"/>
        </w:rPr>
        <w:t xml:space="preserve">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一、中小企业声明函（货物）</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（非小微型企业无需填写提供）</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right="158"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本公司（联合体）郑重声明，根据《政府采购促进中小企业发展管理办法》（财库</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2020</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46</w:t>
      </w:r>
      <w:r>
        <w:rPr>
          <w:rFonts w:hint="eastAsia" w:ascii="宋体" w:hAnsi="宋体" w:eastAsia="宋体" w:cs="仿宋"/>
          <w:sz w:val="24"/>
          <w:szCs w:val="24"/>
          <w:lang w:eastAsia="zh-TW"/>
        </w:rPr>
        <w:t xml:space="preserve">号）的规定，本公司（联合体）参加</w:t>
      </w:r>
      <w:r>
        <w:rPr>
          <w:rFonts w:hint="eastAsia" w:ascii="宋体" w:hAnsi="宋体" w:eastAsia="宋体" w:cs="仿宋"/>
          <w:sz w:val="24"/>
          <w:szCs w:val="24"/>
          <w:u w:val="single"/>
          <w:lang w:eastAsia="zh-TW"/>
        </w:rPr>
        <w:t xml:space="preserve">江阴市人民医院</w:t>
      </w:r>
      <w:r>
        <w:rPr>
          <w:rFonts w:hint="eastAsia" w:ascii="宋体" w:hAnsi="宋体" w:eastAsia="宋体" w:cs="仿宋"/>
          <w:sz w:val="24"/>
          <w:szCs w:val="24"/>
          <w:lang w:eastAsia="zh-TW"/>
        </w:rPr>
        <w:t xml:space="preserve">的</w:t>
      </w:r>
      <w:r>
        <w:rPr>
          <w:rFonts w:hint="eastAsia" w:ascii="宋体" w:hAnsi="宋体" w:eastAsia="宋体" w:cs="仿宋"/>
          <w:sz w:val="24"/>
          <w:szCs w:val="24"/>
          <w:u w:val="single"/>
          <w:lang w:eastAsia="zh-TW"/>
        </w:rPr>
        <w:t xml:space="preserve">基层慢病健康管理提升项目——配套慢病管理一体机</w:t>
      </w:r>
      <w:r>
        <w:rPr>
          <w:rFonts w:hint="eastAsia" w:ascii="宋体" w:hAnsi="宋体" w:eastAsia="宋体" w:cs="仿宋"/>
          <w:sz w:val="24"/>
          <w:szCs w:val="24"/>
          <w:lang w:eastAsia="zh-TW"/>
        </w:rPr>
        <w:t xml:space="preserve">采购活动，提供的货物全部由符合政策要求的中小企业制造。相关企业（含联合体中的中小企业、签订分包意向协议的中小企业）的具体情况如下：</w:t>
      </w:r>
      <w:r/>
    </w:p>
    <w:p>
      <w:pPr>
        <w:ind w:firstLine="480"/>
        <w:jc w:val="left"/>
        <w:spacing w:line="400" w:lineRule="exact"/>
        <w:rPr>
          <w:rFonts w:ascii="宋体" w:hAnsi="宋体" w:eastAsia="宋体" w:cs="Times New Roman"/>
          <w:sz w:val="24"/>
          <w:szCs w:val="24"/>
        </w:rPr>
      </w:pPr>
      <w:r>
        <w:rPr>
          <w:rFonts w:hint="eastAsia" w:ascii="宋体" w:hAnsi="宋体" w:eastAsia="宋体" w:cs="仿宋"/>
          <w:sz w:val="24"/>
          <w:szCs w:val="24"/>
        </w:rPr>
        <w:t xml:space="preserve">1</w:t>
      </w:r>
      <w:r>
        <w:rPr>
          <w:rFonts w:ascii="宋体" w:hAnsi="宋体" w:eastAsia="宋体" w:cs="仿宋"/>
          <w:sz w:val="24"/>
          <w:szCs w:val="24"/>
        </w:rPr>
        <w:t xml:space="preserve">.</w:t>
      </w:r>
      <w:r>
        <w:rPr>
          <w:rFonts w:hint="eastAsia" w:ascii="宋体" w:hAnsi="宋体" w:eastAsia="宋体" w:cs="仿宋"/>
          <w:sz w:val="24"/>
          <w:szCs w:val="24"/>
          <w:u w:val="single"/>
        </w:rPr>
        <w:t xml:space="preserve">（标的名称）</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工业</w:t>
      </w:r>
      <w:r>
        <w:rPr>
          <w:rFonts w:hint="eastAsia" w:ascii="宋体" w:hAnsi="宋体" w:eastAsia="宋体" w:cs="仿宋"/>
          <w:sz w:val="24"/>
          <w:szCs w:val="24"/>
        </w:rPr>
        <w:t xml:space="preserve">；制造商为</w:t>
      </w:r>
      <w:r>
        <w:rPr>
          <w:rFonts w:hint="eastAsia" w:ascii="宋体" w:hAnsi="宋体" w:eastAsia="宋体" w:cs="仿宋"/>
          <w:sz w:val="24"/>
          <w:szCs w:val="24"/>
          <w:u w:val="single"/>
        </w:rPr>
        <w:t xml:space="preserve">  （企业名称）  </w:t>
      </w:r>
      <w:r>
        <w:rPr>
          <w:rFonts w:hint="eastAsia" w:ascii="宋体" w:hAnsi="宋体" w:eastAsia="宋体" w:cs="仿宋"/>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仿宋"/>
          <w:sz w:val="24"/>
          <w:szCs w:val="24"/>
        </w:rPr>
        <w:t xml:space="preserve">人，营业</w:t>
      </w:r>
      <w:r>
        <w:rPr>
          <w:rFonts w:hint="eastAsia" w:ascii="宋体" w:hAnsi="宋体" w:eastAsia="宋体" w:cs="Times New Roman"/>
          <w:sz w:val="24"/>
          <w:szCs w:val="24"/>
        </w:rPr>
        <w:t xml:space="preserve">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１</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lang w:eastAsia="zh-TW"/>
        </w:rPr>
      </w:pPr>
      <w:r>
        <w:rPr>
          <w:rFonts w:ascii="宋体" w:hAnsi="宋体" w:eastAsia="宋体" w:cs="仿宋"/>
          <w:sz w:val="24"/>
          <w:szCs w:val="24"/>
          <w:lang w:eastAsia="zh-TW"/>
        </w:rPr>
        <w:t xml:space="preserve">2.</w:t>
      </w:r>
      <w:r>
        <w:rPr>
          <w:rFonts w:hint="eastAsia" w:ascii="宋体" w:hAnsi="宋体" w:eastAsia="宋体" w:cs="仿宋"/>
          <w:sz w:val="24"/>
          <w:szCs w:val="24"/>
          <w:u w:val="single"/>
          <w:lang w:eastAsia="zh-TW"/>
        </w:rPr>
        <w:t xml:space="preserve">（标的名称）</w:t>
      </w:r>
      <w:r>
        <w:rPr>
          <w:rFonts w:hint="eastAsia" w:ascii="宋体" w:hAnsi="宋体" w:eastAsia="宋体" w:cs="仿宋"/>
          <w:sz w:val="24"/>
          <w:szCs w:val="24"/>
          <w:lang w:eastAsia="zh-TW"/>
        </w:rPr>
        <w:t xml:space="preserve">，属于</w:t>
      </w:r>
      <w:r>
        <w:rPr>
          <w:rFonts w:hint="eastAsia" w:ascii="宋体" w:hAnsi="宋体" w:eastAsia="宋体" w:cs="仿宋"/>
          <w:sz w:val="24"/>
          <w:szCs w:val="24"/>
          <w:u w:val="single"/>
        </w:rPr>
        <w:t xml:space="preserve">工业</w:t>
      </w:r>
      <w:r>
        <w:rPr>
          <w:rFonts w:hint="eastAsia" w:ascii="宋体" w:hAnsi="宋体" w:eastAsia="宋体" w:cs="仿宋"/>
          <w:sz w:val="24"/>
          <w:szCs w:val="24"/>
          <w:lang w:eastAsia="zh-TW"/>
        </w:rPr>
        <w:t xml:space="preserve">；制造商为</w:t>
      </w:r>
      <w:r>
        <w:rPr>
          <w:rFonts w:hint="eastAsia" w:ascii="宋体" w:hAnsi="宋体" w:eastAsia="宋体" w:cs="仿宋"/>
          <w:sz w:val="24"/>
          <w:szCs w:val="24"/>
          <w:u w:val="single"/>
        </w:rPr>
        <w:t xml:space="preserve">  （企业名称）  </w:t>
      </w:r>
      <w:r>
        <w:rPr>
          <w:rFonts w:hint="eastAsia" w:ascii="宋体" w:hAnsi="宋体" w:eastAsia="宋体" w:cs="仿宋"/>
          <w:sz w:val="24"/>
          <w:szCs w:val="24"/>
          <w:lang w:eastAsia="zh-TW"/>
        </w:rPr>
        <w:t xml:space="preserve">，从业人员</w:t>
      </w:r>
      <w:r>
        <w:rPr>
          <w:rFonts w:hint="eastAsia" w:ascii="宋体" w:hAnsi="宋体" w:eastAsia="宋体" w:cs="Times New Roman"/>
          <w:sz w:val="24"/>
          <w:szCs w:val="24"/>
          <w:u w:val="single"/>
          <w:lang w:eastAsia="zh-TW"/>
        </w:rPr>
        <w:t xml:space="preserve">　　</w:t>
      </w:r>
      <w:r>
        <w:rPr>
          <w:rFonts w:hint="eastAsia" w:ascii="宋体" w:hAnsi="宋体" w:eastAsia="宋体" w:cs="仿宋"/>
          <w:sz w:val="24"/>
          <w:szCs w:val="24"/>
          <w:lang w:eastAsia="zh-TW"/>
        </w:rPr>
        <w:t xml:space="preserve">人，营业</w:t>
      </w:r>
      <w:r>
        <w:rPr>
          <w:rFonts w:hint="eastAsia" w:ascii="宋体" w:hAnsi="宋体" w:eastAsia="宋体" w:cs="Times New Roman"/>
          <w:sz w:val="24"/>
          <w:szCs w:val="24"/>
          <w:lang w:eastAsia="zh-TW"/>
        </w:rPr>
        <w:t xml:space="preserve">收入为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万元，资产总额为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w:t>
      </w:r>
      <w:r>
        <w:rPr>
          <w:rFonts w:hint="eastAsia" w:ascii="宋体" w:hAnsi="宋体" w:eastAsia="宋体" w:cs="Times New Roman"/>
          <w:sz w:val="24"/>
          <w:szCs w:val="24"/>
          <w:vertAlign w:val="superscript"/>
          <w:lang w:eastAsia="zh-TW"/>
        </w:rPr>
        <w:t xml:space="preserve">１</w:t>
      </w:r>
      <w:r>
        <w:rPr>
          <w:rFonts w:hint="eastAsia" w:ascii="宋体" w:hAnsi="宋体" w:eastAsia="宋体" w:cs="Times New Roman"/>
          <w:sz w:val="24"/>
          <w:szCs w:val="24"/>
          <w:lang w:eastAsia="zh-TW"/>
        </w:rPr>
        <w:t xml:space="preserve">，属于</w:t>
      </w:r>
      <w:r>
        <w:rPr>
          <w:rFonts w:hint="eastAsia" w:ascii="宋体" w:hAnsi="宋体" w:eastAsia="宋体" w:cs="Times New Roman"/>
          <w:sz w:val="24"/>
          <w:szCs w:val="24"/>
          <w:u w:val="single"/>
          <w:lang w:eastAsia="zh-TW"/>
        </w:rPr>
        <w:t xml:space="preserve">（中型企业、小型企业、微型企业）</w:t>
      </w:r>
      <w:r>
        <w:rPr>
          <w:rFonts w:hint="eastAsia" w:ascii="宋体" w:hAnsi="宋体" w:eastAsia="宋体" w:cs="Times New Roman"/>
          <w:sz w:val="24"/>
          <w:szCs w:val="24"/>
          <w:lang w:eastAsia="zh-TW"/>
        </w:rPr>
        <w:t xml:space="preserve">；</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w:t>
      </w:r>
      <w:r/>
    </w:p>
    <w:p>
      <w:pPr>
        <w:ind w:right="158"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以上企业，不属于大企业的分支机构，不存在控股股东为大企业的情形，也不存在与大企业的负责人为同一人的情形。</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本企业对上述声明内容的真实性负责。如有虚假，将依法承担相应责任。</w:t>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8"/>
          <w:szCs w:val="28"/>
        </w:rPr>
        <w:outlineLvl w:val="1"/>
      </w:pPr>
      <w:r>
        <w:rPr>
          <w:rFonts w:hint="eastAsia" w:ascii="宋体" w:hAnsi="宋体" w:eastAsia="宋体" w:cs="Times New Roman"/>
          <w:bCs/>
          <w:sz w:val="24"/>
          <w:szCs w:val="24"/>
        </w:rPr>
        <w:t xml:space="preserve">日期：     年    月    日</w:t>
      </w:r>
      <w:r/>
    </w:p>
    <w:p>
      <w:pPr>
        <w:spacing w:line="400" w:lineRule="exact"/>
        <w:rPr>
          <w:rFonts w:ascii="宋体" w:hAnsi="宋体" w:eastAsia="宋体" w:cs="Times New Roman"/>
          <w:b/>
          <w:bCs/>
          <w:szCs w:val="24"/>
        </w:rPr>
      </w:pPr>
      <w:r>
        <w:rPr>
          <w:rFonts w:ascii="宋体" w:hAnsi="宋体" w:eastAsia="宋体" w:cs="Times New Roman"/>
          <w:b/>
          <w:bCs/>
          <w:szCs w:val="24"/>
        </w:rPr>
      </w:r>
      <w:r/>
    </w:p>
    <w:p>
      <w:pPr>
        <w:ind w:left="1680" w:hanging="420"/>
        <w:jc w:val="left"/>
        <w:rPr>
          <w:rFonts w:ascii="仿宋_GB2312" w:hAnsi="Times New Roman" w:eastAsia="仿宋_GB2312" w:cs="仿宋_GB2312"/>
          <w:sz w:val="24"/>
          <w:szCs w:val="24"/>
        </w:rPr>
      </w:pPr>
      <w:r>
        <w:rPr>
          <w:rFonts w:ascii="仿宋_GB2312" w:hAnsi="Times New Roman" w:eastAsia="仿宋_GB2312" w:cs="仿宋_GB2312"/>
          <w:sz w:val="24"/>
          <w:szCs w:val="24"/>
        </w:rPr>
      </w:r>
      <w:r/>
    </w:p>
    <w:p>
      <w:pPr>
        <w:ind w:left="1680" w:hanging="420"/>
        <w:jc w:val="left"/>
        <w:rPr>
          <w:rFonts w:ascii="仿宋_GB2312" w:hAnsi="Times New Roman" w:eastAsia="仿宋_GB2312" w:cs="仿宋_GB2312"/>
          <w:sz w:val="24"/>
          <w:szCs w:val="24"/>
        </w:rPr>
      </w:pPr>
      <w:r>
        <w:rPr>
          <w:rFonts w:ascii="仿宋_GB2312" w:hAnsi="Times New Roman" w:eastAsia="仿宋_GB2312" w:cs="仿宋_GB2312"/>
          <w:sz w:val="24"/>
          <w:szCs w:val="24"/>
        </w:rPr>
      </w:r>
      <w:r/>
    </w:p>
    <w:p>
      <w:pPr>
        <w:ind w:left="1680" w:hanging="420"/>
        <w:jc w:val="left"/>
        <w:rPr>
          <w:rFonts w:ascii="仿宋_GB2312" w:hAnsi="Times New Roman" w:eastAsia="仿宋_GB2312" w:cs="仿宋_GB2312"/>
          <w:sz w:val="24"/>
          <w:szCs w:val="24"/>
        </w:rPr>
      </w:pPr>
      <w:r>
        <w:rPr>
          <w:rFonts w:ascii="仿宋_GB2312" w:hAnsi="Times New Roman" w:eastAsia="仿宋_GB2312" w:cs="仿宋_GB2312"/>
          <w:sz w:val="24"/>
          <w:szCs w:val="24"/>
        </w:rPr>
      </w:r>
      <w:r/>
    </w:p>
    <w:p>
      <w:pPr>
        <w:jc w:val="left"/>
        <w:spacing w:line="360" w:lineRule="exact"/>
        <w:rPr>
          <w:rFonts w:ascii="宋体" w:hAnsi="宋体" w:eastAsia="宋体" w:cs="仿宋_GB2312"/>
          <w:sz w:val="24"/>
          <w:szCs w:val="24"/>
        </w:rPr>
      </w:pPr>
      <w:r>
        <w:rPr>
          <w:rFonts w:hint="eastAsia" w:ascii="宋体" w:hAnsi="宋体" w:eastAsia="宋体" w:cs="仿宋_GB2312"/>
          <w:sz w:val="18"/>
          <w:szCs w:val="18"/>
        </w:rPr>
        <w:t xml:space="preserve">注：</w:t>
      </w:r>
      <w:r>
        <w:rPr>
          <w:rFonts w:ascii="宋体" w:hAnsi="宋体" w:eastAsia="宋体" w:cs="仿宋_GB2312"/>
          <w:position w:val="6"/>
          <w:sz w:val="18"/>
          <w:szCs w:val="18"/>
          <w:vertAlign w:val="superscript"/>
        </w:rPr>
        <w:t xml:space="preserve">1</w:t>
      </w:r>
      <w:r>
        <w:rPr>
          <w:rFonts w:hint="eastAsia" w:ascii="宋体" w:hAnsi="宋体" w:eastAsia="宋体" w:cs="宋体"/>
          <w:sz w:val="18"/>
          <w:szCs w:val="18"/>
        </w:rPr>
        <w:t xml:space="preserve">从业人员、营业收入、资产总额填报上一年度数据，无上</w:t>
      </w:r>
      <w:r>
        <w:rPr>
          <w:rFonts w:hint="eastAsia" w:ascii="宋体" w:hAnsi="宋体" w:eastAsia="宋体" w:cs="宋体"/>
          <w:sz w:val="18"/>
          <w:szCs w:val="18"/>
        </w:rPr>
        <w:t xml:space="preserve">一</w:t>
      </w:r>
      <w:r>
        <w:rPr>
          <w:rFonts w:hint="eastAsia" w:ascii="宋体" w:hAnsi="宋体" w:eastAsia="宋体" w:cs="宋体"/>
          <w:sz w:val="18"/>
          <w:szCs w:val="18"/>
        </w:rPr>
        <w:t xml:space="preserve">年度数据的新成立企业可不填报。</w:t>
      </w:r>
      <w:r/>
    </w:p>
    <w:p>
      <w:pPr>
        <w:ind w:firstLine="360"/>
        <w:spacing w:line="360" w:lineRule="exact"/>
        <w:rPr>
          <w:rFonts w:ascii="宋体" w:hAnsi="宋体" w:eastAsia="宋体" w:cs="宋体"/>
          <w:sz w:val="18"/>
          <w:szCs w:val="18"/>
        </w:rPr>
      </w:pPr>
      <w:r>
        <w:rPr>
          <w:rFonts w:hint="eastAsia" w:ascii="宋体" w:hAnsi="宋体" w:eastAsia="宋体" w:cs="Times New Roman"/>
          <w:position w:val="6"/>
          <w:sz w:val="18"/>
          <w:szCs w:val="18"/>
          <w:vertAlign w:val="superscript"/>
        </w:rPr>
        <w:t xml:space="preserve">2</w:t>
      </w:r>
      <w:r>
        <w:rPr>
          <w:rFonts w:hint="eastAsia" w:ascii="宋体" w:hAnsi="宋体" w:eastAsia="宋体" w:cs="宋体"/>
          <w:sz w:val="18"/>
          <w:szCs w:val="18"/>
        </w:rPr>
        <w:t xml:space="preserve">本项目既有中小企业制造货物，也有大型企业制造货物的，不享受本办法规定的中小企业扶持政策。中标、成交供应商的《中小企业声明函》将随中标、成交公告进行公示。供应</w:t>
      </w:r>
      <w:r>
        <w:rPr>
          <w:rFonts w:hint="eastAsia" w:ascii="宋体" w:hAnsi="宋体" w:eastAsia="宋体" w:cs="宋体"/>
          <w:sz w:val="18"/>
          <w:szCs w:val="18"/>
        </w:rPr>
        <w:t xml:space="preserve">商按照</w:t>
      </w:r>
      <w:r>
        <w:rPr>
          <w:rFonts w:hint="eastAsia" w:ascii="宋体" w:hAnsi="宋体" w:eastAsia="宋体" w:cs="宋体"/>
          <w:sz w:val="18"/>
          <w:szCs w:val="18"/>
        </w:rPr>
        <w:t xml:space="preserve">本办法规定提供声明</w:t>
      </w:r>
      <w:r>
        <w:rPr>
          <w:rFonts w:hint="eastAsia" w:ascii="宋体" w:hAnsi="宋体" w:eastAsia="宋体" w:cs="宋体"/>
          <w:sz w:val="18"/>
          <w:szCs w:val="18"/>
        </w:rPr>
        <w:t xml:space="preserve">函内容</w:t>
      </w:r>
      <w:r>
        <w:rPr>
          <w:rFonts w:hint="eastAsia" w:ascii="宋体" w:hAnsi="宋体" w:eastAsia="宋体" w:cs="宋体"/>
          <w:sz w:val="18"/>
          <w:szCs w:val="18"/>
        </w:rPr>
        <w:t xml:space="preserve">不实的，属于提供虚假材料谋取中标、成交，依照《中华人民共和国政府采购法》等国家有关规定追究相应责任。</w:t>
      </w:r>
      <w:r/>
    </w:p>
    <w:p>
      <w:pPr>
        <w:ind w:firstLine="360"/>
        <w:spacing w:line="360" w:lineRule="exact"/>
        <w:rPr>
          <w:rFonts w:ascii="Times New Roman" w:hAnsi="Times New Roman" w:eastAsia="宋体" w:cs="Times New Roman"/>
          <w:szCs w:val="24"/>
        </w:rPr>
      </w:pPr>
      <w:r>
        <w:rPr>
          <w:rFonts w:hint="eastAsia" w:ascii="宋体" w:hAnsi="宋体" w:eastAsia="宋体" w:cs="Times New Roman"/>
          <w:position w:val="6"/>
          <w:sz w:val="18"/>
          <w:szCs w:val="18"/>
          <w:vertAlign w:val="superscript"/>
        </w:rPr>
        <w:t xml:space="preserve">3</w:t>
      </w:r>
      <w:r>
        <w:rPr>
          <w:rFonts w:hint="eastAsia" w:ascii="宋体" w:hAnsi="宋体" w:eastAsia="宋体" w:cs="宋体"/>
          <w:sz w:val="18"/>
          <w:szCs w:val="18"/>
        </w:rPr>
        <w:t xml:space="preserve">本表由投标（报价）供应商填写盖章。</w:t>
      </w:r>
      <w:r/>
    </w:p>
    <w:p>
      <w:pPr>
        <w:jc w:val="center"/>
        <w:spacing w:line="400" w:lineRule="exact"/>
        <w:rPr>
          <w:rFonts w:ascii="宋体" w:hAnsi="宋体" w:eastAsia="宋体" w:cs="Times New Roman"/>
          <w:spacing w:val="6"/>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pacing w:val="6"/>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本单位郑重声明，根据《财政部 民政部 中国残疾人联合会关于促进残疾人就业政府采购政策的通知》（财库</w:t>
      </w:r>
      <w:r>
        <w:rPr>
          <w:rFonts w:hint="eastAsia" w:ascii="宋体" w:hAnsi="宋体" w:eastAsia="宋体" w:cs="Times New Roman"/>
          <w:sz w:val="24"/>
          <w:szCs w:val="24"/>
        </w:rPr>
        <w:t xml:space="preserve">〔2017〕 141</w:t>
      </w:r>
      <w:r>
        <w:rPr>
          <w:rFonts w:hint="eastAsia" w:ascii="宋体" w:hAnsi="宋体" w:eastAsia="宋体" w:cs="Times New Roman"/>
          <w:spacing w:val="6"/>
          <w:sz w:val="24"/>
          <w:szCs w:val="24"/>
        </w:rPr>
        <w:t xml:space="preserve">号）的规定，本单位为符合条件的残疾人福利性单位，且本单位参加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w:t>
      </w:r>
      <w:r>
        <w:rPr>
          <w:rFonts w:hint="eastAsia" w:ascii="宋体" w:hAnsi="宋体" w:eastAsia="宋体" w:cs="Times New Roman"/>
          <w:spacing w:val="6"/>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本单位对上述声明的真实性负责。如有虚假，将依法承担相应责任。</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日期：     年    月    日</w:t>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Tahoma">
    <w:panose1 w:val="020B0604030504040204"/>
  </w:font>
  <w:font w:name="仿宋">
    <w:panose1 w:val="02010609060101010101"/>
  </w:font>
  <w:font w:name="Batang">
    <w:panose1 w:val="02010600040101010101"/>
  </w:font>
  <w:font w:name="Calibri">
    <w:panose1 w:val="020F0502020204030204"/>
  </w:font>
  <w:font w:name="宋体">
    <w:panose1 w:val="02010600030101010101"/>
  </w:font>
  <w:font w:name="仿宋_GB2312">
    <w:panose1 w:val="02010609060101010101"/>
  </w:font>
  <w:font w:name="黑体">
    <w:panose1 w:val="02010609060101010101"/>
  </w:font>
  <w:font w:name="Times New Roman">
    <w:panose1 w:val="02020603050405020304"/>
  </w:font>
  <w:font w:name="楷体_GB2312">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docPartObj>
        <w:docPartGallery w:val="AutoText"/>
      </w:docPartObj>
      <w:rPr/>
    </w:sdtPr>
    <w:sdtContent>
      <w:p>
        <w:pPr>
          <w:pStyle w:val="866"/>
          <w:jc w:val="center"/>
        </w:pPr>
        <w:r>
          <w:fldChar w:fldCharType="begin"/>
        </w:r>
        <w:r>
          <w:instrText xml:space="preserve">PAGE   \* MERGEFORMAT</w:instrText>
        </w:r>
        <w:r>
          <w:fldChar w:fldCharType="separate"/>
        </w:r>
        <w:r>
          <w:rPr>
            <w:lang w:val="zh-CN"/>
          </w:rPr>
          <w:t xml:space="preserve">-</w:t>
        </w:r>
        <w:r>
          <w:t xml:space="preserve"> 39 -</w:t>
        </w:r>
        <w:r>
          <w:fldChar w:fldCharType="end"/>
        </w:r>
        <w:r/>
      </w:p>
    </w:sdtContent>
  </w:sdt>
  <w:p>
    <w:pPr>
      <w:pStyle w:val="8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rPr>
        <w:rStyle w:val="876"/>
      </w:rPr>
      <w:framePr w:wrap="around" w:vAnchor="text" w:hAnchor="margin" w:xAlign="center" w:y="1"/>
    </w:pPr>
    <w:r>
      <w:fldChar w:fldCharType="begin"/>
    </w:r>
    <w:r>
      <w:rPr>
        <w:rStyle w:val="876"/>
      </w:rPr>
      <w:instrText xml:space="preserve">PAGE  </w:instrText>
    </w:r>
    <w:r>
      <w:fldChar w:fldCharType="separate"/>
    </w:r>
    <w:r>
      <w:rPr>
        <w:rStyle w:val="876"/>
      </w:rPr>
      <w:t xml:space="preserve">1</w:t>
    </w:r>
    <w:r>
      <w:fldChar w:fldCharType="end"/>
    </w:r>
    <w:r/>
  </w:p>
  <w:p>
    <w:pPr>
      <w:pStyle w:val="86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rPr>
      <w:t xml:space="preserve">JSZC-320281-JZCG-G2025-0099基层慢病健康管理提升项目——配套慢病管理一体机                          江阴市政</w:t>
    </w:r>
    <w:r>
      <w:rPr>
        <w:rFonts w:ascii="黑体" w:hAnsi="黑体" w:eastAsia="黑体" w:cs="Times New Roman"/>
        <w:bCs/>
        <w:sz w:val="16"/>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283" w:hanging="283"/>
      </w:pPr>
      <w:rPr>
        <w:rFonts w:hint="default"/>
      </w:rPr>
    </w:lvl>
    <w:lvl w:ilvl="1">
      <w:start w:val="1"/>
      <w:numFmt w:val="decimal"/>
      <w:isLgl w:val="false"/>
      <w:suff w:val="tab"/>
      <w:lvlText w:val="%2)"/>
      <w:lvlJc w:val="left"/>
      <w:pPr>
        <w:ind w:left="723" w:hanging="440"/>
      </w:pPr>
      <w:rPr>
        <w:rFonts w:hint="eastAsia"/>
      </w:rPr>
    </w:lvl>
    <w:lvl w:ilvl="2">
      <w:start w:val="1"/>
      <w:numFmt w:val="decimal"/>
      <w:isLgl w:val="false"/>
      <w:suff w:val="space"/>
      <w:lvlText w:val="%1.%2.%3."/>
      <w:lvlJc w:val="left"/>
      <w:pPr>
        <w:ind w:left="0" w:firstLine="567"/>
      </w:pPr>
      <w:rPr>
        <w:rFonts w:hint="default"/>
      </w:rPr>
    </w:lvl>
    <w:lvl w:ilvl="3">
      <w:start w:val="1"/>
      <w:numFmt w:val="decimal"/>
      <w:isLgl w:val="false"/>
      <w:suff w:val="space"/>
      <w:lvlText w:val="%1.%2.%3.%4."/>
      <w:lvlJc w:val="left"/>
      <w:pPr>
        <w:ind w:left="0" w:firstLine="85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1">
    <w:name w:val="Heading 1 Char"/>
    <w:basedOn w:val="855"/>
    <w:link w:val="854"/>
    <w:uiPriority w:val="9"/>
    <w:rPr>
      <w:rFonts w:ascii="Arial" w:hAnsi="Arial" w:eastAsia="Arial" w:cs="Arial"/>
      <w:sz w:val="40"/>
      <w:szCs w:val="40"/>
    </w:rPr>
  </w:style>
  <w:style w:type="paragraph" w:styleId="692">
    <w:name w:val="Heading 2"/>
    <w:basedOn w:val="853"/>
    <w:next w:val="853"/>
    <w:link w:val="693"/>
    <w:uiPriority w:val="9"/>
    <w:unhideWhenUsed/>
    <w:qFormat/>
    <w:pPr>
      <w:keepLines/>
      <w:keepNext/>
      <w:spacing w:before="360" w:after="200"/>
      <w:outlineLvl w:val="1"/>
    </w:pPr>
    <w:rPr>
      <w:rFonts w:ascii="Arial" w:hAnsi="Arial" w:eastAsia="Arial" w:cs="Arial"/>
      <w:sz w:val="34"/>
    </w:rPr>
  </w:style>
  <w:style w:type="character" w:styleId="693">
    <w:name w:val="Heading 2 Char"/>
    <w:basedOn w:val="855"/>
    <w:link w:val="692"/>
    <w:uiPriority w:val="9"/>
    <w:rPr>
      <w:rFonts w:ascii="Arial" w:hAnsi="Arial" w:eastAsia="Arial" w:cs="Arial"/>
      <w:sz w:val="34"/>
    </w:rPr>
  </w:style>
  <w:style w:type="paragraph" w:styleId="694">
    <w:name w:val="Heading 3"/>
    <w:basedOn w:val="853"/>
    <w:next w:val="853"/>
    <w:link w:val="695"/>
    <w:uiPriority w:val="9"/>
    <w:unhideWhenUsed/>
    <w:qFormat/>
    <w:pPr>
      <w:keepLines/>
      <w:keepNext/>
      <w:spacing w:before="320" w:after="200"/>
      <w:outlineLvl w:val="2"/>
    </w:pPr>
    <w:rPr>
      <w:rFonts w:ascii="Arial" w:hAnsi="Arial" w:eastAsia="Arial" w:cs="Arial"/>
      <w:sz w:val="30"/>
      <w:szCs w:val="30"/>
    </w:rPr>
  </w:style>
  <w:style w:type="character" w:styleId="695">
    <w:name w:val="Heading 3 Char"/>
    <w:basedOn w:val="855"/>
    <w:link w:val="694"/>
    <w:uiPriority w:val="9"/>
    <w:rPr>
      <w:rFonts w:ascii="Arial" w:hAnsi="Arial" w:eastAsia="Arial" w:cs="Arial"/>
      <w:sz w:val="30"/>
      <w:szCs w:val="30"/>
    </w:rPr>
  </w:style>
  <w:style w:type="paragraph" w:styleId="696">
    <w:name w:val="Heading 4"/>
    <w:basedOn w:val="853"/>
    <w:next w:val="853"/>
    <w:link w:val="697"/>
    <w:uiPriority w:val="9"/>
    <w:unhideWhenUsed/>
    <w:qFormat/>
    <w:pPr>
      <w:keepLines/>
      <w:keepNext/>
      <w:spacing w:before="320" w:after="200"/>
      <w:outlineLvl w:val="3"/>
    </w:pPr>
    <w:rPr>
      <w:rFonts w:ascii="Arial" w:hAnsi="Arial" w:eastAsia="Arial" w:cs="Arial"/>
      <w:b/>
      <w:bCs/>
      <w:sz w:val="26"/>
      <w:szCs w:val="26"/>
    </w:rPr>
  </w:style>
  <w:style w:type="character" w:styleId="697">
    <w:name w:val="Heading 4 Char"/>
    <w:basedOn w:val="855"/>
    <w:link w:val="696"/>
    <w:uiPriority w:val="9"/>
    <w:rPr>
      <w:rFonts w:ascii="Arial" w:hAnsi="Arial" w:eastAsia="Arial" w:cs="Arial"/>
      <w:b/>
      <w:bCs/>
      <w:sz w:val="26"/>
      <w:szCs w:val="26"/>
    </w:rPr>
  </w:style>
  <w:style w:type="paragraph" w:styleId="698">
    <w:name w:val="Heading 5"/>
    <w:basedOn w:val="853"/>
    <w:next w:val="853"/>
    <w:link w:val="699"/>
    <w:uiPriority w:val="9"/>
    <w:unhideWhenUsed/>
    <w:qFormat/>
    <w:pPr>
      <w:keepLines/>
      <w:keepNext/>
      <w:spacing w:before="320" w:after="200"/>
      <w:outlineLvl w:val="4"/>
    </w:pPr>
    <w:rPr>
      <w:rFonts w:ascii="Arial" w:hAnsi="Arial" w:eastAsia="Arial" w:cs="Arial"/>
      <w:b/>
      <w:bCs/>
      <w:sz w:val="24"/>
      <w:szCs w:val="24"/>
    </w:rPr>
  </w:style>
  <w:style w:type="character" w:styleId="699">
    <w:name w:val="Heading 5 Char"/>
    <w:basedOn w:val="855"/>
    <w:link w:val="698"/>
    <w:uiPriority w:val="9"/>
    <w:rPr>
      <w:rFonts w:ascii="Arial" w:hAnsi="Arial" w:eastAsia="Arial" w:cs="Arial"/>
      <w:b/>
      <w:bCs/>
      <w:sz w:val="24"/>
      <w:szCs w:val="24"/>
    </w:rPr>
  </w:style>
  <w:style w:type="paragraph" w:styleId="700">
    <w:name w:val="Heading 6"/>
    <w:basedOn w:val="853"/>
    <w:next w:val="853"/>
    <w:link w:val="701"/>
    <w:uiPriority w:val="9"/>
    <w:unhideWhenUsed/>
    <w:qFormat/>
    <w:pPr>
      <w:keepLines/>
      <w:keepNext/>
      <w:spacing w:before="320" w:after="200"/>
      <w:outlineLvl w:val="5"/>
    </w:pPr>
    <w:rPr>
      <w:rFonts w:ascii="Arial" w:hAnsi="Arial" w:eastAsia="Arial" w:cs="Arial"/>
      <w:b/>
      <w:bCs/>
      <w:sz w:val="22"/>
      <w:szCs w:val="22"/>
    </w:rPr>
  </w:style>
  <w:style w:type="character" w:styleId="701">
    <w:name w:val="Heading 6 Char"/>
    <w:basedOn w:val="855"/>
    <w:link w:val="700"/>
    <w:uiPriority w:val="9"/>
    <w:rPr>
      <w:rFonts w:ascii="Arial" w:hAnsi="Arial" w:eastAsia="Arial" w:cs="Arial"/>
      <w:b/>
      <w:bCs/>
      <w:sz w:val="22"/>
      <w:szCs w:val="22"/>
    </w:rPr>
  </w:style>
  <w:style w:type="paragraph" w:styleId="702">
    <w:name w:val="Heading 7"/>
    <w:basedOn w:val="853"/>
    <w:next w:val="853"/>
    <w:link w:val="703"/>
    <w:uiPriority w:val="9"/>
    <w:unhideWhenUsed/>
    <w:qFormat/>
    <w:pPr>
      <w:keepLines/>
      <w:keepNext/>
      <w:spacing w:before="320" w:after="200"/>
      <w:outlineLvl w:val="6"/>
    </w:pPr>
    <w:rPr>
      <w:rFonts w:ascii="Arial" w:hAnsi="Arial" w:eastAsia="Arial" w:cs="Arial"/>
      <w:b/>
      <w:bCs/>
      <w:i/>
      <w:iCs/>
      <w:sz w:val="22"/>
      <w:szCs w:val="22"/>
    </w:rPr>
  </w:style>
  <w:style w:type="character" w:styleId="703">
    <w:name w:val="Heading 7 Char"/>
    <w:basedOn w:val="855"/>
    <w:link w:val="702"/>
    <w:uiPriority w:val="9"/>
    <w:rPr>
      <w:rFonts w:ascii="Arial" w:hAnsi="Arial" w:eastAsia="Arial" w:cs="Arial"/>
      <w:b/>
      <w:bCs/>
      <w:i/>
      <w:iCs/>
      <w:sz w:val="22"/>
      <w:szCs w:val="22"/>
    </w:rPr>
  </w:style>
  <w:style w:type="paragraph" w:styleId="704">
    <w:name w:val="Heading 8"/>
    <w:basedOn w:val="853"/>
    <w:next w:val="853"/>
    <w:link w:val="705"/>
    <w:uiPriority w:val="9"/>
    <w:unhideWhenUsed/>
    <w:qFormat/>
    <w:pPr>
      <w:keepLines/>
      <w:keepNext/>
      <w:spacing w:before="320" w:after="200"/>
      <w:outlineLvl w:val="7"/>
    </w:pPr>
    <w:rPr>
      <w:rFonts w:ascii="Arial" w:hAnsi="Arial" w:eastAsia="Arial" w:cs="Arial"/>
      <w:i/>
      <w:iCs/>
      <w:sz w:val="22"/>
      <w:szCs w:val="22"/>
    </w:rPr>
  </w:style>
  <w:style w:type="character" w:styleId="705">
    <w:name w:val="Heading 8 Char"/>
    <w:basedOn w:val="855"/>
    <w:link w:val="704"/>
    <w:uiPriority w:val="9"/>
    <w:rPr>
      <w:rFonts w:ascii="Arial" w:hAnsi="Arial" w:eastAsia="Arial" w:cs="Arial"/>
      <w:i/>
      <w:iCs/>
      <w:sz w:val="22"/>
      <w:szCs w:val="22"/>
    </w:rPr>
  </w:style>
  <w:style w:type="paragraph" w:styleId="706">
    <w:name w:val="Heading 9"/>
    <w:basedOn w:val="853"/>
    <w:next w:val="853"/>
    <w:link w:val="707"/>
    <w:uiPriority w:val="9"/>
    <w:unhideWhenUsed/>
    <w:qFormat/>
    <w:pPr>
      <w:keepLines/>
      <w:keepNext/>
      <w:spacing w:before="320" w:after="200"/>
      <w:outlineLvl w:val="8"/>
    </w:pPr>
    <w:rPr>
      <w:rFonts w:ascii="Arial" w:hAnsi="Arial" w:eastAsia="Arial" w:cs="Arial"/>
      <w:i/>
      <w:iCs/>
      <w:sz w:val="21"/>
      <w:szCs w:val="21"/>
    </w:rPr>
  </w:style>
  <w:style w:type="character" w:styleId="707">
    <w:name w:val="Heading 9 Char"/>
    <w:basedOn w:val="855"/>
    <w:link w:val="706"/>
    <w:uiPriority w:val="9"/>
    <w:rPr>
      <w:rFonts w:ascii="Arial" w:hAnsi="Arial" w:eastAsia="Arial" w:cs="Arial"/>
      <w:i/>
      <w:iCs/>
      <w:sz w:val="21"/>
      <w:szCs w:val="21"/>
    </w:rPr>
  </w:style>
  <w:style w:type="paragraph" w:styleId="708">
    <w:name w:val="List Paragraph"/>
    <w:basedOn w:val="853"/>
    <w:uiPriority w:val="34"/>
    <w:qFormat/>
    <w:pPr>
      <w:contextualSpacing/>
      <w:ind w:left="720"/>
    </w:pPr>
  </w:style>
  <w:style w:type="character" w:styleId="709">
    <w:name w:val="Title Char"/>
    <w:basedOn w:val="855"/>
    <w:link w:val="873"/>
    <w:uiPriority w:val="10"/>
    <w:rPr>
      <w:sz w:val="48"/>
      <w:szCs w:val="48"/>
    </w:rPr>
  </w:style>
  <w:style w:type="paragraph" w:styleId="710">
    <w:name w:val="Subtitle"/>
    <w:basedOn w:val="853"/>
    <w:next w:val="853"/>
    <w:link w:val="711"/>
    <w:uiPriority w:val="11"/>
    <w:qFormat/>
    <w:pPr>
      <w:spacing w:before="200" w:after="200"/>
    </w:pPr>
    <w:rPr>
      <w:sz w:val="24"/>
      <w:szCs w:val="24"/>
    </w:rPr>
  </w:style>
  <w:style w:type="character" w:styleId="711">
    <w:name w:val="Subtitle Char"/>
    <w:basedOn w:val="855"/>
    <w:link w:val="710"/>
    <w:uiPriority w:val="11"/>
    <w:rPr>
      <w:sz w:val="24"/>
      <w:szCs w:val="24"/>
    </w:rPr>
  </w:style>
  <w:style w:type="paragraph" w:styleId="712">
    <w:name w:val="Quote"/>
    <w:basedOn w:val="853"/>
    <w:next w:val="853"/>
    <w:link w:val="713"/>
    <w:uiPriority w:val="29"/>
    <w:qFormat/>
    <w:pPr>
      <w:ind w:left="720" w:right="720"/>
    </w:pPr>
    <w:rPr>
      <w:i/>
    </w:rPr>
  </w:style>
  <w:style w:type="character" w:styleId="713">
    <w:name w:val="Quote Char"/>
    <w:link w:val="712"/>
    <w:uiPriority w:val="29"/>
    <w:rPr>
      <w:i/>
    </w:rPr>
  </w:style>
  <w:style w:type="paragraph" w:styleId="714">
    <w:name w:val="Intense Quote"/>
    <w:basedOn w:val="853"/>
    <w:next w:val="853"/>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Intense Quote Char"/>
    <w:link w:val="714"/>
    <w:uiPriority w:val="30"/>
    <w:rPr>
      <w:i/>
    </w:rPr>
  </w:style>
  <w:style w:type="character" w:styleId="716">
    <w:name w:val="Header Char"/>
    <w:basedOn w:val="855"/>
    <w:link w:val="867"/>
    <w:uiPriority w:val="99"/>
  </w:style>
  <w:style w:type="character" w:styleId="717">
    <w:name w:val="Footer Char"/>
    <w:basedOn w:val="855"/>
    <w:link w:val="866"/>
    <w:uiPriority w:val="99"/>
  </w:style>
  <w:style w:type="paragraph" w:styleId="718">
    <w:name w:val="Caption"/>
    <w:basedOn w:val="853"/>
    <w:next w:val="853"/>
    <w:uiPriority w:val="35"/>
    <w:semiHidden/>
    <w:unhideWhenUsed/>
    <w:qFormat/>
    <w:pPr>
      <w:spacing w:line="276" w:lineRule="auto"/>
    </w:pPr>
    <w:rPr>
      <w:b/>
      <w:bCs/>
      <w:color w:val="4f81bd" w:themeColor="accent1"/>
      <w:sz w:val="18"/>
      <w:szCs w:val="18"/>
    </w:rPr>
  </w:style>
  <w:style w:type="character" w:styleId="719">
    <w:name w:val="Caption Char"/>
    <w:basedOn w:val="718"/>
    <w:link w:val="866"/>
    <w:uiPriority w:val="99"/>
  </w:style>
  <w:style w:type="table" w:styleId="720">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1">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8">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9">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0">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1">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2">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3">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5">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2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9">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0">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9">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0">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1">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2">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3">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4">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6">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7">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8">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9">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0">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1">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3">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4">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5">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6">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0">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4">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5">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7">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8">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9">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0">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1">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2">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4">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5">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6">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7">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8">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9">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2">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3">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4">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5">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6">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9">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0">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1">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2">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3">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2">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3">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4">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5">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6">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7">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8">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9">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0">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1">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2">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3">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4">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9">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0">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1">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2">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3">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4">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5">
    <w:name w:val="footnote text"/>
    <w:basedOn w:val="853"/>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basedOn w:val="855"/>
    <w:uiPriority w:val="99"/>
    <w:unhideWhenUsed/>
    <w:rPr>
      <w:vertAlign w:val="superscript"/>
    </w:rPr>
  </w:style>
  <w:style w:type="paragraph" w:styleId="848">
    <w:name w:val="endnote text"/>
    <w:basedOn w:val="853"/>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basedOn w:val="855"/>
    <w:uiPriority w:val="99"/>
    <w:semiHidden/>
    <w:unhideWhenUsed/>
    <w:rPr>
      <w:vertAlign w:val="superscript"/>
    </w:rPr>
  </w:style>
  <w:style w:type="paragraph" w:styleId="851">
    <w:name w:val="TOC Heading"/>
    <w:uiPriority w:val="39"/>
    <w:unhideWhenUsed/>
  </w:style>
  <w:style w:type="paragraph" w:styleId="852">
    <w:name w:val="table of figures"/>
    <w:basedOn w:val="853"/>
    <w:next w:val="853"/>
    <w:uiPriority w:val="99"/>
    <w:unhideWhenUsed/>
    <w:pPr>
      <w:spacing w:after="0" w:afterAutospacing="0"/>
    </w:pPr>
  </w:style>
  <w:style w:type="paragraph" w:styleId="853" w:default="1">
    <w:name w:val="Normal"/>
    <w:qFormat/>
    <w:pPr>
      <w:jc w:val="both"/>
      <w:widowControl w:val="off"/>
    </w:pPr>
    <w:rPr>
      <w:sz w:val="21"/>
      <w:szCs w:val="22"/>
    </w:rPr>
  </w:style>
  <w:style w:type="paragraph" w:styleId="854">
    <w:name w:val="Heading 1"/>
    <w:basedOn w:val="853"/>
    <w:next w:val="853"/>
    <w:link w:val="898"/>
    <w:uiPriority w:val="9"/>
    <w:qFormat/>
    <w:pPr>
      <w:keepLines/>
      <w:keepNext/>
      <w:spacing w:before="340" w:after="330" w:line="578" w:lineRule="auto"/>
      <w:outlineLvl w:val="0"/>
    </w:pPr>
    <w:rPr>
      <w:b/>
      <w:bCs/>
      <w:sz w:val="44"/>
      <w:szCs w:val="44"/>
    </w:rPr>
  </w:style>
  <w:style w:type="character" w:styleId="855" w:default="1">
    <w:name w:val="Default Paragraph Font"/>
    <w:uiPriority w:val="1"/>
    <w:semiHidden/>
    <w:unhideWhenUsed/>
  </w:style>
  <w:style w:type="table" w:styleId="856" w:default="1">
    <w:name w:val="Normal Table"/>
    <w:uiPriority w:val="99"/>
    <w:semiHidden/>
    <w:unhideWhenUsed/>
    <w:tblPr>
      <w:tblInd w:w="0" w:type="dxa"/>
      <w:tblCellMar>
        <w:left w:w="108" w:type="dxa"/>
        <w:top w:w="0" w:type="dxa"/>
        <w:right w:w="108" w:type="dxa"/>
        <w:bottom w:w="0" w:type="dxa"/>
      </w:tblCellMar>
    </w:tblPr>
  </w:style>
  <w:style w:type="numbering" w:styleId="857" w:default="1">
    <w:name w:val="No List"/>
    <w:uiPriority w:val="99"/>
    <w:semiHidden/>
    <w:unhideWhenUsed/>
  </w:style>
  <w:style w:type="paragraph" w:styleId="858">
    <w:name w:val="toc 7"/>
    <w:basedOn w:val="853"/>
    <w:next w:val="853"/>
    <w:uiPriority w:val="39"/>
    <w:unhideWhenUsed/>
    <w:pPr>
      <w:ind w:left="1260"/>
      <w:jc w:val="left"/>
    </w:pPr>
    <w:rPr>
      <w:sz w:val="18"/>
      <w:szCs w:val="18"/>
    </w:rPr>
  </w:style>
  <w:style w:type="paragraph" w:styleId="859">
    <w:name w:val="annotation text"/>
    <w:basedOn w:val="853"/>
    <w:link w:val="885"/>
    <w:uiPriority w:val="99"/>
    <w:semiHidden/>
    <w:unhideWhenUsed/>
    <w:qFormat/>
    <w:pPr>
      <w:jc w:val="left"/>
    </w:pPr>
  </w:style>
  <w:style w:type="paragraph" w:styleId="860">
    <w:name w:val="Body Text"/>
    <w:basedOn w:val="853"/>
    <w:link w:val="888"/>
    <w:qFormat/>
    <w:pPr>
      <w:spacing w:line="360" w:lineRule="auto"/>
    </w:pPr>
    <w:rPr>
      <w:rFonts w:ascii="楷体_GB2312" w:hAnsi="Times New Roman" w:eastAsia="楷体_GB2312" w:cs="Times New Roman"/>
      <w:bCs/>
      <w:sz w:val="28"/>
      <w:szCs w:val="24"/>
    </w:rPr>
  </w:style>
  <w:style w:type="paragraph" w:styleId="861">
    <w:name w:val="Body Text Indent"/>
    <w:basedOn w:val="853"/>
    <w:link w:val="892"/>
    <w:unhideWhenUsed/>
    <w:qFormat/>
    <w:pPr>
      <w:ind w:left="420"/>
      <w:spacing w:after="120"/>
    </w:pPr>
  </w:style>
  <w:style w:type="paragraph" w:styleId="862">
    <w:name w:val="toc 5"/>
    <w:basedOn w:val="853"/>
    <w:next w:val="853"/>
    <w:uiPriority w:val="39"/>
    <w:unhideWhenUsed/>
    <w:qFormat/>
    <w:pPr>
      <w:ind w:left="840"/>
      <w:jc w:val="left"/>
    </w:pPr>
    <w:rPr>
      <w:sz w:val="18"/>
      <w:szCs w:val="18"/>
    </w:rPr>
  </w:style>
  <w:style w:type="paragraph" w:styleId="863">
    <w:name w:val="toc 3"/>
    <w:basedOn w:val="853"/>
    <w:next w:val="853"/>
    <w:uiPriority w:val="39"/>
    <w:unhideWhenUsed/>
    <w:qFormat/>
    <w:pPr>
      <w:ind w:left="420"/>
      <w:jc w:val="left"/>
    </w:pPr>
    <w:rPr>
      <w:i/>
      <w:iCs/>
      <w:sz w:val="20"/>
      <w:szCs w:val="20"/>
    </w:rPr>
  </w:style>
  <w:style w:type="paragraph" w:styleId="864">
    <w:name w:val="toc 8"/>
    <w:basedOn w:val="853"/>
    <w:next w:val="853"/>
    <w:uiPriority w:val="39"/>
    <w:unhideWhenUsed/>
    <w:qFormat/>
    <w:pPr>
      <w:ind w:left="1470"/>
      <w:jc w:val="left"/>
    </w:pPr>
    <w:rPr>
      <w:sz w:val="18"/>
      <w:szCs w:val="18"/>
    </w:rPr>
  </w:style>
  <w:style w:type="paragraph" w:styleId="865">
    <w:name w:val="Balloon Text"/>
    <w:basedOn w:val="853"/>
    <w:link w:val="883"/>
    <w:uiPriority w:val="99"/>
    <w:semiHidden/>
    <w:unhideWhenUsed/>
    <w:qFormat/>
    <w:rPr>
      <w:sz w:val="18"/>
      <w:szCs w:val="18"/>
    </w:rPr>
  </w:style>
  <w:style w:type="paragraph" w:styleId="866">
    <w:name w:val="Footer"/>
    <w:basedOn w:val="853"/>
    <w:link w:val="881"/>
    <w:unhideWhenUsed/>
    <w:qFormat/>
    <w:pPr>
      <w:jc w:val="left"/>
      <w:tabs>
        <w:tab w:val="center" w:pos="4153" w:leader="none"/>
        <w:tab w:val="right" w:pos="8306" w:leader="none"/>
      </w:tabs>
    </w:pPr>
    <w:rPr>
      <w:sz w:val="18"/>
      <w:szCs w:val="18"/>
    </w:rPr>
  </w:style>
  <w:style w:type="paragraph" w:styleId="867">
    <w:name w:val="Header"/>
    <w:basedOn w:val="853"/>
    <w:link w:val="880"/>
    <w:unhideWhenUsed/>
    <w:qFormat/>
    <w:pPr>
      <w:jc w:val="center"/>
      <w:tabs>
        <w:tab w:val="center" w:pos="4153" w:leader="none"/>
        <w:tab w:val="right" w:pos="8306" w:leader="none"/>
      </w:tabs>
      <w:pBdr>
        <w:bottom w:val="single" w:color="auto" w:sz="6" w:space="1"/>
      </w:pBdr>
    </w:pPr>
    <w:rPr>
      <w:sz w:val="18"/>
      <w:szCs w:val="18"/>
    </w:rPr>
  </w:style>
  <w:style w:type="paragraph" w:styleId="868">
    <w:name w:val="toc 1"/>
    <w:basedOn w:val="853"/>
    <w:next w:val="853"/>
    <w:uiPriority w:val="39"/>
    <w:unhideWhenUsed/>
    <w:qFormat/>
    <w:pPr>
      <w:jc w:val="left"/>
      <w:spacing w:before="120" w:after="120"/>
    </w:pPr>
    <w:rPr>
      <w:b/>
      <w:bCs/>
      <w:caps/>
      <w:sz w:val="20"/>
      <w:szCs w:val="20"/>
    </w:rPr>
  </w:style>
  <w:style w:type="paragraph" w:styleId="869">
    <w:name w:val="toc 4"/>
    <w:basedOn w:val="853"/>
    <w:next w:val="853"/>
    <w:uiPriority w:val="39"/>
    <w:unhideWhenUsed/>
    <w:qFormat/>
    <w:pPr>
      <w:ind w:left="630"/>
      <w:jc w:val="left"/>
    </w:pPr>
    <w:rPr>
      <w:sz w:val="18"/>
      <w:szCs w:val="18"/>
    </w:rPr>
  </w:style>
  <w:style w:type="paragraph" w:styleId="870">
    <w:name w:val="toc 6"/>
    <w:basedOn w:val="853"/>
    <w:next w:val="853"/>
    <w:uiPriority w:val="39"/>
    <w:unhideWhenUsed/>
    <w:pPr>
      <w:ind w:left="1050"/>
      <w:jc w:val="left"/>
    </w:pPr>
    <w:rPr>
      <w:sz w:val="18"/>
      <w:szCs w:val="18"/>
    </w:rPr>
  </w:style>
  <w:style w:type="paragraph" w:styleId="871">
    <w:name w:val="toc 2"/>
    <w:basedOn w:val="853"/>
    <w:next w:val="853"/>
    <w:uiPriority w:val="39"/>
    <w:unhideWhenUsed/>
    <w:qFormat/>
    <w:pPr>
      <w:ind w:left="210"/>
      <w:jc w:val="left"/>
    </w:pPr>
    <w:rPr>
      <w:smallCaps/>
      <w:sz w:val="20"/>
      <w:szCs w:val="20"/>
    </w:rPr>
  </w:style>
  <w:style w:type="paragraph" w:styleId="872">
    <w:name w:val="toc 9"/>
    <w:basedOn w:val="853"/>
    <w:next w:val="853"/>
    <w:uiPriority w:val="39"/>
    <w:unhideWhenUsed/>
    <w:pPr>
      <w:ind w:left="1680"/>
      <w:jc w:val="left"/>
    </w:pPr>
    <w:rPr>
      <w:sz w:val="18"/>
      <w:szCs w:val="18"/>
    </w:rPr>
  </w:style>
  <w:style w:type="paragraph" w:styleId="873">
    <w:name w:val="Title"/>
    <w:basedOn w:val="853"/>
    <w:next w:val="853"/>
    <w:link w:val="879"/>
    <w:uiPriority w:val="10"/>
    <w:qFormat/>
    <w:pPr>
      <w:jc w:val="center"/>
      <w:spacing w:line="400" w:lineRule="exact"/>
      <w:outlineLvl w:val="0"/>
    </w:pPr>
    <w:rPr>
      <w:rFonts w:eastAsia="黑体" w:asciiTheme="majorHAnsi" w:hAnsiTheme="majorHAnsi" w:cstheme="majorBidi"/>
      <w:bCs/>
      <w:sz w:val="30"/>
      <w:szCs w:val="32"/>
    </w:rPr>
  </w:style>
  <w:style w:type="paragraph" w:styleId="874">
    <w:name w:val="annotation subject"/>
    <w:basedOn w:val="859"/>
    <w:next w:val="859"/>
    <w:link w:val="886"/>
    <w:uiPriority w:val="99"/>
    <w:semiHidden/>
    <w:unhideWhenUsed/>
    <w:qFormat/>
    <w:rPr>
      <w:b/>
      <w:bCs/>
    </w:rPr>
  </w:style>
  <w:style w:type="table" w:styleId="875">
    <w:name w:val="Table Grid"/>
    <w:basedOn w:val="85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6">
    <w:name w:val="page number"/>
  </w:style>
  <w:style w:type="character" w:styleId="877">
    <w:name w:val="Hyperlink"/>
    <w:basedOn w:val="855"/>
    <w:uiPriority w:val="99"/>
    <w:unhideWhenUsed/>
    <w:rPr>
      <w:color w:val="0000ff" w:themeColor="hyperlink"/>
      <w:u w:val="single"/>
    </w:rPr>
  </w:style>
  <w:style w:type="character" w:styleId="878">
    <w:name w:val="annotation reference"/>
    <w:basedOn w:val="855"/>
    <w:uiPriority w:val="99"/>
    <w:semiHidden/>
    <w:unhideWhenUsed/>
    <w:qFormat/>
    <w:rPr>
      <w:sz w:val="21"/>
      <w:szCs w:val="21"/>
    </w:rPr>
  </w:style>
  <w:style w:type="character" w:styleId="879" w:customStyle="1">
    <w:name w:val="标题 Char"/>
    <w:basedOn w:val="855"/>
    <w:link w:val="873"/>
    <w:uiPriority w:val="10"/>
    <w:rPr>
      <w:rFonts w:eastAsia="黑体" w:asciiTheme="majorHAnsi" w:hAnsiTheme="majorHAnsi" w:cstheme="majorBidi"/>
      <w:bCs/>
      <w:sz w:val="30"/>
      <w:szCs w:val="32"/>
    </w:rPr>
  </w:style>
  <w:style w:type="character" w:styleId="880" w:customStyle="1">
    <w:name w:val="页眉 Char"/>
    <w:basedOn w:val="855"/>
    <w:link w:val="867"/>
    <w:qFormat/>
    <w:rPr>
      <w:sz w:val="18"/>
      <w:szCs w:val="18"/>
    </w:rPr>
  </w:style>
  <w:style w:type="character" w:styleId="881" w:customStyle="1">
    <w:name w:val="页脚 Char"/>
    <w:basedOn w:val="855"/>
    <w:link w:val="866"/>
    <w:rPr>
      <w:sz w:val="18"/>
      <w:szCs w:val="18"/>
    </w:rPr>
  </w:style>
  <w:style w:type="character" w:styleId="882" w:customStyle="1">
    <w:name w:val="font2800"/>
    <w:basedOn w:val="855"/>
  </w:style>
  <w:style w:type="character" w:styleId="883" w:customStyle="1">
    <w:name w:val="批注框文本 Char"/>
    <w:basedOn w:val="855"/>
    <w:link w:val="865"/>
    <w:uiPriority w:val="99"/>
    <w:semiHidden/>
    <w:qFormat/>
    <w:rPr>
      <w:sz w:val="18"/>
      <w:szCs w:val="18"/>
    </w:rPr>
  </w:style>
  <w:style w:type="table" w:styleId="884" w:customStyle="1">
    <w:name w:val="网格型1"/>
    <w:basedOn w:val="856"/>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5" w:customStyle="1">
    <w:name w:val="批注文字 Char"/>
    <w:basedOn w:val="855"/>
    <w:link w:val="859"/>
    <w:uiPriority w:val="99"/>
    <w:semiHidden/>
    <w:qFormat/>
  </w:style>
  <w:style w:type="character" w:styleId="886" w:customStyle="1">
    <w:name w:val="批注主题 Char"/>
    <w:basedOn w:val="885"/>
    <w:link w:val="874"/>
    <w:uiPriority w:val="99"/>
    <w:semiHidden/>
    <w:rPr>
      <w:b/>
      <w:bCs/>
    </w:rPr>
  </w:style>
  <w:style w:type="character" w:styleId="887" w:customStyle="1">
    <w:name w:val="正文文本 Char"/>
    <w:basedOn w:val="855"/>
    <w:uiPriority w:val="99"/>
    <w:semiHidden/>
    <w:qFormat/>
  </w:style>
  <w:style w:type="character" w:styleId="888" w:customStyle="1">
    <w:name w:val="正文文本 Char1"/>
    <w:link w:val="860"/>
    <w:qFormat/>
    <w:rPr>
      <w:rFonts w:ascii="楷体_GB2312" w:hAnsi="Times New Roman" w:eastAsia="楷体_GB2312" w:cs="Times New Roman"/>
      <w:bCs/>
      <w:sz w:val="28"/>
      <w:szCs w:val="24"/>
    </w:rPr>
  </w:style>
  <w:style w:type="paragraph" w:styleId="889" w:customStyle="1">
    <w:name w:val="Table Paragraph"/>
    <w:basedOn w:val="853"/>
    <w:uiPriority w:val="1"/>
    <w:qFormat/>
    <w:pPr>
      <w:ind w:firstLine="260"/>
      <w:jc w:val="left"/>
      <w:spacing w:line="360" w:lineRule="auto"/>
    </w:pPr>
    <w:rPr>
      <w:rFonts w:ascii="Calibri" w:hAnsi="Calibri" w:eastAsia="仿宋" w:cs="Times New Roman"/>
      <w:sz w:val="28"/>
      <w:lang w:eastAsia="en-US"/>
    </w:rPr>
  </w:style>
  <w:style w:type="paragraph" w:styleId="890">
    <w:name w:val="No Spacing"/>
    <w:link w:val="891"/>
    <w:uiPriority w:val="1"/>
    <w:qFormat/>
    <w:pPr>
      <w:jc w:val="both"/>
      <w:spacing w:line="360" w:lineRule="auto"/>
      <w:widowControl w:val="off"/>
    </w:pPr>
    <w:rPr>
      <w:rFonts w:ascii="宋体" w:hAnsi="宋体"/>
      <w:sz w:val="24"/>
      <w:szCs w:val="22"/>
    </w:rPr>
  </w:style>
  <w:style w:type="character" w:styleId="891" w:customStyle="1">
    <w:name w:val="无间隔 Char"/>
    <w:link w:val="890"/>
    <w:uiPriority w:val="1"/>
    <w:qFormat/>
    <w:rPr>
      <w:rFonts w:ascii="宋体" w:hAnsi="宋体"/>
      <w:sz w:val="24"/>
    </w:rPr>
  </w:style>
  <w:style w:type="character" w:styleId="892" w:customStyle="1">
    <w:name w:val="正文文本缩进 Char"/>
    <w:basedOn w:val="855"/>
    <w:link w:val="861"/>
    <w:qFormat/>
  </w:style>
  <w:style w:type="table" w:styleId="893" w:customStyle="1">
    <w:name w:val="网格型2"/>
    <w:basedOn w:val="85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94" w:customStyle="1">
    <w:name w:val="修订1"/>
    <w:hidden/>
    <w:uiPriority w:val="99"/>
    <w:unhideWhenUsed/>
    <w:rPr>
      <w:sz w:val="21"/>
      <w:szCs w:val="22"/>
    </w:rPr>
  </w:style>
  <w:style w:type="table" w:styleId="895" w:customStyle="1">
    <w:name w:val="网格型3"/>
    <w:basedOn w:val="856"/>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6" w:customStyle="1">
    <w:name w:val="网格型4"/>
    <w:basedOn w:val="856"/>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7" w:customStyle="1">
    <w:name w:val="Table Normal"/>
    <w:semiHidden/>
    <w:unhideWhenUsed/>
    <w:qFormat/>
    <w:tblPr>
      <w:tblCellMar>
        <w:left w:w="0" w:type="dxa"/>
        <w:top w:w="0" w:type="dxa"/>
        <w:right w:w="0" w:type="dxa"/>
        <w:bottom w:w="0" w:type="dxa"/>
      </w:tblCellMar>
    </w:tblPr>
  </w:style>
  <w:style w:type="character" w:styleId="898" w:customStyle="1">
    <w:name w:val="标题 1 Char"/>
    <w:basedOn w:val="855"/>
    <w:link w:val="854"/>
    <w:uiPriority w:val="9"/>
    <w:rPr>
      <w:b/>
      <w:bCs/>
      <w:sz w:val="44"/>
      <w:szCs w:val="44"/>
    </w:rPr>
  </w:style>
  <w:style w:type="paragraph" w:styleId="899" w:customStyle="1">
    <w:name w:val="TOC 标题1"/>
    <w:basedOn w:val="854"/>
    <w:next w:val="853"/>
    <w:uiPriority w:val="39"/>
    <w:semiHidden/>
    <w:unhideWhenUsed/>
    <w:qFormat/>
    <w:pPr>
      <w:jc w:val="left"/>
      <w:spacing w:before="480" w:after="0" w:line="276" w:lineRule="auto"/>
      <w:widowControl/>
      <w:outlineLvl w:val="9"/>
    </w:pPr>
    <w:rPr>
      <w:rFonts w:asciiTheme="majorHAnsi" w:hAnsiTheme="majorHAnsi" w:eastAsiaTheme="majorEastAsia" w:cstheme="majorBidi"/>
      <w:color w:val="365f91" w:themeColor="accent1" w:themeShade="BF"/>
      <w:sz w:val="28"/>
      <w:szCs w:val="28"/>
    </w:rPr>
  </w:style>
  <w:style w:type="character" w:styleId="900" w:customStyle="1">
    <w:name w:val="font21"/>
    <w:basedOn w:val="855"/>
    <w:rPr>
      <w:rFonts w:ascii="Calibri" w:hAnsi="Calibri" w:cs="Calibri"/>
      <w:color w:val="000000"/>
      <w:sz w:val="21"/>
      <w:szCs w:val="21"/>
      <w:u w:val="none"/>
    </w:rPr>
  </w:style>
  <w:style w:type="character" w:styleId="901" w:customStyle="1">
    <w:name w:val="font11"/>
    <w:basedOn w:val="855"/>
    <w:qFormat/>
    <w:rPr>
      <w:rFonts w:hint="eastAsia" w:ascii="宋体" w:hAnsi="宋体" w:eastAsia="宋体" w:cs="宋体"/>
      <w:color w:val="000000"/>
      <w:sz w:val="21"/>
      <w:szCs w:val="21"/>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3498368-821A-43A0-9657-B20EE0C8310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张林乔</cp:lastModifiedBy>
  <cp:revision>63</cp:revision>
  <dcterms:created xsi:type="dcterms:W3CDTF">2025-10-17T05:39:00Z</dcterms:created>
  <dcterms:modified xsi:type="dcterms:W3CDTF">2025-12-05T07:51:52Z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eyJoZGlkIjoiYWQzNmU2OGUyZTJkNTJmNjAwOWVmYmU0MWIzZGRjMDQiLCJ1c2VySWQiOiI0ODQxMTQzODcifQ==</vt:lpwstr>
  </property>
  <property fmtid="{D5CDD505-2E9C-101B-9397-08002B2CF9AE}" pid="3" name="KSOProductBuildVer">
    <vt:lpwstr>2052-12.1.0.23542</vt:lpwstr>
  </property>
  <property fmtid="{D5CDD505-2E9C-101B-9397-08002B2CF9AE}" pid="4" name="ICV">
    <vt:lpwstr>5F5F4BA501D44C419E8264B3A249FBA2_12</vt:lpwstr>
  </property>
</Properties>
</file>