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44"/>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44"/>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p>
    <w:p>
      <w:pPr>
        <w:pStyle w:val="944"/>
        <w:ind w:firstLine="1054"/>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44"/>
        <w:ind w:firstLine="1054"/>
        <w:rPr>
          <w:rFonts w:hint="eastAsia" w:ascii="Times New Roman" w:hAnsi="Times New Roman" w:eastAsia="宋体" w:cs="Times New Roman"/>
          <w:b/>
          <w:bCs/>
          <w:caps w:val="0"/>
          <w:color w:val="000000"/>
          <w:sz w:val="32"/>
          <w:lang w:val="en-US" w:eastAsia="zh-CN"/>
        </w:rPr>
      </w:pPr>
      <w:r>
        <w:rPr>
          <w:rFonts w:hint="eastAsia" w:ascii="Times New Roman" w:hAnsi="Times New Roman"/>
          <w:b/>
          <w:bCs/>
          <w:caps w:val="0"/>
          <w:color w:val="000000"/>
          <w:sz w:val="32"/>
        </w:rPr>
        <w:t xml:space="preserve">项目名称：</w:t>
      </w:r>
      <w:r>
        <w:rPr>
          <w:rFonts w:hint="eastAsia" w:ascii="Times New Roman" w:hAnsi="Times New Roman" w:cs="Times New Roman"/>
          <w:b/>
          <w:bCs/>
          <w:caps w:val="0"/>
          <w:color w:val="000000"/>
          <w:sz w:val="32"/>
          <w:lang w:val="en-US" w:eastAsia="zh-CN"/>
        </w:rPr>
        <w:t xml:space="preserve">2024年沭阳县动物疫病防治补助项目</w:t>
      </w:r>
      <w:r/>
    </w:p>
    <w:p>
      <w:pPr>
        <w:pStyle w:val="944"/>
        <w:ind w:firstLine="1054"/>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w:t>
      </w:r>
      <w:r>
        <w:rPr>
          <w:rFonts w:hint="eastAsia" w:ascii="Times New Roman" w:hAnsi="Times New Roman" w:eastAsia="宋体" w:cs="Times New Roman"/>
          <w:b/>
          <w:bCs/>
          <w:caps w:val="0"/>
          <w:color w:val="000000"/>
          <w:sz w:val="32"/>
          <w:lang w:val="en-US" w:eastAsia="zh-CN"/>
        </w:rPr>
        <w:t xml:space="preserve"> JSZC-321322-GSGS-G2024-0010     </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p>
    <w:p>
      <w:pPr>
        <w:pStyle w:val="944"/>
        <w:ind w:firstLine="988"/>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rPr>
        <w:t xml:space="preserve">专门面向中小企业）</w:t>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采购人：</w:t>
      </w:r>
      <w:r>
        <w:rPr>
          <w:rFonts w:hint="eastAsia" w:ascii="Times New Roman" w:hAnsi="Times New Roman" w:eastAsia="宋体" w:cs="Times New Roman"/>
          <w:b/>
          <w:bCs/>
          <w:caps w:val="0"/>
          <w:color w:val="000000"/>
          <w:sz w:val="32"/>
          <w:u w:val="single"/>
          <w:lang w:val="en-US" w:eastAsia="zh-CN"/>
        </w:rPr>
        <w:t xml:space="preserve">沭阳县农业农村局</w:t>
      </w:r>
      <w:r/>
    </w:p>
    <w:p>
      <w:pPr>
        <w:pStyle w:val="944"/>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江苏国双项目管理有限公司</w:t>
      </w:r>
      <w:r/>
    </w:p>
    <w:p>
      <w:pPr>
        <w:pStyle w:val="944"/>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lang w:val="en-US" w:eastAsia="zh-CN"/>
        </w:rPr>
        <w:t xml:space="preserve">2024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lang w:val="en-US" w:eastAsia="zh-CN"/>
        </w:rPr>
        <w:t xml:space="preserve">11</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lang w:val="en-US" w:eastAsia="zh-CN"/>
        </w:rPr>
        <w:t xml:space="preserve">29</w:t>
      </w:r>
      <w:r>
        <w:rPr>
          <w:rFonts w:hint="eastAsia" w:ascii="Times New Roman" w:hAnsi="Times New Roman"/>
          <w:b/>
          <w:bCs/>
          <w:caps w:val="0"/>
          <w:color w:val="000000"/>
          <w:sz w:val="32"/>
        </w:rPr>
        <w:t xml:space="preserve">日</w:t>
      </w:r>
      <w:r/>
    </w:p>
    <w:p>
      <w:pPr>
        <w:pStyle w:val="944"/>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p>
    <w:p>
      <w:pPr>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p>
    <w:p>
      <w:pPr>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numPr>
          <w:ilvl w:val="0"/>
          <w:numId w:val="4"/>
        </w:numPr>
        <w:spacing w:line="480" w:lineRule="auto"/>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46"/>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p>
    <w:p>
      <w:pPr>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沭阳县农业农村局</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lang w:val="en-US" w:eastAsia="zh-CN"/>
        </w:rPr>
        <w:t xml:space="preserve">江苏国双项目管理有限公司</w:t>
      </w:r>
      <w:r>
        <w:rPr>
          <w:rFonts w:hint="eastAsia" w:ascii="Times New Roman" w:hAnsi="Times New Roman"/>
          <w:caps w:val="0"/>
          <w:color w:val="000000"/>
          <w:sz w:val="24"/>
          <w:szCs w:val="24"/>
        </w:rPr>
        <w:t xml:space="preserve">就</w:t>
      </w:r>
      <w:r>
        <w:rPr>
          <w:rFonts w:hint="eastAsia"/>
          <w:caps w:val="0"/>
          <w:color w:val="000000"/>
          <w:sz w:val="24"/>
          <w:szCs w:val="24"/>
          <w:u w:val="single"/>
          <w:lang w:eastAsia="zh-CN"/>
        </w:rPr>
        <w:t xml:space="preserve">2024年沭阳县动物疫病防治补助项目</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JSZC-321322-GSGS-G2024-0010</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u w:val="single"/>
          <w:lang w:eastAsia="zh-CN"/>
        </w:rPr>
        <w:t xml:space="preserve">2024年沭阳县动物疫病防治补助项目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2024</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12</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20</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09：30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p>
    <w:p>
      <w:pPr>
        <w:pStyle w:val="848"/>
        <w:ind w:left="0" w:firstLine="643"/>
        <w:pageBreakBefore w:val="0"/>
        <w:spacing w:before="0" w:after="0" w:line="360" w:lineRule="auto"/>
        <w:rPr>
          <w:rFonts w:ascii="Times New Roman" w:hAnsi="Times New Roman"/>
          <w:caps w:val="0"/>
          <w:color w:val="000000"/>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1.项目编号：</w:t>
      </w:r>
      <w:r>
        <w:rPr>
          <w:rFonts w:hint="eastAsia"/>
          <w:caps w:val="0"/>
          <w:color w:val="000000"/>
          <w:sz w:val="24"/>
          <w:szCs w:val="24"/>
          <w:lang w:val="en-US" w:eastAsia="zh-CN"/>
        </w:rPr>
        <w:t xml:space="preserve">JSZC-321322-GSGS-G2024-0010</w:t>
      </w:r>
      <w:r/>
    </w:p>
    <w:p>
      <w:pPr>
        <w:ind w:left="0" w:firstLine="480"/>
        <w:keepLines w:val="0"/>
        <w:keepNext w:val="0"/>
        <w:pageBreakBefore w:val="0"/>
        <w:spacing w:line="560" w:lineRule="exact"/>
        <w:widowControl w:val="off"/>
        <w:rPr>
          <w:rFonts w:hint="eastAsia"/>
          <w:caps w:val="0"/>
          <w:color w:val="000000"/>
          <w:sz w:val="24"/>
          <w:szCs w:val="24"/>
          <w:lang w:val="en-US" w:eastAsia="zh-CN"/>
        </w:rPr>
      </w:pPr>
      <w:r>
        <w:rPr>
          <w:rFonts w:hint="eastAsia" w:ascii="Times New Roman" w:hAnsi="Times New Roman" w:eastAsia="宋体"/>
          <w:caps w:val="0"/>
          <w:color w:val="000000"/>
          <w:sz w:val="24"/>
          <w:szCs w:val="24"/>
        </w:rPr>
        <w:t xml:space="preserve">2.项目名称：</w:t>
      </w:r>
      <w:r>
        <w:rPr>
          <w:rFonts w:hint="eastAsia"/>
          <w:caps w:val="0"/>
          <w:color w:val="000000"/>
          <w:sz w:val="24"/>
          <w:szCs w:val="24"/>
          <w:lang w:eastAsia="zh-CN"/>
        </w:rPr>
        <w:t xml:space="preserve">2024年沭阳县动物疫病防治补助项目</w:t>
      </w:r>
      <w:bookmarkEnd w:id="11"/>
      <w:r>
        <w:rPr>
          <w:rFonts w:hint="eastAsia"/>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3.预算金额：</w:t>
      </w:r>
      <w:r>
        <w:rPr>
          <w:rFonts w:hint="eastAsia"/>
          <w:caps w:val="0"/>
          <w:color w:val="000000"/>
          <w:sz w:val="24"/>
          <w:szCs w:val="24"/>
          <w:lang w:val="en-US" w:eastAsia="zh-CN"/>
        </w:rPr>
        <w:t xml:space="preserve">70.61</w:t>
      </w:r>
      <w:r>
        <w:rPr>
          <w:rFonts w:hint="eastAsia" w:eastAsia="宋体"/>
          <w:caps w:val="0"/>
          <w:color w:val="000000"/>
          <w:sz w:val="24"/>
          <w:szCs w:val="24"/>
          <w:lang w:val="en-US" w:eastAsia="zh-CN"/>
        </w:rPr>
        <w:t xml:space="preserve">万元</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ascii="Times New Roman" w:hAnsi="Times New Roman" w:eastAsia="宋体"/>
          <w:caps w:val="0"/>
          <w:color w:val="000000"/>
          <w:sz w:val="24"/>
          <w:szCs w:val="24"/>
          <w:u w:val="single"/>
        </w:rPr>
        <w:t xml:space="preserve">设定</w:t>
      </w:r>
      <w:r>
        <w:rPr>
          <w:rFonts w:hint="eastAsia" w:ascii="Times New Roman" w:hAnsi="Times New Roman" w:eastAsia="宋体"/>
          <w:caps w:val="0"/>
          <w:color w:val="000000"/>
          <w:sz w:val="24"/>
          <w:szCs w:val="24"/>
        </w:rPr>
        <w:t xml:space="preserve">最高限价，最高限价为</w:t>
      </w:r>
      <w:r>
        <w:rPr>
          <w:rFonts w:hint="eastAsia"/>
          <w:caps w:val="0"/>
          <w:color w:val="000000"/>
          <w:sz w:val="24"/>
          <w:szCs w:val="24"/>
          <w:u w:val="single"/>
          <w:lang w:val="en-US" w:eastAsia="zh-CN"/>
        </w:rPr>
        <w:t xml:space="preserve">70.61</w:t>
      </w:r>
      <w:r>
        <w:rPr>
          <w:rFonts w:hint="eastAsia" w:ascii="Times New Roman" w:hAnsi="Times New Roman" w:eastAsia="宋体"/>
          <w:caps w:val="0"/>
          <w:color w:val="000000"/>
          <w:sz w:val="24"/>
          <w:szCs w:val="24"/>
        </w:rPr>
        <w:t xml:space="preserve">万元。</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u w:val="single"/>
          <w:lang w:eastAsia="zh-CN"/>
        </w:rPr>
      </w:pPr>
      <w:r>
        <w:rPr>
          <w:rFonts w:hint="eastAsia" w:ascii="Times New Roman" w:hAnsi="Times New Roman" w:eastAsia="宋体"/>
          <w:caps w:val="0"/>
          <w:color w:val="000000"/>
          <w:sz w:val="24"/>
          <w:szCs w:val="24"/>
        </w:rPr>
        <w:t xml:space="preserve">5.采购需求（简介）：</w:t>
      </w:r>
      <w:r>
        <w:rPr>
          <w:rFonts w:hint="eastAsia" w:eastAsia="宋体"/>
          <w:caps w:val="0"/>
          <w:color w:val="000000"/>
          <w:sz w:val="24"/>
          <w:szCs w:val="24"/>
          <w:lang w:eastAsia="zh-CN"/>
        </w:rPr>
        <w:t xml:space="preserve">项目内容包括全自动洗板机、升级净化场检测、“三灭三消”行动等</w:t>
      </w:r>
      <w:r>
        <w:rPr>
          <w:rFonts w:hint="eastAsia"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详细内容见本招标文件</w:t>
      </w:r>
      <w:r>
        <w:rPr>
          <w:rFonts w:hint="eastAsia" w:eastAsia="宋体" w:cs="宋体"/>
          <w:caps w:val="0"/>
          <w:color w:val="000000"/>
          <w:sz w:val="24"/>
          <w:szCs w:val="24"/>
          <w:lang w:eastAsia="zh-CN"/>
        </w:rPr>
        <w:t xml:space="preserve">采购需求。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ascii="Times New Roman" w:hAnsi="Times New Roman" w:eastAsia="宋体" w:cs="Times New Roman"/>
          <w:caps w:val="0"/>
          <w:color w:val="000000"/>
          <w:sz w:val="24"/>
          <w:szCs w:val="24"/>
          <w:highlight w:val="none"/>
          <w:lang w:val="en-US" w:eastAsia="zh-CN"/>
        </w:rPr>
        <w:t xml:space="preserve">合同生效之日起</w:t>
      </w:r>
      <w:r>
        <w:rPr>
          <w:rFonts w:hint="eastAsia" w:eastAsia="宋体" w:cs="Times New Roman"/>
          <w:caps w:val="0"/>
          <w:color w:val="000000"/>
          <w:sz w:val="24"/>
          <w:szCs w:val="24"/>
          <w:highlight w:val="none"/>
          <w:lang w:val="en-US" w:eastAsia="zh-CN"/>
        </w:rPr>
        <w:t xml:space="preserve">30日历天。</w:t>
      </w:r>
      <w:r>
        <w:rPr>
          <w:rFonts w:hint="eastAsia" w:ascii="Times New Roman" w:hAnsi="Times New Roman" w:eastAsia="宋体" w:cs="Times New Roman"/>
          <w:caps w:val="0"/>
          <w:color w:val="000000"/>
          <w:sz w:val="24"/>
          <w:szCs w:val="24"/>
          <w:highlight w:val="none"/>
          <w:lang w:val="en-US" w:eastAsia="zh-CN"/>
        </w:rPr>
        <w:t xml:space="preserve"> </w:t>
      </w:r>
      <w:r>
        <w:rPr>
          <w:rFonts w:hint="eastAsia" w:ascii="Times New Roman" w:hAnsi="Times New Roman" w:eastAsia="宋体" w:cs="Times New Roman"/>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eastAsia="宋体" w:cs="Times New Roman"/>
          <w:caps w:val="0"/>
          <w:color w:val="000000"/>
          <w:sz w:val="24"/>
          <w:szCs w:val="24"/>
          <w:u w:val="single"/>
          <w:lang w:val="en-US" w:eastAsia="zh-CN"/>
        </w:rPr>
        <w:t xml:space="preserve">不接受 </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p>
    <w:p>
      <w:pPr>
        <w:pStyle w:val="848"/>
        <w:ind w:left="0" w:firstLine="643"/>
        <w:pageBreakBefore w:val="0"/>
        <w:spacing w:before="0" w:after="0" w:line="360" w:lineRule="auto"/>
        <w:rPr>
          <w:rFonts w:ascii="Times New Roman" w:hAnsi="Times New Roman"/>
          <w:caps w:val="0"/>
          <w:color w:val="000000"/>
        </w:rPr>
      </w:pPr>
      <w:r/>
      <w:bookmarkStart w:id="12" w:name="_Toc35393622"/>
      <w:r/>
      <w:bookmarkStart w:id="13" w:name="_Toc38985264"/>
      <w:r/>
      <w:bookmarkStart w:id="14" w:name="_Toc28359080"/>
      <w:r/>
      <w:bookmarkStart w:id="15" w:name="_Toc35393791"/>
      <w:r/>
      <w:bookmarkStart w:id="16" w:name="_Toc28359003"/>
      <w:r>
        <w:rPr>
          <w:rFonts w:hint="eastAsia" w:ascii="Times New Roman" w:hAnsi="Times New Roman"/>
          <w:caps w:val="0"/>
          <w:color w:val="000000"/>
        </w:rPr>
        <w:t xml:space="preserve">二、申请人的资格要求：</w:t>
      </w:r>
      <w:bookmarkEnd w:id="12"/>
      <w:r/>
      <w:bookmarkEnd w:id="13"/>
      <w:r/>
      <w:bookmarkEnd w:id="14"/>
      <w:r/>
      <w:bookmarkEnd w:id="15"/>
      <w:r/>
      <w:bookmarkEnd w:id="16"/>
      <w:r/>
      <w:r/>
    </w:p>
    <w:p>
      <w:pPr>
        <w:ind w:left="0" w:firstLine="480"/>
        <w:pageBreakBefore w:val="0"/>
        <w:rPr>
          <w:rFonts w:hint="eastAsia" w:ascii="Times New Roman" w:hAnsi="Times New Roman" w:eastAsia="宋体"/>
          <w:color w:val="000000"/>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Times New Roman" w:hAnsi="Times New Roman" w:eastAsia="宋体"/>
          <w:color w:val="000000"/>
          <w:sz w:val="24"/>
          <w:szCs w:val="24"/>
        </w:rPr>
        <w:t xml:space="preserve">（一</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通用</w:t>
      </w:r>
      <w:r>
        <w:rPr>
          <w:rFonts w:ascii="Times New Roman" w:hAnsi="Times New Roman" w:eastAsia="宋体"/>
          <w:color w:val="000000"/>
          <w:sz w:val="24"/>
          <w:szCs w:val="24"/>
        </w:rPr>
        <w:t xml:space="preserve">资格要求</w:t>
      </w:r>
      <w:r/>
    </w:p>
    <w:p>
      <w:pPr>
        <w:ind w:left="0" w:firstLine="480"/>
        <w:pageBreakBefore w:val="0"/>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1.具备《中华人民共和国政府采购法》第二十二条第一款规定的6项条件（按要求提供声明及信用承诺）；</w:t>
      </w:r>
      <w:r/>
    </w:p>
    <w:p>
      <w:pPr>
        <w:ind w:left="0" w:firstLine="480"/>
        <w:pageBreakBefore w:val="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2.信用信息。信用信息查询渠道：“信用中国”网（www.creditchina.gov.cn）、“中国政府采购”网（www.ccgp.gov.cn）、江苏政府采购网（www.ccgp-jiangsu.gov.cn）。    </w:t>
      </w:r>
      <w:r/>
    </w:p>
    <w:p>
      <w:pPr>
        <w:ind w:left="0" w:firstLine="480"/>
        <w:pageBreakBefore w:val="0"/>
        <w:rPr>
          <w:rFonts w:hint="eastAsia" w:ascii="Times New Roman" w:hAnsi="Times New Roman" w:eastAsia="宋体"/>
          <w:color w:val="000000"/>
          <w:sz w:val="36"/>
          <w:szCs w:val="36"/>
        </w:rPr>
      </w:pPr>
      <w:r>
        <w:rPr>
          <w:rFonts w:hint="eastAsia" w:ascii="Times New Roman" w:hAnsi="Times New Roman" w:eastAsia="宋体"/>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480"/>
        <w:pageBreakBefore w:val="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left="0" w:firstLine="480"/>
        <w:pageBreakBefore w:val="0"/>
        <w:rPr>
          <w:rFonts w:hint="eastAsia" w:ascii="Times New Roman" w:hAnsi="Times New Roman" w:eastAsia="宋体"/>
          <w:caps w:val="0"/>
          <w:color w:val="000000"/>
          <w:sz w:val="24"/>
          <w:szCs w:val="24"/>
          <w:lang w:eastAsia="zh-CN"/>
        </w:rPr>
      </w:pPr>
      <w:r>
        <w:rPr>
          <w:rFonts w:hint="eastAsia" w:ascii="Times New Roman" w:hAnsi="Times New Roman"/>
          <w:color w:val="000000"/>
          <w:sz w:val="24"/>
          <w:szCs w:val="24"/>
        </w:rPr>
        <w:t xml:space="preserve">（二）本项目的特定资格要求</w:t>
      </w:r>
      <w:r>
        <w:rPr>
          <w:rFonts w:hint="eastAsia" w:ascii="Times New Roman" w:hAnsi="Times New Roman"/>
          <w:color w:val="000000"/>
          <w:sz w:val="24"/>
          <w:szCs w:val="24"/>
          <w:lang w:eastAsia="zh-CN"/>
        </w:rPr>
        <w:t xml:space="preserve">：投标人须具有兽药经营许可证</w:t>
      </w:r>
      <w:r>
        <w:rPr>
          <w:rFonts w:hint="eastAsia"/>
          <w:color w:val="000000"/>
          <w:sz w:val="24"/>
          <w:szCs w:val="24"/>
          <w:lang w:eastAsia="zh-CN"/>
        </w:rPr>
        <w:t xml:space="preserve">或者兽用生物制品经营许可证</w:t>
      </w:r>
      <w:r>
        <w:rPr>
          <w:rFonts w:hint="eastAsia" w:ascii="Times New Roman" w:hAnsi="Times New Roman"/>
          <w:color w:val="000000"/>
          <w:sz w:val="24"/>
          <w:szCs w:val="24"/>
          <w:lang w:eastAsia="zh-CN"/>
        </w:rPr>
        <w:t xml:space="preserve">（需在有效期内）。</w:t>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cs="宋体"/>
          <w:caps w:val="0"/>
          <w:color w:val="000000"/>
          <w:sz w:val="24"/>
          <w:szCs w:val="24"/>
          <w:highlight w:val="none"/>
          <w:lang w:val="en-US" w:eastAsia="zh-CN"/>
        </w:rPr>
        <w:t xml:space="preserve">自发布之日五个工作日</w:t>
      </w:r>
      <w:r>
        <w:rPr>
          <w:rFonts w:hint="eastAsia" w:ascii="Times New Roman" w:hAnsi="Times New Roman" w:eastAsia="宋体" w:cs="宋体"/>
          <w:caps w:val="0"/>
          <w:color w:val="000000"/>
          <w:sz w:val="24"/>
          <w:szCs w:val="24"/>
          <w:highlight w:val="none"/>
        </w:rPr>
        <w:t xml:space="preserve">。</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
    </w:p>
    <w:p>
      <w:pPr>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2024</w:t>
      </w:r>
      <w:r>
        <w:rPr>
          <w:rFonts w:hint="eastAsia" w:ascii="Times New Roman" w:hAnsi="Times New Roman" w:eastAsia="宋体"/>
          <w:bCs/>
          <w:caps w:val="0"/>
          <w:color w:val="000000"/>
          <w:sz w:val="24"/>
          <w:szCs w:val="24"/>
          <w:u w:val="single"/>
        </w:rPr>
        <w:t xml:space="preserve">年</w:t>
      </w:r>
      <w:r>
        <w:rPr>
          <w:rFonts w:hint="eastAsia"/>
          <w:bCs/>
          <w:caps w:val="0"/>
          <w:color w:val="000000"/>
          <w:sz w:val="24"/>
          <w:szCs w:val="24"/>
          <w:u w:val="single"/>
          <w:lang w:val="en-US" w:eastAsia="zh-CN"/>
        </w:rPr>
        <w:t xml:space="preserve">12</w:t>
      </w:r>
      <w:r>
        <w:rPr>
          <w:rFonts w:hint="eastAsia" w:ascii="Times New Roman" w:hAnsi="Times New Roman" w:eastAsia="宋体"/>
          <w:bCs/>
          <w:caps w:val="0"/>
          <w:color w:val="000000"/>
          <w:sz w:val="24"/>
          <w:szCs w:val="24"/>
          <w:u w:val="single"/>
        </w:rPr>
        <w:t xml:space="preserve">月</w:t>
      </w:r>
      <w:r>
        <w:rPr>
          <w:rFonts w:hint="eastAsia"/>
          <w:bCs/>
          <w:caps w:val="0"/>
          <w:color w:val="000000"/>
          <w:sz w:val="24"/>
          <w:szCs w:val="24"/>
          <w:u w:val="single"/>
          <w:lang w:val="en-US" w:eastAsia="zh-CN"/>
        </w:rPr>
        <w:t xml:space="preserve">20</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p>
    <w:p>
      <w:pPr>
        <w:pStyle w:val="848"/>
        <w:ind w:left="0" w:firstLine="643"/>
        <w:pageBreakBefore w:val="0"/>
        <w:spacing w:before="0" w:after="0" w:line="360" w:lineRule="auto"/>
        <w:rPr>
          <w:rFonts w:ascii="Times New Roman" w:hAnsi="Times New Roman"/>
          <w:caps w:val="0"/>
          <w:color w:val="000000"/>
        </w:rPr>
      </w:pPr>
      <w:r/>
      <w:bookmarkStart w:id="28" w:name="_Toc28359084"/>
      <w:r/>
      <w:bookmarkStart w:id="29" w:name="_Toc28359007"/>
      <w:r/>
      <w:bookmarkStart w:id="30" w:name="_Toc35393794"/>
      <w:r/>
      <w:bookmarkStart w:id="31" w:name="_Toc35393625"/>
      <w:r/>
      <w:bookmarkStart w:id="32" w:name="_Toc38985267"/>
      <w:r>
        <w:rPr>
          <w:rFonts w:hint="eastAsia" w:ascii="Times New Roman" w:hAnsi="Times New Roman"/>
          <w:caps w:val="0"/>
          <w:color w:val="000000"/>
        </w:rPr>
        <w:t xml:space="preserve">五、公告期限</w:t>
      </w:r>
      <w:bookmarkEnd w:id="28"/>
      <w:r/>
      <w:bookmarkEnd w:id="29"/>
      <w:r/>
      <w:bookmarkEnd w:id="30"/>
      <w:r/>
      <w:bookmarkEnd w:id="31"/>
      <w:r/>
      <w:bookmarkEnd w:id="32"/>
      <w:r/>
      <w:r/>
    </w:p>
    <w:p>
      <w:pPr>
        <w:ind w:left="0" w:firstLine="480"/>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5393795"/>
      <w:r/>
      <w:bookmarkStart w:id="34" w:name="_Toc35393626"/>
      <w:r/>
      <w:bookmarkStart w:id="35" w:name="_Toc38985268"/>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6" w:name="EB64e1f522fd8c43fcb4d3ba471386b3e7"/>
      <w:r/>
      <w:bookmarkStart w:id="37" w:name="_Toc28359008"/>
      <w:r/>
      <w:bookmarkStart w:id="38" w:name="_Toc38985269"/>
      <w:r/>
      <w:bookmarkStart w:id="39" w:name="_Toc28359085"/>
      <w:r/>
      <w:bookmarkStart w:id="40" w:name="_Toc35393627"/>
      <w:r/>
      <w:bookmarkStart w:id="41" w:name="_Toc35393796"/>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财政部门监督电话：0527-83559270</w:t>
      </w:r>
      <w:r>
        <w:rPr>
          <w:rFonts w:hint="eastAsia" w:ascii="Times New Roman" w:hAnsi="Times New Roman" w:eastAsia="宋体" w:cs="Times New Roman"/>
          <w:caps w:val="0"/>
          <w:color w:val="000000"/>
          <w:sz w:val="24"/>
          <w:highlight w:val="whit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3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p>
    <w:p>
      <w:pPr>
        <w:pStyle w:val="931"/>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bookmarkEnd w:id="36"/>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7"/>
      <w:r/>
      <w:bookmarkEnd w:id="38"/>
      <w:r/>
      <w:bookmarkEnd w:id="39"/>
      <w:r/>
      <w:bookmarkEnd w:id="40"/>
      <w:r/>
      <w:bookmarkEnd w:id="41"/>
      <w:r/>
      <w:r/>
    </w:p>
    <w:p>
      <w:pPr>
        <w:ind w:left="0" w:firstLine="56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cs="宋体"/>
          <w:caps w:val="0"/>
          <w:color w:val="000000"/>
          <w:sz w:val="24"/>
          <w:szCs w:val="24"/>
        </w:rPr>
        <w:t xml:space="preserve">1.采购人信息</w:t>
      </w:r>
      <w:r/>
    </w:p>
    <w:p>
      <w:pPr>
        <w:ind w:left="0" w:firstLine="480"/>
        <w:jc w:val="left"/>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caps w:val="0"/>
          <w:color w:val="000000"/>
          <w:sz w:val="24"/>
          <w:szCs w:val="24"/>
          <w:u w:val="single"/>
          <w:lang w:eastAsia="zh-CN"/>
        </w:rPr>
        <w:t xml:space="preserve">沭阳县农业农村局</w:t>
      </w:r>
      <w:r/>
    </w:p>
    <w:p>
      <w:pPr>
        <w:ind w:left="0" w:firstLine="480"/>
        <w:jc w:val="left"/>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地址：</w:t>
      </w:r>
      <w:r>
        <w:rPr>
          <w:rFonts w:hint="eastAsia"/>
          <w:caps w:val="0"/>
          <w:color w:val="000000"/>
          <w:sz w:val="24"/>
          <w:szCs w:val="24"/>
          <w:u w:val="single"/>
          <w:lang w:eastAsia="zh-CN"/>
        </w:rPr>
        <w:t xml:space="preserve">沭阳县学院路</w:t>
      </w:r>
      <w:r>
        <w:rPr>
          <w:rFonts w:hint="eastAsia"/>
          <w:caps w:val="0"/>
          <w:color w:val="000000"/>
          <w:sz w:val="24"/>
          <w:szCs w:val="24"/>
          <w:u w:val="single"/>
          <w:lang w:val="en-US" w:eastAsia="zh-CN"/>
        </w:rPr>
        <w:t xml:space="preserve">5号</w:t>
      </w:r>
      <w:r/>
    </w:p>
    <w:p>
      <w:pPr>
        <w:ind w:left="0" w:firstLine="480"/>
        <w:jc w:val="left"/>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王成程</w:t>
      </w:r>
      <w:r/>
    </w:p>
    <w:p>
      <w:pPr>
        <w:ind w:left="0" w:firstLine="480"/>
        <w:jc w:val="left"/>
        <w:keepLines w:val="0"/>
        <w:keepNext w:val="0"/>
        <w:pageBreakBefore w:val="0"/>
        <w:spacing w:line="560" w:lineRule="exact"/>
        <w:rPr>
          <w:rFonts w:ascii="Times New Roman" w:hAnsi="Times New Roman" w:eastAsia="宋体"/>
          <w:caps w:val="0"/>
          <w:color w:val="000000"/>
          <w:sz w:val="24"/>
          <w:szCs w:val="24"/>
          <w:u w:val="single"/>
          <w:lang w:val="en-US" w:eastAsia="zh-CN"/>
        </w:rPr>
      </w:pPr>
      <w:r>
        <w:rPr>
          <w:rFonts w:hint="eastAsia" w:ascii="Times New Roman" w:hAnsi="Times New Roman"/>
          <w:caps w:val="0"/>
          <w:color w:val="000000"/>
          <w:sz w:val="24"/>
          <w:szCs w:val="24"/>
        </w:rPr>
        <w:t xml:space="preserve">联系方式：</w:t>
      </w:r>
      <w:bookmarkStart w:id="42" w:name="_Toc28359009"/>
      <w:r/>
      <w:bookmarkStart w:id="43" w:name="_Toc28359086"/>
      <w:r>
        <w:rPr>
          <w:rFonts w:hint="eastAsia"/>
          <w:caps w:val="0"/>
          <w:color w:val="000000"/>
          <w:sz w:val="24"/>
          <w:szCs w:val="24"/>
          <w:u w:val="single"/>
          <w:lang w:val="en-US" w:eastAsia="zh-CN"/>
        </w:rPr>
        <w:t xml:space="preserve">13951459836</w:t>
      </w:r>
      <w:r/>
    </w:p>
    <w:p>
      <w:pPr>
        <w:ind w:left="0" w:firstLine="48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2"/>
      <w:r/>
      <w:bookmarkEnd w:id="43"/>
      <w:r>
        <w:rPr>
          <w:rFonts w:hint="eastAsia" w:ascii="Times New Roman" w:hAnsi="Times New Roman" w:eastAsia="宋体" w:cs="宋体"/>
          <w:caps w:val="0"/>
          <w:color w:val="000000"/>
          <w:sz w:val="24"/>
          <w:szCs w:val="24"/>
        </w:rPr>
        <w:t xml:space="preserve">采购代理机构信息</w:t>
      </w:r>
      <w:r/>
    </w:p>
    <w:p>
      <w:pPr>
        <w:ind w:left="0" w:firstLine="4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lang w:eastAsia="zh-CN"/>
        </w:rPr>
        <w:t xml:space="preserve">江苏国双项目管理有限公司</w:t>
      </w:r>
      <w:r/>
    </w:p>
    <w:p>
      <w:pPr>
        <w:ind w:left="0" w:firstLine="480"/>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　址：</w:t>
      </w:r>
      <w:r>
        <w:rPr>
          <w:rFonts w:hint="eastAsia"/>
          <w:caps w:val="0"/>
          <w:color w:val="000000"/>
          <w:sz w:val="24"/>
          <w:szCs w:val="24"/>
          <w:u w:val="single"/>
          <w:lang w:eastAsia="zh-CN"/>
        </w:rPr>
        <w:t xml:space="preserve">沭阳县台州北路</w:t>
      </w:r>
      <w:r>
        <w:rPr>
          <w:rFonts w:hint="eastAsia"/>
          <w:caps w:val="0"/>
          <w:color w:val="000000"/>
          <w:sz w:val="24"/>
          <w:szCs w:val="24"/>
          <w:u w:val="single"/>
          <w:lang w:val="en-US" w:eastAsia="zh-CN"/>
        </w:rPr>
        <w:t xml:space="preserve">3号</w:t>
      </w:r>
      <w:r/>
    </w:p>
    <w:p>
      <w:pPr>
        <w:ind w:left="0" w:firstLine="480"/>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胡婷婷</w:t>
      </w:r>
      <w:r/>
    </w:p>
    <w:p>
      <w:pPr>
        <w:ind w:left="0" w:firstLine="480"/>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联系方式：</w:t>
      </w:r>
      <w:bookmarkStart w:id="44" w:name="_Toc28359087"/>
      <w:r/>
      <w:bookmarkStart w:id="45" w:name="_Toc28359010"/>
      <w:r>
        <w:rPr>
          <w:rFonts w:hint="eastAsia"/>
          <w:caps w:val="0"/>
          <w:color w:val="000000"/>
          <w:sz w:val="24"/>
          <w:szCs w:val="24"/>
          <w:u w:val="single"/>
          <w:lang w:val="en-US" w:eastAsia="zh-CN"/>
        </w:rPr>
        <w:t xml:space="preserve">15261212399</w:t>
      </w:r>
      <w:bookmarkEnd w:id="44"/>
      <w:bookmarkEnd w:id="45"/>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八、其他</w:t>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有关本次招标的事项若存在变动或修改，敬请及时关注“宿迁市政府采购网”更正公告。</w:t>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ind w:right="840"/>
        <w:rPr>
          <w:rFonts w:hint="eastAsia" w:ascii="Times New Roman" w:hAnsi="Times New Roman"/>
          <w:caps w:val="0"/>
          <w:color w:val="000000"/>
          <w:sz w:val="24"/>
          <w:szCs w:val="24"/>
        </w:rPr>
      </w:pPr>
      <w:r>
        <w:rPr>
          <w:rFonts w:ascii="Times New Roman" w:hAnsi="Times New Roman"/>
          <w:caps w:val="0"/>
          <w:color w:val="000000"/>
          <w:sz w:val="24"/>
          <w:szCs w:val="24"/>
        </w:rPr>
        <w:br w:type="page" w:clear="all"/>
      </w:r>
      <w:r/>
    </w:p>
    <w:p>
      <w:pPr>
        <w:pStyle w:val="847"/>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16938518"/>
      <w:r/>
      <w:bookmarkStart w:id="48" w:name="_Toc513029202"/>
      <w:r/>
      <w:bookmarkStart w:id="49" w:name="_Toc20823274"/>
      <w:r/>
      <w:bookmarkStart w:id="50" w:name="_Toc120614213"/>
      <w:r>
        <w:rPr>
          <w:rFonts w:hint="eastAsia" w:ascii="Times New Roman" w:hAnsi="Times New Roman" w:eastAsia="黑体"/>
          <w:caps w:val="0"/>
          <w:color w:val="000000"/>
        </w:rPr>
        <w:t xml:space="preserve">投标人须知</w:t>
      </w:r>
      <w:bookmarkEnd w:id="47"/>
      <w:r/>
      <w:bookmarkEnd w:id="48"/>
      <w:r/>
      <w:bookmarkEnd w:id="49"/>
      <w:r/>
      <w:bookmarkEnd w:id="50"/>
      <w:r/>
      <w:r/>
    </w:p>
    <w:p>
      <w:pPr>
        <w:pStyle w:val="848"/>
        <w:ind w:left="0" w:firstLine="498"/>
        <w:pageBreakBefore w:val="0"/>
        <w:spacing w:before="0" w:after="0" w:line="560" w:lineRule="exact"/>
        <w:widowControl w:val="off"/>
        <w:rPr>
          <w:rFonts w:hint="eastAsia" w:ascii="Times New Roman" w:hAnsi="Times New Roman"/>
          <w:caps w:val="0"/>
          <w:color w:val="000000"/>
        </w:rPr>
      </w:pPr>
      <w:r/>
      <w:bookmarkStart w:id="51" w:name="_Toc513029203"/>
      <w:r/>
      <w:bookmarkStart w:id="52" w:name="_Toc120614214"/>
      <w:r/>
      <w:bookmarkStart w:id="53" w:name="_Toc16938519"/>
      <w:r/>
      <w:bookmarkStart w:id="54" w:name="_Toc20823275"/>
      <w:r>
        <w:rPr>
          <w:rFonts w:hint="eastAsia" w:ascii="Times New Roman" w:hAnsi="Times New Roman"/>
          <w:caps w:val="0"/>
          <w:color w:val="000000"/>
        </w:rPr>
        <w:t xml:space="preserve">一、总则</w:t>
      </w:r>
      <w:bookmarkEnd w:id="51"/>
      <w:r/>
      <w:bookmarkEnd w:id="52"/>
      <w:r/>
      <w:bookmarkEnd w:id="53"/>
      <w:r/>
      <w:bookmarkEnd w:id="54"/>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60" w:name="_Toc513029205"/>
      <w:r/>
      <w:bookmarkStart w:id="61" w:name="_Toc20823277"/>
      <w:r/>
      <w:bookmarkStart w:id="62" w:name="_Toc16938521"/>
      <w:r>
        <w:rPr>
          <w:rFonts w:hint="eastAsia" w:ascii="Times New Roman" w:hAnsi="Times New Roman"/>
          <w:b w:val="0"/>
          <w:bCs w:val="0"/>
          <w:caps w:val="0"/>
          <w:color w:val="000000"/>
        </w:rPr>
        <w:t xml:space="preserve">2、合格的投标人</w:t>
      </w:r>
      <w:bookmarkEnd w:id="60"/>
      <w:r/>
      <w:bookmarkEnd w:id="61"/>
      <w:r/>
      <w:bookmarkEnd w:id="62"/>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63" w:name="_Toc513029206"/>
      <w:r/>
      <w:bookmarkStart w:id="64" w:name="_Toc20823278"/>
      <w:r/>
      <w:bookmarkStart w:id="65" w:name="_Toc16938522"/>
      <w:r>
        <w:rPr>
          <w:rFonts w:hint="eastAsia" w:ascii="Times New Roman" w:hAnsi="Times New Roman"/>
          <w:b w:val="0"/>
          <w:bCs w:val="0"/>
          <w:caps w:val="0"/>
          <w:color w:val="000000"/>
        </w:rPr>
        <w:t xml:space="preserve">3、适用法律</w:t>
      </w:r>
      <w:bookmarkEnd w:id="63"/>
      <w:r/>
      <w:bookmarkEnd w:id="64"/>
      <w:r/>
      <w:bookmarkEnd w:id="65"/>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Toc20823279"/>
      <w:r/>
      <w:bookmarkStart w:id="67" w:name="_Toc462564067"/>
      <w:r/>
      <w:bookmarkStart w:id="68" w:name="_Toc16938523"/>
      <w:r/>
      <w:bookmarkStart w:id="69" w:name="_Toc513029207"/>
      <w:r>
        <w:rPr>
          <w:rFonts w:hint="eastAsia" w:ascii="Times New Roman" w:hAnsi="Times New Roman"/>
          <w:b w:val="0"/>
          <w:bCs w:val="0"/>
          <w:caps w:val="0"/>
          <w:color w:val="000000"/>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none"/>
          <w:lang w:val="en-US" w:eastAsia="zh-CN"/>
        </w:rPr>
        <w:t xml:space="preserve">江苏国双项目管理有限公司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ascii="Times New Roman" w:hAnsi="Times New Roman" w:eastAsia="宋体" w:cs="Times New Roman"/>
          <w:caps w:val="0"/>
          <w:color w:val="000000"/>
          <w:sz w:val="24"/>
          <w:szCs w:val="21"/>
          <w:highlight w:val="none"/>
          <w:u w:val="none"/>
          <w:lang w:val="en-US" w:eastAsia="zh-CN"/>
        </w:rPr>
        <w:t xml:space="preserve">2</w:t>
      </w:r>
      <w:r>
        <w:rPr>
          <w:rFonts w:hint="eastAsia" w:ascii="Times New Roman" w:hAnsi="Times New Roman" w:eastAsia="宋体" w:cs="Times New Roman"/>
          <w:caps w:val="0"/>
          <w:color w:val="000000"/>
          <w:sz w:val="24"/>
          <w:szCs w:val="21"/>
          <w:highlight w:val="none"/>
          <w:u w:val="none"/>
        </w:rPr>
        <w:t xml:space="preserve"> </w:t>
      </w:r>
      <w:r>
        <w:rPr>
          <w:rFonts w:hint="eastAsia" w:ascii="Times New Roman" w:hAnsi="Times New Roman" w:eastAsia="宋体" w:cs="Times New Roman"/>
          <w:caps w:val="0"/>
          <w:color w:val="000000"/>
          <w:sz w:val="24"/>
          <w:szCs w:val="21"/>
        </w:rPr>
        <w:t xml:space="preserve">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1无需支付；</w:t>
      </w:r>
      <w:r/>
    </w:p>
    <w:p>
      <w:pPr>
        <w:pStyle w:val="931"/>
        <w:ind w:left="0" w:firstLine="48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2采购人支付，具体方式及标准为：</w:t>
      </w:r>
      <w:r>
        <w:rPr>
          <w:rFonts w:hint="eastAsia" w:ascii="Times New Roman" w:hAnsi="Times New Roman" w:eastAsia="宋体" w:cs="Times New Roman"/>
          <w:caps w:val="0"/>
          <w:color w:val="000000"/>
          <w:sz w:val="24"/>
          <w:szCs w:val="21"/>
          <w:highlight w:val="none"/>
          <w:u w:val="none"/>
          <w:lang w:val="zh-CN"/>
        </w:rPr>
        <w:t xml:space="preserve">按照</w:t>
      </w:r>
      <w:r>
        <w:rPr>
          <w:rFonts w:hint="eastAsia" w:ascii="Times New Roman" w:hAnsi="Times New Roman" w:eastAsia="宋体" w:cs="Times New Roman"/>
          <w:caps w:val="0"/>
          <w:color w:val="000000"/>
          <w:sz w:val="24"/>
          <w:szCs w:val="21"/>
          <w:highlight w:val="none"/>
          <w:u w:val="none"/>
          <w:lang w:val="en-US" w:eastAsia="zh-CN"/>
        </w:rPr>
        <w:t xml:space="preserve">苏招协【2022】002号</w:t>
      </w:r>
      <w:bookmarkStart w:id="223" w:name="_GoBack"/>
      <w:r/>
      <w:bookmarkEnd w:id="223"/>
      <w:r>
        <w:rPr>
          <w:rFonts w:hint="eastAsia" w:ascii="Times New Roman" w:hAnsi="Times New Roman" w:eastAsia="宋体" w:cs="Times New Roman"/>
          <w:caps w:val="0"/>
          <w:color w:val="000000"/>
          <w:sz w:val="24"/>
          <w:szCs w:val="21"/>
          <w:highlight w:val="none"/>
          <w:u w:val="none"/>
          <w:lang w:val="en-US" w:eastAsia="zh-CN"/>
        </w:rPr>
        <w:t xml:space="preserve">文件规定标准向招标代理机构支付代理服务费（支持数字人民币形式支付）。   </w:t>
      </w:r>
      <w:r/>
    </w:p>
    <w:p>
      <w:pPr>
        <w:pStyle w:val="850"/>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p>
    <w:p>
      <w:pPr>
        <w:pStyle w:val="848"/>
        <w:ind w:left="0" w:firstLine="321"/>
        <w:pageBreakBefore w:val="0"/>
        <w:spacing w:before="0" w:after="0" w:line="560" w:lineRule="exact"/>
        <w:rPr>
          <w:rFonts w:hint="eastAsia" w:ascii="Times New Roman" w:hAnsi="Times New Roman"/>
          <w:caps w:val="0"/>
          <w:color w:val="000000"/>
        </w:rPr>
      </w:pPr>
      <w:r/>
      <w:bookmarkStart w:id="70" w:name="_Toc20823281"/>
      <w:r/>
      <w:bookmarkStart w:id="71" w:name="_Toc16938525"/>
      <w:r/>
      <w:bookmarkStart w:id="72" w:name="_Toc513029209"/>
      <w:r/>
      <w:bookmarkStart w:id="73" w:name="_Toc120614215"/>
      <w:r>
        <w:rPr>
          <w:rFonts w:hint="eastAsia" w:ascii="Times New Roman" w:hAnsi="Times New Roman"/>
          <w:caps w:val="0"/>
          <w:color w:val="000000"/>
        </w:rPr>
        <w:t xml:space="preserve">二、招标文件</w:t>
      </w:r>
      <w:bookmarkEnd w:id="70"/>
      <w:r/>
      <w:bookmarkEnd w:id="71"/>
      <w:r/>
      <w:bookmarkEnd w:id="72"/>
      <w:r/>
      <w:bookmarkEnd w:id="73"/>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74" w:name="_Toc20823282"/>
      <w:r/>
      <w:bookmarkStart w:id="75" w:name="_Toc513029210"/>
      <w:r/>
      <w:bookmarkStart w:id="76" w:name="_Toc16938526"/>
      <w:r>
        <w:rPr>
          <w:rFonts w:hint="eastAsia" w:ascii="Times New Roman" w:hAnsi="Times New Roman"/>
          <w:b w:val="0"/>
          <w:bCs w:val="0"/>
          <w:caps w:val="0"/>
          <w:color w:val="000000"/>
        </w:rPr>
        <w:t xml:space="preserve">6、招标文件构成</w:t>
      </w:r>
      <w:bookmarkEnd w:id="74"/>
      <w:r/>
      <w:bookmarkEnd w:id="75"/>
      <w:r/>
      <w:bookmarkEnd w:id="76"/>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0"/>
        <w:ind w:left="0" w:firstLine="560"/>
        <w:pageBreakBefore w:val="0"/>
        <w:spacing w:before="0" w:after="0" w:line="560" w:lineRule="exact"/>
        <w:rPr>
          <w:rFonts w:hint="eastAsia" w:ascii="Times New Roman" w:hAnsi="Times New Roman"/>
          <w:b w:val="0"/>
          <w:bCs w:val="0"/>
          <w:caps w:val="0"/>
          <w:color w:val="000000"/>
        </w:rPr>
      </w:pPr>
      <w:r/>
      <w:bookmarkStart w:id="77" w:name="_Toc20823283"/>
      <w:r/>
      <w:bookmarkStart w:id="78" w:name="_Toc16938527"/>
      <w:r/>
      <w:bookmarkStart w:id="79" w:name="_Toc513029211"/>
      <w:r/>
      <w:bookmarkStart w:id="80" w:name="_Toc462564070"/>
      <w:r>
        <w:rPr>
          <w:rFonts w:hint="eastAsia" w:ascii="Times New Roman" w:hAnsi="Times New Roman"/>
          <w:b w:val="0"/>
          <w:bCs w:val="0"/>
          <w:caps w:val="0"/>
          <w:color w:val="000000"/>
        </w:rPr>
        <w:t xml:space="preserve">7、招标文件的澄清</w:t>
      </w:r>
      <w:bookmarkEnd w:id="77"/>
      <w:r/>
      <w:bookmarkEnd w:id="78"/>
      <w:r/>
      <w:bookmarkEnd w:id="79"/>
      <w:r/>
      <w:bookmarkEnd w:id="80"/>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p>
    <w:p>
      <w:pPr>
        <w:pStyle w:val="850"/>
        <w:ind w:left="0" w:firstLine="560"/>
        <w:pageBreakBefore w:val="0"/>
        <w:spacing w:before="0" w:after="0" w:line="560" w:lineRule="exact"/>
        <w:rPr>
          <w:rFonts w:hint="eastAsia" w:ascii="Times New Roman" w:hAnsi="Times New Roman"/>
          <w:b w:val="0"/>
          <w:bCs w:val="0"/>
          <w:caps w:val="0"/>
          <w:color w:val="000000"/>
        </w:rPr>
      </w:pPr>
      <w:r/>
      <w:bookmarkStart w:id="81" w:name="_Toc16938528"/>
      <w:r/>
      <w:bookmarkStart w:id="82" w:name="_Toc20823284"/>
      <w:r/>
      <w:bookmarkStart w:id="83" w:name="_Toc513029212"/>
      <w:r/>
      <w:bookmarkStart w:id="84" w:name="_Toc462564071"/>
      <w:r>
        <w:rPr>
          <w:rFonts w:hint="eastAsia" w:ascii="Times New Roman" w:hAnsi="Times New Roman"/>
          <w:b w:val="0"/>
          <w:bCs w:val="0"/>
          <w:caps w:val="0"/>
          <w:color w:val="000000"/>
        </w:rPr>
        <w:t xml:space="preserve">8、招标文件的修改</w:t>
      </w:r>
      <w:bookmarkEnd w:id="81"/>
      <w:r/>
      <w:bookmarkEnd w:id="82"/>
      <w:r/>
      <w:bookmarkEnd w:id="83"/>
      <w:r/>
      <w:bookmarkEnd w:id="84"/>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848"/>
        <w:ind w:left="0" w:firstLine="482"/>
        <w:pageBreakBefore w:val="0"/>
        <w:spacing w:before="0" w:after="0" w:line="560" w:lineRule="exact"/>
        <w:rPr>
          <w:rFonts w:hint="eastAsia" w:ascii="Times New Roman" w:hAnsi="Times New Roman"/>
          <w:caps w:val="0"/>
          <w:color w:val="000000"/>
        </w:rPr>
      </w:pPr>
      <w:r/>
      <w:bookmarkStart w:id="85" w:name="_Toc20823285"/>
      <w:r/>
      <w:bookmarkStart w:id="86" w:name="_Toc16938529"/>
      <w:r/>
      <w:bookmarkStart w:id="87" w:name="_Toc462564072"/>
      <w:r/>
      <w:bookmarkStart w:id="88" w:name="_Toc120614216"/>
      <w:r/>
      <w:bookmarkStart w:id="89" w:name="_Toc513029213"/>
      <w:r>
        <w:rPr>
          <w:rFonts w:hint="eastAsia" w:ascii="Times New Roman" w:hAnsi="Times New Roman"/>
          <w:caps w:val="0"/>
          <w:color w:val="000000"/>
        </w:rPr>
        <w:t xml:space="preserve">三、投标文件的编制</w:t>
      </w:r>
      <w:bookmarkEnd w:id="85"/>
      <w:r/>
      <w:bookmarkEnd w:id="86"/>
      <w:r/>
      <w:bookmarkEnd w:id="87"/>
      <w:r/>
      <w:bookmarkEnd w:id="88"/>
      <w:r/>
      <w:bookmarkEnd w:id="89"/>
      <w:r/>
      <w:r/>
    </w:p>
    <w:p>
      <w:pPr>
        <w:pStyle w:val="850"/>
        <w:ind w:left="0" w:firstLine="560"/>
        <w:pageBreakBefore w:val="0"/>
        <w:spacing w:before="0" w:after="0" w:line="560" w:lineRule="exact"/>
        <w:rPr>
          <w:rFonts w:hint="eastAsia" w:ascii="Times New Roman" w:hAnsi="Times New Roman"/>
          <w:bCs w:val="0"/>
          <w:caps w:val="0"/>
          <w:color w:val="000000"/>
        </w:rPr>
      </w:pPr>
      <w:r/>
      <w:bookmarkStart w:id="90" w:name="_Toc16938530"/>
      <w:r/>
      <w:bookmarkStart w:id="91" w:name="_Toc462564073"/>
      <w:r/>
      <w:bookmarkStart w:id="92" w:name="_Toc20823286"/>
      <w:r/>
      <w:bookmarkStart w:id="93" w:name="_Toc513029214"/>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94" w:name="_Toc20823287"/>
      <w:r/>
      <w:bookmarkStart w:id="95" w:name="_Toc462564074"/>
      <w:r/>
      <w:bookmarkStart w:id="96" w:name="_Toc513029215"/>
      <w:r/>
      <w:bookmarkStart w:id="97" w:name="_Toc16938531"/>
      <w:r>
        <w:rPr>
          <w:rFonts w:hint="eastAsia" w:ascii="Times New Roman" w:hAnsi="Times New Roman"/>
          <w:b w:val="0"/>
          <w:bCs w:val="0"/>
          <w:caps w:val="0"/>
          <w:color w:val="000000"/>
        </w:rPr>
        <w:t xml:space="preserve">10、投标文件构成</w:t>
      </w:r>
      <w:bookmarkEnd w:id="94"/>
      <w:r/>
      <w:bookmarkEnd w:id="95"/>
      <w:r/>
      <w:bookmarkEnd w:id="96"/>
      <w:r/>
      <w:bookmarkEnd w:id="97"/>
      <w:r/>
      <w:r/>
    </w:p>
    <w:p>
      <w:pPr>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99" w:name="_Hlt26668975"/>
      <w:r/>
      <w:bookmarkEnd w:id="99"/>
      <w:r/>
      <w:bookmarkStart w:id="100" w:name="_Hlt26954838"/>
      <w:r/>
      <w:bookmarkEnd w:id="100"/>
      <w:r/>
      <w:bookmarkStart w:id="101" w:name="_Hlt26670360"/>
      <w:r/>
      <w:bookmarkEnd w:id="101"/>
      <w:r/>
      <w:bookmarkStart w:id="102" w:name="_Toc49090509"/>
      <w:r/>
      <w:bookmarkStart w:id="103" w:name="_Toc513029219"/>
      <w:r/>
      <w:bookmarkStart w:id="104" w:name="_Toc14577357"/>
      <w:r/>
      <w:bookmarkStart w:id="105" w:name="_Toc14577354"/>
      <w:r/>
      <w:bookmarkStart w:id="106" w:name="_Toc513029216"/>
      <w:r/>
      <w:bookmarkStart w:id="107" w:name="_Toc49090507"/>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bookmarkEnd w:id="105"/>
      <w:bookmarkEnd w:id="106"/>
      <w:bookmarkEnd w:id="107"/>
      <w:r/>
    </w:p>
    <w:p>
      <w:pPr>
        <w:ind w:left="0"/>
        <w:pageBreakBefore w:val="0"/>
        <w:spacing w:line="560" w:lineRule="exact"/>
        <w:rPr>
          <w:rFonts w:hint="eastAsia" w:ascii="Times New Roman" w:hAnsi="Times New Roman"/>
          <w:caps w:val="0"/>
          <w:color w:val="000000"/>
          <w:sz w:val="24"/>
          <w:szCs w:val="24"/>
        </w:rPr>
      </w:pPr>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培训等完成本项目所涉及到的一切相关费用</w:t>
      </w:r>
      <w:r>
        <w:rPr>
          <w:rFonts w:hint="eastAsia" w:ascii="Times New Roman" w:hAnsi="Times New Roman" w:eastAsia="宋体" w:cs="Times New Roman"/>
          <w:bCs/>
          <w:caps w:val="0"/>
          <w:color w:val="000000"/>
          <w:sz w:val="24"/>
          <w:lang w:val="en-US" w:eastAsia="zh-CN"/>
        </w:rPr>
        <w:t xml:space="preserve">。</w:t>
      </w:r>
      <w:r/>
    </w:p>
    <w:p>
      <w:pPr>
        <w:pStyle w:val="850"/>
        <w:ind w:left="0" w:firstLine="420"/>
        <w:pageBreakBefore w:val="0"/>
        <w:spacing w:before="0" w:after="0" w:line="560" w:lineRule="exact"/>
        <w:widowControl w:val="off"/>
        <w:rPr>
          <w:rFonts w:hint="eastAsia"/>
          <w:b w:val="0"/>
          <w:bCs w:val="0"/>
        </w:rPr>
      </w:pPr>
      <w:r/>
      <w:bookmarkStart w:id="113" w:name="_Hlt26670486"/>
      <w:r/>
      <w:bookmarkEnd w:id="113"/>
      <w:r/>
      <w:bookmarkStart w:id="114" w:name="_Hlt26954846"/>
      <w:r/>
      <w:bookmarkEnd w:id="114"/>
      <w:r/>
      <w:bookmarkStart w:id="115" w:name="_Hlt26670403"/>
      <w:r/>
      <w:bookmarkEnd w:id="115"/>
      <w:r/>
      <w:bookmarkStart w:id="116" w:name="_Hlt26954842"/>
      <w:r/>
      <w:bookmarkEnd w:id="116"/>
      <w:r/>
      <w:bookmarkStart w:id="117" w:name="_Hlt26954731"/>
      <w:r/>
      <w:bookmarkEnd w:id="117"/>
      <w:r/>
      <w:bookmarkStart w:id="118" w:name="_Hlt26668983"/>
      <w:r/>
      <w:bookmarkEnd w:id="118"/>
      <w:r/>
      <w:bookmarkStart w:id="119" w:name="_Hlt26954848"/>
      <w:r/>
      <w:bookmarkEnd w:id="119"/>
      <w:r/>
      <w:bookmarkStart w:id="120" w:name="_Hlt26670482"/>
      <w:r/>
      <w:bookmarkEnd w:id="120"/>
      <w:r/>
      <w:bookmarkStart w:id="121" w:name="_Hlt26670425"/>
      <w:r/>
      <w:bookmarkEnd w:id="121"/>
      <w:r/>
      <w:bookmarkStart w:id="122" w:name="_Hlt26954844"/>
      <w:r/>
      <w:bookmarkEnd w:id="122"/>
      <w:r/>
      <w:bookmarkStart w:id="123" w:name="_Toc14577359"/>
      <w:r/>
      <w:bookmarkStart w:id="124" w:name="_Toc49090510"/>
      <w:r>
        <w:rPr>
          <w:rFonts w:hint="eastAsia"/>
          <w:b w:val="0"/>
          <w:bCs w:val="0"/>
        </w:rPr>
        <w:t xml:space="preserve">13、技术要求响应及偏离表、商务要求响应及偏离表</w:t>
      </w:r>
      <w:r/>
    </w:p>
    <w:p>
      <w:pPr>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bookmarkEnd w:id="123"/>
      <w:bookmarkEnd w:id="124"/>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w:t>
      </w:r>
      <w:r>
        <w:rPr>
          <w:rFonts w:hint="eastAsia"/>
          <w:b/>
          <w:caps w:val="0"/>
          <w:color w:val="000000"/>
          <w:sz w:val="24"/>
          <w:u w:val="single"/>
          <w:lang w:eastAsia="zh-CN"/>
        </w:rPr>
        <w:t xml:space="preserve">日历</w:t>
      </w:r>
      <w:r>
        <w:rPr>
          <w:rFonts w:hint="eastAsia" w:ascii="Times New Roman" w:hAnsi="Times New Roman"/>
          <w:b/>
          <w:caps w:val="0"/>
          <w:color w:val="000000"/>
          <w:sz w:val="24"/>
          <w:u w:val="single"/>
        </w:rPr>
        <w:t xml:space="preserve">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p>
    <w:p>
      <w:pPr>
        <w:pStyle w:val="848"/>
        <w:ind w:left="0" w:firstLine="482"/>
        <w:pageBreakBefore w:val="0"/>
        <w:spacing w:before="0" w:after="0" w:line="560" w:lineRule="exact"/>
        <w:rPr>
          <w:rFonts w:hint="eastAsia" w:ascii="Times New Roman" w:hAnsi="Times New Roman"/>
          <w:caps w:val="0"/>
          <w:color w:val="000000"/>
        </w:rPr>
      </w:pPr>
      <w:r/>
      <w:bookmarkStart w:id="130" w:name="_Hlt26954852"/>
      <w:r/>
      <w:bookmarkEnd w:id="130"/>
      <w:r/>
      <w:bookmarkStart w:id="131" w:name="_Hlt26954739"/>
      <w:r/>
      <w:bookmarkEnd w:id="131"/>
      <w:r/>
      <w:bookmarkStart w:id="132" w:name="_Toc120614217"/>
      <w:r/>
      <w:bookmarkStart w:id="133" w:name="_Toc513029224"/>
      <w:r/>
      <w:bookmarkStart w:id="134" w:name="_Toc20823296"/>
      <w:r/>
      <w:bookmarkStart w:id="135" w:name="_Toc16938540"/>
      <w:r>
        <w:rPr>
          <w:rFonts w:hint="eastAsia" w:ascii="Times New Roman" w:hAnsi="Times New Roman"/>
          <w:caps w:val="0"/>
          <w:color w:val="000000"/>
        </w:rPr>
        <w:t xml:space="preserve">四、投标文件的递交</w:t>
      </w:r>
      <w:bookmarkEnd w:id="132"/>
      <w:r/>
      <w:bookmarkEnd w:id="133"/>
      <w:r/>
      <w:bookmarkEnd w:id="134"/>
      <w:r/>
      <w:bookmarkEnd w:id="135"/>
      <w:r/>
      <w:r/>
    </w:p>
    <w:p>
      <w:pPr>
        <w:pStyle w:val="850"/>
        <w:ind w:left="0" w:firstLine="560"/>
        <w:pageBreakBefore w:val="0"/>
        <w:spacing w:before="0" w:after="0" w:line="560" w:lineRule="exact"/>
        <w:rPr>
          <w:rFonts w:hint="eastAsia" w:ascii="Times New Roman" w:hAnsi="Times New Roman"/>
          <w:b w:val="0"/>
          <w:bCs w:val="0"/>
          <w:caps w:val="0"/>
          <w:color w:val="000000"/>
        </w:rPr>
      </w:pPr>
      <w:r/>
      <w:bookmarkStart w:id="136" w:name="_Toc513029225"/>
      <w:r/>
      <w:bookmarkStart w:id="137" w:name="_Toc20823297"/>
      <w:r/>
      <w:bookmarkStart w:id="138" w:name="_Toc16938541"/>
      <w:r/>
      <w:bookmarkStart w:id="139" w:name="_Toc462564084"/>
      <w:r>
        <w:rPr>
          <w:rFonts w:hint="eastAsia" w:ascii="Times New Roman" w:hAnsi="Times New Roman"/>
          <w:b w:val="0"/>
          <w:bCs w:val="0"/>
          <w:caps w:val="0"/>
          <w:color w:val="000000"/>
          <w:lang w:val="en-US" w:eastAsia="zh-CN"/>
        </w:rPr>
        <w:t xml:space="preserve">18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0" w:name="_Toc513029226"/>
      <w:r/>
      <w:bookmarkStart w:id="141" w:name="_Toc20823298"/>
      <w:r/>
      <w:bookmarkStart w:id="142" w:name="_Toc16938542"/>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p>
    <w:p>
      <w:pPr>
        <w:pStyle w:val="850"/>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43" w:name="_Toc20823299"/>
      <w:r/>
      <w:bookmarkStart w:id="144" w:name="_Toc16938543"/>
      <w:r/>
      <w:bookmarkStart w:id="145" w:name="_Toc513029227"/>
      <w:r>
        <w:rPr>
          <w:rFonts w:hint="eastAsia" w:ascii="Times New Roman" w:hAnsi="Times New Roman"/>
          <w:b w:val="0"/>
          <w:bCs w:val="0"/>
          <w:caps w:val="0"/>
          <w:color w:val="000000"/>
          <w:lang w:val="en-US" w:eastAsia="zh-CN"/>
        </w:rPr>
        <w:t xml:space="preserve">20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p>
    <w:p>
      <w:pPr>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146" w:name="_Toc20823300"/>
      <w:r/>
      <w:bookmarkStart w:id="147" w:name="_Toc513029228"/>
      <w:r/>
      <w:bookmarkStart w:id="148" w:name="_Toc16938544"/>
      <w:r/>
      <w:bookmarkStart w:id="149" w:name="_Toc20823301"/>
      <w:r/>
      <w:bookmarkStart w:id="150" w:name="_Toc120614218"/>
      <w:r/>
      <w:bookmarkStart w:id="151" w:name="_Toc513029229"/>
      <w:r/>
      <w:bookmarkStart w:id="152" w:name="_Toc1693854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p>
    <w:p>
      <w:pPr>
        <w:pStyle w:val="848"/>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9"/>
      <w:r/>
      <w:bookmarkEnd w:id="150"/>
      <w:r/>
      <w:bookmarkEnd w:id="151"/>
      <w:r/>
      <w:bookmarkEnd w:id="152"/>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16938546"/>
      <w:r/>
      <w:bookmarkStart w:id="154" w:name="_Toc20823302"/>
      <w:r/>
      <w:bookmarkStart w:id="155" w:name="_Toc513029230"/>
      <w:r/>
      <w:bookmarkStart w:id="156" w:name="_Toc513029231"/>
      <w:r/>
      <w:bookmarkStart w:id="157" w:name="_Toc20823303"/>
      <w:r/>
      <w:bookmarkStart w:id="158"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
    </w:p>
    <w:p>
      <w:pPr>
        <w:pStyle w:val="977"/>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977"/>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bookmarkEnd w:id="156"/>
      <w:bookmarkEnd w:id="157"/>
      <w:bookmarkEnd w:id="158"/>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59" w:name="_Toc16938548"/>
      <w:r/>
      <w:bookmarkStart w:id="160" w:name="_Toc20823304"/>
      <w:r/>
      <w:bookmarkStart w:id="161" w:name="_Toc513029232"/>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
    </w:p>
    <w:p>
      <w:pPr>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p>
    <w:p>
      <w:pPr>
        <w:pStyle w:val="977"/>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62" w:name="_Toc20823305"/>
      <w:r/>
      <w:bookmarkStart w:id="163" w:name="_Toc513029233"/>
      <w:r/>
      <w:bookmarkStart w:id="164" w:name="_Toc1693854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p>
    <w:p>
      <w:pPr>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caps w:val="0"/>
          <w:color w:val="000000"/>
          <w:sz w:val="24"/>
        </w:rPr>
      </w:pPr>
      <w:r/>
      <w:bookmarkStart w:id="165" w:name="_Toc16938550"/>
      <w:r/>
      <w:bookmarkStart w:id="166" w:name="_Toc20823306"/>
      <w:r/>
      <w:bookmarkStart w:id="167" w:name="_Toc513029234"/>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p>
    <w:p>
      <w:pPr>
        <w:ind w:left="0"/>
        <w:pageBreakBefore w:val="0"/>
        <w:spacing w:line="560" w:lineRule="exact"/>
        <w:rPr>
          <w:rFonts w:hint="eastAsia" w:ascii="Times New Roman" w:hAnsi="Times New Roman"/>
          <w:bCs/>
          <w:caps w:val="0"/>
          <w:color w:val="000000"/>
          <w:sz w:val="24"/>
        </w:rPr>
      </w:pPr>
      <w:r/>
      <w:bookmarkStart w:id="168" w:name="_Toc16938551"/>
      <w:r/>
      <w:bookmarkStart w:id="169" w:name="_Toc20823307"/>
      <w:r/>
      <w:bookmarkStart w:id="170" w:name="_Toc513029235"/>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p>
    <w:p>
      <w:pPr>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p>
    <w:p>
      <w:pPr>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p>
    <w:p>
      <w:pPr>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p>
    <w:p>
      <w:pPr>
        <w:ind w:left="0" w:firstLine="480"/>
        <w:pageBreakBefore w:val="0"/>
        <w:spacing w:line="56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p>
    <w:p>
      <w:pPr>
        <w:ind w:left="0" w:firstLine="360"/>
        <w:pageBreakBefore w:val="0"/>
        <w:spacing w:line="560" w:lineRule="exact"/>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p>
    <w:p>
      <w:pPr>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p>
    <w:p>
      <w:pPr>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p>
    <w:p>
      <w:pPr>
        <w:ind w:left="479" w:hanging="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p>
    <w:p>
      <w:pPr>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p>
    <w:p>
      <w:pPr>
        <w:ind w:left="0" w:firstLine="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p>
    <w:p>
      <w:pPr>
        <w:pStyle w:val="848"/>
        <w:ind w:left="0" w:firstLine="482"/>
        <w:pageBreakBefore w:val="0"/>
        <w:spacing w:before="0" w:after="0" w:line="560" w:lineRule="exact"/>
        <w:rPr>
          <w:rFonts w:hint="eastAsia" w:ascii="Times New Roman" w:hAnsi="Times New Roman"/>
          <w:caps w:val="0"/>
          <w:color w:val="000000"/>
        </w:rPr>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72" w:name="_Toc513029238"/>
      <w:r/>
      <w:bookmarkStart w:id="173" w:name="_Toc16938554"/>
      <w:r/>
      <w:bookmarkStart w:id="174" w:name="_Toc20823310"/>
      <w:r>
        <w:rPr>
          <w:rFonts w:hint="eastAsia" w:ascii="Times New Roman" w:hAnsi="Times New Roman" w:cs="Times New Roman"/>
          <w:b w:val="0"/>
          <w:caps w:val="0"/>
          <w:color w:val="000000"/>
          <w:sz w:val="30"/>
          <w:szCs w:val="30"/>
          <w:lang w:val="en-US" w:eastAsia="zh-CN"/>
        </w:rPr>
        <w:t xml:space="preserve">28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p>
    <w:p>
      <w:pPr>
        <w:ind w:left="0" w:firstLine="480"/>
        <w:pageBreakBefore w:val="0"/>
        <w:spacing w:line="560" w:lineRule="exact"/>
        <w:rPr>
          <w:rFonts w:ascii="Times New Roman" w:hAnsi="Times New Roman"/>
          <w:caps w:val="0"/>
          <w:color w:val="000000"/>
          <w:sz w:val="24"/>
          <w:szCs w:val="24"/>
        </w:rPr>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p>
    <w:p>
      <w:pPr>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.4供应商应以书面形式向采购人或者其委托的采购代理机构提出质疑。质疑超出采购机构代理范围的，供应商应当向采购人提出。</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接收质疑函的方式：现场接收或邮寄接收。</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联系部门： 沭阳县</w:t>
      </w:r>
      <w:r>
        <w:rPr>
          <w:rFonts w:hint="eastAsia" w:ascii="Times New Roman" w:hAnsi="Times New Roman"/>
          <w:color w:val="000000"/>
          <w:sz w:val="24"/>
          <w:szCs w:val="24"/>
          <w:lang w:eastAsia="zh-CN"/>
        </w:rPr>
        <w:t xml:space="preserve">农业农村局</w:t>
      </w:r>
      <w:r>
        <w:rPr>
          <w:rFonts w:hint="eastAsia" w:ascii="Times New Roman" w:hAnsi="Times New Roman"/>
          <w:color w:val="000000"/>
          <w:sz w:val="24"/>
          <w:szCs w:val="24"/>
        </w:rPr>
        <w:t xml:space="preserve">、江苏</w:t>
      </w:r>
      <w:r>
        <w:rPr>
          <w:rFonts w:hint="eastAsia" w:ascii="Times New Roman" w:hAnsi="Times New Roman"/>
          <w:color w:val="000000"/>
          <w:sz w:val="24"/>
          <w:szCs w:val="24"/>
          <w:lang w:eastAsia="zh-CN"/>
        </w:rPr>
        <w:t xml:space="preserve">国双项目管理</w:t>
      </w:r>
      <w:r>
        <w:rPr>
          <w:rFonts w:hint="eastAsia" w:ascii="Times New Roman" w:hAnsi="Times New Roman"/>
          <w:color w:val="000000"/>
          <w:sz w:val="24"/>
          <w:szCs w:val="24"/>
        </w:rPr>
        <w:t xml:space="preserve">有限公司</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联系电话：  </w:t>
      </w:r>
      <w:r>
        <w:rPr>
          <w:rFonts w:hint="eastAsia" w:ascii="Times New Roman" w:hAnsi="Times New Roman"/>
          <w:color w:val="000000"/>
          <w:sz w:val="24"/>
          <w:szCs w:val="24"/>
          <w:lang w:eastAsia="zh-CN"/>
        </w:rPr>
        <w:t xml:space="preserve">王成程</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13951459836</w:t>
      </w:r>
      <w:r>
        <w:rPr>
          <w:rFonts w:hint="eastAsia" w:ascii="Times New Roman" w:hAnsi="Times New Roman"/>
          <w:color w:val="000000"/>
          <w:sz w:val="24"/>
          <w:szCs w:val="24"/>
        </w:rPr>
        <w:t xml:space="preserve">、</w:t>
      </w:r>
      <w:r>
        <w:rPr>
          <w:rFonts w:hint="eastAsia" w:ascii="Times New Roman" w:hAnsi="Times New Roman"/>
          <w:color w:val="000000"/>
          <w:sz w:val="24"/>
          <w:szCs w:val="24"/>
          <w:lang w:eastAsia="zh-CN"/>
        </w:rPr>
        <w:t xml:space="preserve">胡婷婷</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15261212399</w:t>
      </w:r>
      <w:r>
        <w:rPr>
          <w:rFonts w:hint="eastAsia" w:ascii="Times New Roman" w:hAnsi="Times New Roman"/>
          <w:color w:val="000000"/>
          <w:sz w:val="24"/>
          <w:szCs w:val="24"/>
        </w:rPr>
        <w:t xml:space="preserve">   </w:t>
      </w:r>
      <w:r/>
    </w:p>
    <w:p>
      <w:pPr>
        <w:ind w:left="0" w:firstLine="48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color w:val="000000"/>
          <w:sz w:val="24"/>
          <w:szCs w:val="24"/>
        </w:rPr>
        <w:t xml:space="preserve">通讯地址： 沭阳县</w:t>
      </w:r>
      <w:r>
        <w:rPr>
          <w:rFonts w:hint="eastAsia" w:ascii="Times New Roman" w:hAnsi="Times New Roman"/>
          <w:color w:val="000000"/>
          <w:sz w:val="24"/>
          <w:szCs w:val="24"/>
          <w:lang w:eastAsia="zh-CN"/>
        </w:rPr>
        <w:t xml:space="preserve">学院路</w:t>
      </w:r>
      <w:r>
        <w:rPr>
          <w:rFonts w:hint="eastAsia" w:ascii="Times New Roman" w:hAnsi="Times New Roman"/>
          <w:color w:val="000000"/>
          <w:sz w:val="24"/>
          <w:szCs w:val="24"/>
          <w:lang w:val="en-US" w:eastAsia="zh-CN"/>
        </w:rPr>
        <w:t xml:space="preserve">5号</w:t>
      </w:r>
      <w:r>
        <w:rPr>
          <w:rFonts w:hint="eastAsia" w:ascii="Times New Roman" w:hAnsi="Times New Roman"/>
          <w:color w:val="000000"/>
          <w:sz w:val="24"/>
          <w:szCs w:val="24"/>
        </w:rPr>
        <w:t xml:space="preserve">、沭阳县台州北路</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号</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p>
    <w:p>
      <w:pPr>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30</w:t>
      </w:r>
      <w:r>
        <w:rPr>
          <w:rFonts w:hint="eastAsia" w:ascii="Times New Roman" w:hAnsi="Times New Roman" w:cs="Times New Roman"/>
          <w:b w:val="0"/>
          <w:caps w:val="0"/>
          <w:color w:val="000000"/>
          <w:sz w:val="30"/>
          <w:szCs w:val="30"/>
        </w:rPr>
        <w:t xml:space="preserve">、中标通知书</w:t>
      </w:r>
      <w:r/>
    </w:p>
    <w:p>
      <w:pPr>
        <w:ind w:left="0" w:firstLine="600"/>
        <w:pageBreakBefore w:val="0"/>
        <w:spacing w:line="560" w:lineRule="exact"/>
        <w:widowControl w:val="off"/>
        <w:rPr>
          <w:rFonts w:hint="eastAsia" w:ascii="Times New Roman" w:hAnsi="Times New Roman"/>
          <w:caps w:val="0"/>
          <w:color w:val="000000"/>
          <w:sz w:val="24"/>
          <w:szCs w:val="24"/>
        </w:rPr>
      </w:pPr>
      <w:r/>
      <w:bookmarkStart w:id="176" w:name="_Toc120614220"/>
      <w:r/>
      <w:bookmarkStart w:id="177" w:name="_Toc513029236"/>
      <w:r/>
      <w:bookmarkStart w:id="178" w:name="_Toc20823308"/>
      <w:r/>
      <w:bookmarkStart w:id="179" w:name="_Toc16938552"/>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8"/>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6"/>
      <w:r/>
      <w:bookmarkEnd w:id="177"/>
      <w:bookmarkEnd w:id="178"/>
      <w:bookmarkEnd w:id="179"/>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80" w:name="_Toc20823309"/>
      <w:r/>
      <w:bookmarkStart w:id="181" w:name="_Toc16938553"/>
      <w:r/>
      <w:bookmarkStart w:id="182" w:name="_Toc51302923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p>
    <w:p>
      <w:pPr>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p>
    <w:p>
      <w:pPr>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p>
    <w:p>
      <w:pPr>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u w:val="single"/>
          <w:lang w:val="en-US" w:eastAsia="zh-CN"/>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u w:val="none"/>
        </w:rPr>
        <w:t xml:space="preserve">；</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不收取履约保证金。</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bookmarkEnd w:id="181"/>
      <w:bookmarkEnd w:id="182"/>
      <w:r/>
    </w:p>
    <w:p>
      <w:pPr>
        <w:pStyle w:val="850"/>
        <w:ind w:left="0" w:firstLine="600"/>
        <w:pageBreakBefore w:val="0"/>
        <w:spacing w:before="0" w:after="0" w:line="560" w:lineRule="exact"/>
        <w:rPr>
          <w:rFonts w:ascii="Times New Roman" w:hAnsi="Times New Roman" w:cs="Times New Roman"/>
          <w:b w:val="0"/>
          <w:caps w:val="0"/>
          <w:color w:val="000000"/>
          <w:sz w:val="30"/>
          <w:szCs w:val="30"/>
        </w:rPr>
      </w:pPr>
      <w:r/>
      <w:bookmarkStart w:id="183" w:name="_Toc120614221"/>
      <w:r/>
      <w:bookmarkStart w:id="184" w:name="_Toc16938558"/>
      <w:r/>
      <w:bookmarkStart w:id="185" w:name="_Toc479757207"/>
      <w:r/>
      <w:bookmarkStart w:id="186" w:name="_Toc20823314"/>
      <w:r/>
      <w:bookmarkStart w:id="187" w:name="_Toc513029242"/>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p>
    <w:p>
      <w:pPr>
        <w:pStyle w:val="849"/>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50"/>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189" w:name="EBf1f8b954f7504a2cb44cef25707c76a6"/>
      <w:r/>
      <w:bookmarkEnd w:id="189"/>
      <w:r>
        <w:rPr>
          <w:rFonts w:hint="eastAsia" w:ascii="Times New Roman" w:hAnsi="Times New Roman" w:eastAsia="宋体" w:cs="Times New Roman"/>
          <w:b w:val="0"/>
          <w:bCs/>
          <w:caps w:val="0"/>
          <w:color w:val="000000"/>
          <w:sz w:val="24"/>
          <w:highlight w:val="none"/>
          <w:u w:val="single"/>
          <w:lang w:val="en-US" w:eastAsia="zh-CN"/>
        </w:rPr>
        <w:t xml:space="preserve">所有货物到货并经采购人到货验收合格后，付清合同价款。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bookmarkStart w:id="190"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0"/>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pStyle w:val="846"/>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bookmarkEnd w:id="183"/>
      <w:bookmarkEnd w:id="184"/>
      <w:bookmarkEnd w:id="185"/>
      <w:bookmarkEnd w:id="186"/>
      <w:bookmarkEnd w:id="187"/>
      <w:r/>
    </w:p>
    <w:p>
      <w:pPr>
        <w:ind w:firstLine="2640"/>
        <w:keepNext/>
        <w:rPr>
          <w:rFonts w:ascii="Times New Roman" w:hAnsi="Times New Roman" w:eastAsia="黑体"/>
          <w:bCs/>
          <w:caps w:val="0"/>
          <w:color w:val="000000"/>
          <w:sz w:val="44"/>
          <w:szCs w:val="28"/>
          <w:highlight w:val="none"/>
        </w:rPr>
        <w:outlineLvl w:val="0"/>
      </w:pPr>
      <w:r/>
      <w:bookmarkStart w:id="191" w:name="_Toc104802328"/>
      <w:r/>
      <w:bookmarkStart w:id="192" w:name="_Toc118461986"/>
      <w:r/>
      <w:bookmarkStart w:id="193" w:name="_Toc155086566"/>
      <w:r/>
      <w:bookmarkStart w:id="194" w:name="_Hlt16619350"/>
      <w:r/>
      <w:bookmarkStart w:id="195" w:name="_Toc20823346"/>
      <w:r/>
      <w:bookmarkStart w:id="196" w:name="_Toc16938590"/>
      <w:r/>
      <w:bookmarkStart w:id="197" w:name="_Toc120614244"/>
      <w:r/>
      <w:bookmarkStart w:id="198" w:name="_Toc479757211"/>
      <w:r/>
      <w:bookmarkStart w:id="199" w:name="_Toc462564139"/>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
    </w:p>
    <w:p>
      <w:pPr>
        <w:pStyle w:val="1003"/>
        <w:ind w:left="822" w:right="403"/>
        <w:jc w:val="center"/>
        <w:spacing w:before="1"/>
        <w:rPr>
          <w:rFonts w:hint="eastAsia" w:ascii="宋体" w:hAnsi="宋体" w:eastAsia="宋体" w:cs="宋体"/>
          <w:color w:val="000000"/>
          <w:sz w:val="27"/>
        </w:rPr>
      </w:pPr>
      <w:r>
        <w:rPr>
          <w:rFonts w:hint="eastAsia" w:ascii="宋体" w:hAnsi="宋体" w:eastAsia="宋体" w:cs="宋体"/>
          <w:color w:val="000000"/>
          <w:sz w:val="44"/>
        </w:rPr>
        <w:t xml:space="preserve">政府采购合同 </w:t>
      </w:r>
      <w:r>
        <w:rPr>
          <w:rFonts w:hint="eastAsia" w:ascii="宋体" w:hAnsi="宋体" w:eastAsia="宋体" w:cs="宋体"/>
          <w:color w:val="000000"/>
          <w:spacing w:val="1"/>
        </w:rPr>
        <w:t xml:space="preserve">         </w:t>
      </w:r>
      <w:r>
        <w:rPr>
          <w:rFonts w:hint="eastAsia" w:ascii="宋体" w:hAnsi="宋体" w:eastAsia="宋体" w:cs="宋体"/>
          <w:color w:val="000000"/>
          <w:spacing w:val="-2"/>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z w:val="30"/>
        </w:rPr>
        <w:t xml:space="preserve"> </w:t>
      </w:r>
      <w:r/>
    </w:p>
    <w:p>
      <w:pPr>
        <w:pStyle w:val="1005"/>
        <w:ind w:left="22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05"/>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u w:val="single"/>
          <w:lang w:val="en-US" w:eastAsia="zh-CN"/>
        </w:rPr>
        <w:t xml:space="preserve">沭阳县农业农村局</w:t>
      </w:r>
      <w:r>
        <w:rPr>
          <w:rFonts w:hint="eastAsia" w:ascii="宋体" w:hAnsi="宋体" w:eastAsia="宋体" w:cs="宋体"/>
          <w:color w:val="000000"/>
          <w:sz w:val="24"/>
          <w:szCs w:val="24"/>
          <w:lang w:val="en-US" w:eastAsia="zh-CN"/>
        </w:rPr>
        <w:t xml:space="preserve">（以下简称：甲方） </w:t>
      </w:r>
      <w:r/>
    </w:p>
    <w:p>
      <w:pPr>
        <w:pStyle w:val="1005"/>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i w:val="0"/>
          <w:iCs w:val="0"/>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（以下简称：乙方） </w:t>
      </w:r>
      <w:r/>
    </w:p>
    <w:p>
      <w:pPr>
        <w:pStyle w:val="67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甲乙双方根据</w:t>
      </w:r>
      <w:r>
        <w:rPr>
          <w:rFonts w:hint="eastAsia" w:ascii="宋体" w:hAnsi="宋体" w:cs="宋体"/>
          <w:color w:val="000000"/>
          <w:sz w:val="24"/>
          <w:szCs w:val="24"/>
          <w:u w:val="single"/>
          <w:lang w:val="en-US" w:eastAsia="zh-CN"/>
        </w:rPr>
        <w:t xml:space="preserve">2024</w:t>
      </w:r>
      <w:r>
        <w:rPr>
          <w:rFonts w:hint="eastAsia" w:ascii="宋体" w:hAnsi="宋体" w:cs="宋体"/>
          <w:color w:val="000000"/>
          <w:sz w:val="24"/>
          <w:szCs w:val="24"/>
        </w:rPr>
        <w:t xml:space="preserve">年</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u w:val="single"/>
          <w:lang w:eastAsia="zh-CN"/>
        </w:rPr>
        <w:t xml:space="preserve">2024年沭阳县动物疫病防治补助项目</w:t>
      </w:r>
      <w:r>
        <w:rPr>
          <w:rFonts w:hint="eastAsia" w:ascii="宋体" w:hAnsi="宋体" w:cs="宋体"/>
          <w:color w:val="000000"/>
          <w:sz w:val="24"/>
          <w:szCs w:val="24"/>
        </w:rPr>
        <w:t xml:space="preserve">公开招标结果及招标文件的要求，为明确双方权利及义务，经协商一致，达成如下协议： </w:t>
      </w:r>
      <w:r/>
    </w:p>
    <w:p>
      <w:pPr>
        <w:pStyle w:val="1005"/>
        <w:numPr>
          <w:ilvl w:val="0"/>
          <w:numId w:val="5"/>
        </w:numPr>
        <w:ind w:right="-94" w:firstLine="720"/>
        <w:keepLines w:val="0"/>
        <w:keepNext w:val="0"/>
        <w:pageBreakBefore w:val="0"/>
        <w:spacing w:line="40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合同内容 ：</w:t>
      </w:r>
      <w:r>
        <w:rPr>
          <w:rFonts w:hint="eastAsia" w:ascii="宋体" w:hAnsi="宋体" w:eastAsia="宋体" w:cs="宋体"/>
          <w:color w:val="000000"/>
          <w:sz w:val="24"/>
          <w:szCs w:val="24"/>
          <w:u w:val="single"/>
          <w:lang w:val="en-US" w:eastAsia="zh-CN"/>
        </w:rPr>
        <w:t xml:space="preserve">详见附件</w:t>
      </w:r>
      <w:r>
        <w:rPr>
          <w:rFonts w:hint="eastAsia" w:ascii="宋体" w:hAnsi="宋体" w:eastAsia="宋体" w:cs="宋体"/>
          <w:color w:val="000000"/>
          <w:sz w:val="24"/>
          <w:szCs w:val="24"/>
          <w:lang w:val="en-US" w:eastAsia="zh-CN"/>
        </w:rPr>
        <w:t xml:space="preserve">。</w:t>
      </w:r>
      <w:r/>
    </w:p>
    <w:p>
      <w:pPr>
        <w:pStyle w:val="1005"/>
        <w:numPr>
          <w:ilvl w:val="0"/>
          <w:numId w:val="5"/>
        </w:numPr>
        <w:ind w:right="106" w:firstLine="72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u w:val="single"/>
          <w:lang w:val="en-US" w:eastAsia="zh-CN"/>
        </w:rPr>
        <w:t xml:space="preserve">        元</w:t>
      </w:r>
      <w:r>
        <w:rPr>
          <w:rFonts w:hint="eastAsia" w:ascii="宋体" w:hAnsi="宋体" w:eastAsia="宋体" w:cs="宋体"/>
          <w:color w:val="000000"/>
          <w:sz w:val="24"/>
          <w:szCs w:val="24"/>
          <w:lang w:val="en-US" w:eastAsia="zh-CN"/>
        </w:rPr>
        <w:t xml:space="preserve"> 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p>
    <w:p>
      <w:pPr>
        <w:pStyle w:val="1005"/>
        <w:numPr>
          <w:ilvl w:val="0"/>
          <w:numId w:val="5"/>
        </w:numPr>
        <w:ind w:right="-94" w:firstLine="720"/>
        <w:keepLines w:val="0"/>
        <w:keepNext w:val="0"/>
        <w:pageBreakBefore w:val="0"/>
        <w:spacing w:line="400" w:lineRule="exact"/>
        <w:widowControl w:val="off"/>
        <w:tabs>
          <w:tab w:val="left" w:pos="84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施工工期要求：</w:t>
      </w:r>
      <w:r>
        <w:rPr>
          <w:rFonts w:hint="eastAsia" w:ascii="宋体" w:hAnsi="宋体" w:eastAsia="宋体" w:cs="宋体"/>
          <w:color w:val="000000"/>
          <w:sz w:val="24"/>
          <w:szCs w:val="24"/>
          <w:u w:val="single"/>
          <w:lang w:val="en-US" w:eastAsia="zh-CN"/>
        </w:rPr>
        <w:t xml:space="preserve">自签订合同之日起30日历天内完成本项目</w:t>
      </w:r>
      <w:r>
        <w:rPr>
          <w:rFonts w:hint="eastAsia" w:ascii="宋体" w:hAnsi="宋体" w:eastAsia="宋体" w:cs="宋体"/>
          <w:color w:val="000000"/>
          <w:sz w:val="24"/>
          <w:szCs w:val="24"/>
          <w:lang w:val="en-US" w:eastAsia="zh-CN"/>
        </w:rPr>
        <w:t xml:space="preserve">。 </w:t>
      </w:r>
      <w:r/>
    </w:p>
    <w:p>
      <w:pPr>
        <w:pStyle w:val="1005"/>
        <w:numPr>
          <w:ilvl w:val="0"/>
          <w:numId w:val="5"/>
        </w:numPr>
        <w:ind w:right="2874" w:firstLine="72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安装地点：按招标人要求实施。                                      </w:t>
      </w:r>
      <w:r/>
    </w:p>
    <w:p>
      <w:pPr>
        <w:pStyle w:val="1005"/>
        <w:ind w:right="-94" w:firstLine="720"/>
        <w:keepLines w:val="0"/>
        <w:keepNext w:val="0"/>
        <w:pageBreakBefore w:val="0"/>
        <w:spacing w:line="400" w:lineRule="exact"/>
        <w:widowControl w:val="off"/>
        <w:rPr>
          <w:rFonts w:hint="eastAsia" w:ascii="宋体" w:hAnsi="宋体" w:eastAsia="宋体" w:cs="宋体"/>
          <w:color w:val="000000"/>
        </w:rPr>
      </w:pPr>
      <w:r>
        <w:rPr>
          <w:rFonts w:hint="eastAsia" w:ascii="宋体" w:hAnsi="宋体" w:eastAsia="宋体" w:cs="宋体"/>
          <w:color w:val="000000"/>
          <w:sz w:val="24"/>
          <w:szCs w:val="24"/>
          <w:lang w:val="en-US" w:eastAsia="zh-CN"/>
        </w:rPr>
        <w:t xml:space="preserve">5、验收依据国家法律法规及标准、招标文件、投标文件及中标人的承诺：</w:t>
      </w:r>
      <w:r>
        <w:rPr>
          <w:rFonts w:hint="eastAsia" w:ascii="宋体" w:hAnsi="宋体" w:eastAsia="宋体" w:cs="宋体"/>
          <w:color w:val="000000"/>
        </w:rPr>
        <w:t xml:space="preserve"> </w:t>
      </w:r>
      <w:r/>
    </w:p>
    <w:p>
      <w:pPr>
        <w:pStyle w:val="1007"/>
        <w:numPr>
          <w:ilvl w:val="0"/>
          <w:numId w:val="6"/>
        </w:numPr>
        <w:ind w:left="0" w:firstLine="480"/>
        <w:keepLines w:val="0"/>
        <w:keepNext w:val="0"/>
        <w:pageBreakBefore w:val="0"/>
        <w:spacing w:line="400" w:lineRule="exact"/>
        <w:widowControl w:val="off"/>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乙方所提供货物必须符合国家标准，并经过权威机构检测。 </w:t>
      </w:r>
      <w:r/>
    </w:p>
    <w:p>
      <w:pPr>
        <w:pStyle w:val="1007"/>
        <w:numPr>
          <w:ilvl w:val="0"/>
          <w:numId w:val="6"/>
        </w:numPr>
        <w:ind w:left="0" w:firstLine="480"/>
        <w:keepLines w:val="0"/>
        <w:keepNext w:val="0"/>
        <w:pageBreakBefore w:val="0"/>
        <w:spacing w:line="400" w:lineRule="exact"/>
        <w:widowControl w:val="off"/>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乙方所提供货物运抵指定地点，由双方对货物的种类、规格、型号、 数量、外观、包装设备及有关文件资料（如产品检验合格书、商检证书、装箱单、保修单等） 进行到货验收，查看是否符合合同约定，并出具设备到货验收表。</w:t>
      </w:r>
      <w:r/>
    </w:p>
    <w:p>
      <w:pPr>
        <w:pStyle w:val="1007"/>
        <w:numPr>
          <w:ilvl w:val="0"/>
          <w:numId w:val="0"/>
        </w:numPr>
        <w:ind w:firstLine="480"/>
        <w:keepLines w:val="0"/>
        <w:keepNext w:val="0"/>
        <w:pageBreakBefore w:val="0"/>
        <w:spacing w:line="400" w:lineRule="exact"/>
        <w:widowControl w:val="off"/>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方确保所供产品，质量合格。供方保证在供需双方现场随机抽样检测中，所供货物质量符合国家标准；如不符合国家标准，承担相应法律责任。供应商所投产品需进行商品包装和快递包装的，应不低于《关于印发〈商品包装政府采购需求标准（试行）〉、 〈快递包装政府采购需求标准（试行）〉的通知》（财办库〔2020〕123 号）文件规定的参考标准。在履约验收时按照本条款执行，违反本约定的对照合同违约条款追究违约责任。 </w:t>
      </w:r>
      <w:r/>
    </w:p>
    <w:p>
      <w:pPr>
        <w:pStyle w:val="1007"/>
        <w:numPr>
          <w:ilvl w:val="0"/>
          <w:numId w:val="6"/>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乙方完成全部工程并投入使用后，需提供产品说明书、产品检测报告、合</w:t>
      </w:r>
      <w:r>
        <w:rPr>
          <w:rFonts w:hint="eastAsia" w:ascii="宋体" w:hAnsi="宋体" w:eastAsia="宋体" w:cs="宋体"/>
          <w:color w:val="000000"/>
          <w:spacing w:val="-7"/>
          <w:sz w:val="24"/>
          <w:szCs w:val="24"/>
        </w:rPr>
        <w:t xml:space="preserve">格证、产品质量认证证书等一系列文档资料，由甲方会同有关人员根据技术设计要求</w:t>
      </w:r>
      <w:r>
        <w:rPr>
          <w:rFonts w:hint="eastAsia" w:ascii="宋体" w:hAnsi="宋体" w:eastAsia="宋体" w:cs="宋体"/>
          <w:color w:val="000000"/>
          <w:sz w:val="24"/>
          <w:szCs w:val="24"/>
        </w:rPr>
        <w:t xml:space="preserve">进行验收。 </w:t>
      </w:r>
      <w:r/>
    </w:p>
    <w:p>
      <w:pPr>
        <w:pStyle w:val="67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cs="宋体"/>
          <w:color w:val="000000"/>
          <w:sz w:val="24"/>
          <w:szCs w:val="24"/>
        </w:rPr>
        <w:t xml:space="preserve">、付款方式：</w:t>
      </w:r>
      <w:r/>
    </w:p>
    <w:p>
      <w:pPr>
        <w:pStyle w:val="1008"/>
        <w:ind w:firstLine="480"/>
        <w:keepLines w:val="0"/>
        <w:keepNext w:val="0"/>
        <w:pageBreakBefore w:val="0"/>
        <w:spacing w:line="400" w:lineRule="exact"/>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进度款：合同签订后，在收到供应商发票后 15 日内支付合同总额 30%的预付款；所有货物到货并经采购人到货验收合格后，付清合同价款。</w:t>
      </w:r>
      <w:r/>
    </w:p>
    <w:p>
      <w:pPr>
        <w:pStyle w:val="1008"/>
        <w:ind w:firstLine="480"/>
        <w:keepLines w:val="0"/>
        <w:keepNext w:val="0"/>
        <w:pageBreakBefore w:val="0"/>
        <w:spacing w:line="400" w:lineRule="exact"/>
        <w:widowControl w:val="off"/>
        <w:rPr>
          <w:rFonts w:ascii="宋体" w:hAnsi="宋体" w:cs="宋体"/>
          <w:color w:val="000000"/>
          <w:sz w:val="24"/>
          <w:szCs w:val="24"/>
          <w:lang w:val="en-US" w:eastAsia="zh-CN"/>
        </w:rPr>
      </w:pPr>
      <w:r>
        <w:rPr>
          <w:rFonts w:hint="eastAsia" w:ascii="宋体" w:hAnsi="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在签订合同时，供应商明确表示无需预付款或者主动要求降低预付款比例的，采购人可不适用预付规定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2、采购人可以采用数字人民币方式支付货款至供应商数字人民币账户。</w:t>
      </w:r>
      <w:r/>
    </w:p>
    <w:p>
      <w:pPr>
        <w:pStyle w:val="1005"/>
        <w:ind w:firstLine="72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7、质量保证： </w:t>
      </w:r>
      <w:r/>
    </w:p>
    <w:p>
      <w:pPr>
        <w:pStyle w:val="1007"/>
        <w:numPr>
          <w:ilvl w:val="0"/>
          <w:numId w:val="0"/>
        </w:numPr>
        <w:ind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bookmarkStart w:id="200" w:name="（1）工程项目建设完成后，乙方申请试运行，试运行为90日历天。从甲方批准之日计算"/>
      <w:r/>
      <w:bookmarkEnd w:id="200"/>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乙方提供的货物必须符合国家有关质量技术标准及相关法律、法规规定的要求。 </w:t>
      </w:r>
      <w:r/>
    </w:p>
    <w:p>
      <w:pPr>
        <w:pStyle w:val="1007"/>
        <w:numPr>
          <w:ilvl w:val="0"/>
          <w:numId w:val="0"/>
        </w:numPr>
        <w:ind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本项目的主要产品一经确定后，不允许擅自更改；项目验收时，提供的产</w:t>
      </w:r>
      <w:r>
        <w:rPr>
          <w:rFonts w:hint="eastAsia" w:ascii="宋体" w:hAnsi="宋体" w:eastAsia="宋体" w:cs="宋体"/>
          <w:color w:val="000000"/>
          <w:spacing w:val="-6"/>
          <w:sz w:val="24"/>
          <w:szCs w:val="24"/>
        </w:rPr>
        <w:t xml:space="preserve">品品牌、型号、参数等必须与招标文件技术响应文件产品相符；如因特殊情况需要更</w:t>
      </w:r>
      <w:r>
        <w:rPr>
          <w:rFonts w:hint="eastAsia" w:ascii="宋体" w:hAnsi="宋体" w:eastAsia="宋体" w:cs="宋体"/>
          <w:color w:val="000000"/>
          <w:spacing w:val="-7"/>
          <w:sz w:val="24"/>
          <w:szCs w:val="24"/>
        </w:rPr>
        <w:t xml:space="preserve">改的，须报甲方书面同意，并且更改后的品牌、型号、质量等不得低于原来的要求。</w:t>
      </w:r>
      <w:r>
        <w:rPr>
          <w:rFonts w:hint="eastAsia" w:ascii="宋体" w:hAnsi="宋体" w:eastAsia="宋体" w:cs="宋体"/>
          <w:color w:val="000000"/>
          <w:sz w:val="24"/>
          <w:szCs w:val="24"/>
        </w:rPr>
        <w:t xml:space="preserve">否则，所有损失由乙方承担。 </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8、商品包装、快递包装政府采购需求标准</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2、包装具体要求</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产品安装服务</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范围:产品安装包括产品硬件、软件及设各操作系统的安装、配置、调试。</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商品包装环保要求</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 商品包装层数不得超过 3 层，空隙率不大于 40%:</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 商品包装尽可能使用单一村质的包装材料，如因功能需求必需使用不同材质不同材质间应便于分离。</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 商品包装中铅、汞、镉、六价铬的总含量应不大于 100mg/kg；</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 商品包装印刷使用的油墨中挥发性有机化合物(VOCs) 含量应不大于 5%（以量计）；</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2.2.5 塑料材质商品包装上呈现的印刷颜色不得超过 6 色；</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2.2.6 纸质商品包装应使用 75%以上的可再生纤维原料生产；</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2.2.7 木质商品包装的原料应来源于可持续性森林。</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注：检测方法</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1.商品包装中重金属（铅、汞、镉、六价铬）总量的检 测按照 GB/T10004-2008《包装用塑料复合膜、袋干法复合、 挤出复合》规定的方法进行。</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2.商品包装印刷使用的油墨中挥发性有机化合物(VOCs) 的检测按照 GB/T23986-2009《色漆和清漆 挥发性有机化合 物(VOC)含量的测定 气相色谱法》规定的方法。</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3、安装规范及验收标准</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产品的安装规范按照规定流程逐步进行，用专用的测试工具对设备模块进行功能测试调整。</w:t>
      </w:r>
      <w:r/>
    </w:p>
    <w:p>
      <w:pPr>
        <w:pStyle w:val="1005"/>
        <w:ind w:firstLine="480"/>
        <w:keepLines w:val="0"/>
        <w:keepNext w:val="0"/>
        <w:pageBreakBefore w:val="0"/>
        <w:spacing w:line="400" w:lineRule="exact"/>
        <w:widowControl w:val="off"/>
        <w:rPr>
          <w:rFonts w:hint="eastAsia" w:ascii="宋体" w:hAnsi="宋体" w:eastAsia="宋体" w:cs="宋体"/>
          <w:color w:val="000000"/>
        </w:rPr>
      </w:pPr>
      <w:r>
        <w:rPr>
          <w:rFonts w:hint="eastAsia" w:ascii="宋体" w:hAnsi="宋体" w:eastAsia="宋体" w:cs="宋体"/>
          <w:color w:val="000000"/>
          <w:sz w:val="24"/>
          <w:szCs w:val="24"/>
          <w:lang w:val="en-US" w:eastAsia="zh-CN" w:bidi="ar-SA"/>
        </w:rPr>
        <w:t xml:space="preserve">9、违约条款：</w:t>
      </w:r>
      <w:r>
        <w:rPr>
          <w:rFonts w:hint="eastAsia" w:ascii="宋体" w:hAnsi="宋体" w:eastAsia="宋体" w:cs="宋体"/>
          <w:color w:val="000000"/>
        </w:rPr>
        <w:t xml:space="preserve"> </w:t>
      </w:r>
      <w:r/>
    </w:p>
    <w:p>
      <w:pPr>
        <w:pStyle w:val="1007"/>
        <w:numPr>
          <w:ilvl w:val="0"/>
          <w:numId w:val="7"/>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乙方没有提供合同约定的设备，或提供的设备型号、规格和性能与合同约</w:t>
      </w:r>
      <w:r>
        <w:rPr>
          <w:rFonts w:hint="eastAsia" w:ascii="宋体" w:hAnsi="宋体" w:eastAsia="宋体" w:cs="宋体"/>
          <w:color w:val="000000"/>
          <w:spacing w:val="-6"/>
          <w:sz w:val="24"/>
          <w:szCs w:val="24"/>
        </w:rPr>
        <w:t xml:space="preserve">定的不符，或设备性能不能满足甲方规定的要求，经甲方书面催告仍不能按时履行或</w:t>
      </w:r>
      <w:r>
        <w:rPr>
          <w:rFonts w:hint="eastAsia" w:ascii="宋体" w:hAnsi="宋体" w:eastAsia="宋体" w:cs="宋体"/>
          <w:color w:val="000000"/>
          <w:spacing w:val="-3"/>
          <w:sz w:val="24"/>
          <w:szCs w:val="24"/>
        </w:rPr>
        <w:t xml:space="preserve">提供的替代设备或设备性能达不到甲方要求，导致合同无法履行的，甲方有权解除合</w:t>
      </w:r>
      <w:r>
        <w:rPr>
          <w:rFonts w:hint="eastAsia" w:ascii="宋体" w:hAnsi="宋体" w:eastAsia="宋体" w:cs="宋体"/>
          <w:color w:val="000000"/>
          <w:sz w:val="24"/>
          <w:szCs w:val="24"/>
        </w:rPr>
        <w:t xml:space="preserve">同，并要求乙方赔偿全部损失。 </w:t>
      </w:r>
      <w:r/>
    </w:p>
    <w:p>
      <w:pPr>
        <w:pStyle w:val="1007"/>
        <w:numPr>
          <w:ilvl w:val="0"/>
          <w:numId w:val="7"/>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非因甲方原因，乙方不履行本合同规定的义务，致使工作延误，甲方有权要求其强制履行或解除合同，并要求乙方等额赔偿由此造成的一切损失。 </w:t>
      </w:r>
      <w:r/>
    </w:p>
    <w:p>
      <w:pPr>
        <w:pStyle w:val="1007"/>
        <w:numPr>
          <w:ilvl w:val="0"/>
          <w:numId w:val="7"/>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未按约定期限付款的，除向</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支付货款外须按中国人民银行有关规定向乙方支付滞纳金。</w:t>
      </w:r>
      <w:r/>
    </w:p>
    <w:p>
      <w:pPr>
        <w:pStyle w:val="1005"/>
        <w:ind w:firstLine="468"/>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10、合同生效：本合同经甲方、乙方签字盖章后生效。合同签订的内容不能超出招标文件和投标文件的实质性内容。 </w:t>
      </w:r>
      <w:r/>
    </w:p>
    <w:p>
      <w:pPr>
        <w:pStyle w:val="1005"/>
        <w:ind w:firstLine="479"/>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11、争议：双方约定，在履行合同过程中产生争议时，由双方当事人协商解决， 协商不成时依法向沭阳县人民法院提起诉讼解决。 </w:t>
      </w:r>
      <w:r/>
    </w:p>
    <w:p>
      <w:pPr>
        <w:pStyle w:val="1005"/>
        <w:ind w:firstLine="468"/>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bookmarkStart w:id="201" w:name="13、合同的组成部分"/>
      <w:r/>
      <w:bookmarkEnd w:id="201"/>
      <w:r>
        <w:rPr>
          <w:rFonts w:hint="eastAsia" w:ascii="宋体" w:hAnsi="宋体" w:eastAsia="宋体" w:cs="宋体"/>
          <w:color w:val="000000"/>
          <w:spacing w:val="-3"/>
          <w:sz w:val="24"/>
          <w:szCs w:val="24"/>
          <w:lang w:val="en-US" w:eastAsia="zh-CN"/>
        </w:rPr>
        <w:t xml:space="preserve">12、合同的组成部分 </w:t>
      </w:r>
      <w:r/>
    </w:p>
    <w:p>
      <w:pPr>
        <w:pStyle w:val="1005"/>
        <w:ind w:firstLine="455"/>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本合同条款、中标通知书、招标文件、投标文件及投标人在开标时的书面承诺、合同附件(附件 1：设备清单明细及报价表)等都是构成合同的组成部分。 </w:t>
      </w:r>
      <w:r/>
    </w:p>
    <w:p>
      <w:pPr>
        <w:pStyle w:val="1005"/>
        <w:ind w:firstLine="455"/>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13、本合同一式陆份，以中文书写，甲方、乙方各执叁份。</w:t>
      </w:r>
      <w:r/>
    </w:p>
    <w:p>
      <w:pPr>
        <w:pStyle w:val="1005"/>
        <w:numPr>
          <w:ilvl w:val="0"/>
          <w:numId w:val="0"/>
        </w:numPr>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r>
      <w:r/>
    </w:p>
    <w:p>
      <w:pPr>
        <w:pStyle w:val="1005"/>
        <w:numPr>
          <w:ilvl w:val="0"/>
          <w:numId w:val="0"/>
        </w:numPr>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 </w:t>
      </w:r>
      <w:r/>
    </w:p>
    <w:p>
      <w:pPr>
        <w:pStyle w:val="1005"/>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r>
      <w:r/>
    </w:p>
    <w:p>
      <w:pPr>
        <w:pStyle w:val="1005"/>
        <w:ind w:firstLine="234"/>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甲 方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盖 章 ）            乙 方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盖 章 ）  </w:t>
      </w:r>
      <w:r/>
    </w:p>
    <w:p>
      <w:pPr>
        <w:pStyle w:val="1005"/>
        <w:ind w:firstLine="234"/>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地 址 ：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地 址 ：</w:t>
      </w:r>
      <w:r>
        <w:rPr>
          <w:rFonts w:hint="eastAsia" w:ascii="宋体" w:hAnsi="宋体" w:eastAsia="宋体" w:cs="宋体"/>
          <w:color w:val="000000"/>
          <w:spacing w:val="-3"/>
          <w:sz w:val="24"/>
          <w:szCs w:val="24"/>
          <w:u w:val="single"/>
          <w:lang w:val="en-US" w:eastAsia="zh-CN"/>
        </w:rPr>
        <w:t xml:space="preserve">           </w:t>
      </w:r>
      <w:r/>
    </w:p>
    <w:p>
      <w:pPr>
        <w:pStyle w:val="1005"/>
        <w:ind w:firstLine="234"/>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法定（授权）代表人：</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法定（授权）代表人： </w:t>
      </w:r>
      <w:r>
        <w:rPr>
          <w:rFonts w:hint="eastAsia" w:ascii="宋体" w:hAnsi="宋体" w:eastAsia="宋体" w:cs="宋体"/>
          <w:color w:val="000000"/>
          <w:spacing w:val="-3"/>
          <w:sz w:val="24"/>
          <w:szCs w:val="24"/>
          <w:u w:val="single"/>
          <w:lang w:val="en-US" w:eastAsia="zh-CN"/>
        </w:rPr>
        <w:t xml:space="preserve">           </w:t>
      </w:r>
      <w:r/>
    </w:p>
    <w:p>
      <w:pPr>
        <w:pStyle w:val="1005"/>
        <w:ind w:firstLine="468"/>
        <w:keepLines w:val="0"/>
        <w:keepNext w:val="0"/>
        <w:pageBreakBefore w:val="0"/>
        <w:spacing w:line="400" w:lineRule="exact"/>
        <w:widowControl w:val="off"/>
        <w:rPr>
          <w:rFonts w:hint="eastAsia" w:eastAsia="宋体" w:cs="宋体"/>
          <w:color w:val="000000"/>
          <w:sz w:val="20"/>
        </w:rPr>
      </w:pP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年</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月</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日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年</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月</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日 </w:t>
      </w:r>
      <w:r/>
    </w:p>
    <w:p>
      <w:pPr>
        <w:pStyle w:val="884"/>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84"/>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4"/>
      <w:r>
        <w:rPr>
          <w:rFonts w:hint="eastAsia" w:ascii="Times New Roman" w:hAnsi="Times New Roman" w:eastAsia="黑体"/>
          <w:bCs/>
          <w:caps w:val="0"/>
          <w:color w:val="000000"/>
          <w:sz w:val="44"/>
        </w:rPr>
        <w:t xml:space="preserve">四章 采购需求</w:t>
      </w:r>
      <w:bookmarkEnd w:id="195"/>
      <w:r/>
      <w:bookmarkEnd w:id="196"/>
      <w:r/>
      <w:bookmarkEnd w:id="197"/>
      <w:r/>
      <w:r/>
    </w:p>
    <w:p>
      <w:pPr>
        <w:ind w:firstLine="482"/>
        <w:spacing w:line="480" w:lineRule="exact"/>
        <w:rPr>
          <w:rFonts w:hint="default" w:ascii="Times New Roman" w:hAnsi="Times New Roman" w:eastAsia="宋体" w:cs="Courier New"/>
          <w:b/>
          <w:bCs/>
          <w:color w:val="000000"/>
          <w:sz w:val="24"/>
          <w:szCs w:val="24"/>
        </w:rPr>
      </w:pPr>
      <w:r/>
      <w:bookmarkStart w:id="202" w:name="_Toc26554093"/>
      <w:r/>
      <w:bookmarkStart w:id="203" w:name="_Toc49090575"/>
      <w:r/>
      <w:bookmarkStart w:id="204" w:name="_Toc120614281"/>
      <w:r>
        <w:rPr>
          <w:rFonts w:hint="eastAsia" w:ascii="Times New Roman" w:hAnsi="Times New Roman" w:eastAsia="宋体" w:cs="Courier New"/>
          <w:b/>
          <w:bCs/>
          <w:color w:val="000000"/>
          <w:sz w:val="24"/>
          <w:szCs w:val="24"/>
        </w:rPr>
        <w:t xml:space="preserve">一、项目属性：货物类项目</w:t>
      </w:r>
      <w:r/>
    </w:p>
    <w:p>
      <w:pPr>
        <w:ind w:firstLine="482"/>
        <w:spacing w:line="480" w:lineRule="exact"/>
        <w:rPr>
          <w:rFonts w:hint="default"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二、本项目采购标的对应的中小企业划分标准所属行业：制造业（工业）。</w:t>
      </w:r>
      <w:r/>
    </w:p>
    <w:p>
      <w:pPr>
        <w:ind w:firstLine="482"/>
        <w:spacing w:line="480" w:lineRule="exact"/>
        <w:rPr>
          <w:rFonts w:hint="default"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三、本项目不接受进口产品。</w:t>
      </w:r>
      <w:r/>
    </w:p>
    <w:p>
      <w:pPr>
        <w:ind w:firstLine="482"/>
        <w:spacing w:line="480" w:lineRule="exact"/>
        <w:rPr>
          <w:rFonts w:hint="default"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四、采购需求包括拟采购的标的及其需要满足的技术、商务要求。</w:t>
      </w:r>
      <w:r/>
    </w:p>
    <w:p>
      <w:pPr>
        <w:ind w:firstLine="0"/>
        <w:spacing w:before="0" w:after="0" w:line="480" w:lineRule="exact"/>
        <w:rPr>
          <w:rFonts w:hint="eastAsia"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(一)全自动布病检测工作站</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1、系统原理、规格：</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采用布鲁氏杆菌虎红平板凝集试验、结合机械手臂自动添加样本、虎红抗原、智能涡轮混匀系统、AI图像识别、专用软件分析系统。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操作方式：全自动检测、无需人工加样、判读。</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样本类型：血清、乳汁等液体</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2、主要性能指标</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▲2.1检测速度：每批次≥200个样本，每批次检测时间不超过60分钟。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▲2.2 支持原始管上样：包括1.5ml、2.0ml离心管，5ml注射器、5ml真空采血管。</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▲2.3 加样方式：≥2通道加样、带有液面探测。</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▲2.4试剂耗材板位数：≥8个板位</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▲2.5分析模块板位数：≥18个反应板位</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▲2.6单板反应孔数: ≥24孔；</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▲2.7板位设置：每个板位可自由放置各种耗材，无需固定板位属性，通过软件设置实现每个板位和各种耗材之间的移液功能;</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2.8混匀方式：内置频率可调漩涡混均模块，可正旋转混匀、反旋转混匀。</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2.9 结果判读：智能判断微弱反应，避免假阴性样本。</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2.10 报告结果：软件分析系统自定义分析，样本工作量，阳性率，结果可形成图文报告、Word、Excel、PDF；检测结果永久保存，结果可追溯。</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2.11 试剂位模块：通用市面所售虎红抗原试剂，可同时置放2种不同品牌试剂。</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2.12 照明系统：内置顶部星空灯，底部反应照明系统。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2.13生物安全：整机全封闭可视安全罩、内置紫外消毒系统，可定时消毒，内置气溶胶吸附系统。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2.14 操作系统：中文控制软件，可远程升级、上传云端海量存储，自动保存等。 </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2.15 图像采集：AI智能图像获取系统，在规定的时间内智能采集反应图像，同步上传至控制分析软件。</w:t>
      </w:r>
      <w:r/>
    </w:p>
    <w:p>
      <w:pPr>
        <w:spacing w:line="480" w:lineRule="exact"/>
        <w:rPr>
          <w:rFonts w:hint="eastAsia" w:ascii="宋体" w:hAnsi="宋体" w:eastAsia="宋体" w:cs="宋体"/>
          <w:sz w:val="24"/>
          <w:szCs w:val="24"/>
        </w:rPr>
      </w:pPr>
      <w:r>
        <w:rPr>
          <w:rFonts w:hint="eastAsia" w:ascii="宋体" w:hAnsi="宋体" w:cs="宋体"/>
          <w:color w:val="000000"/>
          <w:sz w:val="24"/>
          <w:szCs w:val="24"/>
        </w:rPr>
        <w:t xml:space="preserve">▲</w:t>
      </w:r>
      <w:r>
        <w:rPr>
          <w:rFonts w:hint="eastAsia" w:ascii="宋体" w:hAnsi="宋体" w:eastAsia="宋体" w:cs="宋体"/>
          <w:sz w:val="24"/>
          <w:szCs w:val="24"/>
        </w:rPr>
        <w:t xml:space="preserve">3、配置清单包含：</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3.1 全自动布病检测工作站整机一台</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3.2 专用控制分析系统一套</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3.3 便携式品牌控制电脑及打印机各一台，其中便携式电脑：CPU不低于13代酷睿i7,内存不低于32GB，硬盘容量不低于1TB，屏幕尺寸不低于16英寸。</w:t>
      </w:r>
      <w:r/>
    </w:p>
    <w:p>
      <w:pPr>
        <w:ind w:firstLine="240"/>
        <w:spacing w:line="480" w:lineRule="exact"/>
        <w:rPr>
          <w:rFonts w:hint="eastAsia" w:ascii="宋体" w:hAnsi="宋体" w:eastAsia="宋体" w:cs="宋体"/>
          <w:sz w:val="24"/>
          <w:szCs w:val="24"/>
        </w:rPr>
      </w:pPr>
      <w:r>
        <w:rPr>
          <w:rFonts w:hint="eastAsia" w:ascii="宋体" w:hAnsi="宋体" w:eastAsia="宋体" w:cs="宋体"/>
          <w:sz w:val="24"/>
          <w:szCs w:val="24"/>
        </w:rPr>
        <w:t xml:space="preserve">3.4随机器配套样本实验耗材不低于20000套。</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4、免费质保期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4.1安装调试合格之日起24个月。</w:t>
      </w:r>
      <w:r/>
    </w:p>
    <w:p>
      <w:pPr>
        <w:ind w:firstLine="480"/>
        <w:jc w:val="left"/>
        <w:spacing w:line="480" w:lineRule="exact"/>
        <w:rPr>
          <w:rFonts w:hint="eastAsia" w:ascii="宋体" w:hAnsi="宋体" w:eastAsia="宋体" w:cs="宋体"/>
          <w:sz w:val="24"/>
          <w:szCs w:val="24"/>
        </w:rPr>
      </w:pPr>
      <w:r>
        <w:rPr>
          <w:rFonts w:hint="eastAsia" w:ascii="宋体" w:hAnsi="宋体" w:cs="宋体"/>
          <w:color w:val="000000"/>
          <w:sz w:val="24"/>
          <w:szCs w:val="24"/>
        </w:rPr>
        <w:t xml:space="preserve">▲</w:t>
      </w:r>
      <w:r>
        <w:rPr>
          <w:rFonts w:hint="eastAsia" w:ascii="宋体" w:hAnsi="宋体" w:eastAsia="宋体" w:cs="宋体"/>
          <w:sz w:val="24"/>
          <w:szCs w:val="24"/>
        </w:rPr>
        <w:t xml:space="preserve">4.2投标人须具有满足货物供货及售后的能力。提供生产企业出具的针对本次项目的质保函（原件现场核查)，以此证明产品的合法来源。</w:t>
      </w:r>
      <w:r/>
    </w:p>
    <w:p>
      <w:pPr>
        <w:jc w:val="left"/>
        <w:spacing w:line="480" w:lineRule="exact"/>
        <w:rPr>
          <w:rFonts w:hint="eastAsia" w:ascii="黑体" w:hAnsi="黑体" w:eastAsia="黑体" w:cs="黑体"/>
          <w:sz w:val="28"/>
          <w:szCs w:val="28"/>
        </w:rPr>
      </w:pPr>
      <w:r>
        <w:rPr>
          <w:rFonts w:hint="eastAsia" w:ascii="黑体" w:hAnsi="黑体" w:eastAsia="黑体" w:cs="黑体"/>
          <w:sz w:val="28"/>
          <w:szCs w:val="28"/>
        </w:rPr>
        <w:t xml:space="preserve">(二)洗板机</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1、由微电脑控制，能快速高效完成各种规格微孔板（48孔和96孔）的清洗工作；</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2、清洗头96针设计，可同时对96孔进行清洗，又能控制对各条选择清洗；</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3、微孔板上各条的孔数不足8个或12个不必补孔； </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4、双板托盘可同时放置两块微孔板，即可单板清洗又能双板或多板交替清洗；</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5、开关机时液路自动蒸馏水或专用清洁液保养保证液路的畅通；</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6、具备浸泡、振动和底部冲洗功能，浸泡时间和振动节律可设置，满足特殊的清洗要求；</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7、具有暂停和终止功能，按暂停键或返回键可在洗板过程中暂停或终止操作；</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8、可拆卸双板托盘底面斜面设计，漏液自动抽取，可消毒免保养；</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9、微孔板卡板位悬空设计，避免微孔板底面污染；</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10、清洗头位置调节六种（水平、左边、中间、右边、触底、板距），微孔板形参数显示精确到0、1 mm，适用于平底、U型和V型底等国内外各种大小不同的微孔板酶标板；（提供加盖生产厂家公章的产品彩页）</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11、清洗头：96针单条可控制，8孔/条和12孔/条可选择；</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12、具备两点定位吸液功能，96孔平均残留量&lt;0、7μL/孔；</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13、二次液体分流技术，确保96孔间加液量误差CV&lt;1、5%；</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14、清洗次数：1-99次可调；</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15、清洗条数：整板或1-12条可任意组合，键盘选择控制并指示；</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16、清洗模式：单板、双板或多板三种；</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17、清洗液加入量：50-950μl/孔可调，间隔50μl；</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18、洗板速度为：5秒/板/次；</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19、洗板位：A、B两个；</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20、吸液时间：0、1-9、9秒可调，间隔0、1秒；</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21、可编程100个洗板程序并自动存储，每个洗板程序可编辑实验项目名称；</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22、液瓶四个，蒸馏水、废液、洗液A、洗液B；</w:t>
      </w:r>
      <w:r/>
    </w:p>
    <w:p>
      <w:pPr>
        <w:jc w:val="left"/>
        <w:spacing w:line="480" w:lineRule="exact"/>
        <w:rPr>
          <w:rFonts w:hint="eastAsia" w:ascii="宋体" w:hAnsi="宋体" w:eastAsia="宋体" w:cs="宋体"/>
          <w:sz w:val="24"/>
          <w:szCs w:val="24"/>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23、</w:t>
      </w:r>
      <w:r>
        <w:rPr>
          <w:rFonts w:hint="eastAsia" w:ascii="宋体" w:hAnsi="宋体" w:eastAsia="宋体" w:cs="宋体"/>
          <w:sz w:val="24"/>
          <w:szCs w:val="24"/>
        </w:rPr>
        <w:t xml:space="preserve">投标人须具有满足货物供货及售后的能力。提供生产企业出具的针对本次项目的质保函（原件现场核查)，以此证明产品的合法来源。</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(三)</w:t>
      </w:r>
      <w:r>
        <w:rPr>
          <w:rFonts w:hint="eastAsia" w:ascii="黑体" w:hAnsi="黑体" w:eastAsia="黑体" w:cs="黑体"/>
          <w:sz w:val="24"/>
          <w:szCs w:val="24"/>
        </w:rPr>
        <w:t xml:space="preserve">非洲猪瘟荧光PCR检测试剂盒</w:t>
      </w:r>
      <w:r/>
    </w:p>
    <w:p>
      <w:pPr>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default" w:ascii="宋体" w:hAnsi="宋体" w:eastAsia="宋体" w:cs="宋体"/>
          <w:color w:val="000000"/>
          <w:sz w:val="24"/>
          <w:szCs w:val="24"/>
          <w:u w:val="none"/>
          <w:lang w:bidi="ar"/>
        </w:rPr>
        <w:t xml:space="preserve">作用与用途：用于猪血液、脾脏、淋巴结、肾脏组织样品中的非洲猪瘟病毒核酸的检测。</w:t>
      </w:r>
      <w:r/>
    </w:p>
    <w:p>
      <w:pPr>
        <w:jc w:val="left"/>
        <w:spacing w:line="480" w:lineRule="exact"/>
        <w:rPr>
          <w:rFonts w:hint="eastAsia" w:ascii="宋体" w:hAnsi="宋体" w:cs="宋体"/>
          <w:sz w:val="24"/>
          <w:szCs w:val="24"/>
        </w:rPr>
      </w:pPr>
      <w:r>
        <w:rPr>
          <w:rFonts w:hint="eastAsia" w:ascii="宋体" w:hAnsi="宋体" w:cs="宋体"/>
          <w:sz w:val="24"/>
          <w:szCs w:val="24"/>
        </w:rPr>
        <w:t xml:space="preserve">2、保存条件：-20℃以下冷冻保存。</w:t>
      </w:r>
      <w:r/>
    </w:p>
    <w:p>
      <w:pPr>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、试剂盒组成：酶反应液1000μl/管、引物探针、阳性对照500μl/管、阴性对照500μl/管。</w:t>
      </w:r>
      <w:r/>
    </w:p>
    <w:p>
      <w:pPr>
        <w:jc w:val="left"/>
        <w:spacing w:line="480" w:lineRule="exact"/>
        <w:rPr>
          <w:rFonts w:hint="eastAsia" w:ascii="宋体" w:hAnsi="宋体" w:cs="宋体"/>
          <w:sz w:val="24"/>
          <w:szCs w:val="24"/>
        </w:rPr>
      </w:pPr>
      <w:r>
        <w:rPr>
          <w:rFonts w:hint="eastAsia" w:ascii="宋体" w:hAnsi="宋体" w:cs="宋体"/>
          <w:sz w:val="24"/>
          <w:szCs w:val="24"/>
        </w:rPr>
        <w:t xml:space="preserve">4、规格50T/盒，有效期12个月。</w:t>
      </w:r>
      <w:r/>
    </w:p>
    <w:p>
      <w:pPr>
        <w:jc w:val="left"/>
        <w:spacing w:line="48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5、提供投标产品农业农村部正式生产批文。</w:t>
      </w:r>
      <w:r/>
    </w:p>
    <w:p>
      <w:pPr>
        <w:jc w:val="left"/>
        <w:spacing w:line="480" w:lineRule="exact"/>
        <w:rPr>
          <w:rFonts w:hint="eastAsia" w:ascii="宋体" w:hAnsi="宋体" w:cs="宋体"/>
          <w:sz w:val="24"/>
          <w:szCs w:val="24"/>
        </w:rPr>
      </w:pPr>
      <w:r>
        <w:rPr>
          <w:rFonts w:hint="eastAsia" w:ascii="宋体" w:hAnsi="宋体" w:cs="宋体"/>
          <w:sz w:val="24"/>
          <w:szCs w:val="24"/>
        </w:rPr>
        <w:t xml:space="preserve">6、投标产品具有非洲猪瘟国家参考实验室推荐使用证明。</w:t>
      </w:r>
      <w:r/>
    </w:p>
    <w:p>
      <w:pPr>
        <w:jc w:val="left"/>
        <w:spacing w:line="480" w:lineRule="exact"/>
        <w:rPr>
          <w:rFonts w:hint="eastAsia" w:ascii="宋体" w:hAnsi="宋体" w:cs="宋体"/>
          <w:b/>
          <w:bCs/>
          <w:sz w:val="24"/>
          <w:szCs w:val="24"/>
        </w:rPr>
      </w:pPr>
      <w:r>
        <w:rPr>
          <w:rFonts w:hint="eastAsia" w:ascii="宋体" w:hAnsi="宋体" w:cs="宋体"/>
          <w:b/>
          <w:bCs/>
          <w:sz w:val="24"/>
          <w:szCs w:val="24"/>
        </w:rPr>
        <w:t xml:space="preserve">(四)猪伪狂犬gE抗体检测试剂盒</w:t>
      </w:r>
      <w:r/>
    </w:p>
    <w:p>
      <w:pPr>
        <w:jc w:val="left"/>
        <w:spacing w:line="480" w:lineRule="exact"/>
        <w:rPr>
          <w:rFonts w:hint="eastAsia" w:ascii="宋体" w:hAnsi="宋体" w:cs="宋体"/>
          <w:sz w:val="24"/>
          <w:szCs w:val="24"/>
        </w:rPr>
      </w:pPr>
      <w:r>
        <w:rPr>
          <w:rFonts w:hint="eastAsia" w:ascii="宋体" w:hAnsi="宋体" w:cs="宋体"/>
          <w:sz w:val="24"/>
          <w:szCs w:val="24"/>
        </w:rPr>
        <w:t xml:space="preserve">1、作用与用途： 用于检测猪、野猪血清或血浆中伪狂犬病毒（PRV）gE蛋白抗体。</w:t>
      </w:r>
      <w:r/>
    </w:p>
    <w:p>
      <w:pPr>
        <w:jc w:val="left"/>
        <w:spacing w:line="480" w:lineRule="exact"/>
        <w:rPr>
          <w:rFonts w:hint="eastAsia" w:ascii="宋体" w:hAnsi="宋体" w:cs="宋体"/>
          <w:sz w:val="24"/>
          <w:szCs w:val="24"/>
        </w:rPr>
      </w:pPr>
      <w:r>
        <w:rPr>
          <w:rFonts w:hint="eastAsia" w:ascii="宋体" w:hAnsi="宋体" w:cs="宋体"/>
          <w:sz w:val="24"/>
          <w:szCs w:val="24"/>
        </w:rPr>
        <w:t xml:space="preserve">2、规格：2板/盒，有效期12个月。</w:t>
      </w:r>
      <w:r/>
    </w:p>
    <w:p>
      <w:pPr>
        <w:jc w:val="left"/>
        <w:spacing w:line="480" w:lineRule="exact"/>
        <w:rPr>
          <w:rFonts w:hint="eastAsia" w:ascii="宋体" w:hAnsi="宋体" w:cs="宋体"/>
          <w:sz w:val="24"/>
          <w:szCs w:val="24"/>
        </w:rPr>
      </w:pPr>
      <w:r>
        <w:rPr>
          <w:rFonts w:hint="eastAsia" w:ascii="宋体" w:hAnsi="宋体" w:cs="宋体"/>
          <w:sz w:val="24"/>
          <w:szCs w:val="24"/>
        </w:rPr>
        <w:t xml:space="preserve">3、投标人提供该产品新兽药证书及产品批准文号；</w:t>
      </w:r>
      <w:r/>
    </w:p>
    <w:p>
      <w:pPr>
        <w:jc w:val="left"/>
        <w:spacing w:line="480" w:lineRule="exact"/>
        <w:rPr>
          <w:rFonts w:hint="eastAsia" w:ascii="宋体" w:hAnsi="宋体" w:cs="宋体"/>
          <w:sz w:val="24"/>
          <w:szCs w:val="24"/>
        </w:rPr>
      </w:pPr>
      <w:r>
        <w:rPr>
          <w:rFonts w:hint="eastAsia" w:ascii="宋体" w:hAnsi="宋体" w:cs="宋体"/>
          <w:sz w:val="24"/>
          <w:szCs w:val="24"/>
        </w:rPr>
        <w:t xml:space="preserve">▲4、投标人须具有满足货物供货的能力。提供生产企业出具的针对本次项目的质保函。（原件现场核查)，以此证明产品的合法来源。</w:t>
      </w:r>
      <w:r/>
    </w:p>
    <w:p>
      <w:pPr>
        <w:jc w:val="left"/>
        <w:spacing w:line="480" w:lineRule="exact"/>
        <w:rPr>
          <w:rFonts w:hint="eastAsia" w:ascii="宋体" w:hAnsi="宋体" w:cs="宋体"/>
          <w:sz w:val="24"/>
          <w:szCs w:val="24"/>
        </w:rPr>
      </w:pPr>
      <w:r>
        <w:rPr>
          <w:rFonts w:hint="eastAsia" w:ascii="宋体" w:hAnsi="宋体" w:cs="宋体"/>
          <w:sz w:val="24"/>
          <w:szCs w:val="24"/>
        </w:rPr>
        <w:t xml:space="preserve">▲5、投标人提供具备CNAS和CMA资质的第三方实验室试剂比对报告原件扫描件。</w:t>
      </w:r>
      <w:r/>
    </w:p>
    <w:p>
      <w:pPr>
        <w:jc w:val="left"/>
        <w:spacing w:line="480" w:lineRule="exact"/>
        <w:rPr>
          <w:rFonts w:hint="eastAsia" w:ascii="宋体" w:hAnsi="宋体" w:cs="宋体"/>
          <w:b/>
          <w:bCs/>
          <w:sz w:val="24"/>
          <w:szCs w:val="24"/>
        </w:rPr>
      </w:pPr>
      <w:r>
        <w:rPr>
          <w:rFonts w:hint="eastAsia" w:ascii="宋体" w:hAnsi="宋体" w:cs="宋体"/>
          <w:b/>
          <w:bCs/>
          <w:sz w:val="24"/>
          <w:szCs w:val="24"/>
        </w:rPr>
        <w:t xml:space="preserve">(五)猪伪狂犬gB抗体检测试剂盒</w:t>
      </w:r>
      <w:r/>
    </w:p>
    <w:p>
      <w:pPr>
        <w:spacing w:line="480" w:lineRule="exact"/>
        <w:rPr>
          <w:rFonts w:hint="eastAsia" w:ascii="宋体" w:hAnsi="宋体" w:eastAsia="宋体" w:cs="宋体"/>
          <w:sz w:val="24"/>
          <w:szCs w:val="24"/>
        </w:rPr>
      </w:pPr>
      <w:r>
        <w:rPr>
          <w:rFonts w:hint="eastAsia" w:ascii="宋体" w:hAnsi="宋体" w:cs="宋体"/>
          <w:sz w:val="24"/>
          <w:szCs w:val="24"/>
        </w:rPr>
        <w:t xml:space="preserve">1、作用与用途： 用于检测猪、野猪血清或血浆中伪狂犬病毒（PRV）gB蛋白抗</w:t>
      </w:r>
      <w:r>
        <w:rPr>
          <w:rFonts w:hint="eastAsia" w:ascii="宋体" w:hAnsi="宋体" w:eastAsia="宋体" w:cs="宋体"/>
          <w:sz w:val="24"/>
          <w:szCs w:val="24"/>
        </w:rPr>
        <w:t xml:space="preserve">体。</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2、规格：2板/盒，有效期12个月。</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3、投标人提供该产品新兽药证书及产品批准文号；</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▲4、投标人须具有满足货物供货的能力。提供生产企业出具的针对本次项目的质保函。（原件现场核查)，以此证明产品的合法来源。</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▲5、投标人提供具备CNAS和CMA资质的第三方实验室试剂比对报告原件扫描件</w:t>
      </w:r>
      <w:r/>
    </w:p>
    <w:p>
      <w:pPr>
        <w:ind w:firstLine="140"/>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(六)</w:t>
      </w:r>
      <w:r>
        <w:rPr>
          <w:rFonts w:hint="eastAsia" w:ascii="黑体" w:hAnsi="黑体" w:eastAsia="黑体" w:cs="黑体"/>
          <w:sz w:val="24"/>
          <w:szCs w:val="24"/>
        </w:rPr>
        <w:t xml:space="preserve">羊小反刍兽疫病毒抗体ELISA检测试剂盒</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（1）用于绵羊、山羊血清、血浆中小反刍兽疫病毒（PPR）抗体的检测。</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（2）试剂盒满足《小反刍兽疫诊断技术（GB/T 27982-2011）》、《小反兽疫防治技术规范》、《2022-2025年江苏省动物疫病监测与流行病学调查工作方案》（苏农办牧〔2022〕7号）等规定的小反刍兽疫抗体检测方法。</w:t>
      </w:r>
      <w:r/>
    </w:p>
    <w:p>
      <w:pPr>
        <w:jc w:val="both"/>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（3）规格2板/盒，试剂盒有效期不少于12个月</w:t>
      </w:r>
      <w:r>
        <w:rPr>
          <w:rFonts w:hint="eastAsia" w:ascii="宋体" w:hAnsi="宋体" w:eastAsia="宋体" w:cs="宋体"/>
          <w:color w:val="4874cb"/>
          <w:sz w:val="24"/>
          <w:szCs w:val="24"/>
          <w:lang w:val="en-US" w:eastAsia="zh-CN" w:bidi="ar-SA"/>
        </w:rPr>
        <w:t xml:space="preserve">，</w:t>
      </w:r>
      <w:r>
        <w:rPr>
          <w:rFonts w:hint="eastAsia" w:ascii="宋体" w:hAnsi="宋体" w:eastAsia="宋体" w:cs="宋体"/>
          <w:sz w:val="24"/>
          <w:szCs w:val="24"/>
          <w:lang w:val="en-US" w:eastAsia="zh-CN" w:bidi="ar-SA"/>
        </w:rPr>
        <w:t xml:space="preserve">提供的试剂盒到达采购人时（以签收日期为准）距该试剂盒失效日期应不少于10个月，提供投标产品说明书。</w:t>
      </w:r>
      <w:r/>
    </w:p>
    <w:p>
      <w:pPr>
        <w:jc w:val="both"/>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▲（4）提供投标产品国家小反刍参考实验室技术支持证明文件。</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(七)</w:t>
      </w:r>
      <w:r>
        <w:rPr>
          <w:rFonts w:hint="eastAsia" w:ascii="黑体" w:hAnsi="黑体" w:eastAsia="黑体" w:cs="黑体"/>
          <w:sz w:val="24"/>
          <w:szCs w:val="24"/>
        </w:rPr>
        <w:t xml:space="preserve">禽流感荧光PCR检测试剂盒</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1、试剂盒组成：试剂盒含有完成荧光RT-PCR全过程所需全部试剂：RT-PCR反应液1管；酶反应液1管；引物探针混合物 1管；阳性和阴性对照各1管。</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2、保存条件与</w:t>
      </w:r>
      <w:r>
        <w:rPr>
          <w:rFonts w:hint="eastAsia" w:ascii="宋体" w:hAnsi="宋体" w:eastAsia="宋体" w:cs="宋体"/>
          <w:sz w:val="24"/>
          <w:szCs w:val="24"/>
        </w:rPr>
        <w:t xml:space="preserve">规格</w:t>
      </w:r>
      <w:r>
        <w:rPr>
          <w:rFonts w:hint="eastAsia" w:ascii="宋体" w:hAnsi="宋体" w:eastAsia="宋体" w:cs="宋体"/>
          <w:sz w:val="24"/>
          <w:szCs w:val="24"/>
          <w:lang w:eastAsia="zh-Hans"/>
        </w:rPr>
        <w:t xml:space="preserve">：-20℃保存，试剂盒有效期1</w:t>
      </w: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个月</w:t>
      </w:r>
      <w:r>
        <w:rPr>
          <w:rFonts w:hint="eastAsia" w:ascii="宋体" w:hAnsi="宋体" w:eastAsia="宋体" w:cs="宋体"/>
          <w:sz w:val="24"/>
          <w:szCs w:val="24"/>
        </w:rPr>
        <w:t xml:space="preserve">，</w:t>
      </w:r>
      <w:r>
        <w:rPr>
          <w:rFonts w:hint="eastAsia" w:ascii="宋体" w:hAnsi="宋体" w:eastAsia="宋体" w:cs="宋体"/>
          <w:sz w:val="24"/>
          <w:szCs w:val="24"/>
          <w:lang w:eastAsia="zh-Hans"/>
        </w:rPr>
        <w:t xml:space="preserve">50头份/盒。</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w:t>
      </w:r>
      <w:r>
        <w:rPr>
          <w:rFonts w:hint="eastAsia" w:ascii="宋体" w:hAnsi="宋体" w:eastAsia="宋体" w:cs="宋体"/>
          <w:sz w:val="24"/>
          <w:szCs w:val="24"/>
          <w:lang w:eastAsia="zh-Hans"/>
        </w:rPr>
        <w:t xml:space="preserve">3、</w:t>
      </w:r>
      <w:r>
        <w:rPr>
          <w:rFonts w:hint="eastAsia" w:ascii="宋体" w:hAnsi="宋体" w:eastAsia="宋体" w:cs="宋体"/>
          <w:sz w:val="24"/>
          <w:szCs w:val="24"/>
        </w:rPr>
        <w:t xml:space="preserve">提供国家参考实验室推荐使用证明或生产厂家经农业农村部核发的批准文号</w:t>
      </w:r>
      <w:r>
        <w:rPr>
          <w:rFonts w:hint="eastAsia" w:ascii="宋体" w:hAnsi="宋体" w:eastAsia="宋体" w:cs="宋体"/>
          <w:sz w:val="24"/>
          <w:szCs w:val="24"/>
          <w:lang w:eastAsia="zh-Hans"/>
        </w:rPr>
        <w:t xml:space="preserve">。</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(八)</w:t>
      </w:r>
      <w:r>
        <w:rPr>
          <w:rFonts w:hint="eastAsia" w:ascii="黑体" w:hAnsi="黑体" w:eastAsia="黑体" w:cs="黑体"/>
          <w:sz w:val="24"/>
          <w:szCs w:val="24"/>
        </w:rPr>
        <w:t xml:space="preserve">禽流感病毒H5亚型(re-13株）/（re-14株）、H7亚型(re-4株)血凝抑制试验抗原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抗原灭活，用于</w:t>
      </w:r>
      <w:r>
        <w:rPr>
          <w:rFonts w:hint="eastAsia" w:ascii="宋体" w:hAnsi="宋体" w:eastAsia="宋体" w:cs="宋体"/>
          <w:sz w:val="24"/>
          <w:szCs w:val="24"/>
        </w:rPr>
        <w:t xml:space="preserve">禽流感</w:t>
      </w:r>
      <w:r>
        <w:rPr>
          <w:rFonts w:hint="eastAsia" w:ascii="宋体" w:hAnsi="宋体" w:eastAsia="宋体" w:cs="宋体"/>
          <w:sz w:val="24"/>
          <w:szCs w:val="24"/>
          <w:lang w:eastAsia="zh-Hans"/>
        </w:rPr>
        <w:t xml:space="preserve">H5</w:t>
      </w:r>
      <w:r>
        <w:rPr>
          <w:rFonts w:hint="eastAsia" w:ascii="宋体" w:hAnsi="宋体" w:eastAsia="宋体" w:cs="宋体"/>
          <w:sz w:val="24"/>
          <w:szCs w:val="24"/>
        </w:rPr>
        <w:t xml:space="preserve">、H7各亚型毒</w:t>
      </w:r>
      <w:r>
        <w:rPr>
          <w:rFonts w:hint="eastAsia" w:ascii="宋体" w:hAnsi="宋体" w:eastAsia="宋体" w:cs="宋体"/>
          <w:sz w:val="24"/>
          <w:szCs w:val="24"/>
          <w:lang w:eastAsia="zh-Hans"/>
        </w:rPr>
        <w:t xml:space="preserve">株</w:t>
      </w:r>
      <w:r>
        <w:rPr>
          <w:rFonts w:hint="eastAsia" w:ascii="宋体" w:hAnsi="宋体" w:eastAsia="宋体" w:cs="宋体"/>
          <w:sz w:val="24"/>
          <w:szCs w:val="24"/>
        </w:rPr>
        <w:t xml:space="preserve">抗体检测。</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（2）试剂盒满足《高致病性禽流感诊断技术（GB/T 18936-2020）》、《高致病性禽流感防治技术规范》、《2022-2025年江苏省动物疫病监测与流行病学调查工作方案（苏农办牧〔2022〕7号）》等规定的禽流感抗体检测方法标准。</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血凝效价≥7log2；</w:t>
      </w:r>
      <w:r>
        <w:rPr>
          <w:rFonts w:hint="eastAsia" w:ascii="宋体" w:hAnsi="宋体" w:eastAsia="宋体" w:cs="宋体"/>
          <w:sz w:val="24"/>
          <w:szCs w:val="24"/>
        </w:rPr>
        <w:t xml:space="preserve">规格2ml/瓶，</w:t>
      </w:r>
      <w:r>
        <w:rPr>
          <w:rFonts w:hint="eastAsia" w:ascii="宋体" w:hAnsi="宋体" w:eastAsia="宋体" w:cs="宋体"/>
          <w:sz w:val="24"/>
          <w:szCs w:val="24"/>
          <w:lang w:eastAsia="zh-Hans"/>
        </w:rPr>
        <w:t xml:space="preserve">有效期24个月</w:t>
      </w:r>
      <w:r>
        <w:rPr>
          <w:rFonts w:hint="eastAsia" w:ascii="宋体" w:hAnsi="宋体" w:eastAsia="宋体" w:cs="宋体"/>
          <w:sz w:val="24"/>
          <w:szCs w:val="24"/>
        </w:rPr>
        <w:t xml:space="preserve">。</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（4）因国家禽流感免疫疫苗毒株更换而导致现有抗原毒株不符而不能使用时，同意按成交价提供符合检测要求的同规格的抗原品种。</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(九)</w:t>
      </w:r>
      <w:r>
        <w:rPr>
          <w:rFonts w:hint="eastAsia" w:ascii="黑体" w:hAnsi="黑体" w:eastAsia="黑体" w:cs="黑体"/>
          <w:sz w:val="24"/>
          <w:szCs w:val="24"/>
        </w:rPr>
        <w:t xml:space="preserve">二氯异氰脲酸钠粉</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含量：20%（以有效氯计）。</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作用与用途：主要用于禽舍、畜栏、器具、种蛋及饮水等的消毒。</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包装规格：250g/包、10公斤/箱。</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有效期：2年</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投标单位提供该产品厂家《兽药GMP证书》和《兽药生产许可证》原件扫描件；</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Hans"/>
        </w:rPr>
        <w:t xml:space="preserve">投标单位提供该产品批准文号原件扫描件。</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color w:val="000000"/>
          <w:sz w:val="24"/>
          <w:szCs w:val="24"/>
          <w:lang w:val="en-US" w:eastAsia="zh-CN" w:bidi="ar-SA"/>
        </w:rPr>
        <w:t xml:space="preserve">（十）</w:t>
      </w:r>
      <w:r>
        <w:rPr>
          <w:rFonts w:hint="eastAsia" w:ascii="黑体" w:hAnsi="黑体" w:eastAsia="黑体" w:cs="黑体"/>
          <w:sz w:val="24"/>
          <w:szCs w:val="24"/>
          <w:lang w:val="en-US" w:eastAsia="zh-CN" w:bidi="ar-SA"/>
        </w:rPr>
        <w:t xml:space="preserve">戊二醛溶液</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▲1、含量：12.8%</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2、作用与用途：用于养殖场、公共场所、设备器械等的消毒。</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3、包装规格：500g/瓶，10公斤/箱。</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4、有效期：2年。</w:t>
      </w:r>
      <w:r/>
    </w:p>
    <w:p>
      <w:pPr>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5、投标单位提供该产品厂家《兽药GMP证书》和《兽药生产许可证》原件扫描件；</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▲6、投标单位提供该产品批准文号原件扫描件。</w:t>
      </w:r>
      <w:r/>
    </w:p>
    <w:p>
      <w:pPr>
        <w:ind w:left="0" w:firstLine="0"/>
        <w:jc w:val="both"/>
        <w:spacing w:after="0" w:line="480" w:lineRule="exact"/>
        <w:widowControl w:val="off"/>
        <w:rPr>
          <w:rFonts w:hint="default" w:ascii="黑体" w:hAnsi="黑体" w:eastAsia="黑体" w:cs="黑体"/>
          <w:color w:val="000000"/>
          <w:sz w:val="24"/>
          <w:szCs w:val="24"/>
          <w:lang w:val="en-US" w:eastAsia="zh-CN" w:bidi="ar-SA"/>
        </w:rPr>
      </w:pPr>
      <w:r>
        <w:rPr>
          <w:rFonts w:hint="eastAsia" w:ascii="黑体" w:hAnsi="黑体" w:eastAsia="黑体" w:cs="黑体"/>
          <w:color w:val="000000"/>
          <w:sz w:val="24"/>
          <w:szCs w:val="24"/>
          <w:lang w:val="en-US" w:eastAsia="zh-CN" w:bidi="ar-SA"/>
        </w:rPr>
        <w:t xml:space="preserve">(十一）</w:t>
      </w:r>
      <w:r>
        <w:rPr>
          <w:rFonts w:hint="eastAsia" w:ascii="黑体" w:hAnsi="黑体" w:eastAsia="黑体" w:cs="黑体"/>
          <w:sz w:val="24"/>
          <w:szCs w:val="24"/>
          <w:lang w:val="en-US" w:eastAsia="zh-CN" w:bidi="ar-SA"/>
        </w:rPr>
        <w:t xml:space="preserve">季铵盐类</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1、复方高效消毒剂，含戊二醛5%，癸甲溴铵5%，用于养殖场、公共场所、设备器械及种蛋等的消毒。</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2、规格1000ml/瓶，保质期2年。</w:t>
      </w:r>
      <w:r/>
    </w:p>
    <w:p>
      <w:pPr>
        <w:jc w:val="left"/>
        <w:spacing w:line="480" w:lineRule="exact"/>
        <w:rPr>
          <w:rFonts w:hint="eastAsia" w:ascii="宋体" w:hAnsi="宋体" w:cs="宋体"/>
          <w:sz w:val="24"/>
          <w:szCs w:val="24"/>
        </w:rPr>
      </w:pPr>
      <w:r>
        <w:rPr>
          <w:rFonts w:hint="eastAsia" w:ascii="宋体" w:hAnsi="宋体" w:cs="宋体"/>
          <w:bCs/>
          <w:color w:val="000000"/>
          <w:sz w:val="24"/>
          <w:szCs w:val="24"/>
        </w:rPr>
        <w:t xml:space="preserve">5、</w:t>
      </w:r>
      <w:r>
        <w:rPr>
          <w:rFonts w:hint="eastAsia" w:ascii="宋体" w:hAnsi="宋体" w:cs="宋体"/>
          <w:color w:val="000000"/>
          <w:sz w:val="24"/>
          <w:szCs w:val="24"/>
        </w:rPr>
        <w:t xml:space="preserve">投标单位提供该产品厂家《兽药GMP证书》和《兽药生产许可证》原件扫描件；</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投标单位提供该产品批准文号原件扫描件。</w:t>
      </w:r>
      <w:r/>
    </w:p>
    <w:p>
      <w:pPr>
        <w:ind w:firstLine="0"/>
        <w:spacing w:before="0" w:after="0" w:line="480" w:lineRule="exact"/>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(十二)氯氟氰菊酯</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1、本品为合成的除虫菊脂类杀虫剂，对蚊、蝇、蟑螂有防治效果，适用于养殖场、无害处处理场等室外场所。</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2、有效成份：2.5%，250ml/瓶，有效期2年。</w:t>
      </w:r>
      <w:r/>
    </w:p>
    <w:p>
      <w:pPr>
        <w:spacing w:line="480" w:lineRule="exact"/>
        <w:rPr>
          <w:rFonts w:hint="eastAsia" w:ascii="黑体" w:hAnsi="黑体" w:eastAsia="黑体" w:cs="黑体"/>
          <w:sz w:val="24"/>
          <w:szCs w:val="24"/>
        </w:rPr>
      </w:pPr>
      <w:r>
        <w:rPr>
          <w:rFonts w:hint="eastAsia" w:ascii="黑体" w:hAnsi="黑体" w:eastAsia="黑体" w:cs="黑体"/>
          <w:sz w:val="24"/>
          <w:szCs w:val="24"/>
        </w:rPr>
        <w:t xml:space="preserve">(十三)一次性防护服</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1.名称：医用一次性防护服</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2.规格型号：连身式180</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3.执行标准：GB 19082-2009</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4.材质：PP＋PE。长袖应采用松紧袖口，面料应舒适透气，防皱、防起球、防缩水。</w:t>
      </w:r>
      <w:r/>
    </w:p>
    <w:p>
      <w:pPr>
        <w:spacing w:line="480" w:lineRule="exact"/>
        <w:rPr>
          <w:rFonts w:hint="eastAsia" w:ascii="仿宋" w:hAnsi="仿宋" w:eastAsia="仿宋" w:cs="仿宋"/>
          <w:bCs/>
          <w:sz w:val="24"/>
          <w:szCs w:val="24"/>
        </w:rPr>
      </w:pPr>
      <w:r>
        <w:rPr>
          <w:rFonts w:hint="eastAsia" w:ascii="宋体" w:hAnsi="宋体" w:eastAsia="宋体" w:cs="宋体"/>
          <w:sz w:val="24"/>
          <w:szCs w:val="32"/>
        </w:rPr>
        <w:t xml:space="preserve">5.保质期：大于12个月</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(十四)一次性口罩</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1、符合YY0469-2011《医用外科口罩技术要求》。</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2、50只/盒，单只独立包装。</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(十五)脚套</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1、加厚PE材质，蓝色，加高加厚防水。</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2、高筒式设计，尺寸38*50cm，适用于养殖场。</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(十六)乳胶手套</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（1）采用天然乳胶，耐弱酸弱碱。</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（2）指尖麻点设计，防滑。</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（3）贴合度高，不影响触控。</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（4）无菌独立装，50只/盒，L、M、S多规格可选。</w:t>
      </w:r>
      <w:r/>
    </w:p>
    <w:p>
      <w:pPr>
        <w:spacing w:line="480" w:lineRule="exact"/>
        <w:rPr>
          <w:rFonts w:hint="eastAsia" w:ascii="黑体" w:hAnsi="黑体" w:eastAsia="黑体" w:cs="黑体"/>
          <w:sz w:val="24"/>
          <w:szCs w:val="24"/>
          <w:lang w:bidi="ar"/>
        </w:rPr>
      </w:pPr>
      <w:r>
        <w:rPr>
          <w:rFonts w:hint="eastAsia" w:ascii="黑体" w:hAnsi="黑体" w:eastAsia="黑体" w:cs="黑体"/>
          <w:sz w:val="24"/>
          <w:szCs w:val="24"/>
        </w:rPr>
        <w:t xml:space="preserve">(十七)</w:t>
      </w:r>
      <w:r>
        <w:rPr>
          <w:rFonts w:hint="eastAsia" w:ascii="黑体" w:hAnsi="黑体" w:eastAsia="黑体" w:cs="黑体"/>
          <w:sz w:val="24"/>
          <w:szCs w:val="24"/>
          <w:lang w:bidi="ar"/>
        </w:rPr>
        <w:t xml:space="preserve">兽用一次性采血器</w:t>
      </w:r>
      <w:r/>
    </w:p>
    <w:p>
      <w:pPr>
        <w:spacing w:line="480" w:lineRule="exact"/>
        <w:rPr>
          <w:rFonts w:hint="eastAsia" w:ascii="宋体" w:hAnsi="宋体" w:cs="宋体"/>
          <w:sz w:val="24"/>
          <w:szCs w:val="24"/>
        </w:rPr>
      </w:pPr>
      <w:r>
        <w:rPr>
          <w:rFonts w:hint="eastAsia" w:ascii="宋体" w:hAnsi="宋体" w:cs="宋体"/>
          <w:sz w:val="24"/>
          <w:szCs w:val="24"/>
        </w:rPr>
        <w:t xml:space="preserve">（1）独立包装，5mL/支，7号（9号）针头，带书写标签，100支/盒；</w:t>
      </w:r>
      <w:r/>
    </w:p>
    <w:p>
      <w:pPr>
        <w:spacing w:line="480" w:lineRule="exact"/>
        <w:rPr>
          <w:rFonts w:hint="eastAsia" w:ascii="宋体" w:hAnsi="宋体" w:cs="宋体"/>
          <w:sz w:val="24"/>
          <w:szCs w:val="24"/>
        </w:rPr>
      </w:pPr>
      <w:r>
        <w:rPr>
          <w:rFonts w:hint="eastAsia" w:ascii="宋体" w:hAnsi="宋体" w:cs="宋体"/>
          <w:sz w:val="24"/>
          <w:szCs w:val="24"/>
          <w:lang w:bidi="ar"/>
        </w:rPr>
        <w:t xml:space="preserve">（2）产品经过环氧乙烷灭菌，有效期3年。</w:t>
      </w:r>
      <w:r/>
    </w:p>
    <w:p>
      <w:pPr>
        <w:spacing w:line="48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
        </w:rPr>
        <w:t xml:space="preserve">本产品已取得专利证书。具有芯杆一体化、便捷、密封性好、推杆给力有力、稳定不脱落等优点，提供证明文件。</w:t>
      </w:r>
      <w:r/>
    </w:p>
    <w:p>
      <w:pPr>
        <w:spacing w:line="480" w:lineRule="exact"/>
        <w:widowControl w:val="off"/>
        <w:rPr>
          <w:rFonts w:hint="eastAsia" w:ascii="黑体" w:hAnsi="黑体" w:eastAsia="黑体" w:cs="黑体"/>
          <w:color w:val="000000"/>
          <w:sz w:val="24"/>
          <w:szCs w:val="24"/>
          <w:lang w:val="en-US" w:eastAsia="zh-CN" w:bidi="ar"/>
        </w:rPr>
      </w:pPr>
      <w:r>
        <w:rPr>
          <w:rFonts w:hint="eastAsia" w:ascii="黑体" w:hAnsi="黑体" w:eastAsia="黑体" w:cs="黑体"/>
          <w:color w:val="000000"/>
          <w:sz w:val="24"/>
          <w:szCs w:val="24"/>
          <w:lang w:val="en-US" w:eastAsia="zh-CN" w:bidi="ar"/>
        </w:rPr>
        <w:t xml:space="preserve">（十八）金属兽用注射器</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1、金属材质，可调节刻度杆，旋转调节。</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2、半透明玻璃管。</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3、20ml筒长12.3cm，总长16cm，外径24.4cm；50ml筒长17cm，总长21cm，外径28.2cm.</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（十九）采样管</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
        </w:rPr>
        <w:t xml:space="preserve">、选用高品质聚丙烯（pp）材料制成。</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2、可承受16，000xg离心力。可耐受温度 -80 ℃至121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3、管体光滑，刻度清晰。</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4、可单手操作，开合盖手感舒适。</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5、规格，2ml/支、5ml/支，连盖圆底。</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(二十)针头</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1、铁质针头，尺寸标准。</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宋体" w:hAnsi="宋体" w:eastAsia="宋体" w:cs="宋体"/>
          <w:sz w:val="24"/>
          <w:szCs w:val="24"/>
          <w:lang w:val="en-US" w:eastAsia="zh-CN" w:bidi="ar"/>
        </w:rPr>
        <w:t xml:space="preserve">2、7号针头，粗0.7mm，长1.5cm；12号针头，粗1.2mm，长3cm。</w:t>
      </w:r>
      <w:r/>
    </w:p>
    <w:p>
      <w:pPr>
        <w:ind w:left="0" w:firstLine="0"/>
        <w:jc w:val="both"/>
        <w:spacing w:after="0" w:line="480" w:lineRule="exact"/>
        <w:widowControl w:val="off"/>
        <w:rPr>
          <w:rFonts w:hint="eastAsia" w:ascii="STHeiti Light" w:hAnsi="STHeiti Light" w:eastAsia="STHeiti Light" w:cs="STHeiti Light"/>
          <w:color w:val="000000"/>
          <w:sz w:val="24"/>
          <w:szCs w:val="24"/>
          <w:lang w:val="en-US" w:eastAsia="zh-CN" w:bidi="ar-SA"/>
        </w:rPr>
      </w:pPr>
      <w:r>
        <w:rPr>
          <w:rFonts w:hint="eastAsia" w:ascii="黑体" w:hAnsi="黑体" w:eastAsia="黑体" w:cs="黑体"/>
          <w:sz w:val="24"/>
          <w:szCs w:val="24"/>
          <w:lang w:val="en-US" w:eastAsia="zh-CN" w:bidi="ar-SA"/>
        </w:rPr>
        <w:t xml:space="preserve">说明：</w:t>
      </w:r>
      <w:r>
        <w:rPr>
          <w:rFonts w:hint="eastAsia" w:ascii="STHeiti Light" w:hAnsi="STHeiti Light" w:eastAsia="STHeiti Light" w:cs="STHeiti Light"/>
          <w:sz w:val="24"/>
          <w:szCs w:val="24"/>
          <w:lang w:val="en-US" w:eastAsia="zh-CN" w:bidi="ar-SA"/>
        </w:rPr>
        <w:t xml:space="preserve">带</w:t>
      </w:r>
      <w:r>
        <w:rPr>
          <w:rFonts w:hint="eastAsia" w:ascii="STHeiti Light" w:hAnsi="STHeiti Light" w:eastAsia="STHeiti Light" w:cs="STHeiti Light"/>
          <w:color w:val="000000"/>
          <w:sz w:val="24"/>
          <w:szCs w:val="24"/>
          <w:lang w:val="en-US" w:eastAsia="zh-CN" w:bidi="ar-SA"/>
        </w:rPr>
        <w:t xml:space="preserve">▲参数为产品关键参数，请各供应商认真对照技术参数要求，提供相关证明材料。</w:t>
      </w:r>
      <w:r/>
    </w:p>
    <w:p>
      <w:pPr>
        <w:ind w:left="0" w:firstLine="0"/>
        <w:jc w:val="both"/>
        <w:spacing w:after="0" w:line="480" w:lineRule="exact"/>
        <w:widowControl w:val="off"/>
        <w:rPr>
          <w:rFonts w:hint="eastAsia" w:ascii="STHeiti Light" w:hAnsi="STHeiti Light" w:eastAsia="STHeiti Light" w:cs="STHeiti Light"/>
          <w:b/>
          <w:bCs/>
          <w:color w:val="000000"/>
          <w:sz w:val="24"/>
          <w:szCs w:val="24"/>
          <w:lang w:val="en-US" w:eastAsia="zh-CN" w:bidi="ar-SA"/>
        </w:rPr>
      </w:pPr>
      <w:r>
        <w:rPr>
          <w:rFonts w:hint="eastAsia" w:ascii="STHeiti Light" w:hAnsi="STHeiti Light" w:eastAsia="STHeiti Light" w:cs="STHeiti Light"/>
          <w:b/>
          <w:bCs/>
          <w:color w:val="000000"/>
          <w:sz w:val="24"/>
          <w:szCs w:val="24"/>
          <w:lang w:val="en-US" w:eastAsia="zh-CN" w:bidi="ar-SA"/>
        </w:rPr>
        <w:t xml:space="preserve">五、明细报价表</w:t>
      </w:r>
      <w:r/>
    </w:p>
    <w:tbl>
      <w:tblPr>
        <w:tblStyle w:val="671"/>
        <w:tblW w:w="9453" w:type="dxa"/>
        <w:jc w:val="center"/>
        <w:tblLayout w:type="fixed"/>
        <w:tblCellMar>
          <w:left w:w="108" w:type="dxa"/>
          <w:top w:w="0" w:type="dxa"/>
          <w:right w:w="108" w:type="dxa"/>
          <w:bottom w:w="0" w:type="dxa"/>
        </w:tblCellMar>
        <w:tblLook w:val="04A0" w:firstRow="1" w:lastRow="0" w:firstColumn="1" w:lastColumn="0" w:noHBand="0" w:noVBand="1"/>
      </w:tblPr>
      <w:tblGrid>
        <w:gridCol w:w="1382"/>
        <w:gridCol w:w="2625"/>
        <w:gridCol w:w="1455"/>
        <w:gridCol w:w="970"/>
        <w:gridCol w:w="1105"/>
        <w:gridCol w:w="958"/>
        <w:gridCol w:w="958"/>
      </w:tblGrid>
      <w:tr>
        <w:trPr>
          <w:jc w:val="center"/>
          <w:trHeight w:val="367"/>
        </w:trPr>
        <w:tc>
          <w:tcPr>
            <w:tcBorders>
              <w:top w:val="single" w:color="auto" w:sz="4" w:space="0"/>
              <w:left w:val="single" w:color="auto" w:sz="4" w:space="0"/>
              <w:bottom w:val="single" w:color="auto" w:sz="4" w:space="0"/>
              <w:right w:val="single" w:color="auto" w:sz="4" w:space="0"/>
            </w:tcBorders>
            <w:tcW w:w="1382"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工作任务</w:t>
            </w:r>
            <w:r/>
          </w:p>
        </w:tc>
        <w:tc>
          <w:tcPr>
            <w:tcBorders>
              <w:top w:val="single" w:color="auto" w:sz="4" w:space="0"/>
              <w:left w:val="none" w:color="000000" w:sz="4" w:space="0"/>
              <w:bottom w:val="single" w:color="auto" w:sz="4" w:space="0"/>
              <w:right w:val="single" w:color="auto" w:sz="4" w:space="0"/>
            </w:tcBorders>
            <w:tcW w:w="262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规格</w:t>
            </w:r>
            <w:r/>
          </w:p>
        </w:tc>
        <w:tc>
          <w:tcPr>
            <w:tcBorders>
              <w:top w:val="single" w:color="auto" w:sz="4" w:space="0"/>
              <w:left w:val="none" w:color="000000" w:sz="4" w:space="0"/>
              <w:bottom w:val="single" w:color="auto" w:sz="4" w:space="0"/>
              <w:right w:val="single" w:color="auto" w:sz="4" w:space="0"/>
            </w:tcBorders>
            <w:tcW w:w="970"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单价</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金额</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备注</w:t>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restart"/>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动疫病监测</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全自动洗板机</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防护服</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4000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口罩</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脚套</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乳胶手套</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采血器</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90"/>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50毫升注射器</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20毫升注射器</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5毫升采样管</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2毫升采样管</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7#针头</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12#针头</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67"/>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禽流感荧光PCR检测试剂</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50T/盒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禽流感抗体检测试剂</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10瓶/盒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52"/>
        </w:trPr>
        <w:tc>
          <w:tcPr>
            <w:tcBorders>
              <w:top w:val="single" w:color="auto"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羊小反刍兽疫抗体检测试剂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2板/盒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690"/>
        </w:trPr>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流行病学调查</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全自动布病检测工作站</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≧200样/小时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67"/>
        </w:trPr>
        <w:tc>
          <w:tcPr>
            <w:tcBorders>
              <w:top w:val="none" w:color="000000" w:sz="4" w:space="0"/>
              <w:left w:val="single" w:color="auto" w:sz="4" w:space="0"/>
              <w:bottom w:val="single" w:color="auto" w:sz="4" w:space="0"/>
              <w:right w:val="single" w:color="auto" w:sz="4" w:space="0"/>
            </w:tcBorders>
            <w:tcW w:w="1382" w:type="dxa"/>
            <w:vAlign w:val="center"/>
            <w:vMerge w:val="restart"/>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“三灭四消”</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二氯异氰脲酸钠粉（20%）</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40袋/件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戊二醛溶液（12.8%）</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10瓶/件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季氨盐类（12.8%）</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10瓶/件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437"/>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氯氟氰菊酯（2.5%）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250毫升/瓶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67"/>
        </w:trPr>
        <w:tc>
          <w:tcPr>
            <w:tcBorders>
              <w:top w:val="none" w:color="000000" w:sz="4" w:space="0"/>
              <w:left w:val="single" w:color="auto" w:sz="4" w:space="0"/>
              <w:bottom w:val="single" w:color="auto" w:sz="4" w:space="0"/>
              <w:right w:val="single" w:color="auto" w:sz="4" w:space="0"/>
            </w:tcBorders>
            <w:tcW w:w="1382" w:type="dxa"/>
            <w:vAlign w:val="center"/>
            <w:vMerge w:val="restart"/>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省级净化场监测</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非洲猪瘟荧光PCR检测试剂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50T /盒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猪伪狂犬GE抗体检测试剂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2板/盒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512"/>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猪伪狂犬GB抗体检测试剂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2板/盒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59"/>
        </w:trPr>
        <w:tc>
          <w:tcPr>
            <w:gridSpan w:val="2"/>
            <w:tcBorders>
              <w:top w:val="single" w:color="auto" w:sz="4" w:space="0"/>
              <w:left w:val="single" w:color="auto" w:sz="4" w:space="0"/>
              <w:bottom w:val="single" w:color="auto" w:sz="4" w:space="0"/>
              <w:right w:val="single" w:color="auto" w:sz="4" w:space="0"/>
            </w:tcBorders>
            <w:tcW w:w="4007"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合计</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bl>
    <w:p>
      <w:pPr>
        <w:pStyle w:val="672"/>
        <w:numPr>
          <w:ilvl w:val="0"/>
          <w:numId w:val="0"/>
        </w:numPr>
        <w:keepLines w:val="0"/>
        <w:keepNext w:val="0"/>
        <w:pageBreakBefore w:val="0"/>
        <w:spacing w:before="0" w:after="0" w:line="400" w:lineRule="exact"/>
        <w:widowControl/>
        <w:rPr>
          <w:rFonts w:hint="eastAsia" w:eastAsia="宋体"/>
          <w:vertAlign w:val="baseline"/>
          <w:lang w:val="en-US" w:eastAsia="zh-CN"/>
        </w:rPr>
      </w:pPr>
      <w:r>
        <w:rPr>
          <w:rFonts w:hint="eastAsia" w:ascii="STHeiti Light" w:hAnsi="STHeiti Light" w:eastAsia="STHeiti Light" w:cs="STHeiti Light"/>
          <w:color w:val="000000"/>
          <w:sz w:val="24"/>
          <w:szCs w:val="24"/>
          <w:lang w:val="en-US" w:eastAsia="zh-CN" w:bidi="ar-SA"/>
        </w:rPr>
        <w:t xml:space="preserve">报价包含：货款、标准附件、备品备件、配套服务、专用工具、包装、运输、装卸、保险、税金、货到就位、培训、售后、质保等完成本项目所涉及到的一切相关费用。</w:t>
      </w:r>
      <w:r/>
    </w:p>
    <w:p>
      <w:pPr>
        <w:pStyle w:val="692"/>
        <w:ind w:left="0" w:righ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服务与培训</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投标人提供详细的应急处理方案，内容包括免疫副反应的处理、理赔，用户反映问题的处理，用户走访等。免疫副反应和用户反映问题处理及时、理赔手续简化快速，服务内容量化，可操作性较强。</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投标人提供包含冷链运输方式、全程温度管理、突发事件处理等方面的冷链运输方案。重点服务项目明确、服务内容量化，有利于冷链运输管理，可操作性较强。</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投标人提供废弃疫苗瓶回收、处理方案。包括回收的品种、数量等，如何处理回收的废弃疫苗瓶。重点服务项目明确、内容量化，符合环保部门要求，可操作性较强。</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投标人提供培训方案。内容包括培训的内容、师资力量、区域、计划等。培训内容符合当前重大动物疫病防控需求，内容新颖实用，服务内容量化，可操作性较强。</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投标人提供强制免疫“先打后补”实施方案。内容包括投标人对强制免疫“先打后补”政策实施过程中提供的实施方案、案例。能积极配合</w:t>
      </w:r>
      <w:r>
        <w:rPr>
          <w:rFonts w:hint="eastAsia" w:ascii="宋体" w:hAnsi="宋体" w:cs="宋体"/>
          <w:color w:val="000000"/>
          <w:sz w:val="24"/>
          <w:szCs w:val="24"/>
          <w:lang w:eastAsia="zh-CN"/>
        </w:rPr>
        <w:t xml:space="preserve">沭阳</w:t>
      </w:r>
      <w:r>
        <w:rPr>
          <w:rFonts w:hint="eastAsia" w:ascii="宋体" w:hAnsi="宋体" w:eastAsia="宋体" w:cs="宋体"/>
          <w:color w:val="000000"/>
          <w:sz w:val="24"/>
          <w:szCs w:val="24"/>
        </w:rPr>
        <w:t xml:space="preserve">县强制免疫先打后补工作。</w:t>
      </w:r>
      <w:r/>
    </w:p>
    <w:p>
      <w:pPr>
        <w:pStyle w:val="69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投标人提供产品控制方案。内容包括投标人用于提升产品质量、创新研究、技术合作等品控措施，提供如开发专项经费、科研合作、专利等佐证材料。</w:t>
      </w:r>
      <w:r/>
    </w:p>
    <w:p>
      <w:pPr>
        <w:pStyle w:val="692"/>
        <w:ind w:left="0" w:firstLine="480"/>
        <w:jc w:val="both"/>
        <w:keepLines w:val="0"/>
        <w:keepNext w:val="0"/>
        <w:spacing w:before="0" w:beforeAutospacing="0" w:after="0" w:afterAutospacing="0" w:line="360" w:lineRule="auto"/>
        <w:widowControl w:val="off"/>
        <w:rPr>
          <w:rFonts w:hint="eastAsia" w:ascii="宋体" w:hAnsi="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投标人针对针对本项目提供详细的项目实施方案，内容包括但不限于：满足采购需求的服务要求、服务响应时间、服务方式、服务内容等。</w:t>
      </w:r>
      <w:r/>
    </w:p>
    <w:p>
      <w:pPr>
        <w:pStyle w:val="692"/>
        <w:ind w:left="0" w:firstLine="480"/>
        <w:jc w:val="both"/>
        <w:keepLines w:val="0"/>
        <w:keepNext w:val="0"/>
        <w:spacing w:before="0" w:beforeAutospacing="0" w:after="0" w:afterAutospacing="0" w:line="360" w:lineRule="auto"/>
        <w:widowControl w:val="off"/>
        <w:rPr>
          <w:rFonts w:hint="eastAsia" w:ascii="宋体" w:hAnsi="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9、动物疫苗的验收，由采购人根据动物疫苗有关质量要求等实施验收，并出具验收合格书面证明；交货时收货方有权对疫苗产品进行抽检，液态疫苗如发现产品有沉淀、混浊、分层、破乳等质变先兆，收货方拒收；上述凭现状的初步验收，不能解除在使用过程中供方对货物的内部缺陷应负的责任。</w:t>
      </w:r>
      <w:r/>
    </w:p>
    <w:p>
      <w:pPr>
        <w:rPr>
          <w:rFonts w:hint="eastAsia" w:eastAsia="宋体"/>
          <w:vertAlign w:val="baseline"/>
          <w:lang w:val="en-US" w:eastAsia="zh-CN"/>
        </w:rPr>
      </w:pPr>
      <w:r>
        <w:rPr>
          <w:rFonts w:hint="eastAsia" w:eastAsia="宋体"/>
          <w:vertAlign w:val="baseline"/>
          <w:lang w:val="en-US" w:eastAsia="zh-CN"/>
        </w:rPr>
      </w:r>
      <w:r/>
    </w:p>
    <w:p>
      <w:pPr>
        <w:pStyle w:val="672"/>
        <w:numPr>
          <w:ilvl w:val="0"/>
          <w:numId w:val="0"/>
        </w:numPr>
        <w:rPr>
          <w:rFonts w:hint="eastAsia" w:eastAsia="宋体"/>
          <w:vertAlign w:val="baseline"/>
          <w:lang w:val="en-US" w:eastAsia="zh-CN"/>
        </w:rPr>
      </w:pPr>
      <w:r>
        <w:rPr>
          <w:rFonts w:hint="eastAsia" w:eastAsia="宋体"/>
          <w:vertAlign w:val="baseline"/>
          <w:lang w:val="en-US" w:eastAsia="zh-CN"/>
        </w:rPr>
      </w:r>
      <w:r/>
    </w:p>
    <w:p>
      <w:pPr>
        <w:pStyle w:val="84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p>
    <w:p>
      <w:pPr>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p>
    <w:tbl>
      <w:tblPr>
        <w:tblStyle w:val="671"/>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p>
        </w:tc>
      </w:tr>
    </w:tbl>
    <w:p>
      <w:pPr>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p>
    <w:tbl>
      <w:tblPr>
        <w:tblStyle w:val="671"/>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0"/>
      </w:tblGrid>
      <w:tr>
        <w:trPr/>
        <w:tc>
          <w:tcPr>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bl>
    <w:p>
      <w:pPr>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p>
    <w:p>
      <w:pPr>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p>
    <w:p>
      <w:pPr>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671"/>
        <w:tblW w:w="5221"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52"/>
        <w:gridCol w:w="1431"/>
        <w:gridCol w:w="1363"/>
        <w:gridCol w:w="5634"/>
      </w:tblGrid>
      <w:tr>
        <w:trPr/>
        <w:tc>
          <w:tcPr>
            <w:gridSpan w:val="2"/>
            <w:tcW w:w="2204" w:type="dxa"/>
            <w:vAlign w:val="center"/>
            <w:textDirection w:val="lrTb"/>
            <w:noWrap w:val="false"/>
          </w:tcPr>
          <w:p>
            <w:pPr>
              <w:jc w:val="center"/>
              <w:rPr>
                <w:rFonts w:hint="default" w:ascii="Times New Roman" w:hAnsi="Times New Roman" w:eastAsia="宋体" w:cs="Times New Roman"/>
                <w:color w:val="000000"/>
                <w:szCs w:val="22"/>
              </w:rPr>
            </w:pPr>
            <w:r/>
            <w:bookmarkStart w:id="205" w:name="EBe0cfd1035ea44f689f97db50fccddc8b"/>
            <w:r>
              <w:rPr>
                <w:rFonts w:hint="default" w:ascii="Times New Roman" w:hAnsi="Times New Roman" w:eastAsia="宋体" w:cs="Times New Roman"/>
                <w:color w:val="000000"/>
                <w:szCs w:val="22"/>
              </w:rPr>
              <w:t xml:space="preserve">评审因素</w:t>
            </w:r>
            <w:r/>
          </w:p>
        </w:tc>
        <w:tc>
          <w:tcPr>
            <w:tcW w:w="1260" w:type="dxa"/>
            <w:vAlign w:val="center"/>
            <w:textDirection w:val="lrTb"/>
            <w:noWrap w:val="false"/>
          </w:tcPr>
          <w:p>
            <w:pPr>
              <w:jc w:val="center"/>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分数</w:t>
            </w:r>
            <w:r/>
          </w:p>
        </w:tc>
        <w:tc>
          <w:tcPr>
            <w:tcW w:w="5210" w:type="dxa"/>
            <w:vAlign w:val="center"/>
            <w:textDirection w:val="lrTb"/>
            <w:noWrap w:val="false"/>
          </w:tcPr>
          <w:p>
            <w:pPr>
              <w:jc w:val="center"/>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评审标准</w:t>
            </w:r>
            <w:r/>
          </w:p>
        </w:tc>
      </w:tr>
      <w:tr>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szCs w:val="21"/>
              </w:rPr>
              <w:t xml:space="preserve">报价分</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szCs w:val="21"/>
              </w:rPr>
              <w:t xml:space="preserve">投标报价</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szCs w:val="21"/>
              </w:rPr>
              <w:t xml:space="preserve">3</w:t>
            </w:r>
            <w:r>
              <w:rPr>
                <w:rFonts w:hint="default" w:ascii="Times New Roman" w:hAnsi="Times New Roman" w:eastAsia="宋体" w:cs="Times New Roman"/>
                <w:szCs w:val="21"/>
              </w:rPr>
              <w:t xml:space="preserve">0.00</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采用低价优先法计算，即满足招标文件要求且投标价格最低的投标报价为评标基准价，其价格分为满分。其他投标人投标报价得分＝（评标基准价/投标报价）*30。</w:t>
            </w:r>
            <w:r/>
          </w:p>
        </w:tc>
      </w:tr>
      <w:tr>
        <w:trPr>
          <w:trHeight w:val="402"/>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技术响应</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技术参数响应</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30</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标注“▲”技术参数部分未满足要求的，每有一项经评委认定的负偏离或未按招标文件要求提供证明材料的扣2分，扣完为止</w:t>
            </w:r>
            <w:r>
              <w:rPr>
                <w:rFonts w:hint="eastAsia" w:ascii="Calibri" w:hAnsi="Calibri" w:eastAsia="宋体" w:cs="Times New Roman"/>
                <w:szCs w:val="22"/>
              </w:rPr>
              <w:t xml:space="preserve">。</w:t>
            </w:r>
            <w:r>
              <w:rPr>
                <w:rFonts w:hint="default" w:ascii="Calibri" w:hAnsi="Calibri" w:eastAsia="宋体" w:cs="Times New Roman"/>
                <w:szCs w:val="22"/>
              </w:rPr>
              <w:t xml:space="preserve">注：（1）投标人</w:t>
            </w:r>
            <w:r>
              <w:rPr>
                <w:rFonts w:hint="eastAsia" w:ascii="Calibri" w:hAnsi="Calibri" w:eastAsia="宋体" w:cs="Times New Roman"/>
                <w:szCs w:val="22"/>
              </w:rPr>
              <w:t xml:space="preserve">需提供有效证明文件加盖投标单位公章</w:t>
            </w:r>
            <w:r>
              <w:rPr>
                <w:rFonts w:hint="default" w:ascii="Calibri" w:hAnsi="Calibri" w:eastAsia="宋体" w:cs="Times New Roman"/>
                <w:szCs w:val="22"/>
              </w:rPr>
              <w:t xml:space="preserve">；（2）以上内容按照要求统一放在投标文件格式-所投产品技术资料位置。</w:t>
            </w:r>
            <w:r/>
          </w:p>
        </w:tc>
      </w:tr>
      <w:tr>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企业经营业绩、信誉</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企业业绩</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9</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Calibri" w:hAnsi="Calibri" w:eastAsia="宋体" w:cs="Times New Roman"/>
                <w:szCs w:val="22"/>
              </w:rPr>
            </w:pPr>
            <w:r>
              <w:rPr>
                <w:rFonts w:hint="default" w:ascii="Calibri" w:hAnsi="Calibri" w:eastAsia="宋体" w:cs="Times New Roman"/>
                <w:szCs w:val="22"/>
              </w:rPr>
              <w:t xml:space="preserve">投标人自2020年1月1日(以合同签订时间为准)以来，类似项目业绩的，每有一个得3分，本项最高得</w:t>
            </w:r>
            <w:r>
              <w:rPr>
                <w:rFonts w:hint="eastAsia" w:ascii="Calibri" w:hAnsi="Calibri" w:eastAsia="宋体" w:cs="Times New Roman"/>
                <w:szCs w:val="22"/>
              </w:rPr>
              <w:t xml:space="preserve">9</w:t>
            </w:r>
            <w:r>
              <w:rPr>
                <w:rFonts w:hint="default" w:ascii="Calibri" w:hAnsi="Calibri" w:eastAsia="宋体" w:cs="Times New Roman"/>
                <w:szCs w:val="22"/>
              </w:rPr>
              <w:t xml:space="preserve">分。注:以投标文件中提供的“类似项目业绩中标通知书、合同、验收报告原件扫描件”为评审依据，三者缺一不可，需清晰可见，凡因供应商提供的信息不全面、不准确，该业绩不予认可不得分。不能反映出上述要求的，不予计分。</w:t>
            </w:r>
            <w:r/>
          </w:p>
        </w:tc>
      </w:tr>
      <w:tr>
        <w:trPr>
          <w:trHeight w:val="625"/>
        </w:trPr>
        <w:tc>
          <w:tcPr>
            <w:tcW w:w="881" w:type="dxa"/>
            <w:vAlign w:val="center"/>
            <w:vMerge w:val="restart"/>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项目实施方案</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项目实施计划、验收方案</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10</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根据供应商提供的实施计划与进度计划、实施方案、质量保证、包装运输方案进行打分。内容完整详实，能够针对采购需求内容要求而细化制定，有明确的时间节点和进度安排，项目管理运行机制健全且优于采购需求，得</w:t>
            </w:r>
            <w:r>
              <w:rPr>
                <w:rFonts w:hint="eastAsia" w:ascii="Calibri" w:hAnsi="Calibri" w:eastAsia="宋体" w:cs="Times New Roman"/>
                <w:szCs w:val="22"/>
              </w:rPr>
              <w:t xml:space="preserve">10</w:t>
            </w:r>
            <w:r>
              <w:rPr>
                <w:rFonts w:hint="default" w:ascii="Calibri" w:hAnsi="Calibri" w:eastAsia="宋体" w:cs="Times New Roman"/>
                <w:szCs w:val="22"/>
              </w:rPr>
              <w:t xml:space="preserve">分； 内容完整，针对采购需求内容要求而制定较齐全，内容表述有一定的偏差，但不影响实质性意思表达，能够满足采购需求，得</w:t>
            </w:r>
            <w:r>
              <w:rPr>
                <w:rFonts w:hint="eastAsia" w:ascii="Calibri" w:hAnsi="Calibri" w:eastAsia="宋体" w:cs="Times New Roman"/>
                <w:szCs w:val="22"/>
              </w:rPr>
              <w:t xml:space="preserve">6</w:t>
            </w:r>
            <w:r>
              <w:rPr>
                <w:rFonts w:hint="default" w:ascii="Calibri" w:hAnsi="Calibri" w:eastAsia="宋体" w:cs="Times New Roman"/>
                <w:szCs w:val="22"/>
              </w:rPr>
              <w:t xml:space="preserve">分；内容虽有但内容笼统，针对采购需求内容要求而制定不细致，但承诺经过优化可实现采购需求，得 </w:t>
            </w:r>
            <w:r>
              <w:rPr>
                <w:rFonts w:hint="eastAsia" w:ascii="Calibri" w:hAnsi="Calibri" w:eastAsia="宋体" w:cs="Times New Roman"/>
                <w:szCs w:val="22"/>
              </w:rPr>
              <w:t xml:space="preserve">3</w:t>
            </w:r>
            <w:r>
              <w:rPr>
                <w:rFonts w:hint="default" w:ascii="Calibri" w:hAnsi="Calibri" w:eastAsia="宋体" w:cs="Times New Roman"/>
                <w:szCs w:val="22"/>
              </w:rPr>
              <w:t xml:space="preserve">分；没有内容不得分。</w:t>
            </w:r>
            <w:r/>
          </w:p>
        </w:tc>
      </w:tr>
      <w:tr>
        <w:trPr/>
        <w:tc>
          <w:tcPr>
            <w:tcW w:w="881" w:type="dxa"/>
            <w:vAlign w:val="center"/>
            <w:vMerge w:val="continue"/>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验收方案</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8</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Calibri" w:hAnsi="Calibri" w:eastAsia="宋体" w:cs="Times New Roman"/>
                <w:szCs w:val="22"/>
              </w:rPr>
            </w:pPr>
            <w:r>
              <w:rPr>
                <w:rFonts w:hint="default" w:ascii="Calibri" w:hAnsi="Calibri" w:eastAsia="宋体" w:cs="Times New Roman"/>
                <w:szCs w:val="22"/>
              </w:rPr>
              <w:t xml:space="preserve">到货交接方案</w:t>
            </w:r>
            <w:r>
              <w:rPr>
                <w:rFonts w:hint="eastAsia" w:ascii="Calibri" w:hAnsi="Calibri" w:eastAsia="宋体" w:cs="Times New Roman"/>
                <w:szCs w:val="22"/>
              </w:rPr>
              <w:t xml:space="preserve">、</w:t>
            </w:r>
            <w:r>
              <w:rPr>
                <w:rFonts w:hint="default" w:ascii="Calibri" w:hAnsi="Calibri" w:eastAsia="宋体" w:cs="Times New Roman"/>
                <w:szCs w:val="22"/>
              </w:rPr>
              <w:t xml:space="preserve">验收方案、风险预防及控制措施突发事件处置方案进行打分。内容完整详实，能够针对采购需求内容要求而细化制定，有明确的时间节点和进度安排，项目管理运行机制健全且优于采购需求，得</w:t>
            </w:r>
            <w:r>
              <w:rPr>
                <w:rFonts w:hint="eastAsia" w:ascii="Calibri" w:hAnsi="Calibri" w:eastAsia="宋体" w:cs="Times New Roman"/>
                <w:szCs w:val="22"/>
              </w:rPr>
              <w:t xml:space="preserve">8</w:t>
            </w:r>
            <w:r>
              <w:rPr>
                <w:rFonts w:hint="default" w:ascii="Calibri" w:hAnsi="Calibri" w:eastAsia="宋体" w:cs="Times New Roman"/>
                <w:szCs w:val="22"/>
              </w:rPr>
              <w:t xml:space="preserve">分； 内容完整，针对采购需求内容要求而制定较齐全，内容表述有一定的偏差，但不影响实质性意思表达，能够满足采购需求，得</w:t>
            </w:r>
            <w:r>
              <w:rPr>
                <w:rFonts w:hint="eastAsia" w:ascii="Calibri" w:hAnsi="Calibri" w:eastAsia="宋体" w:cs="Times New Roman"/>
                <w:szCs w:val="22"/>
              </w:rPr>
              <w:t xml:space="preserve">5</w:t>
            </w:r>
            <w:r>
              <w:rPr>
                <w:rFonts w:hint="default" w:ascii="Calibri" w:hAnsi="Calibri" w:eastAsia="宋体" w:cs="Times New Roman"/>
                <w:szCs w:val="22"/>
              </w:rPr>
              <w:t xml:space="preserve">分；内容虽有但内容笼统，针对采购需求内容要求而制定不细致，但承诺经过优化可实现采购需求，得 2分；没有内容不得分。</w:t>
            </w:r>
            <w:r/>
          </w:p>
        </w:tc>
      </w:tr>
      <w:tr>
        <w:trPr/>
        <w:tc>
          <w:tcPr>
            <w:tcW w:w="881" w:type="dxa"/>
            <w:vAlign w:val="center"/>
            <w:vMerge w:val="continue"/>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风险预防及控制措施突发事件处置方案</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8.00分</w:t>
            </w:r>
            <w:r/>
          </w:p>
        </w:tc>
        <w:tc>
          <w:tcPr>
            <w:tcW w:w="5210" w:type="dxa"/>
            <w:vAlign w:val="center"/>
            <w:textDirection w:val="lrTb"/>
            <w:noWrap w:val="false"/>
          </w:tcPr>
          <w:p>
            <w:pPr>
              <w:jc w:val="left"/>
              <w:rPr>
                <w:rFonts w:hint="default" w:ascii="Calibri" w:hAnsi="Calibri" w:eastAsia="宋体" w:cs="Times New Roman"/>
                <w:szCs w:val="22"/>
              </w:rPr>
            </w:pPr>
            <w:r>
              <w:rPr>
                <w:rFonts w:hint="default" w:ascii="Calibri" w:hAnsi="Calibri" w:eastAsia="宋体" w:cs="Times New Roman"/>
                <w:szCs w:val="22"/>
              </w:rPr>
              <w:t xml:space="preserve">风险预防及控制措施突发事件处置方案进行打分。内容完整详实，能够针对采购需求内容要求而细化制定，有明确的时间节点和进度安排，项目管理运行机制健全且优于采购需求，得</w:t>
            </w:r>
            <w:r>
              <w:rPr>
                <w:rFonts w:hint="eastAsia" w:ascii="Calibri" w:hAnsi="Calibri" w:eastAsia="宋体" w:cs="Times New Roman"/>
                <w:szCs w:val="22"/>
              </w:rPr>
              <w:t xml:space="preserve">8</w:t>
            </w:r>
            <w:r>
              <w:rPr>
                <w:rFonts w:hint="default" w:ascii="Calibri" w:hAnsi="Calibri" w:eastAsia="宋体" w:cs="Times New Roman"/>
                <w:szCs w:val="22"/>
              </w:rPr>
              <w:t xml:space="preserve">分； 内容完整，针对采购需求内容要求而制定较齐全，内容表述有一定的偏差，但不影响实质性意思表达，能够满足采购需求，得</w:t>
            </w:r>
            <w:r>
              <w:rPr>
                <w:rFonts w:hint="eastAsia" w:ascii="Calibri" w:hAnsi="Calibri" w:eastAsia="宋体" w:cs="Times New Roman"/>
                <w:szCs w:val="22"/>
              </w:rPr>
              <w:t xml:space="preserve">5</w:t>
            </w:r>
            <w:r>
              <w:rPr>
                <w:rFonts w:hint="default" w:ascii="Calibri" w:hAnsi="Calibri" w:eastAsia="宋体" w:cs="Times New Roman"/>
                <w:szCs w:val="22"/>
              </w:rPr>
              <w:t xml:space="preserve">分；内容虽有但内容笼统，针对采购需求内容要求而制定不细致，但承诺经过优化可实现采购需求，得</w:t>
            </w:r>
            <w:r>
              <w:rPr>
                <w:rFonts w:hint="eastAsia" w:ascii="Calibri" w:hAnsi="Calibri" w:eastAsia="宋体" w:cs="Times New Roman"/>
                <w:szCs w:val="22"/>
              </w:rPr>
              <w:t xml:space="preserve">2</w:t>
            </w:r>
            <w:r>
              <w:rPr>
                <w:rFonts w:hint="default" w:ascii="Calibri" w:hAnsi="Calibri" w:eastAsia="宋体" w:cs="Times New Roman"/>
                <w:szCs w:val="22"/>
              </w:rPr>
              <w:t xml:space="preserve">分；没有内容不得分。</w:t>
            </w:r>
            <w:r/>
          </w:p>
        </w:tc>
      </w:tr>
      <w:tr>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其他</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售后服务</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5</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包含详细的售后服务计划、服务承诺、服务期限、服务方式、应急处理方案等。内容详细、服务体系完整且优于采购需求，得</w:t>
            </w:r>
            <w:r>
              <w:rPr>
                <w:rFonts w:hint="eastAsia" w:ascii="Calibri" w:hAnsi="Calibri" w:eastAsia="宋体" w:cs="Times New Roman"/>
                <w:szCs w:val="22"/>
              </w:rPr>
              <w:t xml:space="preserve">5</w:t>
            </w:r>
            <w:r>
              <w:rPr>
                <w:rFonts w:hint="default" w:ascii="Calibri" w:hAnsi="Calibri" w:eastAsia="宋体" w:cs="Times New Roman"/>
                <w:szCs w:val="22"/>
              </w:rPr>
              <w:t xml:space="preserve">分；内容详细、人员配置齐全，响应服务体系尚算完整，能基本确保业务稳定运行的，能够满足采购需求，得</w:t>
            </w:r>
            <w:r>
              <w:rPr>
                <w:rFonts w:hint="eastAsia" w:ascii="Calibri" w:hAnsi="Calibri" w:eastAsia="宋体" w:cs="Times New Roman"/>
                <w:szCs w:val="22"/>
              </w:rPr>
              <w:t xml:space="preserve">3</w:t>
            </w:r>
            <w:r>
              <w:rPr>
                <w:rFonts w:hint="default" w:ascii="Calibri" w:hAnsi="Calibri" w:eastAsia="宋体" w:cs="Times New Roman"/>
                <w:szCs w:val="22"/>
              </w:rPr>
              <w:t xml:space="preserve">分；内容笼统、服务体系虽完整，人员配置不全且缺乏有效保障业务稳定运行的措施，承诺经过优化可实现采购需求，得</w:t>
            </w:r>
            <w:r>
              <w:rPr>
                <w:rFonts w:hint="eastAsia" w:ascii="Calibri" w:hAnsi="Calibri" w:eastAsia="宋体" w:cs="Times New Roman"/>
                <w:szCs w:val="22"/>
              </w:rPr>
              <w:t xml:space="preserve">1</w:t>
            </w:r>
            <w:r>
              <w:rPr>
                <w:rFonts w:hint="default" w:ascii="Calibri" w:hAnsi="Calibri" w:eastAsia="宋体" w:cs="Times New Roman"/>
                <w:szCs w:val="22"/>
              </w:rPr>
              <w:t xml:space="preserve">分。没有内容不得分。</w:t>
            </w:r>
            <w:r/>
          </w:p>
        </w:tc>
      </w:tr>
    </w:tbl>
    <w:p>
      <w:pPr>
        <w:rPr>
          <w:rFonts w:hint="eastAsia" w:ascii="Times New Roman" w:hAnsi="Times New Roman"/>
          <w:caps w:val="0"/>
          <w:color w:val="000000"/>
          <w:highlight w:val="red"/>
        </w:rPr>
      </w:pPr>
      <w:r>
        <w:rPr>
          <w:rFonts w:hint="eastAsia" w:ascii="Times New Roman" w:hAnsi="Times New Roman"/>
          <w:caps w:val="0"/>
          <w:color w:val="000000"/>
          <w:sz w:val="20"/>
          <w:highlight w:val="white"/>
        </w:rPr>
        <w:t xml:space="preserve"> </w:t>
      </w:r>
      <w:bookmarkEnd w:id="205"/>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p>
    <w:p>
      <w:pPr>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p>
    <w:p>
      <w:pPr>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宋体" w:hAnsi="宋体" w:eastAsia="宋体" w:cs="宋体"/>
          <w:b/>
          <w:bCs/>
          <w:color w:val="000000"/>
          <w:sz w:val="24"/>
          <w:highlight w:val="none"/>
          <w:u w:val="single"/>
          <w:lang w:val="en-US" w:eastAsia="zh-CN"/>
        </w:rPr>
        <w:t xml:space="preserve">1和2</w:t>
      </w:r>
      <w:r/>
    </w:p>
    <w:p>
      <w:pPr>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olor w:val="000000"/>
          <w:sz w:val="24"/>
          <w:highlight w:val="none"/>
          <w:u w:val="single"/>
          <w:lang w:val="en-US" w:eastAsia="zh-CN"/>
        </w:rPr>
        <w:t xml:space="preserve"> （1） </w:t>
      </w:r>
      <w:r>
        <w:rPr>
          <w:rFonts w:hint="eastAsia" w:ascii="Times New Roman" w:hAnsi="Times New Roman" w:eastAsia="宋体"/>
          <w:caps w:val="0"/>
          <w:color w:val="000000"/>
          <w:sz w:val="24"/>
          <w:highlight w:val="white"/>
          <w:lang w:val="en-US" w:eastAsia="zh-CN"/>
        </w:rPr>
        <w:t xml:space="preserve">种政策确定本项目落实的中小企业政策：</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（一）在货物采购项目中，货物由中小企业制造，即货物由中小企业生产且使用该中小企业商号或者注册商标；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（二）在工程采购项目中，工程由中小企业承建，即工程施工单位为中小企业；</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供应商须知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采用综合评分法的项目，对提供有效节能环保证书的投标人加分。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jc w:val="left"/>
        <w:keepLines w:val="0"/>
        <w:keepNext w:val="0"/>
        <w:pageBreakBefore w:val="0"/>
        <w:spacing w:line="44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933"/>
        <w:rPr>
          <w:rFonts w:hint="eastAsia" w:ascii="Times New Roman" w:hAnsi="Times New Roman"/>
          <w:caps w:val="0"/>
          <w:color w:val="000000"/>
        </w:rPr>
      </w:pPr>
      <w:r>
        <w:rPr>
          <w:rFonts w:hint="eastAsia" w:ascii="Times New Roman" w:hAnsi="Times New Roman"/>
          <w:caps w:val="0"/>
          <w:color w:val="000000"/>
        </w:rPr>
      </w:r>
      <w:r/>
    </w:p>
    <w:p>
      <w:pPr>
        <w:pStyle w:val="931"/>
        <w:rPr>
          <w:rFonts w:hint="eastAsia" w:ascii="Times New Roman" w:hAnsi="Times New Roman"/>
          <w:caps w:val="0"/>
          <w:color w:val="000000"/>
        </w:rPr>
      </w:pPr>
      <w:r>
        <w:rPr>
          <w:rFonts w:hint="eastAsia" w:ascii="Times New Roman" w:hAnsi="Times New Roman"/>
          <w:caps w:val="0"/>
          <w:color w:val="000000"/>
        </w:rPr>
      </w:r>
      <w:r/>
    </w:p>
    <w:p>
      <w:pPr>
        <w:pStyle w:val="931"/>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4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02"/>
      <w:r/>
      <w:bookmarkEnd w:id="203"/>
      <w:r/>
      <w:bookmarkEnd w:id="204"/>
      <w:r>
        <w:rPr>
          <w:rFonts w:hint="eastAsia" w:ascii="Times New Roman" w:hAnsi="Times New Roman" w:eastAsia="黑体"/>
          <w:bCs/>
          <w:caps w:val="0"/>
          <w:color w:val="000000"/>
          <w:sz w:val="44"/>
        </w:rPr>
        <w:t xml:space="preserve">文件格式 </w:t>
      </w:r>
      <w:r/>
    </w:p>
    <w:p>
      <w:pPr>
        <w:jc w:val="center"/>
        <w:rPr>
          <w:rFonts w:hint="eastAsia" w:ascii="Times New Roman" w:hAnsi="Times New Roman"/>
          <w:b/>
          <w:caps w:val="0"/>
          <w:color w:val="000000"/>
          <w:sz w:val="72"/>
        </w:rPr>
      </w:pPr>
      <w:r/>
      <w:bookmarkStart w:id="206" w:name="_Hlt26955039"/>
      <w:r/>
      <w:bookmarkEnd w:id="206"/>
      <w:r/>
      <w:bookmarkStart w:id="207" w:name="_Hlt26671244"/>
      <w:r/>
      <w:bookmarkEnd w:id="207"/>
      <w:r/>
      <w:bookmarkStart w:id="208" w:name="_Toc49090576"/>
      <w:r/>
      <w:bookmarkStart w:id="209" w:name="_Toc120614282"/>
      <w:r/>
      <w:bookmarkStart w:id="210" w:name="_Toc26554094"/>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p>
    <w:p>
      <w:pPr>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spacing w:line="440" w:lineRule="exact"/>
        <w:rPr>
          <w:rFonts w:ascii="Times New Roman" w:hAnsi="Times New Roman"/>
          <w:caps w:val="0"/>
          <w:color w:val="000000"/>
        </w:rPr>
      </w:pPr>
      <w:r>
        <w:rPr>
          <w:rFonts w:ascii="Times New Roman" w:hAnsi="Times New Roman"/>
          <w:caps w:val="0"/>
          <w:color w:val="000000"/>
        </w:rPr>
      </w:r>
      <w:r/>
    </w:p>
    <w:p>
      <w:pPr>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八、小微企业声明函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十一、项目组成员</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十二、企业业绩</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p>
    <w:p>
      <w:pPr>
        <w:pStyle w:val="897"/>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3"/>
        <w:rPr>
          <w:rFonts w:ascii="Times New Roman" w:hAnsi="Times New Roman"/>
          <w:caps w:val="0"/>
          <w:color w:val="000000"/>
        </w:rPr>
      </w:pPr>
      <w:r/>
      <w:bookmarkStart w:id="211" w:name="_Toc23838"/>
      <w:r/>
      <w:r/>
    </w:p>
    <w:p>
      <w:pPr>
        <w:pStyle w:val="973"/>
        <w:rPr>
          <w:rFonts w:ascii="Times New Roman" w:hAnsi="Times New Roman"/>
          <w:caps w:val="0"/>
          <w:color w:val="000000"/>
        </w:rPr>
      </w:pPr>
      <w:r>
        <w:rPr>
          <w:rFonts w:ascii="Times New Roman" w:hAnsi="Times New Roman"/>
          <w:caps w:val="0"/>
          <w:color w:val="000000"/>
        </w:rPr>
      </w:r>
      <w:r/>
    </w:p>
    <w:p>
      <w:pPr>
        <w:pStyle w:val="973"/>
        <w:rPr>
          <w:rFonts w:ascii="Times New Roman" w:hAnsi="Times New Roman"/>
          <w:caps w:val="0"/>
          <w:color w:val="000000"/>
        </w:rPr>
      </w:pPr>
      <w:r>
        <w:rPr>
          <w:rFonts w:ascii="Times New Roman" w:hAnsi="Times New Roman"/>
          <w:caps w:val="0"/>
          <w:color w:val="000000"/>
        </w:rPr>
      </w:r>
      <w:r/>
    </w:p>
    <w:p>
      <w:pPr>
        <w:pStyle w:val="973"/>
        <w:rPr>
          <w:rFonts w:ascii="Times New Roman" w:hAnsi="Times New Roman"/>
          <w:caps w:val="0"/>
          <w:color w:val="000000"/>
        </w:rPr>
      </w:pPr>
      <w:r>
        <w:rPr>
          <w:rFonts w:ascii="Times New Roman" w:hAnsi="Times New Roman"/>
          <w:caps w:val="0"/>
          <w:color w:val="000000"/>
        </w:rPr>
      </w:r>
      <w:bookmarkEnd w:id="208"/>
      <w:bookmarkEnd w:id="209"/>
      <w:bookmarkEnd w:id="210"/>
      <w:bookmarkEnd w:id="211"/>
      <w:r/>
    </w:p>
    <w:p>
      <w:pPr>
        <w:pStyle w:val="971"/>
        <w:jc w:val="both"/>
        <w:rPr>
          <w:rFonts w:hint="eastAsia" w:ascii="Times New Roman" w:hAnsi="Times New Roman" w:eastAsia="宋体" w:cs="Times New Roman"/>
          <w:b/>
          <w:caps w:val="0"/>
          <w:color w:val="000000"/>
          <w:sz w:val="32"/>
          <w:szCs w:val="32"/>
        </w:rPr>
      </w:pPr>
      <w:r/>
      <w:bookmarkStart w:id="212"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p>
    <w:p>
      <w:pPr>
        <w:pStyle w:val="971"/>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p>
    <w:p>
      <w:pPr>
        <w:pStyle w:val="971"/>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p>
    <w:p>
      <w:pPr>
        <w:pStyle w:val="971"/>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71"/>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p>
    <w:p>
      <w:pPr>
        <w:pStyle w:val="971"/>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p>
    <w:p>
      <w:pPr>
        <w:pStyle w:val="973"/>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p>
    <w:p>
      <w:pPr>
        <w:pStyle w:val="974"/>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p>
        </w:tc>
        <w:tc>
          <w:tcPr>
            <w:gridSpan w:val="3"/>
            <w:tcW w:w="699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p>
        </w:tc>
        <w:tc>
          <w:tcPr>
            <w:gridSpan w:val="3"/>
            <w:tcW w:w="699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97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998" w:type="dxa"/>
            <w:vAlign w:val="top"/>
            <w:textDirection w:val="lrTb"/>
            <w:noWrap w:val="false"/>
          </w:tcPr>
          <w:p>
            <w:pPr>
              <w:pStyle w:val="974"/>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97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998" w:type="dxa"/>
            <w:vAlign w:val="center"/>
            <w:textDirection w:val="lrTb"/>
            <w:noWrap w:val="false"/>
          </w:tcPr>
          <w:p>
            <w:pPr>
              <w:pStyle w:val="974"/>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p>
        </w:tc>
      </w:tr>
    </w:tbl>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1"/>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p>
    <w:p>
      <w:pPr>
        <w:pStyle w:val="94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p>
    <w:p>
      <w:pPr>
        <w:pStyle w:val="94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p>
    <w:p>
      <w:pPr>
        <w:pStyle w:val="942"/>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p>
    <w:p>
      <w:pPr>
        <w:pStyle w:val="942"/>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p>
    <w:p>
      <w:pPr>
        <w:pStyle w:val="942"/>
        <w:ind w:firstLine="120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p>
    <w:p>
      <w:pPr>
        <w:pStyle w:val="942"/>
        <w:ind w:firstLine="48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p>
    <w:p>
      <w:pPr>
        <w:pStyle w:val="94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3" w:name="_格式3__银行出具的资信证明"/>
      <w:r/>
      <w:bookmarkEnd w:id="213"/>
      <w:r/>
      <w:bookmarkStart w:id="214" w:name="_Hlt26955070"/>
      <w:r/>
      <w:bookmarkEnd w:id="214"/>
      <w:r/>
      <w:bookmarkStart w:id="215" w:name="_Hlt26671380"/>
      <w:r/>
      <w:bookmarkEnd w:id="215"/>
      <w:r>
        <w:rPr>
          <w:rFonts w:hint="eastAsia" w:ascii="Times New Roman" w:hAnsi="Times New Roman"/>
          <w:caps w:val="0"/>
          <w:color w:val="000000"/>
          <w:sz w:val="24"/>
          <w:szCs w:val="24"/>
          <w:u w:val="single"/>
        </w:rPr>
        <w:t xml:space="preserve">                                         </w:t>
      </w:r>
      <w:r/>
    </w:p>
    <w:p>
      <w:pPr>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b/>
          <w:i/>
          <w:caps w:val="0"/>
          <w:color w:val="000000"/>
          <w:sz w:val="32"/>
          <w:szCs w:val="32"/>
          <w:u w:val="single"/>
          <w:lang w:val="en-US" w:eastAsia="zh-CN"/>
        </w:rPr>
        <w:t xml:space="preserve">六</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caps w:val="0"/>
          <w:color w:val="000000"/>
          <w:highlight w:val="yellow"/>
        </w:rPr>
        <w:t xml:space="preserve">（备注：确定后该备注删除。）</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p>
    <w:tbl>
      <w:tblPr>
        <w:tblStyle w:val="6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p>
        </w:tc>
      </w:tr>
      <w:tr>
        <w:trPr>
          <w:cantSplit/>
          <w:trHeight w:val="612"/>
        </w:trPr>
        <w:tc>
          <w:tcPr>
            <w:tcW w:w="8206" w:type="dxa"/>
            <w:vAlign w:val="center"/>
            <w:textDirection w:val="lrTb"/>
            <w:noWrap w:val="false"/>
          </w:tcPr>
          <w:p>
            <w:pPr>
              <w:pStyle w:val="944"/>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eastAsia="黑体"/>
          <w:b/>
          <w:i/>
          <w:caps w:val="0"/>
          <w:color w:val="000000"/>
          <w:sz w:val="32"/>
          <w:szCs w:val="32"/>
          <w:u w:val="single"/>
          <w:lang w:val="en-US" w:eastAsia="zh-CN"/>
        </w:rPr>
        <w:t xml:space="preserve">六</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caps w:val="0"/>
          <w:color w:val="000000"/>
          <w:highlight w:val="yellow"/>
        </w:rPr>
        <w:t xml:space="preserve">（备注：确定后该备注删除。）</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p>
    <w:tbl>
      <w:tblPr>
        <w:tblStyle w:val="6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投标折扣率</w:t>
            </w:r>
            <w:r/>
          </w:p>
        </w:tc>
      </w:tr>
      <w:tr>
        <w:trPr>
          <w:cantSplit/>
          <w:trHeight w:val="612"/>
        </w:trPr>
        <w:tc>
          <w:tcPr>
            <w:tcW w:w="8220" w:type="dxa"/>
            <w:vAlign w:val="center"/>
            <w:textDirection w:val="lrTb"/>
            <w:noWrap w:val="false"/>
          </w:tcPr>
          <w:p>
            <w:pPr>
              <w:pStyle w:val="944"/>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highlight w:val="yellow"/>
        </w:rPr>
        <w:t xml:space="preserve">（总备注：经办人应当根据项目实际情况确定选用一种“开标一览表”样式，确定后自行删除其他不需要的样式。确定后该总备注删除。）</w:t>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44"/>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七、投标报价明细表（分包号：**）</w:t>
      </w:r>
      <w:r/>
    </w:p>
    <w:tbl>
      <w:tblPr>
        <w:tblStyle w:val="671"/>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hint="eastAsia" w:ascii="宋体" w:hAnsi="宋体"/>
          <w:color w:val="000000"/>
          <w:sz w:val="24"/>
          <w:szCs w:val="24"/>
        </w:rPr>
      </w:pPr>
      <w:r>
        <w:rPr>
          <w:rFonts w:hint="eastAsia" w:ascii="宋体" w:hAnsi="宋体"/>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pPr>
        <w:pStyle w:val="847"/>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p>
    <w:p>
      <w:pPr>
        <w:pStyle w:val="987"/>
        <w:jc w:val="center"/>
        <w:rPr>
          <w:rStyle w:val="856"/>
          <w:rFonts w:ascii="Times New Roman" w:hAnsi="Times New Roman" w:eastAsia="宋体" w:cs="Times New Roman"/>
          <w:b/>
          <w:caps w:val="0"/>
          <w:color w:val="000000"/>
          <w:sz w:val="36"/>
          <w:szCs w:val="36"/>
          <w:lang w:val="en-US" w:eastAsia="zh-CN" w:bidi="ar-SA"/>
        </w:rPr>
      </w:pPr>
      <w:r>
        <w:rPr>
          <w:rStyle w:val="856"/>
          <w:rFonts w:hint="eastAsia" w:ascii="Times New Roman" w:hAnsi="Times New Roman" w:eastAsia="宋体" w:cs="Times New Roman"/>
          <w:b/>
          <w:caps w:val="0"/>
          <w:color w:val="000000"/>
          <w:sz w:val="36"/>
          <w:szCs w:val="36"/>
          <w:lang w:val="en-US" w:eastAsia="zh-CN" w:bidi="ar-SA"/>
        </w:rPr>
        <w:t xml:space="preserve">中小（微）企业声明函（货物）</w:t>
      </w:r>
      <w:r/>
    </w:p>
    <w:p>
      <w:pPr>
        <w:pStyle w:val="987"/>
        <w:jc w:val="left"/>
        <w:rPr>
          <w:rStyle w:val="856"/>
          <w:rFonts w:ascii="Times New Roman" w:hAnsi="Times New Roman" w:eastAsia="宋体" w:cs="Times New Roman"/>
          <w:b/>
          <w:caps w:val="0"/>
          <w:color w:val="000000"/>
          <w:sz w:val="32"/>
          <w:szCs w:val="32"/>
          <w:lang w:val="en-US" w:eastAsia="zh-CN" w:bidi="ar-SA"/>
        </w:rPr>
      </w:pPr>
      <w:r>
        <w:rPr>
          <w:rFonts w:ascii="Times New Roman" w:hAnsi="Times New Roman" w:eastAsia="宋体" w:cs="Times New Roman"/>
          <w:b/>
          <w:caps w:val="0"/>
          <w:color w:val="000000"/>
          <w:sz w:val="32"/>
          <w:szCs w:val="32"/>
          <w:lang w:val="en-US" w:eastAsia="zh-CN" w:bidi="ar-SA"/>
        </w:rPr>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856"/>
          <w:rFonts w:hint="eastAsia" w:ascii="Times New Roman" w:hAnsi="Times New Roman" w:eastAsia="宋体" w:cs="宋体"/>
          <w:caps w:val="0"/>
          <w:color w:val="000000"/>
          <w:sz w:val="24"/>
          <w:szCs w:val="24"/>
          <w:u w:val="single"/>
          <w:lang w:val="en-US" w:eastAsia="zh-CN" w:bidi="ar-SA"/>
        </w:rPr>
        <w:t xml:space="preserve"> 单位名称  </w:t>
      </w:r>
      <w:r>
        <w:rPr>
          <w:rStyle w:val="856"/>
          <w:rFonts w:hint="eastAsia" w:ascii="Times New Roman" w:hAnsi="Times New Roman" w:eastAsia="宋体" w:cs="宋体"/>
          <w:caps w:val="0"/>
          <w:color w:val="000000"/>
          <w:sz w:val="24"/>
          <w:szCs w:val="24"/>
          <w:lang w:val="en-US" w:eastAsia="zh-CN" w:bidi="ar-SA"/>
        </w:rPr>
        <w:t xml:space="preserve">的（</w:t>
      </w:r>
      <w:r>
        <w:rPr>
          <w:rStyle w:val="856"/>
          <w:rFonts w:hint="eastAsia" w:ascii="Times New Roman" w:hAnsi="Times New Roman" w:eastAsia="宋体" w:cs="宋体"/>
          <w:caps w:val="0"/>
          <w:color w:val="000000"/>
          <w:sz w:val="24"/>
          <w:szCs w:val="24"/>
          <w:u w:val="single"/>
          <w:lang w:val="en-US" w:eastAsia="zh-CN" w:bidi="ar-SA"/>
        </w:rPr>
        <w:t xml:space="preserve">项目名称）</w:t>
      </w:r>
      <w:r>
        <w:rPr>
          <w:rStyle w:val="856"/>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987"/>
        <w:ind w:firstLine="480"/>
        <w:jc w:val="left"/>
        <w:spacing w:line="500" w:lineRule="exact"/>
        <w:rPr>
          <w:rStyle w:val="856"/>
          <w:rFonts w:hint="eastAsia" w:ascii="Times New Roman" w:hAnsi="Times New Roman" w:eastAsia="宋体" w:cs="宋体"/>
          <w:caps w:val="0"/>
          <w:color w:val="000000"/>
          <w:sz w:val="24"/>
          <w:szCs w:val="24"/>
          <w:u w:val="single"/>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1. </w:t>
      </w:r>
      <w:r>
        <w:rPr>
          <w:rStyle w:val="856"/>
          <w:rFonts w:hint="eastAsia" w:ascii="Times New Roman" w:hAnsi="Times New Roman" w:eastAsia="宋体" w:cs="宋体"/>
          <w:caps w:val="0"/>
          <w:color w:val="000000"/>
          <w:sz w:val="24"/>
          <w:szCs w:val="24"/>
          <w:u w:val="single"/>
          <w:lang w:val="en-US" w:eastAsia="zh-CN" w:bidi="ar-SA"/>
        </w:rPr>
        <w:t xml:space="preserve">标的名称          </w:t>
      </w:r>
      <w:r>
        <w:rPr>
          <w:rStyle w:val="856"/>
          <w:rFonts w:hint="eastAsia" w:ascii="Times New Roman" w:hAnsi="Times New Roman" w:eastAsia="宋体" w:cs="宋体"/>
          <w:caps w:val="0"/>
          <w:color w:val="000000"/>
          <w:sz w:val="24"/>
          <w:szCs w:val="24"/>
          <w:lang w:val="en-US" w:eastAsia="zh-CN" w:bidi="ar-SA"/>
        </w:rPr>
        <w:t xml:space="preserve">，属于（</w:t>
      </w:r>
      <w:r>
        <w:rPr>
          <w:rStyle w:val="85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56"/>
          <w:rFonts w:hint="eastAsia" w:ascii="Times New Roman" w:hAnsi="Times New Roman" w:eastAsia="宋体" w:cs="宋体"/>
          <w:caps w:val="0"/>
          <w:color w:val="000000"/>
          <w:sz w:val="24"/>
          <w:szCs w:val="24"/>
          <w:u w:val="single"/>
          <w:lang w:val="en-US" w:eastAsia="zh-CN" w:bidi="ar-SA"/>
        </w:rPr>
        <w:t xml:space="preserve">行业</w:t>
      </w:r>
      <w:r>
        <w:rPr>
          <w:rStyle w:val="856"/>
          <w:rFonts w:hint="eastAsia" w:ascii="Times New Roman" w:hAnsi="Times New Roman" w:eastAsia="宋体" w:cs="宋体"/>
          <w:caps w:val="0"/>
          <w:color w:val="000000"/>
          <w:sz w:val="24"/>
          <w:szCs w:val="24"/>
          <w:lang w:val="en-US" w:eastAsia="zh-CN" w:bidi="ar-SA"/>
        </w:rPr>
        <w:t xml:space="preserve">；制造商为</w:t>
      </w:r>
      <w:r>
        <w:rPr>
          <w:rStyle w:val="856"/>
          <w:rFonts w:hint="eastAsia" w:ascii="Times New Roman" w:hAnsi="Times New Roman" w:eastAsia="宋体" w:cs="宋体"/>
          <w:caps w:val="0"/>
          <w:color w:val="000000"/>
          <w:sz w:val="24"/>
          <w:szCs w:val="24"/>
          <w:u w:val="single"/>
          <w:lang w:val="en-US" w:eastAsia="zh-CN" w:bidi="ar-SA"/>
        </w:rPr>
        <w:t xml:space="preserve">（企业名称）</w:t>
      </w:r>
      <w:r>
        <w:rPr>
          <w:rStyle w:val="856"/>
          <w:rFonts w:hint="eastAsia" w:ascii="Times New Roman" w:hAnsi="Times New Roman" w:eastAsia="宋体" w:cs="宋体"/>
          <w:caps w:val="0"/>
          <w:color w:val="000000"/>
          <w:sz w:val="24"/>
          <w:szCs w:val="24"/>
          <w:lang w:val="en-US" w:eastAsia="zh-CN" w:bidi="ar-SA"/>
        </w:rPr>
        <w:t xml:space="preserve">，从业人员</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人，营业收入为 </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万元，资产总额为</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w:t>
      </w:r>
      <w:r>
        <w:rPr>
          <w:rStyle w:val="856"/>
          <w:rFonts w:hint="eastAsia" w:ascii="Times New Roman" w:hAnsi="Times New Roman" w:eastAsia="宋体" w:cs="宋体"/>
          <w:caps w:val="0"/>
          <w:color w:val="000000"/>
          <w:sz w:val="24"/>
          <w:szCs w:val="24"/>
          <w:vertAlign w:val="superscript"/>
          <w:lang w:val="en-US" w:eastAsia="zh-CN" w:bidi="ar-SA"/>
        </w:rPr>
        <w:t xml:space="preserve">1</w:t>
      </w:r>
      <w:r>
        <w:rPr>
          <w:rStyle w:val="856"/>
          <w:rFonts w:hint="eastAsia" w:ascii="Times New Roman" w:hAnsi="Times New Roman" w:eastAsia="宋体" w:cs="宋体"/>
          <w:caps w:val="0"/>
          <w:color w:val="000000"/>
          <w:sz w:val="24"/>
          <w:szCs w:val="24"/>
          <w:lang w:val="en-US" w:eastAsia="zh-CN" w:bidi="ar-SA"/>
        </w:rPr>
        <w:t xml:space="preserve">，属于</w:t>
      </w:r>
      <w:r>
        <w:rPr>
          <w:rStyle w:val="856"/>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987"/>
        <w:ind w:firstLine="480"/>
        <w:jc w:val="left"/>
        <w:spacing w:line="500" w:lineRule="exact"/>
        <w:rPr>
          <w:rStyle w:val="856"/>
          <w:rFonts w:hint="eastAsia" w:ascii="Times New Roman" w:hAnsi="Times New Roman" w:eastAsia="宋体" w:cs="宋体"/>
          <w:caps w:val="0"/>
          <w:color w:val="000000"/>
          <w:sz w:val="24"/>
          <w:szCs w:val="24"/>
          <w:u w:val="single"/>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2. </w:t>
      </w:r>
      <w:r>
        <w:rPr>
          <w:rStyle w:val="856"/>
          <w:rFonts w:hint="eastAsia" w:ascii="Times New Roman" w:hAnsi="Times New Roman" w:eastAsia="宋体" w:cs="宋体"/>
          <w:caps w:val="0"/>
          <w:color w:val="000000"/>
          <w:sz w:val="24"/>
          <w:szCs w:val="24"/>
          <w:u w:val="single"/>
          <w:lang w:val="en-US" w:eastAsia="zh-CN" w:bidi="ar-SA"/>
        </w:rPr>
        <w:t xml:space="preserve">标的名称          </w:t>
      </w:r>
      <w:r>
        <w:rPr>
          <w:rStyle w:val="856"/>
          <w:rFonts w:hint="eastAsia" w:ascii="Times New Roman" w:hAnsi="Times New Roman" w:eastAsia="宋体" w:cs="宋体"/>
          <w:caps w:val="0"/>
          <w:color w:val="000000"/>
          <w:sz w:val="24"/>
          <w:szCs w:val="24"/>
          <w:lang w:val="en-US" w:eastAsia="zh-CN" w:bidi="ar-SA"/>
        </w:rPr>
        <w:t xml:space="preserve">，属于（</w:t>
      </w:r>
      <w:r>
        <w:rPr>
          <w:rStyle w:val="85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56"/>
          <w:rFonts w:hint="eastAsia" w:ascii="Times New Roman" w:hAnsi="Times New Roman" w:eastAsia="宋体" w:cs="宋体"/>
          <w:caps w:val="0"/>
          <w:color w:val="000000"/>
          <w:sz w:val="24"/>
          <w:szCs w:val="24"/>
          <w:u w:val="single"/>
          <w:lang w:val="en-US" w:eastAsia="zh-CN" w:bidi="ar-SA"/>
        </w:rPr>
        <w:t xml:space="preserve">行业</w:t>
      </w:r>
      <w:r>
        <w:rPr>
          <w:rStyle w:val="856"/>
          <w:rFonts w:hint="eastAsia" w:ascii="Times New Roman" w:hAnsi="Times New Roman" w:eastAsia="宋体" w:cs="宋体"/>
          <w:caps w:val="0"/>
          <w:color w:val="000000"/>
          <w:sz w:val="24"/>
          <w:szCs w:val="24"/>
          <w:lang w:val="en-US" w:eastAsia="zh-CN" w:bidi="ar-SA"/>
        </w:rPr>
        <w:t xml:space="preserve">；制造商为</w:t>
      </w:r>
      <w:r>
        <w:rPr>
          <w:rStyle w:val="856"/>
          <w:rFonts w:hint="eastAsia" w:ascii="Times New Roman" w:hAnsi="Times New Roman" w:eastAsia="宋体" w:cs="宋体"/>
          <w:caps w:val="0"/>
          <w:color w:val="000000"/>
          <w:sz w:val="24"/>
          <w:szCs w:val="24"/>
          <w:u w:val="single"/>
          <w:lang w:val="en-US" w:eastAsia="zh-CN" w:bidi="ar-SA"/>
        </w:rPr>
        <w:t xml:space="preserve">（企业名称）        </w:t>
      </w:r>
      <w:r>
        <w:rPr>
          <w:rStyle w:val="856"/>
          <w:rFonts w:hint="eastAsia" w:ascii="Times New Roman" w:hAnsi="Times New Roman" w:eastAsia="宋体" w:cs="宋体"/>
          <w:caps w:val="0"/>
          <w:color w:val="000000"/>
          <w:sz w:val="24"/>
          <w:szCs w:val="24"/>
          <w:lang w:val="en-US" w:eastAsia="zh-CN" w:bidi="ar-SA"/>
        </w:rPr>
        <w:t xml:space="preserve">，从业人员</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人，营业收入为 </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万元，资产总额为</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万元，属于</w:t>
      </w:r>
      <w:r>
        <w:rPr>
          <w:rStyle w:val="856"/>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w:t>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pStyle w:val="987"/>
        <w:ind w:firstLine="360"/>
        <w:spacing w:line="560" w:lineRule="exact"/>
        <w:rPr>
          <w:rStyle w:val="856"/>
          <w:rFonts w:ascii="Times New Roman" w:hAnsi="Times New Roman" w:eastAsia="宋体" w:cs="Times New Roman"/>
          <w:caps w:val="0"/>
          <w:color w:val="000000"/>
          <w:sz w:val="18"/>
          <w:szCs w:val="18"/>
          <w:lang w:val="en-US" w:eastAsia="zh-CN" w:bidi="ar-SA"/>
        </w:rPr>
      </w:pPr>
      <w:r>
        <w:rPr>
          <w:rStyle w:val="856"/>
          <w:rFonts w:hint="eastAsia" w:ascii="Times New Roman" w:hAnsi="Times New Roman" w:eastAsia="宋体" w:cs="Times New Roman"/>
          <w:caps w:val="0"/>
          <w:color w:val="000000"/>
          <w:sz w:val="18"/>
          <w:szCs w:val="18"/>
          <w:vertAlign w:val="superscript"/>
          <w:lang w:val="en-US" w:eastAsia="zh-CN" w:bidi="ar-SA"/>
        </w:rPr>
        <w:t xml:space="preserve">1</w:t>
      </w:r>
      <w:r>
        <w:rPr>
          <w:rStyle w:val="856"/>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b/>
          <w:caps w:val="0"/>
          <w:color w:val="000000"/>
          <w:sz w:val="32"/>
          <w:szCs w:val="32"/>
          <w:lang w:val="en-US" w:eastAsia="zh-CN"/>
        </w:rPr>
        <w:t xml:space="preserve">九</w:t>
      </w:r>
      <w:r>
        <w:rPr>
          <w:rFonts w:hint="eastAsia" w:ascii="Times New Roman" w:hAnsi="Times New Roman" w:eastAsia="黑体" w:cs="Times New Roman"/>
          <w:i w:val="0"/>
          <w:iCs/>
          <w:caps w:val="0"/>
          <w:color w:val="000000"/>
          <w:sz w:val="32"/>
          <w:szCs w:val="32"/>
          <w:u w:val="none"/>
          <w:lang w:val="en-US" w:eastAsia="zh-CN"/>
        </w:rPr>
        <w:t xml:space="preserve">、残疾人福利性单位声明函</w:t>
      </w:r>
      <w:r/>
    </w:p>
    <w:p>
      <w:pPr>
        <w:pStyle w:val="988"/>
        <w:jc w:val="center"/>
        <w:spacing w:before="151" w:after="151" w:line="600" w:lineRule="exact"/>
        <w:rPr>
          <w:rStyle w:val="856"/>
          <w:rFonts w:ascii="Times New Roman" w:hAnsi="Times New Roman" w:eastAsia="宋体" w:cs="Times New Roman"/>
          <w:b/>
          <w:bCs/>
          <w:caps w:val="0"/>
          <w:color w:val="000000"/>
          <w:sz w:val="32"/>
          <w:szCs w:val="32"/>
          <w:lang w:val="en-US" w:eastAsia="zh-CN" w:bidi="ar-SA"/>
        </w:rPr>
      </w:pPr>
      <w:r>
        <w:rPr>
          <w:rStyle w:val="856"/>
          <w:rFonts w:hint="eastAsia" w:ascii="Times New Roman" w:hAnsi="Times New Roman" w:eastAsia="宋体" w:cs="Times New Roman"/>
          <w:b/>
          <w:bCs/>
          <w:caps w:val="0"/>
          <w:color w:val="000000"/>
          <w:sz w:val="32"/>
          <w:szCs w:val="32"/>
          <w:lang w:val="en-US" w:eastAsia="zh-CN" w:bidi="ar-SA"/>
        </w:rPr>
        <w:t xml:space="preserve">残疾人福利性单位声明函</w:t>
      </w:r>
      <w:r/>
    </w:p>
    <w:p>
      <w:pPr>
        <w:pStyle w:val="989"/>
        <w:spacing w:line="588" w:lineRule="exact"/>
        <w:rPr>
          <w:rStyle w:val="856"/>
          <w:rFonts w:ascii="Times New Roman" w:hAnsi="Times New Roman" w:eastAsia="仿宋_GB2312" w:cs="Times New Roman"/>
          <w:b/>
          <w:caps w:val="0"/>
          <w:color w:val="000000"/>
          <w:spacing w:val="6"/>
          <w:sz w:val="30"/>
          <w:szCs w:val="30"/>
          <w:lang w:val="en-US" w:eastAsia="zh-CN" w:bidi="ar-SA"/>
        </w:rPr>
      </w:pPr>
      <w:r>
        <w:rPr>
          <w:rFonts w:ascii="Times New Roman" w:hAnsi="Times New Roman" w:eastAsia="仿宋_GB2312" w:cs="Times New Roman"/>
          <w:b/>
          <w:caps w:val="0"/>
          <w:color w:val="000000"/>
          <w:spacing w:val="6"/>
          <w:sz w:val="30"/>
          <w:szCs w:val="30"/>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975"/>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十、技术要求响应及偏离表（分包号：**）</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p>
        </w:tc>
        <w:tc>
          <w:tcPr>
            <w:tcW w:w="3291" w:type="dxa"/>
            <w:vAlign w:val="center"/>
            <w:textDirection w:val="lrTb"/>
            <w:noWrap w:val="false"/>
          </w:tcPr>
          <w:p>
            <w:pPr>
              <w:pStyle w:val="908"/>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p>
        </w:tc>
        <w:tc>
          <w:tcPr>
            <w:tcW w:w="2852" w:type="dxa"/>
            <w:vAlign w:val="center"/>
            <w:textDirection w:val="lrTb"/>
            <w:noWrap w:val="false"/>
          </w:tcPr>
          <w:p>
            <w:pPr>
              <w:pStyle w:val="908"/>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p>
        </w:tc>
        <w:tc>
          <w:tcPr>
            <w:tcW w:w="1308" w:type="dxa"/>
            <w:vAlign w:val="center"/>
            <w:textDirection w:val="lrTb"/>
            <w:noWrap w:val="false"/>
          </w:tcPr>
          <w:p>
            <w:pPr>
              <w:pStyle w:val="908"/>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p>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p>
    <w:p>
      <w:pPr>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978"/>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78"/>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78"/>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78"/>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项目组人员</w:t>
      </w:r>
      <w:r/>
    </w:p>
    <w:p>
      <w:pPr>
        <w:pStyle w:val="908"/>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p>
    <w:tbl>
      <w:tblPr>
        <w:tblStyle w:val="67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姓名</w:t>
            </w:r>
            <w:r/>
          </w:p>
        </w:tc>
        <w:tc>
          <w:tcPr>
            <w:tcW w:w="1843"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职务</w:t>
            </w:r>
            <w:r/>
          </w:p>
        </w:tc>
        <w:tc>
          <w:tcPr>
            <w:tcW w:w="992"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学历</w:t>
            </w:r>
            <w:r/>
          </w:p>
        </w:tc>
        <w:tc>
          <w:tcPr>
            <w:tcW w:w="1984" w:type="dxa"/>
            <w:vAlign w:val="center"/>
            <w:textDirection w:val="lrTb"/>
            <w:noWrap w:val="false"/>
          </w:tcPr>
          <w:p>
            <w:pPr>
              <w:pStyle w:val="979"/>
              <w:ind w:firstLine="280"/>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身份证号</w:t>
            </w:r>
            <w:r/>
          </w:p>
        </w:tc>
        <w:tc>
          <w:tcPr>
            <w:tcW w:w="1702"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相关证书</w:t>
            </w:r>
            <w:r/>
          </w:p>
        </w:tc>
        <w:tc>
          <w:tcPr>
            <w:tcW w:w="962" w:type="dxa"/>
            <w:vAlign w:val="center"/>
            <w:textDirection w:val="lrTb"/>
            <w:noWrap w:val="false"/>
          </w:tcPr>
          <w:p>
            <w:pPr>
              <w:pStyle w:val="979"/>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备注</w:t>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jc w:val="center"/>
              <w:widowControl/>
              <w:rPr>
                <w:rFonts w:ascii="Times New Roman" w:hAnsi="Times New Roman"/>
                <w:caps w:val="0"/>
                <w:color w:val="000000"/>
                <w:sz w:val="20"/>
                <w:szCs w:val="20"/>
              </w:rPr>
            </w:pPr>
            <w:r>
              <w:rPr>
                <w:rFonts w:hint="eastAsia" w:ascii="Times New Roman" w:hAnsi="Times New Roman" w:eastAsia="仿宋_GB2312" w:cs="仿宋_GB2312"/>
                <w:caps w:val="0"/>
                <w:color w:val="000000"/>
                <w:sz w:val="28"/>
                <w:szCs w:val="28"/>
                <w:lang w:bidi="ar"/>
              </w:rPr>
              <w:t xml:space="preserve">项目经理</w:t>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jc w:val="center"/>
              <w:rPr>
                <w:rFonts w:hint="eastAsia" w:ascii="Times New Roman" w:hAnsi="Times New Roman" w:eastAsia="仿宋_GB2312" w:cs="仿宋_GB2312"/>
                <w:caps w:val="0"/>
                <w:color w:val="000000"/>
                <w:sz w:val="28"/>
                <w:szCs w:val="28"/>
                <w:lang w:eastAsia="zh-CN"/>
              </w:rPr>
            </w:pPr>
            <w:r>
              <w:rPr>
                <w:rFonts w:ascii="Times New Roman" w:hAnsi="Times New Roman" w:eastAsia="仿宋_GB2312" w:cs="仿宋_GB2312"/>
                <w:caps w:val="0"/>
                <w:color w:val="000000"/>
                <w:sz w:val="28"/>
                <w:szCs w:val="28"/>
                <w:lang w:bidi="ar"/>
              </w:rPr>
              <w:t xml:space="preserve">......</w:t>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ind w:firstLine="280"/>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lang w:bidi="ar"/>
              </w:rPr>
              <w:t xml:space="preserve">......</w:t>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bl>
    <w:p>
      <w:pPr>
        <w:pStyle w:val="908"/>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p>
    <w:p>
      <w:pPr>
        <w:pStyle w:val="908"/>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980"/>
        <w:spacing w:line="500" w:lineRule="exact"/>
        <w:rPr>
          <w:rFonts w:ascii="Times New Roman" w:hAnsi="Times New Roman"/>
          <w:caps w:val="0"/>
          <w:color w:val="000000"/>
        </w:rPr>
      </w:pPr>
      <w:r>
        <w:rPr>
          <w:rFonts w:ascii="Times New Roman" w:hAnsi="Times New Roman"/>
          <w:caps w:val="0"/>
          <w:color w:val="000000"/>
        </w:rPr>
        <w:br w:type="page" w:clear="all"/>
      </w:r>
      <w:bookmarkStart w:id="216" w:name="_Toc11176"/>
      <w:r>
        <w:rPr>
          <w:rFonts w:hint="eastAsia" w:ascii="Times New Roman" w:hAnsi="Times New Roman" w:eastAsia="黑体" w:cs="黑体"/>
          <w:b/>
          <w:caps w:val="0"/>
          <w:color w:val="000000"/>
          <w:sz w:val="32"/>
          <w:lang w:val="en-US" w:eastAsia="zh-CN"/>
        </w:rPr>
        <w:t xml:space="preserve">十二</w:t>
      </w:r>
      <w:r>
        <w:rPr>
          <w:rFonts w:hint="eastAsia" w:ascii="Times New Roman" w:hAnsi="Times New Roman" w:eastAsia="黑体" w:cs="黑体"/>
          <w:b/>
          <w:caps w:val="0"/>
          <w:color w:val="000000"/>
          <w:sz w:val="32"/>
        </w:rPr>
        <w:t xml:space="preserve">、</w:t>
      </w:r>
      <w:bookmarkEnd w:id="216"/>
      <w:r>
        <w:rPr>
          <w:rFonts w:hint="eastAsia" w:ascii="Times New Roman" w:hAnsi="Times New Roman" w:eastAsia="黑体" w:cs="黑体"/>
          <w:b/>
          <w:caps w:val="0"/>
          <w:color w:val="000000"/>
          <w:sz w:val="32"/>
        </w:rPr>
        <w:t xml:space="preserve">企业业绩</w:t>
      </w:r>
      <w:r/>
    </w:p>
    <w:p>
      <w:pPr>
        <w:pStyle w:val="981"/>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p>
    <w:tbl>
      <w:tblPr>
        <w:tblStyle w:val="67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p>
        </w:tc>
      </w:tr>
      <w:tr>
        <w:trPr>
          <w:jc w:val="center"/>
          <w:trHeight w:val="1510"/>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10"/>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10"/>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25"/>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981"/>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p>
    <w:p>
      <w:pPr>
        <w:pStyle w:val="983"/>
        <w:rPr>
          <w:rFonts w:ascii="Times New Roman" w:hAnsi="Times New Roman"/>
          <w:caps w:val="0"/>
          <w:color w:val="000000"/>
        </w:rPr>
        <w:outlineLvl w:val="1"/>
      </w:pPr>
      <w:r>
        <w:rPr>
          <w:rFonts w:ascii="Times New Roman" w:hAnsi="Times New Roman"/>
          <w:caps w:val="0"/>
          <w:color w:val="000000"/>
        </w:rPr>
        <w:br w:type="page" w:clear="all"/>
      </w:r>
      <w:bookmarkStart w:id="217" w:name="_Toc28140"/>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17"/>
      <w:r/>
      <w:r/>
    </w:p>
    <w:p>
      <w:pPr>
        <w:pStyle w:val="984"/>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p>
    <w:p>
      <w:pPr>
        <w:rPr>
          <w:rFonts w:ascii="Times New Roman" w:hAnsi="Times New Roman"/>
          <w:caps w:val="0"/>
          <w:color w:val="000000"/>
        </w:rPr>
      </w:pPr>
      <w:r>
        <w:rPr>
          <w:rFonts w:ascii="Times New Roman" w:hAnsi="Times New Roman"/>
          <w:caps w:val="0"/>
          <w:color w:val="000000"/>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bookmarkEnd w:id="212"/>
      <w:r/>
    </w:p>
    <w:p>
      <w:pPr>
        <w:spacing w:line="480" w:lineRule="auto"/>
        <w:rPr>
          <w:rFonts w:hint="eastAsia" w:ascii="Times New Roman" w:hAnsi="Times New Roman"/>
          <w:caps w:val="0"/>
          <w:color w:val="000000"/>
          <w:sz w:val="24"/>
        </w:rPr>
      </w:pPr>
      <w:r>
        <w:rPr>
          <w:rFonts w:hint="eastAsia" w:ascii="Times New Roman" w:hAnsi="Times New Roman"/>
          <w:caps w:val="0"/>
          <w:color w:val="000000"/>
          <w:sz w:val="24"/>
        </w:rPr>
      </w:r>
      <w:r/>
    </w:p>
    <w:p>
      <w:pPr>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49"/>
        <w:ind w:firstLine="0"/>
        <w:rPr>
          <w:rFonts w:hint="eastAsia" w:ascii="Times New Roman" w:hAnsi="Times New Roman"/>
          <w:caps w:val="0"/>
          <w:color w:val="000000"/>
          <w:sz w:val="24"/>
        </w:rPr>
      </w:pPr>
      <w:r/>
      <w:bookmarkStart w:id="218" w:name="_Hlt26955066"/>
      <w:r/>
      <w:bookmarkEnd w:id="218"/>
      <w:r/>
      <w:bookmarkStart w:id="219" w:name="_Hlt26671374"/>
      <w:r/>
      <w:bookmarkEnd w:id="219"/>
      <w:r/>
      <w:bookmarkStart w:id="220" w:name="_Hlt26609389"/>
      <w:r/>
      <w:bookmarkEnd w:id="220"/>
      <w:r/>
      <w:bookmarkStart w:id="221" w:name="_Toc462564146"/>
      <w:r/>
      <w:r/>
    </w:p>
    <w:p>
      <w:pPr>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bookmarkEnd w:id="198"/>
      <w:bookmarkEnd w:id="199"/>
      <w:bookmarkEnd w:id="221"/>
      <w:r/>
    </w:p>
    <w:p>
      <w:pPr>
        <w:jc w:val="center"/>
        <w:rPr>
          <w:rFonts w:ascii="Times New Roman" w:hAnsi="Times New Roman" w:cs="仿宋"/>
          <w:b/>
          <w:bCs/>
          <w:caps w:val="0"/>
          <w:color w:val="000000"/>
          <w:sz w:val="32"/>
          <w:szCs w:val="32"/>
          <w:highlight w:val="yellow"/>
        </w:rPr>
      </w:pPr>
      <w:r/>
      <w:bookmarkStart w:id="222" w:name="_格式2__法定代表人授权书"/>
      <w:r/>
      <w:bookmarkEnd w:id="222"/>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yellow"/>
        </w:rPr>
        <w:t xml:space="preserve">质疑函范本</w:t>
      </w:r>
      <w:r/>
    </w:p>
    <w:p>
      <w:pPr>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p>
    <w:p>
      <w:pPr>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p>
    <w:p>
      <w:pPr>
        <w:pStyle w:val="849"/>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49"/>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361" w:right="1588" w:bottom="1304"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STHeiti Light">
    <w:panose1 w:val="020B0503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３５</w:t>
    </w:r>
    <w:r>
      <w:rPr>
        <w:rFonts w:ascii="宋体" w:hAnsi="宋体"/>
      </w:rPr>
      <w:fldChar w:fldCharType="end"/>
    </w:r>
    <w:r/>
  </w:p>
  <w:p>
    <w:pPr>
      <w:pStyle w:val="89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2"/>
      <w:isLgl w:val="false"/>
      <w:suff w:val="nothing"/>
      <w:lvlText w:val=""/>
      <w:lvlJc w:val="left"/>
      <w:pPr>
        <w:ind w:left="0" w:firstLine="0"/>
      </w:pPr>
      <w:rPr>
        <w:rFonts w:hint="eastAsia"/>
      </w:rPr>
    </w:lvl>
    <w:lvl w:ilvl="6">
      <w:start w:val="1"/>
      <w:numFmt w:val="decimal"/>
      <w:pStyle w:val="853"/>
      <w:isLgl w:val="false"/>
      <w:suff w:val="nothing"/>
      <w:lvlText w:val=""/>
      <w:lvlJc w:val="left"/>
      <w:pPr>
        <w:ind w:left="0" w:firstLine="0"/>
      </w:pPr>
      <w:rPr>
        <w:rFonts w:hint="eastAsia"/>
      </w:rPr>
    </w:lvl>
    <w:lvl w:ilvl="7">
      <w:start w:val="1"/>
      <w:numFmt w:val="decimal"/>
      <w:pStyle w:val="854"/>
      <w:isLgl w:val="false"/>
      <w:suff w:val="nothing"/>
      <w:lvlText w:val=""/>
      <w:lvlJc w:val="left"/>
      <w:pPr>
        <w:ind w:left="0" w:firstLine="0"/>
      </w:pPr>
      <w:rPr>
        <w:rFonts w:hint="eastAsia"/>
      </w:rPr>
    </w:lvl>
    <w:lvl w:ilvl="8">
      <w:start w:val="1"/>
      <w:numFmt w:val="decimal"/>
      <w:pStyle w:val="85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1262" w:hanging="601"/>
      </w:pPr>
      <w:rPr>
        <w:rFonts w:ascii="宋体" w:hAnsi="宋体" w:eastAsia="宋体" w:cs="宋体"/>
        <w:sz w:val="22"/>
        <w:szCs w:val="22"/>
        <w:lang w:val="zh-CN" w:eastAsia="zh-CN" w:bidi="zh-CN"/>
      </w:rPr>
    </w:lvl>
    <w:lvl w:ilvl="1">
      <w:start w:val="0"/>
      <w:numFmt w:val="bullet"/>
      <w:isLgl w:val="false"/>
      <w:suff w:val="tab"/>
      <w:lvlText w:val="•"/>
      <w:lvlJc w:val="left"/>
      <w:pPr>
        <w:ind w:left="2122" w:hanging="601"/>
      </w:pPr>
      <w:rPr>
        <w:lang w:val="zh-CN" w:eastAsia="zh-CN" w:bidi="zh-CN"/>
      </w:rPr>
    </w:lvl>
    <w:lvl w:ilvl="2">
      <w:start w:val="0"/>
      <w:numFmt w:val="bullet"/>
      <w:isLgl w:val="false"/>
      <w:suff w:val="tab"/>
      <w:lvlText w:val="•"/>
      <w:lvlJc w:val="left"/>
      <w:pPr>
        <w:ind w:left="2965" w:hanging="601"/>
      </w:pPr>
      <w:rPr>
        <w:lang w:val="zh-CN" w:eastAsia="zh-CN" w:bidi="zh-CN"/>
      </w:rPr>
    </w:lvl>
    <w:lvl w:ilvl="3">
      <w:start w:val="0"/>
      <w:numFmt w:val="bullet"/>
      <w:isLgl w:val="false"/>
      <w:suff w:val="tab"/>
      <w:lvlText w:val="•"/>
      <w:lvlJc w:val="left"/>
      <w:pPr>
        <w:ind w:left="3807" w:hanging="601"/>
      </w:pPr>
      <w:rPr>
        <w:lang w:val="zh-CN" w:eastAsia="zh-CN" w:bidi="zh-CN"/>
      </w:rPr>
    </w:lvl>
    <w:lvl w:ilvl="4">
      <w:start w:val="0"/>
      <w:numFmt w:val="bullet"/>
      <w:isLgl w:val="false"/>
      <w:suff w:val="tab"/>
      <w:lvlText w:val="•"/>
      <w:lvlJc w:val="left"/>
      <w:pPr>
        <w:ind w:left="4650" w:hanging="601"/>
      </w:pPr>
      <w:rPr>
        <w:lang w:val="zh-CN" w:eastAsia="zh-CN" w:bidi="zh-CN"/>
      </w:rPr>
    </w:lvl>
    <w:lvl w:ilvl="5">
      <w:start w:val="0"/>
      <w:numFmt w:val="bullet"/>
      <w:isLgl w:val="false"/>
      <w:suff w:val="tab"/>
      <w:lvlText w:val="•"/>
      <w:lvlJc w:val="left"/>
      <w:pPr>
        <w:ind w:left="5493" w:hanging="601"/>
      </w:pPr>
      <w:rPr>
        <w:lang w:val="zh-CN" w:eastAsia="zh-CN" w:bidi="zh-CN"/>
      </w:rPr>
    </w:lvl>
    <w:lvl w:ilvl="6">
      <w:start w:val="0"/>
      <w:numFmt w:val="bullet"/>
      <w:isLgl w:val="false"/>
      <w:suff w:val="tab"/>
      <w:lvlText w:val="•"/>
      <w:lvlJc w:val="left"/>
      <w:pPr>
        <w:ind w:left="6335" w:hanging="601"/>
      </w:pPr>
      <w:rPr>
        <w:lang w:val="zh-CN" w:eastAsia="zh-CN" w:bidi="zh-CN"/>
      </w:rPr>
    </w:lvl>
    <w:lvl w:ilvl="7">
      <w:start w:val="0"/>
      <w:numFmt w:val="bullet"/>
      <w:isLgl w:val="false"/>
      <w:suff w:val="tab"/>
      <w:lvlText w:val="•"/>
      <w:lvlJc w:val="left"/>
      <w:pPr>
        <w:ind w:left="7178" w:hanging="601"/>
      </w:pPr>
      <w:rPr>
        <w:lang w:val="zh-CN" w:eastAsia="zh-CN" w:bidi="zh-CN"/>
      </w:rPr>
    </w:lvl>
    <w:lvl w:ilvl="8">
      <w:start w:val="0"/>
      <w:numFmt w:val="bullet"/>
      <w:isLgl w:val="false"/>
      <w:suff w:val="tab"/>
      <w:lvlText w:val="•"/>
      <w:lvlJc w:val="left"/>
      <w:pPr>
        <w:ind w:left="8021" w:hanging="601"/>
      </w:pPr>
      <w:rPr>
        <w:lang w:val="zh-CN" w:eastAsia="zh-CN" w:bidi="zh-CN"/>
      </w:rPr>
    </w:lvl>
  </w:abstractNum>
  <w:abstractNum w:abstractNumId="6">
    <w:multiLevelType w:val="hybridMultilevel"/>
    <w:lvl w:ilvl="0">
      <w:start w:val="1"/>
      <w:numFmt w:val="decimal"/>
      <w:isLgl w:val="false"/>
      <w:suff w:val="tab"/>
      <w:lvlText w:val="（%1）"/>
      <w:lvlJc w:val="left"/>
      <w:pPr>
        <w:ind w:left="229" w:hanging="607"/>
      </w:pPr>
      <w:rPr>
        <w:rFonts w:ascii="宋体" w:hAnsi="宋体" w:eastAsia="宋体" w:cs="宋体"/>
        <w:spacing w:val="2"/>
        <w:sz w:val="22"/>
        <w:szCs w:val="22"/>
        <w:lang w:val="zh-CN" w:eastAsia="zh-CN" w:bidi="zh-CN"/>
      </w:rPr>
    </w:lvl>
    <w:lvl w:ilvl="1">
      <w:start w:val="0"/>
      <w:numFmt w:val="bullet"/>
      <w:isLgl w:val="false"/>
      <w:suff w:val="tab"/>
      <w:lvlText w:val="•"/>
      <w:lvlJc w:val="left"/>
      <w:pPr>
        <w:ind w:left="1168" w:hanging="607"/>
      </w:pPr>
      <w:rPr>
        <w:lang w:val="zh-CN" w:eastAsia="zh-CN" w:bidi="zh-CN"/>
      </w:rPr>
    </w:lvl>
    <w:lvl w:ilvl="2">
      <w:start w:val="0"/>
      <w:numFmt w:val="bullet"/>
      <w:isLgl w:val="false"/>
      <w:suff w:val="tab"/>
      <w:lvlText w:val="•"/>
      <w:lvlJc w:val="left"/>
      <w:pPr>
        <w:ind w:left="2117" w:hanging="607"/>
      </w:pPr>
      <w:rPr>
        <w:lang w:val="zh-CN" w:eastAsia="zh-CN" w:bidi="zh-CN"/>
      </w:rPr>
    </w:lvl>
    <w:lvl w:ilvl="3">
      <w:start w:val="0"/>
      <w:numFmt w:val="bullet"/>
      <w:isLgl w:val="false"/>
      <w:suff w:val="tab"/>
      <w:lvlText w:val="•"/>
      <w:lvlJc w:val="left"/>
      <w:pPr>
        <w:ind w:left="3065" w:hanging="607"/>
      </w:pPr>
      <w:rPr>
        <w:lang w:val="zh-CN" w:eastAsia="zh-CN" w:bidi="zh-CN"/>
      </w:rPr>
    </w:lvl>
    <w:lvl w:ilvl="4">
      <w:start w:val="0"/>
      <w:numFmt w:val="bullet"/>
      <w:isLgl w:val="false"/>
      <w:suff w:val="tab"/>
      <w:lvlText w:val="•"/>
      <w:lvlJc w:val="left"/>
      <w:pPr>
        <w:ind w:left="4014" w:hanging="607"/>
      </w:pPr>
      <w:rPr>
        <w:lang w:val="zh-CN" w:eastAsia="zh-CN" w:bidi="zh-CN"/>
      </w:rPr>
    </w:lvl>
    <w:lvl w:ilvl="5">
      <w:start w:val="0"/>
      <w:numFmt w:val="bullet"/>
      <w:isLgl w:val="false"/>
      <w:suff w:val="tab"/>
      <w:lvlText w:val="•"/>
      <w:lvlJc w:val="left"/>
      <w:pPr>
        <w:ind w:left="4963" w:hanging="607"/>
      </w:pPr>
      <w:rPr>
        <w:lang w:val="zh-CN" w:eastAsia="zh-CN" w:bidi="zh-CN"/>
      </w:rPr>
    </w:lvl>
    <w:lvl w:ilvl="6">
      <w:start w:val="0"/>
      <w:numFmt w:val="bullet"/>
      <w:isLgl w:val="false"/>
      <w:suff w:val="tab"/>
      <w:lvlText w:val="•"/>
      <w:lvlJc w:val="left"/>
      <w:pPr>
        <w:ind w:left="5911" w:hanging="607"/>
      </w:pPr>
      <w:rPr>
        <w:lang w:val="zh-CN" w:eastAsia="zh-CN" w:bidi="zh-CN"/>
      </w:rPr>
    </w:lvl>
    <w:lvl w:ilvl="7">
      <w:start w:val="0"/>
      <w:numFmt w:val="bullet"/>
      <w:isLgl w:val="false"/>
      <w:suff w:val="tab"/>
      <w:lvlText w:val="•"/>
      <w:lvlJc w:val="left"/>
      <w:pPr>
        <w:ind w:left="6860" w:hanging="607"/>
      </w:pPr>
      <w:rPr>
        <w:lang w:val="zh-CN" w:eastAsia="zh-CN" w:bidi="zh-CN"/>
      </w:rPr>
    </w:lvl>
    <w:lvl w:ilvl="8">
      <w:start w:val="0"/>
      <w:numFmt w:val="bullet"/>
      <w:isLgl w:val="false"/>
      <w:suff w:val="tab"/>
      <w:lvlText w:val="•"/>
      <w:lvlJc w:val="left"/>
      <w:pPr>
        <w:ind w:left="7809" w:hanging="607"/>
      </w:pPr>
      <w:rPr>
        <w:lang w:val="zh-CN" w:eastAsia="zh-CN" w:bidi="zh-CN"/>
      </w:rPr>
    </w:lvl>
  </w:abstractNum>
  <w:abstractNum w:abstractNumId="7">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10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1">
    <w:name w:val="Heading 1"/>
    <w:basedOn w:val="660"/>
    <w:next w:val="660"/>
    <w:link w:val="69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73"/>
    <w:next w:val="67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665">
    <w:name w:val="Heading 5"/>
    <w:basedOn w:val="660"/>
    <w:next w:val="660"/>
    <w:link w:val="70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673" w:customStyle="1">
    <w:name w:val="Normal_22"/>
    <w:next w:val="664"/>
    <w:uiPriority w:val="0"/>
    <w:qFormat/>
    <w:pPr>
      <w:jc w:val="both"/>
      <w:widowControl w:val="off"/>
    </w:pPr>
    <w:rPr>
      <w:rFonts w:hint="default" w:ascii="Calibri" w:hAnsi="Calibri" w:eastAsia="宋体" w:cs="Times New Roman"/>
      <w:sz w:val="21"/>
      <w:szCs w:val="22"/>
      <w:lang w:val="en-US" w:eastAsia="zh-CN" w:bidi="ar-SA"/>
    </w:rPr>
  </w:style>
  <w:style w:type="paragraph" w:styleId="674">
    <w:name w:val="Normal Indent"/>
    <w:basedOn w:val="675"/>
    <w:uiPriority w:val="0"/>
    <w:qFormat/>
    <w:pPr>
      <w:ind w:firstLine="420"/>
    </w:pPr>
    <w:rPr>
      <w:rFonts w:ascii="宋体" w:eastAsia="Times New Roman"/>
      <w:color w:val="000000"/>
      <w:sz w:val="24"/>
      <w:szCs w:val="20"/>
    </w:rPr>
  </w:style>
  <w:style w:type="paragraph" w:styleId="675" w:customStyle="1">
    <w:name w:val="Normal_0_1"/>
    <w:next w:val="674"/>
    <w:uiPriority w:val="0"/>
    <w:qFormat/>
    <w:pPr>
      <w:jc w:val="both"/>
      <w:widowControl w:val="off"/>
    </w:pPr>
    <w:rPr>
      <w:rFonts w:hint="default" w:ascii="Times New Roman" w:hAnsi="Times New Roman" w:eastAsia="宋体" w:cs="Times New Roman"/>
      <w:lang w:val="en-US" w:eastAsia="zh-CN" w:bidi="ar-SA"/>
    </w:rPr>
  </w:style>
  <w:style w:type="paragraph" w:styleId="676">
    <w:name w:val="toc 7"/>
    <w:basedOn w:val="660"/>
    <w:next w:val="660"/>
    <w:uiPriority w:val="39"/>
    <w:unhideWhenUsed/>
    <w:qFormat/>
    <w:pPr>
      <w:ind w:left="1701" w:right="0" w:firstLine="0"/>
      <w:spacing w:after="57"/>
    </w:pPr>
  </w:style>
  <w:style w:type="paragraph" w:styleId="677">
    <w:name w:val="Caption"/>
    <w:basedOn w:val="660"/>
    <w:next w:val="660"/>
    <w:uiPriority w:val="35"/>
    <w:semiHidden/>
    <w:unhideWhenUsed/>
    <w:qFormat/>
    <w:pPr>
      <w:spacing w:line="276" w:lineRule="auto"/>
    </w:pPr>
    <w:rPr>
      <w:b/>
      <w:bCs/>
      <w:color w:val="4f81bd" w:themeColor="accent1"/>
      <w:sz w:val="18"/>
      <w:szCs w:val="18"/>
    </w:rPr>
  </w:style>
  <w:style w:type="paragraph" w:styleId="678">
    <w:name w:val="toc 5"/>
    <w:basedOn w:val="660"/>
    <w:next w:val="660"/>
    <w:uiPriority w:val="39"/>
    <w:unhideWhenUsed/>
    <w:qFormat/>
    <w:pPr>
      <w:ind w:left="1134" w:right="0" w:firstLine="0"/>
      <w:spacing w:after="57"/>
    </w:pPr>
  </w:style>
  <w:style w:type="paragraph" w:styleId="679">
    <w:name w:val="toc 3"/>
    <w:basedOn w:val="660"/>
    <w:next w:val="660"/>
    <w:uiPriority w:val="39"/>
    <w:unhideWhenUsed/>
    <w:qFormat/>
    <w:pPr>
      <w:ind w:left="567" w:right="0" w:firstLine="0"/>
      <w:spacing w:after="57"/>
    </w:pPr>
  </w:style>
  <w:style w:type="paragraph" w:styleId="680">
    <w:name w:val="toc 8"/>
    <w:basedOn w:val="660"/>
    <w:next w:val="660"/>
    <w:uiPriority w:val="39"/>
    <w:unhideWhenUsed/>
    <w:qFormat/>
    <w:pPr>
      <w:ind w:left="1984" w:right="0" w:firstLine="0"/>
      <w:spacing w:after="57"/>
    </w:pPr>
  </w:style>
  <w:style w:type="paragraph" w:styleId="681">
    <w:name w:val="endnote text"/>
    <w:basedOn w:val="660"/>
    <w:link w:val="844"/>
    <w:uiPriority w:val="99"/>
    <w:semiHidden/>
    <w:unhideWhenUsed/>
    <w:qFormat/>
    <w:pPr>
      <w:spacing w:after="0" w:line="240" w:lineRule="auto"/>
    </w:pPr>
    <w:rPr>
      <w:sz w:val="20"/>
    </w:rPr>
  </w:style>
  <w:style w:type="paragraph" w:styleId="682">
    <w:name w:val="Footer"/>
    <w:basedOn w:val="660"/>
    <w:link w:val="717"/>
    <w:uiPriority w:val="99"/>
    <w:unhideWhenUsed/>
    <w:qFormat/>
    <w:pPr>
      <w:spacing w:after="0" w:line="240" w:lineRule="auto"/>
      <w:tabs>
        <w:tab w:val="center" w:pos="7143" w:leader="none"/>
        <w:tab w:val="right" w:pos="14287" w:leader="none"/>
      </w:tabs>
    </w:pPr>
  </w:style>
  <w:style w:type="paragraph" w:styleId="683">
    <w:name w:val="Header"/>
    <w:basedOn w:val="660"/>
    <w:link w:val="715"/>
    <w:uiPriority w:val="99"/>
    <w:unhideWhenUsed/>
    <w:qFormat/>
    <w:pPr>
      <w:spacing w:after="0" w:line="240" w:lineRule="auto"/>
      <w:tabs>
        <w:tab w:val="center" w:pos="7143" w:leader="none"/>
        <w:tab w:val="right" w:pos="14287" w:leader="none"/>
      </w:tabs>
    </w:pPr>
  </w:style>
  <w:style w:type="paragraph" w:styleId="684">
    <w:name w:val="toc 1"/>
    <w:basedOn w:val="660"/>
    <w:next w:val="660"/>
    <w:uiPriority w:val="39"/>
    <w:unhideWhenUsed/>
    <w:qFormat/>
    <w:pPr>
      <w:ind w:left="0" w:right="0" w:firstLine="0"/>
      <w:spacing w:after="57"/>
    </w:pPr>
  </w:style>
  <w:style w:type="paragraph" w:styleId="685">
    <w:name w:val="toc 4"/>
    <w:basedOn w:val="660"/>
    <w:next w:val="660"/>
    <w:uiPriority w:val="39"/>
    <w:unhideWhenUsed/>
    <w:qFormat/>
    <w:pPr>
      <w:ind w:left="850" w:right="0" w:firstLine="0"/>
      <w:spacing w:after="57"/>
    </w:pPr>
  </w:style>
  <w:style w:type="paragraph" w:styleId="686">
    <w:name w:val="Subtitle"/>
    <w:basedOn w:val="660"/>
    <w:next w:val="660"/>
    <w:link w:val="710"/>
    <w:uiPriority w:val="11"/>
    <w:qFormat/>
    <w:pPr>
      <w:spacing w:before="200" w:after="200"/>
    </w:pPr>
    <w:rPr>
      <w:sz w:val="24"/>
      <w:szCs w:val="24"/>
    </w:rPr>
  </w:style>
  <w:style w:type="paragraph" w:styleId="687">
    <w:name w:val="footnote text"/>
    <w:basedOn w:val="660"/>
    <w:link w:val="843"/>
    <w:uiPriority w:val="99"/>
    <w:semiHidden/>
    <w:unhideWhenUsed/>
    <w:qFormat/>
    <w:pPr>
      <w:spacing w:after="40" w:line="240" w:lineRule="auto"/>
    </w:pPr>
    <w:rPr>
      <w:sz w:val="18"/>
    </w:rPr>
  </w:style>
  <w:style w:type="paragraph" w:styleId="688">
    <w:name w:val="toc 6"/>
    <w:basedOn w:val="660"/>
    <w:next w:val="660"/>
    <w:uiPriority w:val="39"/>
    <w:unhideWhenUsed/>
    <w:qFormat/>
    <w:pPr>
      <w:ind w:left="1417" w:right="0" w:firstLine="0"/>
      <w:spacing w:after="57"/>
    </w:pPr>
  </w:style>
  <w:style w:type="paragraph" w:styleId="689">
    <w:name w:val="table of figures"/>
    <w:basedOn w:val="660"/>
    <w:next w:val="660"/>
    <w:uiPriority w:val="99"/>
    <w:unhideWhenUsed/>
    <w:qFormat/>
    <w:pPr>
      <w:spacing w:after="0" w:afterAutospacing="0"/>
    </w:pPr>
  </w:style>
  <w:style w:type="paragraph" w:styleId="690">
    <w:name w:val="toc 2"/>
    <w:basedOn w:val="660"/>
    <w:next w:val="660"/>
    <w:uiPriority w:val="39"/>
    <w:unhideWhenUsed/>
    <w:qFormat/>
    <w:pPr>
      <w:ind w:left="283" w:right="0" w:firstLine="0"/>
      <w:spacing w:after="57"/>
    </w:pPr>
  </w:style>
  <w:style w:type="paragraph" w:styleId="691">
    <w:name w:val="toc 9"/>
    <w:basedOn w:val="660"/>
    <w:next w:val="660"/>
    <w:uiPriority w:val="39"/>
    <w:unhideWhenUsed/>
    <w:qFormat/>
    <w:pPr>
      <w:ind w:left="2268" w:right="0" w:firstLine="0"/>
      <w:spacing w:after="57"/>
    </w:pPr>
  </w:style>
  <w:style w:type="paragraph" w:styleId="692">
    <w:name w:val="Normal (Web)"/>
    <w:basedOn w:val="660"/>
    <w:uiPriority w:val="99"/>
    <w:semiHidden/>
    <w:unhideWhenUsed/>
    <w:pPr>
      <w:ind w:left="0" w:right="0"/>
      <w:jc w:val="left"/>
      <w:spacing w:before="0" w:beforeAutospacing="1" w:after="0" w:afterAutospacing="1"/>
    </w:pPr>
    <w:rPr>
      <w:sz w:val="24"/>
      <w:lang w:val="en-US" w:eastAsia="zh-CN" w:bidi="ar"/>
    </w:rPr>
  </w:style>
  <w:style w:type="paragraph" w:styleId="693">
    <w:name w:val="Title"/>
    <w:basedOn w:val="660"/>
    <w:next w:val="660"/>
    <w:link w:val="709"/>
    <w:uiPriority w:val="10"/>
    <w:qFormat/>
    <w:pPr>
      <w:contextualSpacing/>
      <w:spacing w:before="300" w:after="200"/>
    </w:pPr>
    <w:rPr>
      <w:sz w:val="48"/>
      <w:szCs w:val="48"/>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themeColor="hyperlink"/>
      <w:u w:val="single"/>
    </w:rPr>
  </w:style>
  <w:style w:type="character" w:styleId="697">
    <w:name w:val="footnote reference"/>
    <w:uiPriority w:val="99"/>
    <w:unhideWhenUsed/>
    <w:qFormat/>
    <w:rPr>
      <w:vertAlign w:val="superscript"/>
    </w:rPr>
  </w:style>
  <w:style w:type="character" w:styleId="698" w:customStyle="1">
    <w:name w:val="Heading 1 Char"/>
    <w:link w:val="661"/>
    <w:uiPriority w:val="9"/>
    <w:qFormat/>
    <w:rPr>
      <w:rFonts w:ascii="Arial" w:hAnsi="Arial" w:eastAsia="Arial" w:cs="Arial"/>
      <w:sz w:val="40"/>
      <w:szCs w:val="40"/>
    </w:rPr>
  </w:style>
  <w:style w:type="character" w:styleId="699" w:customStyle="1">
    <w:name w:val="Heading 2 Char"/>
    <w:link w:val="662"/>
    <w:uiPriority w:val="9"/>
    <w:qFormat/>
    <w:rPr>
      <w:rFonts w:ascii="Arial" w:hAnsi="Arial" w:eastAsia="Arial" w:cs="Arial"/>
      <w:sz w:val="34"/>
    </w:rPr>
  </w:style>
  <w:style w:type="character" w:styleId="700" w:customStyle="1">
    <w:name w:val="Heading 3 Char"/>
    <w:link w:val="663"/>
    <w:uiPriority w:val="9"/>
    <w:qFormat/>
    <w:rPr>
      <w:rFonts w:ascii="Arial" w:hAnsi="Arial" w:eastAsia="Arial" w:cs="Arial"/>
      <w:sz w:val="30"/>
      <w:szCs w:val="30"/>
    </w:rPr>
  </w:style>
  <w:style w:type="character" w:styleId="701" w:customStyle="1">
    <w:name w:val="Heading 4 Char"/>
    <w:uiPriority w:val="9"/>
    <w:qFormat/>
    <w:rPr>
      <w:rFonts w:ascii="Arial" w:hAnsi="Arial" w:eastAsia="Arial" w:cs="Arial"/>
      <w:b/>
      <w:bCs/>
      <w:sz w:val="26"/>
      <w:szCs w:val="26"/>
    </w:rPr>
  </w:style>
  <w:style w:type="character" w:styleId="702" w:customStyle="1">
    <w:name w:val="Heading 5 Char"/>
    <w:link w:val="665"/>
    <w:uiPriority w:val="9"/>
    <w:qFormat/>
    <w:rPr>
      <w:rFonts w:ascii="Arial" w:hAnsi="Arial" w:eastAsia="Arial" w:cs="Arial"/>
      <w:b/>
      <w:bCs/>
      <w:sz w:val="24"/>
      <w:szCs w:val="24"/>
    </w:rPr>
  </w:style>
  <w:style w:type="character" w:styleId="703" w:customStyle="1">
    <w:name w:val="Heading 6 Char"/>
    <w:link w:val="666"/>
    <w:uiPriority w:val="9"/>
    <w:qFormat/>
    <w:rPr>
      <w:rFonts w:ascii="Arial" w:hAnsi="Arial" w:eastAsia="Arial" w:cs="Arial"/>
      <w:b/>
      <w:bCs/>
      <w:sz w:val="22"/>
      <w:szCs w:val="22"/>
    </w:rPr>
  </w:style>
  <w:style w:type="character" w:styleId="704" w:customStyle="1">
    <w:name w:val="Heading 7 Char"/>
    <w:link w:val="667"/>
    <w:uiPriority w:val="9"/>
    <w:qFormat/>
    <w:rPr>
      <w:rFonts w:ascii="Arial" w:hAnsi="Arial" w:eastAsia="Arial" w:cs="Arial"/>
      <w:b/>
      <w:bCs/>
      <w:i/>
      <w:iCs/>
      <w:sz w:val="22"/>
      <w:szCs w:val="22"/>
    </w:rPr>
  </w:style>
  <w:style w:type="character" w:styleId="705" w:customStyle="1">
    <w:name w:val="Heading 8 Char"/>
    <w:link w:val="668"/>
    <w:uiPriority w:val="9"/>
    <w:qFormat/>
    <w:rPr>
      <w:rFonts w:ascii="Arial" w:hAnsi="Arial" w:eastAsia="Arial" w:cs="Arial"/>
      <w:i/>
      <w:iCs/>
      <w:sz w:val="22"/>
      <w:szCs w:val="22"/>
    </w:rPr>
  </w:style>
  <w:style w:type="character" w:styleId="706" w:customStyle="1">
    <w:name w:val="Heading 9 Char"/>
    <w:link w:val="669"/>
    <w:uiPriority w:val="9"/>
    <w:qFormat/>
    <w:rPr>
      <w:rFonts w:ascii="Arial" w:hAnsi="Arial" w:eastAsia="Arial" w:cs="Arial"/>
      <w:i/>
      <w:iCs/>
      <w:sz w:val="21"/>
      <w:szCs w:val="21"/>
    </w:rPr>
  </w:style>
  <w:style w:type="paragraph" w:styleId="707">
    <w:name w:val="List Paragraph"/>
    <w:basedOn w:val="660"/>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93"/>
    <w:uiPriority w:val="10"/>
    <w:qFormat/>
    <w:rPr>
      <w:sz w:val="48"/>
      <w:szCs w:val="48"/>
    </w:rPr>
  </w:style>
  <w:style w:type="character" w:styleId="710" w:customStyle="1">
    <w:name w:val="Subtitle Char"/>
    <w:link w:val="686"/>
    <w:uiPriority w:val="11"/>
    <w:qFormat/>
    <w:rPr>
      <w:sz w:val="24"/>
      <w:szCs w:val="24"/>
    </w:rPr>
  </w:style>
  <w:style w:type="paragraph" w:styleId="711">
    <w:name w:val="Quote"/>
    <w:basedOn w:val="660"/>
    <w:next w:val="660"/>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83"/>
    <w:uiPriority w:val="99"/>
    <w:qFormat/>
  </w:style>
  <w:style w:type="character" w:styleId="716" w:customStyle="1">
    <w:name w:val="Footer Char"/>
    <w:link w:val="682"/>
    <w:uiPriority w:val="99"/>
    <w:qFormat/>
  </w:style>
  <w:style w:type="character" w:styleId="717" w:customStyle="1">
    <w:name w:val="Caption Char"/>
    <w:link w:val="682"/>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7"/>
    <w:uiPriority w:val="99"/>
    <w:qFormat/>
    <w:rPr>
      <w:sz w:val="18"/>
    </w:rPr>
  </w:style>
  <w:style w:type="character" w:styleId="844" w:customStyle="1">
    <w:name w:val="Endnote Text Char"/>
    <w:link w:val="681"/>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60"/>
    <w:next w:val="660"/>
    <w:link w:val="858"/>
    <w:uiPriority w:val="0"/>
    <w:qFormat/>
    <w:pPr>
      <w:jc w:val="center"/>
      <w:keepNext/>
      <w:outlineLvl w:val="0"/>
    </w:pPr>
    <w:rPr>
      <w:rFonts w:ascii="楷体_GB2312" w:eastAsia="楷体_GB2312"/>
      <w:sz w:val="28"/>
      <w:szCs w:val="28"/>
    </w:rPr>
  </w:style>
  <w:style w:type="paragraph" w:styleId="847" w:customStyle="1">
    <w:name w:val="标题 21"/>
    <w:basedOn w:val="660"/>
    <w:next w:val="660"/>
    <w:link w:val="8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customStyle="1">
    <w:name w:val="标题 31"/>
    <w:basedOn w:val="660"/>
    <w:next w:val="849"/>
    <w:link w:val="860"/>
    <w:uiPriority w:val="0"/>
    <w:qFormat/>
    <w:pPr>
      <w:keepLines/>
      <w:keepNext/>
      <w:spacing w:before="260" w:after="260" w:line="416" w:lineRule="auto"/>
      <w:outlineLvl w:val="2"/>
    </w:pPr>
    <w:rPr>
      <w:b/>
      <w:bCs/>
      <w:sz w:val="32"/>
      <w:szCs w:val="32"/>
    </w:rPr>
  </w:style>
  <w:style w:type="paragraph" w:styleId="849" w:customStyle="1">
    <w:name w:val="正文缩进1"/>
    <w:basedOn w:val="660"/>
    <w:next w:val="660"/>
    <w:link w:val="861"/>
    <w:uiPriority w:val="0"/>
    <w:qFormat/>
    <w:pPr>
      <w:ind w:firstLine="420"/>
    </w:pPr>
  </w:style>
  <w:style w:type="paragraph" w:styleId="850" w:customStyle="1">
    <w:name w:val="标题 41"/>
    <w:basedOn w:val="660"/>
    <w:next w:val="849"/>
    <w:link w:val="862"/>
    <w:uiPriority w:val="0"/>
    <w:qFormat/>
    <w:pPr>
      <w:keepLines/>
      <w:keepNext/>
      <w:spacing w:before="280" w:after="290" w:line="376" w:lineRule="auto"/>
      <w:outlineLvl w:val="3"/>
    </w:pPr>
    <w:rPr>
      <w:rFonts w:ascii="Arial" w:hAnsi="Arial" w:eastAsia="黑体" w:cs="Arial"/>
      <w:b/>
      <w:bCs/>
      <w:sz w:val="28"/>
      <w:szCs w:val="28"/>
    </w:rPr>
  </w:style>
  <w:style w:type="paragraph" w:styleId="851" w:customStyle="1">
    <w:name w:val="标题 51"/>
    <w:basedOn w:val="660"/>
    <w:next w:val="849"/>
    <w:link w:val="863"/>
    <w:uiPriority w:val="0"/>
    <w:qFormat/>
    <w:pPr>
      <w:keepNext/>
      <w:outlineLvl w:val="4"/>
    </w:pPr>
    <w:rPr>
      <w:rFonts w:ascii="宋体"/>
      <w:color w:val="000000"/>
      <w:sz w:val="28"/>
      <w:szCs w:val="28"/>
    </w:rPr>
  </w:style>
  <w:style w:type="paragraph" w:styleId="852" w:customStyle="1">
    <w:name w:val="标题 61"/>
    <w:basedOn w:val="660"/>
    <w:next w:val="660"/>
    <w:link w:val="8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3" w:customStyle="1">
    <w:name w:val="标题 71"/>
    <w:basedOn w:val="660"/>
    <w:next w:val="660"/>
    <w:link w:val="865"/>
    <w:uiPriority w:val="0"/>
    <w:qFormat/>
    <w:pPr>
      <w:numPr>
        <w:ilvl w:val="6"/>
        <w:numId w:val="1"/>
      </w:numPr>
      <w:keepLines/>
      <w:keepNext/>
      <w:spacing w:before="240" w:after="64" w:line="320" w:lineRule="auto"/>
      <w:outlineLvl w:val="6"/>
    </w:pPr>
    <w:rPr>
      <w:b/>
      <w:bCs/>
      <w:sz w:val="24"/>
      <w:szCs w:val="24"/>
    </w:rPr>
  </w:style>
  <w:style w:type="paragraph" w:styleId="854" w:customStyle="1">
    <w:name w:val="标题 81"/>
    <w:basedOn w:val="660"/>
    <w:next w:val="660"/>
    <w:link w:val="8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5" w:customStyle="1">
    <w:name w:val="标题 91"/>
    <w:basedOn w:val="660"/>
    <w:next w:val="660"/>
    <w:link w:val="867"/>
    <w:uiPriority w:val="0"/>
    <w:qFormat/>
    <w:pPr>
      <w:numPr>
        <w:ilvl w:val="8"/>
        <w:numId w:val="1"/>
      </w:numPr>
      <w:keepLines/>
      <w:keepNext/>
      <w:spacing w:before="240" w:after="64" w:line="320" w:lineRule="auto"/>
      <w:outlineLvl w:val="8"/>
    </w:pPr>
    <w:rPr>
      <w:rFonts w:ascii="Arial" w:hAnsi="Arial" w:eastAsia="黑体"/>
    </w:rPr>
  </w:style>
  <w:style w:type="character" w:styleId="856" w:customStyle="1">
    <w:name w:val="默认段落字体1"/>
    <w:link w:val="660"/>
    <w:uiPriority w:val="1"/>
    <w:unhideWhenUsed/>
    <w:qFormat/>
  </w:style>
  <w:style w:type="table" w:styleId="857" w:customStyle="1">
    <w:name w:val="普通表格1"/>
    <w:uiPriority w:val="99"/>
    <w:unhideWhenUsed/>
    <w:qFormat/>
    <w:tblPr/>
  </w:style>
  <w:style w:type="character" w:styleId="858" w:customStyle="1">
    <w:name w:val="标题 1 Char"/>
    <w:link w:val="846"/>
    <w:uiPriority w:val="0"/>
    <w:qFormat/>
    <w:rPr>
      <w:rFonts w:ascii="楷体_GB2312" w:hAnsi="Times New Roman" w:eastAsia="楷体_GB2312" w:cs="Times New Roman"/>
      <w:sz w:val="28"/>
      <w:szCs w:val="28"/>
    </w:rPr>
  </w:style>
  <w:style w:type="character" w:styleId="859" w:customStyle="1">
    <w:name w:val="标题 2 Char"/>
    <w:link w:val="847"/>
    <w:uiPriority w:val="0"/>
    <w:qFormat/>
    <w:rPr>
      <w:rFonts w:ascii="Arial" w:hAnsi="Arial" w:eastAsia="幼圆" w:cs="Arial"/>
      <w:b/>
      <w:bCs/>
      <w:sz w:val="44"/>
      <w:szCs w:val="44"/>
    </w:rPr>
  </w:style>
  <w:style w:type="character" w:styleId="860" w:customStyle="1">
    <w:name w:val="标题 3 Char"/>
    <w:link w:val="848"/>
    <w:uiPriority w:val="0"/>
    <w:qFormat/>
    <w:rPr>
      <w:rFonts w:ascii="Times New Roman" w:hAnsi="Times New Roman" w:eastAsia="宋体" w:cs="Times New Roman"/>
      <w:b/>
      <w:bCs/>
      <w:sz w:val="32"/>
      <w:szCs w:val="32"/>
    </w:rPr>
  </w:style>
  <w:style w:type="character" w:styleId="861" w:customStyle="1">
    <w:name w:val="正文缩进 Char"/>
    <w:link w:val="849"/>
    <w:uiPriority w:val="0"/>
    <w:qFormat/>
    <w:rPr>
      <w:rFonts w:ascii="Times New Roman" w:hAnsi="Times New Roman" w:eastAsia="宋体" w:cs="Times New Roman"/>
      <w:szCs w:val="21"/>
    </w:rPr>
  </w:style>
  <w:style w:type="character" w:styleId="862" w:customStyle="1">
    <w:name w:val="标题 4 Char"/>
    <w:link w:val="850"/>
    <w:uiPriority w:val="0"/>
    <w:qFormat/>
    <w:rPr>
      <w:rFonts w:ascii="Arial" w:hAnsi="Arial" w:eastAsia="黑体" w:cs="Arial"/>
      <w:b/>
      <w:bCs/>
      <w:sz w:val="28"/>
      <w:szCs w:val="28"/>
    </w:rPr>
  </w:style>
  <w:style w:type="character" w:styleId="863" w:customStyle="1">
    <w:name w:val="标题 5 Char"/>
    <w:link w:val="851"/>
    <w:uiPriority w:val="0"/>
    <w:qFormat/>
    <w:rPr>
      <w:rFonts w:ascii="宋体" w:hAnsi="Times New Roman" w:eastAsia="宋体" w:cs="Times New Roman"/>
      <w:color w:val="000000"/>
      <w:sz w:val="28"/>
      <w:szCs w:val="28"/>
    </w:rPr>
  </w:style>
  <w:style w:type="character" w:styleId="864" w:customStyle="1">
    <w:name w:val="标题 6 Char"/>
    <w:link w:val="852"/>
    <w:uiPriority w:val="0"/>
    <w:qFormat/>
    <w:rPr>
      <w:rFonts w:ascii="Arial" w:hAnsi="Arial" w:eastAsia="黑体" w:cs="Times New Roman"/>
      <w:b/>
      <w:bCs/>
      <w:sz w:val="24"/>
      <w:szCs w:val="24"/>
    </w:rPr>
  </w:style>
  <w:style w:type="character" w:styleId="865" w:customStyle="1">
    <w:name w:val="标题 7 Char"/>
    <w:link w:val="853"/>
    <w:uiPriority w:val="0"/>
    <w:qFormat/>
    <w:rPr>
      <w:rFonts w:ascii="Times New Roman" w:hAnsi="Times New Roman" w:eastAsia="宋体" w:cs="Times New Roman"/>
      <w:b/>
      <w:bCs/>
      <w:sz w:val="24"/>
      <w:szCs w:val="24"/>
    </w:rPr>
  </w:style>
  <w:style w:type="character" w:styleId="866" w:customStyle="1">
    <w:name w:val="标题 8 Char"/>
    <w:link w:val="854"/>
    <w:uiPriority w:val="0"/>
    <w:qFormat/>
    <w:rPr>
      <w:rFonts w:ascii="Arial" w:hAnsi="Arial" w:eastAsia="黑体" w:cs="Times New Roman"/>
      <w:sz w:val="24"/>
      <w:szCs w:val="24"/>
    </w:rPr>
  </w:style>
  <w:style w:type="character" w:styleId="867" w:customStyle="1">
    <w:name w:val="标题 9 Char"/>
    <w:link w:val="855"/>
    <w:uiPriority w:val="0"/>
    <w:qFormat/>
    <w:rPr>
      <w:rFonts w:ascii="Arial" w:hAnsi="Arial" w:eastAsia="黑体" w:cs="Times New Roman"/>
      <w:szCs w:val="21"/>
    </w:rPr>
  </w:style>
  <w:style w:type="paragraph" w:styleId="868" w:customStyle="1">
    <w:name w:val="列表 31"/>
    <w:basedOn w:val="660"/>
    <w:uiPriority w:val="0"/>
    <w:qFormat/>
    <w:pPr>
      <w:ind w:left="100" w:hanging="200"/>
    </w:pPr>
  </w:style>
  <w:style w:type="paragraph" w:styleId="869" w:customStyle="1">
    <w:name w:val="目录 71"/>
    <w:basedOn w:val="660"/>
    <w:next w:val="660"/>
    <w:uiPriority w:val="0"/>
    <w:semiHidden/>
    <w:qFormat/>
    <w:pPr>
      <w:ind w:left="1260"/>
      <w:jc w:val="left"/>
    </w:pPr>
  </w:style>
  <w:style w:type="paragraph" w:styleId="870" w:customStyle="1">
    <w:name w:val="文档结构图1"/>
    <w:basedOn w:val="660"/>
    <w:link w:val="871"/>
    <w:uiPriority w:val="0"/>
    <w:semiHidden/>
    <w:qFormat/>
    <w:pPr>
      <w:shd w:val="clear" w:color="auto" w:fill="000080"/>
    </w:pPr>
  </w:style>
  <w:style w:type="character" w:styleId="871" w:customStyle="1">
    <w:name w:val="文档结构图 Char"/>
    <w:link w:val="870"/>
    <w:uiPriority w:val="0"/>
    <w:semiHidden/>
    <w:qFormat/>
    <w:rPr>
      <w:rFonts w:ascii="Times New Roman" w:hAnsi="Times New Roman" w:eastAsia="宋体" w:cs="Times New Roman"/>
      <w:szCs w:val="21"/>
      <w:shd w:val="clear" w:color="auto" w:fill="000080"/>
    </w:rPr>
  </w:style>
  <w:style w:type="paragraph" w:styleId="872" w:customStyle="1">
    <w:name w:val="批注文字1"/>
    <w:basedOn w:val="660"/>
    <w:link w:val="873"/>
    <w:uiPriority w:val="0"/>
    <w:semiHidden/>
    <w:qFormat/>
    <w:pPr>
      <w:jc w:val="left"/>
    </w:pPr>
  </w:style>
  <w:style w:type="character" w:styleId="873" w:customStyle="1">
    <w:name w:val="批注文字 Char"/>
    <w:link w:val="872"/>
    <w:uiPriority w:val="0"/>
    <w:semiHidden/>
    <w:qFormat/>
    <w:rPr>
      <w:rFonts w:ascii="Times New Roman" w:hAnsi="Times New Roman" w:eastAsia="宋体" w:cs="Times New Roman"/>
      <w:szCs w:val="21"/>
    </w:rPr>
  </w:style>
  <w:style w:type="paragraph" w:styleId="874" w:customStyle="1">
    <w:name w:val="正文文本 31"/>
    <w:basedOn w:val="660"/>
    <w:link w:val="875"/>
    <w:uiPriority w:val="0"/>
    <w:qFormat/>
    <w:rPr>
      <w:rFonts w:ascii="仿宋_GB2312" w:hAnsi="Arial" w:eastAsia="仿宋_GB2312"/>
      <w:sz w:val="32"/>
      <w:szCs w:val="32"/>
    </w:rPr>
  </w:style>
  <w:style w:type="character" w:styleId="875" w:customStyle="1">
    <w:name w:val="正文文本 3 Char"/>
    <w:link w:val="874"/>
    <w:uiPriority w:val="0"/>
    <w:qFormat/>
    <w:rPr>
      <w:rFonts w:ascii="仿宋_GB2312" w:hAnsi="Arial" w:eastAsia="仿宋_GB2312" w:cs="Times New Roman"/>
      <w:sz w:val="32"/>
      <w:szCs w:val="32"/>
    </w:rPr>
  </w:style>
  <w:style w:type="paragraph" w:styleId="876" w:customStyle="1">
    <w:name w:val="正文文本1"/>
    <w:basedOn w:val="660"/>
    <w:next w:val="877"/>
    <w:link w:val="878"/>
    <w:uiPriority w:val="0"/>
    <w:qFormat/>
    <w:rPr>
      <w:rFonts w:ascii="楷体_GB2312" w:hAnsi="Arial" w:eastAsia="楷体_GB2312"/>
      <w:sz w:val="28"/>
      <w:szCs w:val="28"/>
    </w:rPr>
  </w:style>
  <w:style w:type="paragraph" w:styleId="877"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878" w:customStyle="1">
    <w:name w:val="正文文本 Char"/>
    <w:link w:val="876"/>
    <w:uiPriority w:val="0"/>
    <w:qFormat/>
    <w:rPr>
      <w:rFonts w:ascii="楷体_GB2312" w:hAnsi="Arial" w:eastAsia="楷体_GB2312" w:cs="Times New Roman"/>
      <w:sz w:val="28"/>
      <w:szCs w:val="28"/>
    </w:rPr>
  </w:style>
  <w:style w:type="paragraph" w:styleId="879" w:customStyle="1">
    <w:name w:val="正文文本缩进1"/>
    <w:basedOn w:val="660"/>
    <w:next w:val="660"/>
    <w:link w:val="880"/>
    <w:uiPriority w:val="0"/>
    <w:qFormat/>
    <w:pPr>
      <w:ind w:firstLine="645"/>
    </w:pPr>
    <w:rPr>
      <w:rFonts w:ascii="楷体_GB2312" w:eastAsia="楷体_GB2312"/>
      <w:sz w:val="32"/>
      <w:szCs w:val="32"/>
    </w:rPr>
  </w:style>
  <w:style w:type="character" w:styleId="880" w:customStyle="1">
    <w:name w:val="正文文本缩进 Char"/>
    <w:link w:val="879"/>
    <w:uiPriority w:val="0"/>
    <w:qFormat/>
    <w:rPr>
      <w:rFonts w:ascii="楷体_GB2312" w:hAnsi="Times New Roman" w:eastAsia="楷体_GB2312" w:cs="Times New Roman"/>
      <w:sz w:val="32"/>
      <w:szCs w:val="32"/>
    </w:rPr>
  </w:style>
  <w:style w:type="paragraph" w:styleId="881" w:customStyle="1">
    <w:name w:val="列表 21"/>
    <w:basedOn w:val="660"/>
    <w:uiPriority w:val="0"/>
    <w:qFormat/>
    <w:pPr>
      <w:ind w:left="100" w:hanging="200"/>
    </w:pPr>
  </w:style>
  <w:style w:type="paragraph" w:styleId="882" w:customStyle="1">
    <w:name w:val="目录 51"/>
    <w:basedOn w:val="660"/>
    <w:next w:val="660"/>
    <w:uiPriority w:val="0"/>
    <w:semiHidden/>
    <w:qFormat/>
    <w:pPr>
      <w:ind w:left="840"/>
      <w:jc w:val="left"/>
    </w:pPr>
  </w:style>
  <w:style w:type="paragraph" w:styleId="883" w:customStyle="1">
    <w:name w:val="目录 31"/>
    <w:basedOn w:val="660"/>
    <w:next w:val="660"/>
    <w:uiPriority w:val="0"/>
    <w:semiHidden/>
    <w:qFormat/>
    <w:pPr>
      <w:ind w:left="420"/>
      <w:jc w:val="left"/>
    </w:pPr>
    <w:rPr>
      <w:i/>
      <w:iCs/>
      <w:szCs w:val="24"/>
    </w:rPr>
  </w:style>
  <w:style w:type="paragraph" w:styleId="884" w:customStyle="1">
    <w:name w:val="纯文本1"/>
    <w:basedOn w:val="660"/>
    <w:link w:val="885"/>
    <w:uiPriority w:val="0"/>
    <w:qFormat/>
    <w:rPr>
      <w:rFonts w:ascii="宋体" w:hAnsi="Courier New" w:cs="Courier New"/>
    </w:rPr>
  </w:style>
  <w:style w:type="character" w:styleId="885" w:customStyle="1">
    <w:name w:val="纯文本 Char"/>
    <w:link w:val="884"/>
    <w:uiPriority w:val="0"/>
    <w:qFormat/>
    <w:rPr>
      <w:rFonts w:ascii="宋体" w:hAnsi="Courier New" w:eastAsia="宋体" w:cs="Courier New"/>
      <w:szCs w:val="21"/>
    </w:rPr>
  </w:style>
  <w:style w:type="paragraph" w:styleId="886" w:customStyle="1">
    <w:name w:val="目录 81"/>
    <w:basedOn w:val="660"/>
    <w:next w:val="660"/>
    <w:uiPriority w:val="0"/>
    <w:semiHidden/>
    <w:qFormat/>
    <w:pPr>
      <w:ind w:left="1470"/>
      <w:jc w:val="left"/>
    </w:pPr>
  </w:style>
  <w:style w:type="paragraph" w:styleId="887" w:customStyle="1">
    <w:name w:val="日期1"/>
    <w:basedOn w:val="660"/>
    <w:next w:val="660"/>
    <w:link w:val="888"/>
    <w:uiPriority w:val="0"/>
    <w:qFormat/>
    <w:rPr>
      <w:sz w:val="24"/>
      <w:szCs w:val="24"/>
    </w:rPr>
  </w:style>
  <w:style w:type="character" w:styleId="888" w:customStyle="1">
    <w:name w:val="日期 Char"/>
    <w:link w:val="887"/>
    <w:uiPriority w:val="0"/>
    <w:qFormat/>
    <w:rPr>
      <w:rFonts w:ascii="Times New Roman" w:hAnsi="Times New Roman" w:eastAsia="宋体" w:cs="Times New Roman"/>
      <w:sz w:val="24"/>
      <w:szCs w:val="24"/>
    </w:rPr>
  </w:style>
  <w:style w:type="paragraph" w:styleId="889" w:customStyle="1">
    <w:name w:val="正文文本缩进 21"/>
    <w:basedOn w:val="660"/>
    <w:link w:val="890"/>
    <w:uiPriority w:val="0"/>
    <w:qFormat/>
    <w:pPr>
      <w:ind w:left="630" w:firstLine="645"/>
    </w:pPr>
    <w:rPr>
      <w:rFonts w:ascii="Arial" w:hAnsi="Arial" w:eastAsia="仿宋_GB2312" w:cs="Arial"/>
      <w:sz w:val="32"/>
      <w:szCs w:val="32"/>
    </w:rPr>
  </w:style>
  <w:style w:type="character" w:styleId="890" w:customStyle="1">
    <w:name w:val="正文文本缩进 2 Char"/>
    <w:link w:val="889"/>
    <w:uiPriority w:val="0"/>
    <w:qFormat/>
    <w:rPr>
      <w:rFonts w:ascii="Arial" w:hAnsi="Arial" w:eastAsia="仿宋_GB2312" w:cs="Arial"/>
      <w:sz w:val="32"/>
      <w:szCs w:val="32"/>
    </w:rPr>
  </w:style>
  <w:style w:type="paragraph" w:styleId="891" w:customStyle="1">
    <w:name w:val="批注框文本1"/>
    <w:basedOn w:val="660"/>
    <w:link w:val="892"/>
    <w:uiPriority w:val="0"/>
    <w:semiHidden/>
    <w:qFormat/>
    <w:rPr>
      <w:sz w:val="18"/>
      <w:szCs w:val="18"/>
    </w:rPr>
  </w:style>
  <w:style w:type="character" w:styleId="892" w:customStyle="1">
    <w:name w:val="批注框文本 Char"/>
    <w:link w:val="891"/>
    <w:uiPriority w:val="0"/>
    <w:semiHidden/>
    <w:qFormat/>
    <w:rPr>
      <w:rFonts w:ascii="Times New Roman" w:hAnsi="Times New Roman" w:eastAsia="宋体" w:cs="Times New Roman"/>
      <w:sz w:val="18"/>
      <w:szCs w:val="18"/>
    </w:rPr>
  </w:style>
  <w:style w:type="paragraph" w:styleId="893" w:customStyle="1">
    <w:name w:val="页脚1"/>
    <w:basedOn w:val="660"/>
    <w:link w:val="894"/>
    <w:uiPriority w:val="0"/>
    <w:qFormat/>
    <w:pPr>
      <w:jc w:val="left"/>
      <w:tabs>
        <w:tab w:val="center" w:pos="4153" w:leader="none"/>
        <w:tab w:val="right" w:pos="8306" w:leader="none"/>
      </w:tabs>
    </w:pPr>
    <w:rPr>
      <w:sz w:val="18"/>
      <w:szCs w:val="18"/>
    </w:rPr>
  </w:style>
  <w:style w:type="character" w:styleId="894" w:customStyle="1">
    <w:name w:val="页脚 Char"/>
    <w:link w:val="893"/>
    <w:uiPriority w:val="0"/>
    <w:qFormat/>
    <w:rPr>
      <w:rFonts w:ascii="Times New Roman" w:hAnsi="Times New Roman" w:eastAsia="宋体" w:cs="Times New Roman"/>
      <w:sz w:val="18"/>
      <w:szCs w:val="18"/>
    </w:rPr>
  </w:style>
  <w:style w:type="paragraph" w:styleId="895" w:customStyle="1">
    <w:name w:val="页眉1"/>
    <w:basedOn w:val="660"/>
    <w:link w:val="896"/>
    <w:uiPriority w:val="0"/>
    <w:qFormat/>
    <w:pPr>
      <w:jc w:val="center"/>
      <w:tabs>
        <w:tab w:val="center" w:pos="4153" w:leader="none"/>
        <w:tab w:val="right" w:pos="8306" w:leader="none"/>
      </w:tabs>
      <w:pBdr>
        <w:bottom w:val="single" w:color="000000" w:sz="6" w:space="1"/>
      </w:pBdr>
    </w:pPr>
    <w:rPr>
      <w:sz w:val="18"/>
      <w:szCs w:val="18"/>
    </w:rPr>
  </w:style>
  <w:style w:type="character" w:styleId="896" w:customStyle="1">
    <w:name w:val="页眉 Char"/>
    <w:link w:val="895"/>
    <w:uiPriority w:val="0"/>
    <w:qFormat/>
    <w:rPr>
      <w:rFonts w:ascii="Times New Roman" w:hAnsi="Times New Roman" w:eastAsia="宋体" w:cs="Times New Roman"/>
      <w:sz w:val="18"/>
      <w:szCs w:val="18"/>
    </w:rPr>
  </w:style>
  <w:style w:type="paragraph" w:styleId="897" w:customStyle="1">
    <w:name w:val="目录 1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60"/>
    <w:next w:val="660"/>
    <w:uiPriority w:val="0"/>
    <w:semiHidden/>
    <w:qFormat/>
    <w:pPr>
      <w:ind w:left="630"/>
      <w:jc w:val="left"/>
    </w:pPr>
  </w:style>
  <w:style w:type="paragraph" w:styleId="899" w:customStyle="1">
    <w:name w:val="列表1"/>
    <w:basedOn w:val="660"/>
    <w:uiPriority w:val="0"/>
    <w:qFormat/>
    <w:pPr>
      <w:ind w:left="200" w:hanging="200"/>
    </w:pPr>
  </w:style>
  <w:style w:type="paragraph" w:styleId="900" w:customStyle="1">
    <w:name w:val="目录 61"/>
    <w:basedOn w:val="660"/>
    <w:next w:val="660"/>
    <w:uiPriority w:val="0"/>
    <w:semiHidden/>
    <w:qFormat/>
    <w:pPr>
      <w:ind w:left="1050"/>
      <w:jc w:val="left"/>
    </w:pPr>
  </w:style>
  <w:style w:type="paragraph" w:styleId="901" w:customStyle="1">
    <w:name w:val="正文文本缩进 31"/>
    <w:basedOn w:val="660"/>
    <w:link w:val="902"/>
    <w:uiPriority w:val="0"/>
    <w:qFormat/>
    <w:pPr>
      <w:ind w:left="645" w:firstLine="645"/>
    </w:pPr>
    <w:rPr>
      <w:rFonts w:ascii="Arial" w:hAnsi="Arial" w:eastAsia="仿宋_GB2312" w:cs="Arial"/>
      <w:color w:val="ffff00"/>
      <w:sz w:val="32"/>
      <w:szCs w:val="32"/>
    </w:rPr>
  </w:style>
  <w:style w:type="character" w:styleId="902" w:customStyle="1">
    <w:name w:val="正文文本缩进 3 Char"/>
    <w:link w:val="901"/>
    <w:uiPriority w:val="0"/>
    <w:qFormat/>
    <w:rPr>
      <w:rFonts w:ascii="Arial" w:hAnsi="Arial" w:eastAsia="仿宋_GB2312" w:cs="Arial"/>
      <w:color w:val="ffff00"/>
      <w:sz w:val="32"/>
      <w:szCs w:val="32"/>
    </w:rPr>
  </w:style>
  <w:style w:type="paragraph" w:styleId="903" w:customStyle="1">
    <w:name w:val="图表目录1"/>
    <w:basedOn w:val="660"/>
    <w:next w:val="660"/>
    <w:uiPriority w:val="0"/>
    <w:semiHidden/>
    <w:qFormat/>
    <w:pPr>
      <w:ind w:left="840" w:hanging="420"/>
    </w:pPr>
  </w:style>
  <w:style w:type="paragraph" w:styleId="904" w:customStyle="1">
    <w:name w:val="目录 21"/>
    <w:basedOn w:val="660"/>
    <w:next w:val="660"/>
    <w:uiPriority w:val="0"/>
    <w:semiHidden/>
    <w:qFormat/>
    <w:pPr>
      <w:ind w:left="210"/>
      <w:jc w:val="left"/>
    </w:pPr>
    <w:rPr>
      <w:smallCaps/>
      <w:szCs w:val="24"/>
    </w:rPr>
  </w:style>
  <w:style w:type="paragraph" w:styleId="905" w:customStyle="1">
    <w:name w:val="目录 91"/>
    <w:basedOn w:val="660"/>
    <w:next w:val="660"/>
    <w:uiPriority w:val="0"/>
    <w:semiHidden/>
    <w:qFormat/>
    <w:pPr>
      <w:ind w:left="1680"/>
      <w:jc w:val="left"/>
    </w:pPr>
  </w:style>
  <w:style w:type="paragraph" w:styleId="906" w:customStyle="1">
    <w:name w:val="正文文本 21"/>
    <w:basedOn w:val="660"/>
    <w:link w:val="907"/>
    <w:uiPriority w:val="0"/>
    <w:qFormat/>
    <w:pPr>
      <w:jc w:val="center"/>
      <w:widowControl/>
    </w:pPr>
    <w:rPr>
      <w:rFonts w:ascii="楷体_GB2312" w:eastAsia="楷体_GB2312"/>
      <w:sz w:val="28"/>
      <w:szCs w:val="28"/>
    </w:rPr>
  </w:style>
  <w:style w:type="character" w:styleId="907" w:customStyle="1">
    <w:name w:val="正文文本 2 Char"/>
    <w:link w:val="906"/>
    <w:uiPriority w:val="0"/>
    <w:qFormat/>
    <w:rPr>
      <w:rFonts w:ascii="楷体_GB2312" w:hAnsi="Times New Roman" w:eastAsia="楷体_GB2312" w:cs="Times New Roman"/>
      <w:sz w:val="28"/>
      <w:szCs w:val="28"/>
    </w:rPr>
  </w:style>
  <w:style w:type="paragraph" w:styleId="908"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60"/>
    <w:next w:val="660"/>
    <w:uiPriority w:val="0"/>
    <w:semiHidden/>
    <w:qFormat/>
    <w:pPr>
      <w:spacing w:line="240" w:lineRule="atLeast"/>
    </w:pPr>
    <w:rPr>
      <w:b/>
      <w:bCs/>
    </w:rPr>
  </w:style>
  <w:style w:type="paragraph" w:styleId="910" w:customStyle="1">
    <w:name w:val="批注主题1"/>
    <w:basedOn w:val="872"/>
    <w:next w:val="872"/>
    <w:link w:val="911"/>
    <w:uiPriority w:val="0"/>
    <w:semiHidden/>
    <w:qFormat/>
    <w:rPr>
      <w:b/>
      <w:bCs/>
    </w:rPr>
  </w:style>
  <w:style w:type="character" w:styleId="911" w:customStyle="1">
    <w:name w:val="批注主题 Char"/>
    <w:link w:val="910"/>
    <w:uiPriority w:val="0"/>
    <w:semiHidden/>
    <w:qFormat/>
    <w:rPr>
      <w:rFonts w:ascii="Times New Roman" w:hAnsi="Times New Roman" w:eastAsia="宋体" w:cs="Times New Roman"/>
      <w:b/>
      <w:bCs/>
      <w:szCs w:val="21"/>
    </w:rPr>
  </w:style>
  <w:style w:type="paragraph" w:styleId="912" w:customStyle="1">
    <w:name w:val="正文首行缩进1"/>
    <w:basedOn w:val="660"/>
    <w:link w:val="913"/>
    <w:uiPriority w:val="0"/>
    <w:qFormat/>
    <w:pPr>
      <w:ind w:firstLine="200"/>
      <w:spacing w:line="360" w:lineRule="auto"/>
    </w:pPr>
    <w:rPr>
      <w:rFonts w:ascii="仿宋_GB2312" w:eastAsia="仿宋_GB2312"/>
      <w:sz w:val="30"/>
      <w:szCs w:val="30"/>
    </w:rPr>
  </w:style>
  <w:style w:type="character" w:styleId="913" w:customStyle="1">
    <w:name w:val="正文首行缩进 Char"/>
    <w:link w:val="912"/>
    <w:uiPriority w:val="0"/>
    <w:qFormat/>
    <w:rPr>
      <w:rFonts w:ascii="仿宋_GB2312" w:hAnsi="Times New Roman" w:eastAsia="仿宋_GB2312" w:cs="Times New Roman"/>
      <w:sz w:val="30"/>
      <w:szCs w:val="30"/>
    </w:rPr>
  </w:style>
  <w:style w:type="paragraph" w:styleId="914" w:customStyle="1">
    <w:name w:val="正文首行缩进 21"/>
    <w:basedOn w:val="879"/>
    <w:link w:val="915"/>
    <w:uiPriority w:val="0"/>
    <w:qFormat/>
    <w:pPr>
      <w:ind w:firstLine="420"/>
      <w:spacing w:line="360" w:lineRule="auto"/>
    </w:pPr>
    <w:rPr>
      <w:rFonts w:ascii="宋体" w:hAnsi="宋体" w:eastAsia="宋体"/>
      <w:sz w:val="21"/>
      <w:szCs w:val="20"/>
    </w:rPr>
  </w:style>
  <w:style w:type="character" w:styleId="915" w:customStyle="1">
    <w:name w:val="正文首行缩进 2 Char"/>
    <w:link w:val="914"/>
    <w:uiPriority w:val="0"/>
    <w:qFormat/>
    <w:rPr>
      <w:rFonts w:ascii="宋体" w:hAnsi="宋体" w:eastAsia="宋体" w:cs="Times New Roman"/>
      <w:sz w:val="32"/>
      <w:szCs w:val="20"/>
    </w:rPr>
  </w:style>
  <w:style w:type="table" w:styleId="916" w:customStyle="1">
    <w:name w:val="网格型1"/>
    <w:basedOn w:val="857"/>
    <w:uiPriority w:val="0"/>
    <w:qFormat/>
    <w:pPr>
      <w:jc w:val="both"/>
      <w:widowControl w:val="off"/>
    </w:pPr>
    <w:rPr>
      <w:rFonts w:ascii="Times New Roman" w:hAnsi="Times New Roman" w:eastAsia="宋体" w:cs="Times New Roman"/>
      <w:sz w:val="20"/>
      <w:szCs w:val="20"/>
    </w:rPr>
    <w:tblPr/>
  </w:style>
  <w:style w:type="character" w:styleId="917" w:customStyle="1">
    <w:name w:val="要点1"/>
    <w:link w:val="660"/>
    <w:uiPriority w:val="0"/>
    <w:qFormat/>
    <w:rPr>
      <w:b/>
      <w:bCs/>
    </w:rPr>
  </w:style>
  <w:style w:type="character" w:styleId="918" w:customStyle="1">
    <w:name w:val="页码1"/>
    <w:link w:val="660"/>
    <w:uiPriority w:val="0"/>
    <w:qFormat/>
  </w:style>
  <w:style w:type="character" w:styleId="919" w:customStyle="1">
    <w:name w:val="已访问的超链接1"/>
    <w:basedOn w:val="856"/>
    <w:link w:val="660"/>
    <w:uiPriority w:val="0"/>
    <w:qFormat/>
    <w:rPr>
      <w:color w:val="800080"/>
      <w:u w:val="none"/>
    </w:rPr>
  </w:style>
  <w:style w:type="character" w:styleId="920" w:customStyle="1">
    <w:name w:val="强调1"/>
    <w:basedOn w:val="856"/>
    <w:link w:val="660"/>
    <w:uiPriority w:val="20"/>
    <w:qFormat/>
  </w:style>
  <w:style w:type="character" w:styleId="921" w:customStyle="1">
    <w:name w:val="HTML 定义1"/>
    <w:basedOn w:val="856"/>
    <w:link w:val="660"/>
    <w:uiPriority w:val="99"/>
    <w:unhideWhenUsed/>
    <w:qFormat/>
    <w:rPr>
      <w:color w:val="333333"/>
      <w:sz w:val="21"/>
      <w:szCs w:val="21"/>
      <w:shd w:val="clear" w:color="auto" w:fill="f8f8f8"/>
    </w:rPr>
  </w:style>
  <w:style w:type="character" w:styleId="922" w:customStyle="1">
    <w:name w:val="HTML 打字机1"/>
    <w:basedOn w:val="856"/>
    <w:link w:val="660"/>
    <w:uiPriority w:val="99"/>
    <w:unhideWhenUsed/>
    <w:qFormat/>
    <w:rPr>
      <w:rFonts w:ascii="monospace" w:hAnsi="monospace" w:eastAsia="monospace" w:cs="monospace"/>
      <w:sz w:val="20"/>
    </w:rPr>
  </w:style>
  <w:style w:type="character" w:styleId="923" w:customStyle="1">
    <w:name w:val="HTML 缩写1"/>
    <w:basedOn w:val="856"/>
    <w:link w:val="660"/>
    <w:uiPriority w:val="99"/>
    <w:unhideWhenUsed/>
    <w:qFormat/>
  </w:style>
  <w:style w:type="character" w:styleId="924" w:customStyle="1">
    <w:name w:val="HTML 变量1"/>
    <w:basedOn w:val="856"/>
    <w:link w:val="660"/>
    <w:uiPriority w:val="99"/>
    <w:unhideWhenUsed/>
    <w:qFormat/>
  </w:style>
  <w:style w:type="character" w:styleId="925" w:customStyle="1">
    <w:name w:val="超链接1"/>
    <w:basedOn w:val="856"/>
    <w:link w:val="660"/>
    <w:uiPriority w:val="0"/>
    <w:qFormat/>
    <w:rPr>
      <w:color w:val="0000ff"/>
      <w:u w:val="none"/>
    </w:rPr>
  </w:style>
  <w:style w:type="character" w:styleId="926" w:customStyle="1">
    <w:name w:val="HTML 代码1"/>
    <w:basedOn w:val="856"/>
    <w:link w:val="660"/>
    <w:uiPriority w:val="99"/>
    <w:unhideWhenUsed/>
    <w:qFormat/>
    <w:rPr>
      <w:rFonts w:ascii="monospace" w:hAnsi="monospace" w:eastAsia="monospace" w:cs="monospace"/>
      <w:sz w:val="20"/>
    </w:rPr>
  </w:style>
  <w:style w:type="character" w:styleId="927" w:customStyle="1">
    <w:name w:val="批注引用1"/>
    <w:link w:val="660"/>
    <w:uiPriority w:val="0"/>
    <w:semiHidden/>
    <w:qFormat/>
    <w:rPr>
      <w:sz w:val="21"/>
      <w:szCs w:val="21"/>
    </w:rPr>
  </w:style>
  <w:style w:type="character" w:styleId="928" w:customStyle="1">
    <w:name w:val="HTML 引文1"/>
    <w:basedOn w:val="856"/>
    <w:link w:val="660"/>
    <w:uiPriority w:val="99"/>
    <w:unhideWhenUsed/>
    <w:qFormat/>
  </w:style>
  <w:style w:type="character" w:styleId="929" w:customStyle="1">
    <w:name w:val="HTML 键盘1"/>
    <w:basedOn w:val="856"/>
    <w:link w:val="660"/>
    <w:uiPriority w:val="99"/>
    <w:unhideWhenUsed/>
    <w:qFormat/>
    <w:rPr>
      <w:rFonts w:ascii="monospace" w:hAnsi="monospace" w:eastAsia="monospace" w:cs="monospace"/>
      <w:sz w:val="20"/>
    </w:rPr>
  </w:style>
  <w:style w:type="character" w:styleId="930" w:customStyle="1">
    <w:name w:val="HTML 样本1"/>
    <w:basedOn w:val="856"/>
    <w:link w:val="660"/>
    <w:uiPriority w:val="99"/>
    <w:unhideWhenUsed/>
    <w:qFormat/>
    <w:rPr>
      <w:rFonts w:ascii="monospace" w:hAnsi="monospace" w:eastAsia="monospace" w:cs="monospace"/>
    </w:rPr>
  </w:style>
  <w:style w:type="paragraph" w:styleId="931" w:customStyle="1">
    <w:name w:val="正文空2字"/>
    <w:basedOn w:val="932"/>
    <w:uiPriority w:val="99"/>
    <w:qFormat/>
    <w:pPr>
      <w:ind w:firstLine="640"/>
      <w:spacing w:line="560" w:lineRule="exact"/>
      <w:widowControl w:val="off"/>
    </w:pPr>
    <w:rPr>
      <w:rFonts w:ascii="仿宋_GB2312" w:hAnsi="仿宋_GB2312" w:cs="仿宋_GB2312"/>
      <w:lang w:val="zh-TW"/>
    </w:rPr>
  </w:style>
  <w:style w:type="paragraph" w:styleId="932" w:customStyle="1">
    <w:name w:val="左对齐正文"/>
    <w:uiPriority w:val="99"/>
    <w:qFormat/>
    <w:rPr>
      <w:rFonts w:hint="default" w:ascii="Calibri" w:hAnsi="Calibri" w:eastAsia="仿宋_GB2312" w:cs="Calibri"/>
      <w:sz w:val="32"/>
      <w:szCs w:val="32"/>
      <w:lang w:val="en-US" w:eastAsia="zh-CN" w:bidi="ar-SA"/>
    </w:rPr>
  </w:style>
  <w:style w:type="paragraph" w:styleId="933" w:customStyle="1">
    <w:name w:val="索引 41"/>
    <w:basedOn w:val="660"/>
    <w:next w:val="660"/>
    <w:uiPriority w:val="0"/>
    <w:semiHidden/>
    <w:qFormat/>
    <w:pPr>
      <w:ind w:left="1260"/>
    </w:pPr>
    <w:rPr>
      <w:rFonts w:ascii="Calibri" w:hAnsi="Calibri" w:eastAsia="Calibri" w:cs="宋体"/>
      <w:sz w:val="20"/>
      <w:lang w:val="zh-CN"/>
    </w:rPr>
  </w:style>
  <w:style w:type="character" w:styleId="934" w:customStyle="1">
    <w:name w:val="font5 Char"/>
    <w:link w:val="660"/>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rPr>
  </w:style>
  <w:style w:type="paragraph" w:styleId="936" w:customStyle="1">
    <w:name w:val="二级目录"/>
    <w:next w:val="660"/>
    <w:link w:val="9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60"/>
    <w:link w:val="937"/>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Body Text(ch)"/>
    <w:basedOn w:val="660"/>
    <w:next w:val="876"/>
    <w:uiPriority w:val="0"/>
    <w:qFormat/>
    <w:pPr>
      <w:spacing w:after="120"/>
    </w:pPr>
    <w:rPr>
      <w:rFonts w:ascii="宋体" w:hAnsi="Arial"/>
      <w:bCs/>
      <w:iCs/>
      <w:szCs w:val="24"/>
    </w:rPr>
  </w:style>
  <w:style w:type="paragraph" w:styleId="940"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Char"/>
    <w:basedOn w:val="660"/>
    <w:uiPriority w:val="0"/>
    <w:qFormat/>
    <w:pPr>
      <w:ind w:firstLine="200"/>
      <w:tabs>
        <w:tab w:val="left" w:pos="360" w:leader="none"/>
      </w:tabs>
    </w:pPr>
    <w:rPr>
      <w:sz w:val="28"/>
      <w:szCs w:val="30"/>
    </w:rPr>
  </w:style>
  <w:style w:type="paragraph" w:styleId="943" w:customStyle="1">
    <w:name w:val=" Char"/>
    <w:basedOn w:val="870"/>
    <w:uiPriority w:val="0"/>
    <w:qFormat/>
    <w:rPr>
      <w:rFonts w:ascii="Tahoma" w:hAnsi="Tahoma"/>
      <w:sz w:val="24"/>
      <w:szCs w:val="24"/>
    </w:rPr>
  </w:style>
  <w:style w:type="paragraph" w:styleId="944"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945" w:customStyle="1">
    <w:name w:val="table_lines"/>
    <w:basedOn w:val="660"/>
    <w:uiPriority w:val="0"/>
    <w:qFormat/>
    <w:pPr>
      <w:jc w:val="left"/>
      <w:widowControl/>
    </w:pPr>
    <w:rPr>
      <w:sz w:val="20"/>
      <w:szCs w:val="20"/>
      <w:lang w:val="de-DE" w:eastAsia="de-DE"/>
    </w:rPr>
  </w:style>
  <w:style w:type="paragraph" w:styleId="9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7"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 Char Char Char Char"/>
    <w:basedOn w:val="870"/>
    <w:uiPriority w:val="0"/>
    <w:qFormat/>
    <w:pPr>
      <w:spacing w:line="360" w:lineRule="auto"/>
    </w:pPr>
    <w:rPr>
      <w:rFonts w:ascii="Tahoma" w:hAnsi="Tahoma"/>
      <w:sz w:val="24"/>
      <w:szCs w:val="24"/>
    </w:rPr>
  </w:style>
  <w:style w:type="paragraph" w:styleId="949" w:customStyle="1">
    <w:name w:val="列出段落"/>
    <w:basedOn w:val="660"/>
    <w:uiPriority w:val="0"/>
    <w:qFormat/>
    <w:pPr>
      <w:contextualSpacing/>
      <w:ind w:left="720"/>
      <w:jc w:val="left"/>
      <w:widowControl/>
    </w:pPr>
    <w:rPr>
      <w:rFonts w:ascii="Calibri" w:hAnsi="Calibri"/>
      <w:sz w:val="24"/>
      <w:szCs w:val="24"/>
      <w:lang w:eastAsia="en-US" w:bidi="en-US"/>
    </w:rPr>
  </w:style>
  <w:style w:type="paragraph" w:styleId="950" w:customStyle="1">
    <w:name w:val="4"/>
    <w:basedOn w:val="660"/>
    <w:next w:val="901"/>
    <w:uiPriority w:val="0"/>
    <w:qFormat/>
    <w:pPr>
      <w:ind w:firstLine="420"/>
      <w:spacing w:line="360" w:lineRule="auto"/>
    </w:pPr>
    <w:rPr>
      <w:color w:val="ff0000"/>
      <w:sz w:val="24"/>
      <w:szCs w:val="24"/>
    </w:rPr>
  </w:style>
  <w:style w:type="paragraph" w:styleId="951"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52" w:customStyle="1">
    <w:name w:val=" Char Char Char Char Char Char Char Char Char Char"/>
    <w:basedOn w:val="660"/>
    <w:uiPriority w:val="0"/>
    <w:qFormat/>
    <w:pPr>
      <w:spacing w:line="360" w:lineRule="auto"/>
    </w:pPr>
    <w:rPr>
      <w:sz w:val="24"/>
      <w:szCs w:val="20"/>
    </w:rPr>
  </w:style>
  <w:style w:type="paragraph" w:styleId="953" w:customStyle="1">
    <w:name w:val="样式1"/>
    <w:basedOn w:val="660"/>
    <w:uiPriority w:val="0"/>
    <w:qFormat/>
    <w:pPr>
      <w:numPr>
        <w:ilvl w:val="0"/>
        <w:numId w:val="3"/>
      </w:numPr>
    </w:pPr>
    <w:rPr>
      <w:rFonts w:ascii="宋体" w:hAnsi="宋体"/>
    </w:rPr>
  </w:style>
  <w:style w:type="paragraph" w:styleId="954"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55"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58"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61"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63"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64" w:customStyle="1">
    <w:name w:val="Char Char Char Char"/>
    <w:basedOn w:val="870"/>
    <w:uiPriority w:val="0"/>
    <w:qFormat/>
    <w:pPr>
      <w:spacing w:line="360" w:lineRule="auto"/>
    </w:pPr>
    <w:rPr>
      <w:rFonts w:ascii="Tahoma" w:hAnsi="Tahoma"/>
      <w:sz w:val="24"/>
      <w:szCs w:val="24"/>
    </w:rPr>
  </w:style>
  <w:style w:type="paragraph" w:styleId="965" w:customStyle="1">
    <w:name w:val="table_1stline"/>
    <w:basedOn w:val="660"/>
    <w:uiPriority w:val="0"/>
    <w:qFormat/>
    <w:pPr>
      <w:jc w:val="left"/>
      <w:spacing w:before="120"/>
      <w:widowControl/>
    </w:pPr>
    <w:rPr>
      <w:bCs/>
      <w:sz w:val="20"/>
      <w:szCs w:val="20"/>
      <w:lang w:val="de-DE" w:eastAsia="de-DE"/>
    </w:rPr>
  </w:style>
  <w:style w:type="paragraph" w:styleId="966"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67"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70" w:customStyle="1">
    <w:name w:val="Table Normal"/>
    <w:uiPriority w:val="0"/>
    <w:qFormat/>
    <w:tblPr/>
  </w:style>
  <w:style w:type="paragraph" w:styleId="9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2" w:customStyle="1">
    <w:name w:val="Normal_6_0"/>
    <w:uiPriority w:val="0"/>
    <w:qFormat/>
    <w:rPr>
      <w:rFonts w:hint="default" w:ascii="黑体" w:hAnsi="黑体" w:eastAsia="黑体" w:cs="黑体"/>
      <w:b/>
      <w:sz w:val="32"/>
      <w:szCs w:val="24"/>
      <w:lang w:val="en-US" w:eastAsia="zh-CN" w:bidi="ar-SA"/>
    </w:rPr>
  </w:style>
  <w:style w:type="paragraph" w:styleId="9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正文文本12"/>
    <w:basedOn w:val="660"/>
    <w:uiPriority w:val="1"/>
    <w:qFormat/>
    <w:pPr>
      <w:ind w:left="120"/>
    </w:pPr>
    <w:rPr>
      <w:rFonts w:ascii="宋体" w:hAnsi="宋体" w:eastAsia="宋体" w:cs="宋体"/>
      <w:sz w:val="21"/>
      <w:szCs w:val="21"/>
      <w:lang w:val="zh-CN" w:eastAsia="zh-CN" w:bidi="zh-CN"/>
    </w:rPr>
  </w:style>
  <w:style w:type="paragraph" w:styleId="976" w:customStyle="1">
    <w:name w:val="正文2"/>
    <w:basedOn w:val="660"/>
    <w:uiPriority w:val="0"/>
    <w:qFormat/>
    <w:pPr>
      <w:ind w:firstLine="510"/>
      <w:spacing w:before="156" w:line="360" w:lineRule="auto"/>
    </w:pPr>
    <w:rPr>
      <w:sz w:val="24"/>
      <w:szCs w:val="20"/>
    </w:rPr>
  </w:style>
  <w:style w:type="paragraph" w:styleId="977" w:customStyle="1">
    <w:name w:val="首行缩进"/>
    <w:basedOn w:val="660"/>
    <w:uiPriority w:val="0"/>
    <w:qFormat/>
    <w:pPr>
      <w:ind w:firstLine="480"/>
    </w:pPr>
    <w:rPr>
      <w:rFonts w:ascii="Times New Roman" w:hAnsi="Times New Roman" w:cs="Times New Roman"/>
      <w:lang w:val="zh-CN"/>
    </w:rPr>
  </w:style>
  <w:style w:type="paragraph" w:styleId="978" w:customStyle="1">
    <w:name w:val="Normal_18_0"/>
    <w:uiPriority w:val="0"/>
    <w:qFormat/>
    <w:rPr>
      <w:rFonts w:hint="default" w:ascii="黑体" w:hAnsi="黑体" w:eastAsia="黑体" w:cs="黑体"/>
      <w:b/>
      <w:sz w:val="32"/>
      <w:szCs w:val="24"/>
      <w:lang w:val="en-US" w:eastAsia="zh-CN" w:bidi="ar-SA"/>
    </w:rPr>
  </w:style>
  <w:style w:type="paragraph" w:styleId="979" w:customStyle="1">
    <w:name w:val="正文_12_0_0_0_0"/>
    <w:basedOn w:val="660"/>
    <w:uiPriority w:val="0"/>
    <w:qFormat/>
    <w:rPr>
      <w:rFonts w:ascii="Times New Roman" w:hAnsi="Times New Roman"/>
      <w:szCs w:val="24"/>
    </w:rPr>
  </w:style>
  <w:style w:type="paragraph" w:styleId="9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Normal_20"/>
    <w:uiPriority w:val="0"/>
    <w:qFormat/>
    <w:rPr>
      <w:rFonts w:hint="default" w:ascii="黑体" w:hAnsi="黑体" w:eastAsia="黑体" w:cs="黑体"/>
      <w:b/>
      <w:sz w:val="32"/>
      <w:szCs w:val="24"/>
      <w:lang w:val="en-US" w:eastAsia="zh-CN" w:bidi="ar-SA"/>
    </w:rPr>
  </w:style>
  <w:style w:type="paragraph" w:styleId="9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Normal_0"/>
    <w:uiPriority w:val="0"/>
    <w:qFormat/>
    <w:rPr>
      <w:rFonts w:hint="default" w:ascii="黑体" w:hAnsi="黑体" w:eastAsia="黑体" w:cs="Times New Roman"/>
      <w:b/>
      <w:sz w:val="32"/>
      <w:szCs w:val="24"/>
      <w:lang w:val="en-US" w:eastAsia="zh-CN" w:bidi="ar-SA"/>
    </w:rPr>
  </w:style>
  <w:style w:type="paragraph" w:styleId="986" w:customStyle="1">
    <w:name w:val="部分1"/>
    <w:basedOn w:val="660"/>
    <w:uiPriority w:val="0"/>
    <w:qFormat/>
    <w:pPr>
      <w:jc w:val="center"/>
      <w:keepNext/>
      <w:pageBreakBefore/>
      <w:spacing w:line="360" w:lineRule="auto"/>
      <w:tabs>
        <w:tab w:val="left" w:pos="720" w:leader="none"/>
      </w:tabs>
      <w:outlineLvl w:val="0"/>
    </w:pPr>
    <w:rPr>
      <w:rFonts w:eastAsia="黑体"/>
      <w:b/>
      <w:sz w:val="36"/>
      <w:szCs w:val="20"/>
    </w:rPr>
  </w:style>
  <w:style w:type="paragraph" w:styleId="987" w:customStyle="1">
    <w:name w:val="Normal_12_0"/>
    <w:uiPriority w:val="0"/>
    <w:qFormat/>
    <w:pPr>
      <w:jc w:val="both"/>
      <w:widowControl w:val="off"/>
    </w:pPr>
    <w:rPr>
      <w:rFonts w:hint="default" w:ascii="Calibri" w:hAnsi="Calibri" w:eastAsia="宋体" w:cs="Times New Roman"/>
      <w:sz w:val="21"/>
      <w:szCs w:val="22"/>
    </w:rPr>
  </w:style>
  <w:style w:type="paragraph" w:styleId="988" w:customStyle="1">
    <w:name w:val="正文_9_0"/>
    <w:uiPriority w:val="0"/>
    <w:qFormat/>
    <w:pPr>
      <w:jc w:val="both"/>
      <w:widowControl w:val="off"/>
    </w:pPr>
    <w:rPr>
      <w:rFonts w:hint="default" w:ascii="Calibri" w:hAnsi="Calibri" w:eastAsia="宋体" w:cs="Times New Roman"/>
      <w:sz w:val="21"/>
      <w:szCs w:val="22"/>
    </w:rPr>
  </w:style>
  <w:style w:type="paragraph" w:styleId="989" w:customStyle="1">
    <w:name w:val="正文_8_1"/>
    <w:uiPriority w:val="0"/>
    <w:qFormat/>
    <w:pPr>
      <w:jc w:val="both"/>
      <w:widowControl w:val="off"/>
    </w:pPr>
    <w:rPr>
      <w:rFonts w:hint="default" w:ascii="Calibri" w:hAnsi="Calibri" w:eastAsia="宋体" w:cs="Times New Roman"/>
      <w:sz w:val="21"/>
      <w:szCs w:val="22"/>
    </w:rPr>
  </w:style>
  <w:style w:type="paragraph" w:styleId="990" w:customStyle="1">
    <w:name w:val="正文_1_0_0_0_0"/>
    <w:uiPriority w:val="0"/>
    <w:qFormat/>
    <w:pPr>
      <w:jc w:val="both"/>
      <w:widowControl w:val="off"/>
    </w:pPr>
    <w:rPr>
      <w:rFonts w:hint="default" w:ascii="Times New Roman" w:hAnsi="Times New Roman" w:eastAsia="宋体" w:cs="Times New Roman"/>
      <w:sz w:val="21"/>
    </w:rPr>
  </w:style>
  <w:style w:type="paragraph" w:styleId="991" w:customStyle="1">
    <w:name w:val="列出段落_2"/>
    <w:basedOn w:val="989"/>
    <w:uiPriority w:val="34"/>
    <w:qFormat/>
    <w:pPr>
      <w:ind w:firstLine="420"/>
    </w:pPr>
    <w:rPr>
      <w:rFonts w:ascii="Calibri" w:hAnsi="Calibri" w:eastAsia="宋体"/>
    </w:rPr>
  </w:style>
  <w:style w:type="paragraph" w:styleId="992" w:customStyle="1">
    <w:name w:val="Normal_13_0"/>
    <w:uiPriority w:val="0"/>
    <w:qFormat/>
    <w:rPr>
      <w:rFonts w:hint="default" w:ascii="黑体" w:hAnsi="黑体" w:eastAsia="黑体" w:cs="黑体"/>
      <w:b/>
      <w:sz w:val="32"/>
      <w:szCs w:val="24"/>
    </w:rPr>
  </w:style>
  <w:style w:type="paragraph" w:styleId="993" w:customStyle="1">
    <w:name w:val="正文_16_0_0"/>
    <w:next w:val="994"/>
    <w:uiPriority w:val="0"/>
    <w:qFormat/>
    <w:pPr>
      <w:jc w:val="both"/>
      <w:widowControl w:val="off"/>
    </w:pPr>
    <w:rPr>
      <w:rFonts w:hint="default" w:ascii="Calibri" w:hAnsi="Calibri" w:eastAsia="宋体" w:cs="Times New Roman"/>
      <w:sz w:val="21"/>
      <w:szCs w:val="22"/>
    </w:rPr>
  </w:style>
  <w:style w:type="paragraph" w:styleId="994" w:customStyle="1">
    <w:name w:val="正文1_0"/>
    <w:uiPriority w:val="0"/>
    <w:qFormat/>
    <w:pPr>
      <w:jc w:val="both"/>
      <w:widowControl w:val="off"/>
    </w:pPr>
    <w:rPr>
      <w:rFonts w:hint="default" w:ascii="Times New Roman" w:hAnsi="Times New Roman" w:eastAsia="宋体" w:cs="Times New Roman"/>
      <w:szCs w:val="24"/>
    </w:rPr>
  </w:style>
  <w:style w:type="character" w:styleId="995" w:customStyle="1">
    <w:name w:val="glyphicon"/>
    <w:basedOn w:val="856"/>
    <w:link w:val="660"/>
    <w:uiPriority w:val="0"/>
    <w:qFormat/>
  </w:style>
  <w:style w:type="character" w:styleId="996" w:customStyle="1">
    <w:name w:val="hover5"/>
    <w:basedOn w:val="856"/>
    <w:link w:val="660"/>
    <w:uiPriority w:val="0"/>
    <w:qFormat/>
    <w:rPr>
      <w:shd w:val="clear" w:color="auto" w:fill="eeeeee"/>
    </w:rPr>
  </w:style>
  <w:style w:type="character" w:styleId="997" w:customStyle="1">
    <w:name w:val="old"/>
    <w:basedOn w:val="856"/>
    <w:link w:val="660"/>
    <w:uiPriority w:val="0"/>
    <w:qFormat/>
    <w:rPr>
      <w:color w:val="999999"/>
    </w:rPr>
  </w:style>
  <w:style w:type="character" w:styleId="998" w:customStyle="1">
    <w:name w:val="hour_am"/>
    <w:basedOn w:val="856"/>
    <w:link w:val="660"/>
    <w:uiPriority w:val="0"/>
    <w:qFormat/>
  </w:style>
  <w:style w:type="character" w:styleId="999" w:customStyle="1">
    <w:name w:val="hour_pm"/>
    <w:basedOn w:val="856"/>
    <w:link w:val="660"/>
    <w:uiPriority w:val="0"/>
    <w:qFormat/>
  </w:style>
  <w:style w:type="character" w:styleId="1000" w:customStyle="1">
    <w:name w:val="layui-layer-tabnow"/>
    <w:basedOn w:val="856"/>
    <w:link w:val="660"/>
    <w:uiPriority w:val="0"/>
    <w:qFormat/>
    <w:rPr>
      <w:shd w:val="clear" w:color="auto" w:fill="ffffff"/>
    </w:rPr>
  </w:style>
  <w:style w:type="character" w:styleId="1001" w:customStyle="1">
    <w:name w:val="first-child"/>
    <w:basedOn w:val="856"/>
    <w:link w:val="660"/>
    <w:uiPriority w:val="0"/>
    <w:qFormat/>
  </w:style>
  <w:style w:type="character" w:styleId="1002" w:customStyle="1">
    <w:name w:val="hover3"/>
    <w:basedOn w:val="856"/>
    <w:link w:val="660"/>
    <w:uiPriority w:val="0"/>
    <w:qFormat/>
    <w:rPr>
      <w:shd w:val="clear" w:color="auto" w:fill="eeeeee"/>
    </w:rPr>
  </w:style>
  <w:style w:type="paragraph" w:styleId="1003" w:customStyle="1">
    <w:name w:val="Normal_21"/>
    <w:next w:val="1004"/>
    <w:uiPriority w:val="0"/>
    <w:qFormat/>
    <w:rPr>
      <w:rFonts w:hint="default" w:ascii="黑体" w:hAnsi="黑体" w:eastAsia="黑体" w:cs="Times New Roman"/>
      <w:b/>
      <w:sz w:val="32"/>
      <w:szCs w:val="24"/>
      <w:lang w:bidi="ar-SA"/>
    </w:rPr>
  </w:style>
  <w:style w:type="paragraph" w:styleId="1004" w:customStyle="1">
    <w:name w:val="Heading 4_0"/>
    <w:basedOn w:val="1003"/>
    <w:next w:val="1003"/>
    <w:uiPriority w:val="0"/>
    <w:qFormat/>
    <w:pPr>
      <w:keepLines/>
      <w:keepNext/>
      <w:spacing w:line="360" w:lineRule="auto"/>
      <w:widowControl w:val="off"/>
      <w:tabs>
        <w:tab w:val="left" w:pos="1134" w:leader="none"/>
        <w:tab w:val="right" w:pos="7371" w:leader="none"/>
      </w:tabs>
      <w:outlineLvl w:val="3"/>
    </w:pPr>
    <w:rPr>
      <w:rFonts w:ascii="宋体" w:eastAsia="Times New Roman"/>
      <w:color w:val="800000"/>
      <w:sz w:val="28"/>
      <w:szCs w:val="20"/>
    </w:rPr>
  </w:style>
  <w:style w:type="paragraph" w:styleId="1005" w:customStyle="1">
    <w:name w:val="Body Text_0"/>
    <w:basedOn w:val="673"/>
    <w:next w:val="1006"/>
    <w:uiPriority w:val="0"/>
    <w:qFormat/>
    <w:pPr>
      <w:spacing w:line="60" w:lineRule="auto"/>
    </w:pPr>
    <w:rPr>
      <w:rFonts w:ascii="仿宋_GB2312" w:eastAsia="仿宋_GB2312"/>
      <w:sz w:val="32"/>
    </w:rPr>
  </w:style>
  <w:style w:type="paragraph" w:styleId="1006" w:customStyle="1">
    <w:name w:val="Body Text First Indent_0"/>
    <w:basedOn w:val="1005"/>
    <w:uiPriority w:val="99"/>
    <w:unhideWhenUsed/>
    <w:qFormat/>
    <w:pPr>
      <w:ind w:firstLine="420"/>
      <w:spacing w:after="120" w:line="240" w:lineRule="auto"/>
    </w:pPr>
    <w:rPr>
      <w:rFonts w:ascii="Times New Roman" w:eastAsia="宋体"/>
      <w:sz w:val="21"/>
    </w:rPr>
  </w:style>
  <w:style w:type="paragraph" w:styleId="1007" w:customStyle="1">
    <w:name w:val="List Paragraph_0"/>
    <w:basedOn w:val="673"/>
    <w:uiPriority w:val="34"/>
    <w:qFormat/>
    <w:pPr>
      <w:ind w:firstLine="420"/>
    </w:pPr>
    <w:rPr>
      <w:rFonts w:eastAsia="Times New Roman"/>
    </w:rPr>
  </w:style>
  <w:style w:type="paragraph" w:styleId="1008"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character" w:styleId="1009" w:customStyle="1">
    <w:name w:val="font21"/>
    <w:basedOn w:val="856"/>
    <w:link w:val="660"/>
    <w:uiPriority w:val="0"/>
    <w:qFormat/>
    <w:rPr>
      <w:rFonts w:hint="eastAsia" w:ascii="宋体" w:hAnsi="宋体" w:eastAsia="宋体" w:cs="宋体"/>
      <w:color w:val="000000"/>
      <w:sz w:val="21"/>
      <w:szCs w:val="21"/>
      <w:u w:val="none"/>
    </w:rPr>
  </w:style>
  <w:style w:type="paragraph" w:styleId="1010" w:customStyle="1">
    <w:name w:val="表格文字"/>
    <w:basedOn w:val="660"/>
    <w:next w:val="876"/>
    <w:uiPriority w:val="0"/>
    <w:qFormat/>
    <w:pPr>
      <w:jc w:val="left"/>
      <w:spacing w:before="25" w:after="25"/>
    </w:pPr>
    <w:rPr>
      <w:bCs/>
      <w:spacing w:val="10"/>
      <w:sz w:val="24"/>
      <w:szCs w:val="20"/>
    </w:rPr>
  </w:style>
  <w:style w:type="character" w:styleId="1011" w:customStyle="1">
    <w:name w:val="hover2"/>
    <w:basedOn w:val="856"/>
    <w:link w:val="660"/>
    <w:uiPriority w:val="0"/>
    <w:qFormat/>
    <w:rPr>
      <w:shd w:val="clear" w:color="auto" w:fill="eeeeee"/>
    </w:rPr>
  </w:style>
  <w:style w:type="numbering" w:styleId="107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胡婷婷</cp:lastModifiedBy>
  <cp:revision>5</cp:revision>
  <dcterms:created xsi:type="dcterms:W3CDTF">2023-03-16T02:16:00Z</dcterms:created>
  <dcterms:modified xsi:type="dcterms:W3CDTF">2024-11-29T07:32:00Z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503F9CD8C02843EC8EE97B65E0B7472B_12</vt:lpwstr>
  </property>
</Properties>
</file>