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highlight w:val="none"/>
        </w:rPr>
      </w:pPr>
      <w:r>
        <w:rPr>
          <w:highlight w:val="none"/>
        </w:rPr>
      </w:r>
      <w:bookmarkStart w:id="0" w:name="_Toc120614210"/>
      <w:r>
        <w:rPr>
          <w:highlight w:val="none"/>
        </w:rPr>
      </w:r>
      <w:bookmarkStart w:id="1" w:name="_Toc479757206"/>
      <w:r>
        <w:rPr>
          <w:highlight w:val="none"/>
        </w:rPr>
      </w:r>
      <w:bookmarkStart w:id="2" w:name="_Toc523127445"/>
      <w:r>
        <w:rPr>
          <w:highlight w:val="none"/>
        </w:rPr>
      </w:r>
      <w:bookmarkStart w:id="3" w:name="_Toc16938516"/>
      <w:r>
        <w:rPr>
          <w:highlight w:val="none"/>
        </w:rPr>
      </w:r>
      <w:bookmarkStart w:id="4" w:name="_Toc20823272"/>
      <w:r>
        <w:rPr>
          <w:highlight w:val="none"/>
        </w:rPr>
      </w:r>
      <w:bookmarkStart w:id="5" w:name="_Toc513029200"/>
      <w:r>
        <w:rPr>
          <w:highlight w:val="none"/>
        </w:rPr>
      </w:r>
      <w:r/>
    </w:p>
    <w:p>
      <w:pPr>
        <w:pStyle w:val="1009"/>
        <w:rPr>
          <w:rFonts w:hint="eastAsia"/>
          <w:color w:val="000000"/>
          <w:highlight w:val="none"/>
        </w:rPr>
      </w:pPr>
      <w:r>
        <w:rPr>
          <w:rFonts w:hint="eastAsia"/>
          <w:color w:val="000000"/>
          <w:highlight w:val="none"/>
        </w:rPr>
      </w:r>
      <w:r>
        <w:rPr>
          <w:highlight w:val="none"/>
        </w:rPr>
      </w:r>
      <w:r/>
    </w:p>
    <w:p>
      <w:pPr>
        <w:pStyle w:val="1023"/>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highlight w:val="none"/>
        </w:rPr>
      </w:r>
      <w:r/>
    </w:p>
    <w:p>
      <w:pPr>
        <w:pStyle w:val="932"/>
        <w:ind w:firstLine="1506"/>
        <w:rPr>
          <w:b/>
          <w:color w:val="000000"/>
          <w:sz w:val="30"/>
          <w:szCs w:val="30"/>
          <w:highlight w:val="none"/>
          <w:u w:val="single"/>
        </w:rPr>
      </w:pPr>
      <w:r>
        <w:rPr>
          <w:rFonts w:hint="eastAsia"/>
          <w:b/>
          <w:color w:val="000000"/>
          <w:sz w:val="30"/>
          <w:szCs w:val="30"/>
          <w:highlight w:val="none"/>
        </w:rPr>
        <w:t xml:space="preserve">项目名称：统一影像中心平台建设</w:t>
      </w:r>
      <w:r>
        <w:rPr>
          <w:rFonts w:hint="eastAsia"/>
          <w:b/>
          <w:color w:val="000000"/>
          <w:sz w:val="32"/>
          <w:szCs w:val="32"/>
          <w:highlight w:val="none"/>
        </w:rPr>
        <w:t xml:space="preserve"> </w:t>
      </w:r>
      <w:r>
        <w:rPr>
          <w:highlight w:val="none"/>
        </w:rPr>
      </w:r>
      <w:r/>
    </w:p>
    <w:p>
      <w:pPr>
        <w:pStyle w:val="932"/>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JSZC-320100-JZCG-G2025-0194 </w:t>
      </w:r>
      <w:r>
        <w:rPr>
          <w:rFonts w:hint="eastAsia"/>
          <w:b/>
          <w:color w:val="000000"/>
          <w:sz w:val="30"/>
          <w:szCs w:val="30"/>
          <w:highlight w:val="none"/>
        </w:rPr>
        <w:t xml:space="preserve"> </w:t>
      </w:r>
      <w:r>
        <w:rPr>
          <w:rFonts w:hint="eastAsia"/>
          <w:b/>
          <w:color w:val="000000"/>
          <w:sz w:val="30"/>
          <w:szCs w:val="30"/>
          <w:highlight w:val="none"/>
        </w:rPr>
        <w:t xml:space="preserve"> </w:t>
      </w:r>
      <w:r>
        <w:rPr>
          <w:rFonts w:hint="eastAsia"/>
          <w:b/>
          <w:color w:val="000000"/>
          <w:sz w:val="30"/>
          <w:szCs w:val="30"/>
          <w:highlight w:val="none"/>
        </w:rPr>
        <w:t xml:space="preserve">            </w:t>
      </w:r>
      <w:r>
        <w:rPr>
          <w:highlight w:val="none"/>
        </w:rPr>
      </w:r>
      <w:r/>
    </w:p>
    <w:p>
      <w:pPr>
        <w:pStyle w:val="932"/>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面向中小微企业）</w:t>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1023"/>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highlight w:val="none"/>
        </w:rPr>
      </w:r>
      <w:r/>
    </w:p>
    <w:p>
      <w:pPr>
        <w:pStyle w:val="932"/>
        <w:jc w:val="center"/>
        <w:rPr>
          <w:rFonts w:hint="eastAsia"/>
          <w:b/>
          <w:color w:val="000000"/>
          <w:sz w:val="32"/>
          <w:szCs w:val="32"/>
          <w:highlight w:val="none"/>
        </w:rPr>
      </w:pPr>
      <w:r>
        <w:rPr>
          <w:rFonts w:hint="eastAsia"/>
          <w:b/>
          <w:color w:val="000000"/>
          <w:sz w:val="32"/>
          <w:szCs w:val="32"/>
          <w:highlight w:val="none"/>
        </w:rPr>
        <w:t xml:space="preserve">2025年</w:t>
      </w:r>
      <w:r>
        <w:rPr>
          <w:rFonts w:hint="eastAsia"/>
          <w:b/>
          <w:color w:val="000000"/>
          <w:sz w:val="32"/>
          <w:szCs w:val="32"/>
          <w:highlight w:val="none"/>
          <w:lang w:val="en-US" w:eastAsia="zh-CN"/>
        </w:rPr>
        <w:t xml:space="preserve">7</w:t>
      </w:r>
      <w:r>
        <w:rPr>
          <w:rFonts w:hint="eastAsia"/>
          <w:b/>
          <w:color w:val="000000"/>
          <w:sz w:val="32"/>
          <w:szCs w:val="32"/>
          <w:highlight w:val="none"/>
        </w:rPr>
        <w:t xml:space="preserve">月</w:t>
      </w:r>
      <w:r>
        <w:rPr>
          <w:highlight w:val="none"/>
        </w:rPr>
      </w:r>
      <w:r/>
    </w:p>
    <w:p>
      <w:pPr>
        <w:pStyle w:val="932"/>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highlight w:val="none"/>
        </w:rPr>
      </w:r>
      <w:r/>
    </w:p>
    <w:p>
      <w:pPr>
        <w:pStyle w:val="93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highlight w:val="none"/>
        </w:rPr>
      </w:r>
      <w:r/>
    </w:p>
    <w:p>
      <w:pPr>
        <w:pStyle w:val="93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highlight w:val="none"/>
        </w:rPr>
      </w:r>
      <w:r/>
    </w:p>
    <w:p>
      <w:pPr>
        <w:pStyle w:val="1009"/>
        <w:rPr>
          <w:rFonts w:hint="eastAsia"/>
          <w:color w:val="000000"/>
          <w:highlight w:val="none"/>
        </w:rPr>
      </w:pPr>
      <w:r>
        <w:rPr>
          <w:rFonts w:hint="eastAsia"/>
          <w:color w:val="000000"/>
          <w:highlight w:val="none"/>
        </w:rPr>
      </w:r>
      <w:r>
        <w:rPr>
          <w:highlight w:val="none"/>
        </w:rPr>
      </w:r>
      <w:r/>
    </w:p>
    <w:p>
      <w:pPr>
        <w:pStyle w:val="932"/>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br w:type="page" w:clear="all"/>
      </w:r>
      <w:r>
        <w:rPr>
          <w:rFonts w:hint="eastAsia" w:ascii="黑体" w:hAnsi="Arial" w:eastAsia="黑体"/>
          <w:b/>
          <w:color w:val="000000"/>
          <w:sz w:val="44"/>
          <w:highlight w:val="none"/>
        </w:rPr>
        <w:t xml:space="preserve">总  目  录</w:t>
      </w:r>
      <w:r>
        <w:rPr>
          <w:highlight w:val="none"/>
        </w:rPr>
      </w:r>
      <w:r/>
    </w:p>
    <w:p>
      <w:pPr>
        <w:pStyle w:val="932"/>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lang w:val="en-US" w:eastAsia="zh-CN"/>
        </w:rPr>
        <w:t xml:space="preserve">3</w:t>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lang w:val="en-US" w:eastAsia="zh-CN"/>
        </w:rPr>
        <w:t xml:space="preserve">5</w:t>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lang w:val="en-US" w:eastAsia="zh-CN"/>
        </w:rPr>
        <w:t xml:space="preserve">14</w:t>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lang w:val="en-US" w:eastAsia="zh-CN"/>
        </w:rPr>
        <w:t xml:space="preserve">17</w:t>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lang w:val="en-US" w:eastAsia="zh-CN"/>
        </w:rPr>
        <w:t xml:space="preserve">31</w:t>
      </w:r>
      <w:r>
        <w:rPr>
          <w:highlight w:val="none"/>
        </w:rPr>
      </w:r>
      <w:r/>
    </w:p>
    <w:p>
      <w:pPr>
        <w:pStyle w:val="932"/>
        <w:numPr>
          <w:ilvl w:val="0"/>
          <w:numId w:val="4"/>
        </w:numPr>
        <w:jc w:val="center"/>
        <w:spacing w:line="960" w:lineRule="auto"/>
        <w:tabs>
          <w:tab w:val="left" w:pos="1440" w:leader="none"/>
        </w:tabs>
        <w:rPr>
          <w:rFonts w:hint="eastAsia" w:ascii="黑体" w:hAnsi="宋体"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宋体" w:eastAsia="黑体"/>
          <w:color w:val="000000"/>
          <w:sz w:val="36"/>
          <w:highlight w:val="none"/>
          <w:lang w:val="en-US" w:eastAsia="zh-CN"/>
        </w:rPr>
        <w:t xml:space="preserve">33</w:t>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jc w:val="center"/>
        <w:rPr>
          <w:rFonts w:hint="eastAsia" w:ascii="微软雅黑" w:hAnsi="微软雅黑" w:eastAsia="微软雅黑" w:cs="微软雅黑"/>
          <w:color w:val="000000"/>
          <w:sz w:val="36"/>
          <w:szCs w:val="36"/>
          <w:highlight w:val="none"/>
        </w:rPr>
      </w:pPr>
      <w:r>
        <w:rPr>
          <w:rFonts w:hint="eastAsia"/>
          <w:color w:val="000000"/>
          <w:highlight w:val="none"/>
        </w:rPr>
        <w:br w:type="page" w:clear="all"/>
      </w:r>
      <w:r>
        <w:rPr>
          <w:rFonts w:hint="eastAsia" w:ascii="微软雅黑" w:hAnsi="微软雅黑" w:eastAsia="微软雅黑" w:cs="微软雅黑"/>
          <w:color w:val="000000"/>
          <w:sz w:val="36"/>
          <w:szCs w:val="36"/>
          <w:highlight w:val="none"/>
        </w:rPr>
        <w:t xml:space="preserve">第一章  </w:t>
      </w:r>
      <w:bookmarkEnd w:id="0"/>
      <w:r>
        <w:rPr>
          <w:rFonts w:hint="eastAsia" w:ascii="微软雅黑" w:hAnsi="微软雅黑" w:eastAsia="微软雅黑" w:cs="微软雅黑"/>
          <w:color w:val="000000"/>
          <w:sz w:val="36"/>
          <w:szCs w:val="36"/>
          <w:highlight w:val="none"/>
        </w:rPr>
        <w:t xml:space="preserve">投标邀请</w:t>
      </w:r>
      <w:r>
        <w:rPr>
          <w:highlight w:val="none"/>
        </w:rPr>
      </w:r>
      <w:r/>
    </w:p>
    <w:p>
      <w:pPr>
        <w:pStyle w:val="932"/>
        <w:ind w:firstLine="480"/>
        <w:spacing w:line="264" w:lineRule="auto"/>
        <w:rPr>
          <w:rFonts w:hint="eastAsia" w:ascii="宋体" w:hAnsi="宋体"/>
          <w:color w:val="000000"/>
          <w:sz w:val="24"/>
          <w:szCs w:val="24"/>
          <w:highlight w:val="none"/>
        </w:rPr>
      </w:pPr>
      <w:r>
        <w:rPr>
          <w:highlight w:val="none"/>
        </w:rPr>
      </w:r>
      <w:bookmarkStart w:id="6" w:name="_Toc28359079"/>
      <w:r>
        <w:rPr>
          <w:highlight w:val="none"/>
        </w:rPr>
      </w:r>
      <w:bookmarkStart w:id="7" w:name="_Toc28359002"/>
      <w:r>
        <w:rPr>
          <w:highlight w:val="none"/>
        </w:rPr>
      </w:r>
      <w:bookmarkStart w:id="8" w:name="_Toc35393621"/>
      <w:r>
        <w:rPr>
          <w:highlight w:val="none"/>
        </w:rPr>
      </w:r>
      <w:bookmarkStart w:id="9" w:name="_Toc35393790"/>
      <w:r>
        <w:rPr>
          <w:highlight w:val="none"/>
        </w:rPr>
      </w:r>
      <w:bookmarkStart w:id="10" w:name="_Toc38985263"/>
      <w:r>
        <w:rPr>
          <w:highlight w:val="none"/>
        </w:rPr>
      </w:r>
      <w:bookmarkStart w:id="11" w:name="_Hlk24379207"/>
      <w:r>
        <w:rPr>
          <w:highlight w:val="none"/>
        </w:rPr>
      </w:r>
      <w:r/>
    </w:p>
    <w:p>
      <w:pPr>
        <w:pStyle w:val="932"/>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受南京市中心医院（采购单位）委托，南京市公共资源交易中心（以下简称“交易中心”）就统一影像中心平台建设进行公开招标采购，欢迎符合条件的供应商投标。</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32"/>
        <w:ind w:firstLine="480"/>
        <w:spacing w:line="264" w:lineRule="auto"/>
        <w:rPr>
          <w:rFonts w:ascii="宋体" w:hAnsi="宋体"/>
          <w:color w:val="000000"/>
          <w:sz w:val="24"/>
          <w:szCs w:val="24"/>
          <w:highlight w:val="none"/>
        </w:rPr>
      </w:pPr>
      <w:r>
        <w:rPr>
          <w:highlight w:val="none"/>
        </w:rPr>
      </w:r>
      <w:bookmarkEnd w:id="11"/>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rPr>
        <w:t xml:space="preserve">JSZC-320100-JZCG-G2025-0194</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2.项目名称：统一影像中心平台建设</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rPr>
        <w:t xml:space="preserve">150万元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rPr>
        <w:t xml:space="preserve">本项目不设最高限价。</w:t>
      </w:r>
      <w:r>
        <w:rPr>
          <w:highlight w:val="none"/>
        </w:rPr>
      </w:r>
      <w:r/>
    </w:p>
    <w:p>
      <w:pPr>
        <w:pStyle w:val="932"/>
        <w:ind w:firstLine="480"/>
        <w:spacing w:line="264"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本次项目要求国家电子病历应用水平测评及智慧医院建设标准为指导顶层设计，兼容国家医疗信息</w:t>
      </w:r>
      <w:r>
        <w:rPr>
          <w:rFonts w:hint="eastAsia" w:ascii="宋体" w:hAnsi="宋体"/>
          <w:color w:val="000000"/>
          <w:sz w:val="24"/>
          <w:szCs w:val="24"/>
          <w:highlight w:val="none"/>
        </w:rPr>
        <w:t xml:space="preserve">相关</w:t>
      </w:r>
      <w:r>
        <w:rPr>
          <w:rFonts w:hint="eastAsia" w:ascii="宋体" w:hAnsi="宋体"/>
          <w:color w:val="000000"/>
          <w:sz w:val="24"/>
          <w:szCs w:val="24"/>
          <w:highlight w:val="none"/>
        </w:rPr>
        <w:t xml:space="preserve">要求，充分结合医院信息化建设现状、各科室工作需求、患者服务满意度指向、数据安全保障等需求，建设统一影像中心平台，全面提升院内检查流程，以信息化手段促进医院影像信息规范化管理，逐步形成影像信息领域的全流程闭环模式。</w:t>
      </w:r>
      <w:r>
        <w:rPr>
          <w:rFonts w:hint="eastAsia" w:ascii="宋体" w:hAnsi="宋体" w:cs="宋体"/>
          <w:color w:val="000000"/>
          <w:sz w:val="24"/>
          <w:szCs w:val="24"/>
          <w:highlight w:val="none"/>
        </w:rPr>
        <w:t xml:space="preserve">（详细内容见本招标文件第四章） </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rPr>
        <w:t xml:space="preserve">455天（系统开发时间为合同签订后90天内，维保时间为验收合格后365天）</w:t>
      </w:r>
      <w:r>
        <w:rPr>
          <w:highlight w:val="none"/>
        </w:rPr>
        <w:t xml:space="preserve">。</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t xml:space="preserve">联合体投标。</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highlight w:val="none"/>
        </w:rPr>
      </w:r>
      <w:bookmarkStart w:id="12" w:name="_Toc38985264"/>
      <w:r>
        <w:rPr>
          <w:highlight w:val="none"/>
        </w:rPr>
      </w:r>
      <w:bookmarkStart w:id="13" w:name="_Toc28359003"/>
      <w:r>
        <w:rPr>
          <w:highlight w:val="none"/>
        </w:rPr>
      </w:r>
      <w:bookmarkStart w:id="14" w:name="_Toc35393791"/>
      <w:r>
        <w:rPr>
          <w:highlight w:val="none"/>
        </w:rPr>
      </w:r>
      <w:bookmarkStart w:id="15" w:name="_Toc35393622"/>
      <w:r>
        <w:rPr>
          <w:highlight w:val="none"/>
        </w:rPr>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32"/>
        <w:ind w:firstLine="480"/>
        <w:spacing w:line="264" w:lineRule="auto"/>
        <w:rPr>
          <w:rFonts w:hint="eastAsia" w:ascii="宋体" w:hAnsi="宋体"/>
          <w:color w:val="000000"/>
          <w:sz w:val="24"/>
          <w:szCs w:val="24"/>
          <w:highlight w:val="none"/>
        </w:rPr>
      </w:pPr>
      <w:r>
        <w:rPr>
          <w:highlight w:val="none"/>
        </w:rPr>
      </w:r>
      <w:bookmarkStart w:id="17" w:name="_Toc28359081"/>
      <w:r>
        <w:rPr>
          <w:highlight w:val="none"/>
        </w:rPr>
      </w:r>
      <w:bookmarkStart w:id="18" w:name="_Toc28359004"/>
      <w:r>
        <w:rPr>
          <w:highlight w:val="none"/>
        </w:rPr>
      </w:r>
      <w:bookmarkStart w:id="19" w:name="_Toc35393623"/>
      <w:r>
        <w:rPr>
          <w:highlight w:val="none"/>
        </w:rPr>
      </w:r>
      <w:bookmarkStart w:id="20" w:name="_Toc38985265"/>
      <w:r>
        <w:rPr>
          <w:highlight w:val="none"/>
        </w:rPr>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1.满足《中华人民共和国政府采购法》第二十二条规定，并提供下列材料：</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2.落实政府采购政策需满足的资格要求：</w:t>
      </w:r>
      <w:r>
        <w:rPr>
          <w:rFonts w:hint="eastAsia" w:ascii="宋体" w:hAnsi="宋体"/>
          <w:color w:val="000000"/>
          <w:sz w:val="24"/>
          <w:szCs w:val="24"/>
          <w:highlight w:val="none"/>
          <w:lang w:val="zh-CN"/>
        </w:rPr>
        <w:t xml:space="preserve">本项目专门面向中小微企业采购，供应商应为中小微企业、监狱企业、残疾人福利性单位。（声明函格式见第六章）</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932"/>
        <w:ind w:firstLine="480"/>
        <w:spacing w:line="264" w:lineRule="auto"/>
        <w:rPr>
          <w:rFonts w:hint="eastAsia"/>
          <w:color w:val="000000"/>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t xml:space="preserve">无。</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p>
    <w:p>
      <w:pPr>
        <w:pStyle w:val="932"/>
        <w:ind w:firstLine="480"/>
        <w:spacing w:line="264" w:lineRule="auto"/>
        <w:rPr>
          <w:rFonts w:ascii="宋体" w:hAnsi="宋体" w:cs="宋体"/>
          <w:color w:val="000000"/>
          <w:sz w:val="24"/>
          <w:szCs w:val="24"/>
          <w:highlight w:val="none"/>
        </w:rPr>
      </w:pPr>
      <w:r>
        <w:rPr>
          <w:highlight w:val="none"/>
        </w:rPr>
      </w:r>
      <w:bookmarkStart w:id="22" w:name="_Toc28359005"/>
      <w:r>
        <w:rPr>
          <w:highlight w:val="none"/>
        </w:rPr>
      </w:r>
      <w:bookmarkStart w:id="23" w:name="_Toc28359082"/>
      <w:r>
        <w:rPr>
          <w:highlight w:val="none"/>
        </w:rPr>
      </w:r>
      <w:bookmarkStart w:id="24" w:name="_Toc35393624"/>
      <w:r>
        <w:rPr>
          <w:highlight w:val="none"/>
        </w:rPr>
      </w:r>
      <w:bookmarkStart w:id="25" w:name="_Toc38985266"/>
      <w:r>
        <w:rPr>
          <w:highlight w:val="none"/>
        </w:rPr>
      </w:r>
      <w:bookmarkStart w:id="26" w:name="_Toc35393793"/>
      <w:r>
        <w:rPr>
          <w:rFonts w:hint="eastAsia" w:ascii="宋体" w:hAnsi="宋体" w:cs="宋体"/>
          <w:color w:val="000000"/>
          <w:sz w:val="24"/>
          <w:szCs w:val="24"/>
          <w:highlight w:val="none"/>
        </w:rPr>
        <w:t xml:space="preserve">1.时间：自招标文件公告发布之日起。</w:t>
      </w:r>
      <w:r>
        <w:rPr>
          <w:highlight w:val="none"/>
        </w:rPr>
      </w:r>
      <w:r/>
    </w:p>
    <w:p>
      <w:pPr>
        <w:pStyle w:val="932"/>
        <w:ind w:firstLine="480"/>
        <w:spacing w:line="264"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rPr>
          <w:highlight w:val="none"/>
        </w:rPr>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rPr>
          <w:highlight w:val="none"/>
        </w:rPr>
      </w:r>
      <w:bookmarkEnd w:id="25"/>
      <w:r>
        <w:rPr>
          <w:highlight w:val="none"/>
        </w:rPr>
      </w:r>
      <w:bookmarkEnd w:id="26"/>
      <w:r>
        <w:rPr>
          <w:highlight w:val="none"/>
        </w:rPr>
      </w:r>
      <w:r/>
    </w:p>
    <w:p>
      <w:pPr>
        <w:pStyle w:val="932"/>
        <w:ind w:firstLine="480"/>
        <w:spacing w:line="264" w:lineRule="auto"/>
        <w:rPr>
          <w:rFonts w:hint="eastAsia" w:ascii="宋体" w:hAnsi="宋体"/>
          <w:bCs/>
          <w:color w:val="000000"/>
          <w:sz w:val="24"/>
          <w:szCs w:val="24"/>
          <w:highlight w:val="none"/>
          <w:u w:val="single"/>
        </w:rPr>
      </w:pPr>
      <w:r>
        <w:rPr>
          <w:highlight w:val="none"/>
        </w:rPr>
      </w:r>
      <w:bookmarkStart w:id="27" w:name="_Toc28359007"/>
      <w:r>
        <w:rPr>
          <w:highlight w:val="none"/>
        </w:rPr>
      </w:r>
      <w:bookmarkStart w:id="28" w:name="_Toc35393625"/>
      <w:r>
        <w:rPr>
          <w:highlight w:val="none"/>
        </w:rPr>
      </w:r>
      <w:bookmarkStart w:id="29" w:name="_Toc38985267"/>
      <w:r>
        <w:rPr>
          <w:highlight w:val="none"/>
        </w:rPr>
      </w:r>
      <w:bookmarkStart w:id="30" w:name="_Toc28359084"/>
      <w:r>
        <w:rPr>
          <w:highlight w:val="none"/>
        </w:rPr>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Times New Roman" w:hAnsi="Times New Roman" w:cs="Times New Roman"/>
          <w:b/>
          <w:bCs/>
          <w:color w:val="000000"/>
          <w:sz w:val="24"/>
          <w:szCs w:val="24"/>
          <w:highlight w:val="none"/>
        </w:rPr>
        <w:t xml:space="preserve">20</w:t>
      </w:r>
      <w:r>
        <w:rPr>
          <w:rFonts w:hint="eastAsia" w:ascii="Times New Roman" w:hAnsi="Times New Roman" w:cs="Times New Roman"/>
          <w:b/>
          <w:bCs/>
          <w:color w:val="000000"/>
          <w:sz w:val="24"/>
          <w:szCs w:val="24"/>
          <w:highlight w:val="none"/>
        </w:rPr>
        <w:t xml:space="preserve">25</w:t>
      </w:r>
      <w:r>
        <w:rPr>
          <w:rFonts w:hint="eastAsia" w:ascii="Times New Roman" w:hAnsi="Times New Roman" w:eastAsia="Times New Roman" w:cs="Times New Roman"/>
          <w:b/>
          <w:bCs/>
          <w:color w:val="000000"/>
          <w:sz w:val="24"/>
          <w:szCs w:val="24"/>
          <w:highlight w:val="none"/>
        </w:rPr>
        <w:t xml:space="preserve">年</w:t>
      </w:r>
      <w:r>
        <w:rPr>
          <w:rFonts w:hint="eastAsia" w:ascii="Times New Roman" w:hAnsi="Times New Roman" w:cs="Times New Roman"/>
          <w:b/>
          <w:bCs/>
          <w:color w:val="000000"/>
          <w:sz w:val="24"/>
          <w:szCs w:val="24"/>
          <w:highlight w:val="none"/>
        </w:rPr>
        <w:t xml:space="preserve">8</w:t>
      </w:r>
      <w:r>
        <w:rPr>
          <w:rFonts w:hint="eastAsia" w:ascii="Times New Roman" w:hAnsi="Times New Roman" w:eastAsia="Times New Roman" w:cs="Times New Roman"/>
          <w:b/>
          <w:bCs/>
          <w:color w:val="000000"/>
          <w:sz w:val="24"/>
          <w:szCs w:val="24"/>
          <w:highlight w:val="none"/>
        </w:rPr>
        <w:t xml:space="preserve">月21</w:t>
      </w:r>
      <w:r>
        <w:rPr>
          <w:rFonts w:hint="eastAsia" w:ascii="Times New Roman" w:hAnsi="Times New Roman" w:eastAsia="Times New Roman" w:cs="Times New Roman"/>
          <w:b/>
          <w:bCs/>
          <w:color w:val="000000"/>
          <w:sz w:val="24"/>
          <w:szCs w:val="24"/>
          <w:highlight w:val="none"/>
        </w:rPr>
        <w:t xml:space="preserve">日09</w:t>
      </w:r>
      <w:r>
        <w:rPr>
          <w:rFonts w:hint="eastAsia" w:ascii="Times New Roman" w:hAnsi="Times New Roman" w:eastAsia="Times New Roman" w:cs="Times New Roman"/>
          <w:b/>
          <w:bCs/>
          <w:color w:val="000000"/>
          <w:sz w:val="24"/>
          <w:szCs w:val="24"/>
          <w:highlight w:val="none"/>
        </w:rPr>
        <w:t xml:space="preserve">时30</w:t>
      </w:r>
      <w:r>
        <w:rPr>
          <w:rFonts w:hint="eastAsia" w:ascii="Times New Roman" w:hAnsi="Times New Roman" w:eastAsia="Times New Roman" w:cs="Times New Roman"/>
          <w:b/>
          <w:bCs/>
          <w:color w:val="000000"/>
          <w:sz w:val="24"/>
          <w:szCs w:val="24"/>
          <w:highlight w:val="none"/>
        </w:rPr>
        <w:t xml:space="preserve">分</w:t>
      </w:r>
      <w:r>
        <w:rPr>
          <w:rFonts w:hint="eastAsia" w:ascii="Times New Roman" w:hAnsi="Times New Roman" w:eastAsia="Times New Roman" w:cs="Times New Roman"/>
          <w:bCs/>
          <w:color w:val="000000"/>
          <w:sz w:val="24"/>
          <w:szCs w:val="24"/>
          <w:highlight w:val="none"/>
        </w:rPr>
        <w:t xml:space="preserve">（</w:t>
      </w:r>
      <w:r>
        <w:rPr>
          <w:rFonts w:hint="eastAsia" w:ascii="宋体" w:hAnsi="宋体"/>
          <w:bCs/>
          <w:color w:val="000000"/>
          <w:sz w:val="24"/>
          <w:szCs w:val="24"/>
          <w:highlight w:val="none"/>
        </w:rPr>
        <w:t xml:space="preserve">北京时间）。</w:t>
      </w:r>
      <w:r>
        <w:rPr>
          <w:highlight w:val="none"/>
        </w:rPr>
      </w:r>
      <w:r/>
    </w:p>
    <w:p>
      <w:pPr>
        <w:pStyle w:val="932"/>
        <w:ind w:firstLine="480"/>
        <w:spacing w:line="264"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32"/>
        <w:ind w:firstLine="480"/>
        <w:spacing w:line="264" w:lineRule="auto"/>
        <w:rPr>
          <w:rFonts w:hint="eastAsia" w:ascii="宋体" w:hAnsi="宋体" w:cs="宋体"/>
          <w:color w:val="000000"/>
          <w:sz w:val="24"/>
          <w:szCs w:val="24"/>
          <w:highlight w:val="none"/>
        </w:rPr>
      </w:pPr>
      <w:r>
        <w:rPr>
          <w:highlight w:val="none"/>
        </w:rPr>
      </w:r>
      <w:bookmarkStart w:id="32" w:name="_Toc35393626"/>
      <w:r>
        <w:rPr>
          <w:highlight w:val="none"/>
        </w:rPr>
      </w:r>
      <w:bookmarkStart w:id="33" w:name="_Toc35393795"/>
      <w:r>
        <w:rPr>
          <w:highlight w:val="none"/>
        </w:rPr>
      </w:r>
      <w:bookmarkStart w:id="34" w:name="_Toc38985268"/>
      <w:r>
        <w:rPr>
          <w:rFonts w:hint="eastAsia" w:ascii="宋体" w:hAnsi="宋体" w:cs="宋体"/>
          <w:color w:val="000000"/>
          <w:sz w:val="24"/>
          <w:szCs w:val="24"/>
          <w:highlight w:val="none"/>
        </w:rPr>
        <w:t xml:space="preserve">公告期限为自本公告发布之日起5个工作日。</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rPr>
          <w:highlight w:val="none"/>
        </w:rPr>
      </w:r>
      <w:bookmarkEnd w:id="33"/>
      <w:r>
        <w:rPr>
          <w:highlight w:val="none"/>
        </w:rPr>
      </w:r>
      <w:bookmarkEnd w:id="34"/>
      <w:r>
        <w:rPr>
          <w:highlight w:val="none"/>
        </w:rPr>
      </w:r>
      <w:r/>
    </w:p>
    <w:p>
      <w:pPr>
        <w:pStyle w:val="932"/>
        <w:ind w:firstLine="480"/>
        <w:spacing w:line="264" w:lineRule="auto"/>
        <w:tabs>
          <w:tab w:val="left" w:pos="900" w:leader="none"/>
        </w:tabs>
        <w:rPr>
          <w:rFonts w:hint="eastAsia" w:ascii="宋体" w:hAnsi="宋体"/>
          <w:bCs/>
          <w:color w:val="000000"/>
          <w:sz w:val="24"/>
          <w:szCs w:val="24"/>
          <w:highlight w:val="none"/>
        </w:rPr>
      </w:pPr>
      <w:r>
        <w:rPr>
          <w:highlight w:val="none"/>
        </w:rPr>
      </w:r>
      <w:bookmarkStart w:id="35" w:name="_Toc28359085"/>
      <w:r>
        <w:rPr>
          <w:highlight w:val="none"/>
        </w:rPr>
      </w:r>
      <w:bookmarkStart w:id="36" w:name="_Toc38985269"/>
      <w:r>
        <w:rPr>
          <w:highlight w:val="none"/>
        </w:rPr>
      </w:r>
      <w:bookmarkStart w:id="37" w:name="_Toc35393796"/>
      <w:r>
        <w:rPr>
          <w:highlight w:val="none"/>
        </w:rPr>
      </w:r>
      <w:bookmarkStart w:id="38" w:name="_Toc35393627"/>
      <w:r>
        <w:rPr>
          <w:highlight w:val="none"/>
        </w:rPr>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highlight w:val="none"/>
        </w:rPr>
      </w:r>
      <w:r/>
    </w:p>
    <w:p>
      <w:pPr>
        <w:pStyle w:val="932"/>
        <w:ind w:firstLine="480"/>
        <w:spacing w:line="264"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1006"/>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
          <w:bCs/>
          <w:color w:val="000000"/>
          <w:sz w:val="24"/>
          <w:szCs w:val="24"/>
          <w:highlight w:val="none"/>
        </w:rPr>
        <w:t xml:space="preserve">供应商（含潜在供应商）对采购方式、采购需求、供应商资格条件、评标方法和评标标准、合同文本的询问或质疑向采购人提出，《质凝函》原件通过邮寄方式送达采购人，由采购人负责答复。</w:t>
      </w:r>
      <w:r>
        <w:rPr>
          <w:rFonts w:hint="eastAsia" w:ascii="宋体" w:hAnsi="宋体" w:cs="宋体"/>
          <w:color w:val="000000"/>
          <w:sz w:val="24"/>
          <w:szCs w:val="24"/>
          <w:highlight w:val="none"/>
        </w:rPr>
        <w:t xml:space="preserve">对采购过程、采购结果的询问或质疑向交易中心提出，《质疑函》原件通过邮寄方式送达交易中心，由交易中心负责答复。</w:t>
      </w:r>
      <w:r>
        <w:rPr>
          <w:highlight w:val="none"/>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称：南京市中心医院</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址：南京市玄武区成贤街116号</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联系人：王炜</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联系电话：025-68781698</w:t>
      </w:r>
      <w:r>
        <w:rPr>
          <w:highlight w:val="none"/>
        </w:rPr>
      </w:r>
      <w:r/>
    </w:p>
    <w:p>
      <w:pPr>
        <w:pStyle w:val="932"/>
        <w:ind w:firstLine="480"/>
        <w:spacing w:line="264" w:lineRule="auto"/>
        <w:rPr>
          <w:rFonts w:hint="eastAsia" w:ascii="宋体" w:hAnsi="宋体"/>
          <w:color w:val="000000"/>
          <w:sz w:val="24"/>
          <w:szCs w:val="24"/>
          <w:highlight w:val="none"/>
        </w:rPr>
      </w:pPr>
      <w:r>
        <w:rPr>
          <w:highlight w:val="none"/>
        </w:rPr>
      </w:r>
      <w:bookmarkStart w:id="40" w:name="_Toc28359009"/>
      <w:r>
        <w:rPr>
          <w:highlight w:val="none"/>
        </w:rPr>
      </w:r>
      <w:bookmarkStart w:id="41" w:name="_Toc28359086"/>
      <w:r>
        <w:rPr>
          <w:rFonts w:hint="eastAsia" w:ascii="宋体" w:hAnsi="宋体"/>
          <w:color w:val="000000"/>
          <w:sz w:val="24"/>
          <w:szCs w:val="24"/>
          <w:highlight w:val="none"/>
        </w:rPr>
        <w:t xml:space="preserve">2.交易中心</w:t>
      </w:r>
      <w:bookmarkEnd w:id="40"/>
      <w:r>
        <w:rPr>
          <w:highlight w:val="none"/>
        </w:rPr>
      </w:r>
      <w:bookmarkEnd w:id="41"/>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t xml:space="preserve">南京市建邺区江东中路265号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t xml:space="preserve">孙先生</w:t>
      </w:r>
      <w:r>
        <w:rPr>
          <w:highlight w:val="none"/>
        </w:rPr>
      </w:r>
      <w:r/>
    </w:p>
    <w:p>
      <w:pPr>
        <w:pStyle w:val="932"/>
        <w:ind w:firstLine="480"/>
        <w:spacing w:line="264" w:lineRule="auto"/>
        <w:rPr>
          <w:rFonts w:hint="eastAsia"/>
          <w:color w:val="000000"/>
          <w:highlight w:val="none"/>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t xml:space="preserve">025-68505990 </w:t>
      </w:r>
      <w:r>
        <w:rPr>
          <w:highlight w:val="none"/>
        </w:rPr>
      </w:r>
      <w:r/>
    </w:p>
    <w:p>
      <w:pPr>
        <w:pStyle w:val="932"/>
        <w:tabs>
          <w:tab w:val="left" w:pos="900" w:leader="none"/>
        </w:tabs>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32"/>
        <w:tabs>
          <w:tab w:val="left" w:pos="900" w:leader="none"/>
        </w:tabs>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1009"/>
        <w:ind w:left="0"/>
        <w:jc w:val="center"/>
        <w:tabs>
          <w:tab w:val="left" w:pos="463" w:leader="none"/>
        </w:tabs>
        <w:rPr>
          <w:rFonts w:hint="eastAsia" w:ascii="微软雅黑" w:hAnsi="微软雅黑" w:eastAsia="微软雅黑" w:cs="微软雅黑"/>
          <w:color w:val="000000"/>
          <w:sz w:val="36"/>
          <w:szCs w:val="36"/>
          <w:highlight w:val="none"/>
        </w:rPr>
      </w:pPr>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Start w:id="42" w:name="_Toc462564139"/>
      <w:r>
        <w:rPr>
          <w:highlight w:val="none"/>
        </w:rPr>
      </w:r>
      <w:bookmarkStart w:id="43" w:name="_Toc479757211"/>
      <w:r>
        <w:rPr>
          <w:highlight w:val="none"/>
        </w:rPr>
      </w:r>
      <w:bookmarkStart w:id="44" w:name="_Hlt16619350"/>
      <w:r>
        <w:rPr>
          <w:highlight w:val="none"/>
        </w:rPr>
      </w:r>
      <w:bookmarkStart w:id="45" w:name="_Toc20823346"/>
      <w:r>
        <w:rPr>
          <w:highlight w:val="none"/>
        </w:rPr>
      </w:r>
      <w:bookmarkStart w:id="46" w:name="_Toc120614244"/>
      <w:r>
        <w:rPr>
          <w:highlight w:val="none"/>
        </w:rPr>
      </w:r>
      <w:bookmarkStart w:id="47" w:name="_Toc16938590"/>
      <w:r>
        <w:rPr>
          <w:rFonts w:ascii="黑体" w:eastAsia="黑体"/>
          <w:bCs/>
          <w:color w:val="000000"/>
          <w:sz w:val="44"/>
          <w:highlight w:val="none"/>
        </w:rPr>
        <w:br w:type="page" w:clear="all"/>
      </w:r>
      <w:bookmarkStart w:id="48" w:name="_Toc120614211"/>
      <w:r>
        <w:rPr>
          <w:rFonts w:hint="eastAsia" w:ascii="微软雅黑" w:hAnsi="微软雅黑" w:eastAsia="微软雅黑" w:cs="微软雅黑"/>
          <w:color w:val="000000"/>
          <w:sz w:val="36"/>
          <w:szCs w:val="36"/>
          <w:highlight w:val="none"/>
          <w:lang w:val="en-US"/>
        </w:rPr>
        <w:t xml:space="preserve">第二章  </w:t>
      </w:r>
      <w:bookmarkEnd w:id="48"/>
      <w:r>
        <w:rPr>
          <w:highlight w:val="none"/>
        </w:rPr>
      </w:r>
      <w:bookmarkStart w:id="49" w:name="_Toc20823274"/>
      <w:r>
        <w:rPr>
          <w:highlight w:val="none"/>
        </w:rPr>
      </w:r>
      <w:bookmarkStart w:id="50" w:name="_Toc513029202"/>
      <w:r>
        <w:rPr>
          <w:highlight w:val="none"/>
        </w:rPr>
      </w:r>
      <w:bookmarkStart w:id="51" w:name="_Toc16938518"/>
      <w:r>
        <w:rPr>
          <w:highlight w:val="none"/>
        </w:rPr>
      </w:r>
      <w:bookmarkStart w:id="52" w:name="_Toc120614213"/>
      <w:r>
        <w:rPr>
          <w:rFonts w:hint="eastAsia" w:ascii="微软雅黑" w:hAnsi="微软雅黑" w:eastAsia="微软雅黑" w:cs="微软雅黑"/>
          <w:color w:val="000000"/>
          <w:sz w:val="36"/>
          <w:szCs w:val="36"/>
          <w:highlight w:val="none"/>
          <w:lang w:val="en-US"/>
        </w:rPr>
        <w:t xml:space="preserve">投标人须知</w:t>
      </w:r>
      <w:bookmarkEnd w:id="49"/>
      <w:r>
        <w:rPr>
          <w:highlight w:val="none"/>
        </w:rPr>
      </w:r>
      <w:bookmarkEnd w:id="50"/>
      <w:r>
        <w:rPr>
          <w:highlight w:val="none"/>
        </w:rPr>
      </w:r>
      <w:bookmarkEnd w:id="51"/>
      <w:r>
        <w:rPr>
          <w:highlight w:val="none"/>
        </w:rPr>
      </w:r>
      <w:bookmarkEnd w:id="52"/>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highlight w:val="none"/>
        </w:rPr>
      </w:r>
      <w:bookmarkStart w:id="53" w:name="_Toc120614214"/>
      <w:r>
        <w:rPr>
          <w:highlight w:val="none"/>
        </w:rPr>
      </w:r>
      <w:bookmarkStart w:id="54" w:name="_Toc16938519"/>
      <w:r>
        <w:rPr>
          <w:highlight w:val="none"/>
        </w:rPr>
      </w:r>
      <w:bookmarkStart w:id="55" w:name="_Toc513029203"/>
      <w:r>
        <w:rPr>
          <w:highlight w:val="none"/>
        </w:rPr>
      </w:r>
      <w:bookmarkStart w:id="56" w:name="_Toc20823275"/>
      <w:r>
        <w:rPr>
          <w:highlight w:val="none"/>
        </w:rPr>
      </w:r>
      <w:bookmarkStart w:id="57" w:name="_Toc20823314"/>
      <w:r>
        <w:rPr>
          <w:highlight w:val="none"/>
        </w:rPr>
      </w:r>
      <w:bookmarkStart w:id="58" w:name="_Toc513029242"/>
      <w:r>
        <w:rPr>
          <w:highlight w:val="none"/>
        </w:rPr>
      </w:r>
      <w:bookmarkStart w:id="59" w:name="_Toc120614221"/>
      <w:r>
        <w:rPr>
          <w:highlight w:val="none"/>
        </w:rPr>
      </w:r>
      <w:bookmarkStart w:id="60" w:name="_Toc479757207"/>
      <w:r>
        <w:rPr>
          <w:highlight w:val="none"/>
        </w:rPr>
      </w:r>
      <w:bookmarkStart w:id="61" w:name="_Toc16938558"/>
      <w:r>
        <w:rPr>
          <w:rFonts w:hint="eastAsia" w:ascii="方正黑体_GBK" w:hAnsi="方正黑体_GBK" w:eastAsia="方正黑体_GBK" w:cs="方正黑体_GBK"/>
          <w:b w:val="0"/>
          <w:bCs w:val="0"/>
          <w:color w:val="000000"/>
          <w:sz w:val="30"/>
          <w:szCs w:val="30"/>
          <w:highlight w:val="none"/>
        </w:rPr>
        <w:t xml:space="preserve">一、总则</w:t>
      </w:r>
      <w:bookmarkEnd w:id="53"/>
      <w:r>
        <w:rPr>
          <w:highlight w:val="none"/>
        </w:rPr>
      </w:r>
      <w:bookmarkEnd w:id="54"/>
      <w:r>
        <w:rPr>
          <w:highlight w:val="none"/>
        </w:rPr>
      </w:r>
      <w:bookmarkEnd w:id="55"/>
      <w:r>
        <w:rPr>
          <w:highlight w:val="none"/>
        </w:rPr>
      </w:r>
      <w:bookmarkEnd w:id="56"/>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62" w:name="_Hlt16619475"/>
      <w:r>
        <w:rPr>
          <w:highlight w:val="none"/>
        </w:rPr>
      </w:r>
      <w:bookmarkEnd w:id="62"/>
      <w:r>
        <w:rPr>
          <w:highlight w:val="none"/>
        </w:rPr>
      </w:r>
      <w:bookmarkStart w:id="63" w:name="_Toc458694821"/>
      <w:r>
        <w:rPr>
          <w:highlight w:val="none"/>
        </w:rPr>
      </w:r>
      <w:bookmarkStart w:id="64" w:name="_Toc20823276"/>
      <w:r>
        <w:rPr>
          <w:highlight w:val="none"/>
        </w:rPr>
      </w:r>
      <w:bookmarkStart w:id="65" w:name="_Toc513029204"/>
      <w:r>
        <w:rPr>
          <w:highlight w:val="none"/>
        </w:rPr>
      </w:r>
      <w:bookmarkStart w:id="66" w:name="_Toc16938520"/>
      <w:r>
        <w:rPr>
          <w:rFonts w:hint="eastAsia" w:ascii="方正楷体_GBK" w:hAnsi="方正楷体_GBK" w:eastAsia="方正楷体_GBK" w:cs="方正楷体_GBK"/>
          <w:color w:val="000000"/>
          <w:highlight w:val="none"/>
        </w:rPr>
        <w:t xml:space="preserve">1</w:t>
      </w:r>
      <w:bookmarkEnd w:id="63"/>
      <w:r>
        <w:rPr>
          <w:rFonts w:hint="eastAsia" w:ascii="方正楷体_GBK" w:hAnsi="方正楷体_GBK" w:eastAsia="方正楷体_GBK" w:cs="方正楷体_GBK"/>
          <w:color w:val="000000"/>
          <w:highlight w:val="none"/>
        </w:rPr>
        <w:t xml:space="preserve">.招标方式</w:t>
      </w:r>
      <w:bookmarkEnd w:id="64"/>
      <w:r>
        <w:rPr>
          <w:highlight w:val="none"/>
        </w:rPr>
      </w:r>
      <w:bookmarkEnd w:id="65"/>
      <w:r>
        <w:rPr>
          <w:highlight w:val="none"/>
        </w:rPr>
      </w:r>
      <w:bookmarkEnd w:id="66"/>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67" w:name="_Toc16938521"/>
      <w:r>
        <w:rPr>
          <w:highlight w:val="none"/>
        </w:rPr>
      </w:r>
      <w:bookmarkStart w:id="68" w:name="_Toc513029205"/>
      <w:r>
        <w:rPr>
          <w:highlight w:val="none"/>
        </w:rPr>
      </w:r>
      <w:bookmarkStart w:id="69" w:name="_Toc20823277"/>
      <w:r>
        <w:rPr>
          <w:rFonts w:hint="eastAsia" w:ascii="方正楷体_GBK" w:hAnsi="方正楷体_GBK" w:eastAsia="方正楷体_GBK" w:cs="方正楷体_GBK"/>
          <w:color w:val="000000"/>
          <w:highlight w:val="none"/>
        </w:rPr>
        <w:t xml:space="preserve">2.合格的投标人</w:t>
      </w:r>
      <w:bookmarkEnd w:id="67"/>
      <w:r>
        <w:rPr>
          <w:highlight w:val="none"/>
        </w:rPr>
      </w:r>
      <w:bookmarkEnd w:id="68"/>
      <w:r>
        <w:rPr>
          <w:highlight w:val="none"/>
        </w:rPr>
      </w:r>
      <w:bookmarkEnd w:id="69"/>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70" w:name="_Toc513029206"/>
      <w:r>
        <w:rPr>
          <w:highlight w:val="none"/>
        </w:rPr>
      </w:r>
      <w:bookmarkStart w:id="71" w:name="_Toc20823278"/>
      <w:r>
        <w:rPr>
          <w:highlight w:val="none"/>
        </w:rPr>
      </w:r>
      <w:bookmarkStart w:id="72" w:name="_Toc16938522"/>
      <w:r>
        <w:rPr>
          <w:rFonts w:hint="eastAsia" w:ascii="方正楷体_GBK" w:hAnsi="方正楷体_GBK" w:eastAsia="方正楷体_GBK" w:cs="方正楷体_GBK"/>
          <w:color w:val="000000"/>
          <w:highlight w:val="none"/>
        </w:rPr>
        <w:t xml:space="preserve">3.适用法律</w:t>
      </w:r>
      <w:bookmarkEnd w:id="70"/>
      <w:r>
        <w:rPr>
          <w:highlight w:val="none"/>
        </w:rPr>
      </w:r>
      <w:bookmarkEnd w:id="71"/>
      <w:r>
        <w:rPr>
          <w:highlight w:val="none"/>
        </w:rPr>
      </w:r>
      <w:bookmarkEnd w:id="72"/>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73" w:name="_Toc513029207"/>
      <w:r>
        <w:rPr>
          <w:highlight w:val="none"/>
        </w:rPr>
      </w:r>
      <w:bookmarkStart w:id="74" w:name="_Toc16938523"/>
      <w:r>
        <w:rPr>
          <w:highlight w:val="none"/>
        </w:rPr>
      </w:r>
      <w:bookmarkStart w:id="75" w:name="_Toc20823279"/>
      <w:r>
        <w:rPr>
          <w:highlight w:val="none"/>
        </w:rPr>
      </w:r>
      <w:bookmarkStart w:id="76" w:name="_Toc462564067"/>
      <w:r>
        <w:rPr>
          <w:rFonts w:hint="eastAsia" w:ascii="方正楷体_GBK" w:hAnsi="方正楷体_GBK" w:eastAsia="方正楷体_GBK" w:cs="方正楷体_GBK"/>
          <w:color w:val="000000"/>
          <w:highlight w:val="none"/>
        </w:rPr>
        <w:t xml:space="preserve">4.投标费用</w:t>
      </w:r>
      <w:bookmarkEnd w:id="73"/>
      <w:r>
        <w:rPr>
          <w:highlight w:val="none"/>
        </w:rPr>
      </w:r>
      <w:bookmarkEnd w:id="74"/>
      <w:r>
        <w:rPr>
          <w:highlight w:val="none"/>
        </w:rPr>
      </w:r>
      <w:bookmarkEnd w:id="75"/>
      <w:r>
        <w:rPr>
          <w:highlight w:val="none"/>
        </w:rPr>
      </w:r>
      <w:bookmarkEnd w:id="76"/>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highlight w:val="none"/>
        </w:rPr>
      </w:r>
      <w:bookmarkStart w:id="77" w:name="_Toc513029209"/>
      <w:r>
        <w:rPr>
          <w:highlight w:val="none"/>
        </w:rPr>
      </w:r>
      <w:bookmarkStart w:id="78" w:name="_Toc120614215"/>
      <w:r>
        <w:rPr>
          <w:highlight w:val="none"/>
        </w:rPr>
      </w:r>
      <w:bookmarkStart w:id="79" w:name="_Toc16938525"/>
      <w:r>
        <w:rPr>
          <w:highlight w:val="none"/>
        </w:rPr>
      </w:r>
      <w:bookmarkStart w:id="80"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7"/>
      <w:r>
        <w:rPr>
          <w:highlight w:val="none"/>
        </w:rPr>
      </w:r>
      <w:bookmarkEnd w:id="78"/>
      <w:r>
        <w:rPr>
          <w:highlight w:val="none"/>
        </w:rPr>
      </w:r>
      <w:bookmarkEnd w:id="79"/>
      <w:r>
        <w:rPr>
          <w:highlight w:val="none"/>
        </w:rPr>
      </w:r>
      <w:bookmarkEnd w:id="80"/>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81" w:name="_Toc20823282"/>
      <w:r>
        <w:rPr>
          <w:highlight w:val="none"/>
        </w:rPr>
      </w:r>
      <w:bookmarkStart w:id="82" w:name="_Toc513029210"/>
      <w:r>
        <w:rPr>
          <w:highlight w:val="none"/>
        </w:rPr>
      </w:r>
      <w:bookmarkStart w:id="83" w:name="_Toc16938526"/>
      <w:r>
        <w:rPr>
          <w:rFonts w:hint="eastAsia" w:ascii="方正楷体_GBK" w:hAnsi="方正楷体_GBK" w:eastAsia="方正楷体_GBK" w:cs="方正楷体_GBK"/>
          <w:color w:val="000000"/>
          <w:highlight w:val="none"/>
        </w:rPr>
        <w:t xml:space="preserve">6.招标文件构成</w:t>
      </w:r>
      <w:bookmarkEnd w:id="81"/>
      <w:r>
        <w:rPr>
          <w:highlight w:val="none"/>
        </w:rPr>
      </w:r>
      <w:bookmarkEnd w:id="82"/>
      <w:r>
        <w:rPr>
          <w:highlight w:val="none"/>
        </w:rPr>
      </w:r>
      <w:bookmarkEnd w:id="83"/>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（1）投标邀请</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（2）投标人须知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（3）合同文本</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（4）采购需求</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（6）投标文件格式</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84" w:name="_Toc462564070"/>
      <w:r>
        <w:rPr>
          <w:highlight w:val="none"/>
        </w:rPr>
      </w:r>
      <w:bookmarkStart w:id="85" w:name="_Toc16938527"/>
      <w:r>
        <w:rPr>
          <w:highlight w:val="none"/>
        </w:rPr>
      </w:r>
      <w:bookmarkStart w:id="86" w:name="_Toc20823283"/>
      <w:r>
        <w:rPr>
          <w:highlight w:val="none"/>
        </w:rPr>
      </w:r>
      <w:bookmarkStart w:id="87" w:name="_Toc513029211"/>
      <w:r>
        <w:rPr>
          <w:rFonts w:hint="eastAsia" w:ascii="方正楷体_GBK" w:hAnsi="方正楷体_GBK" w:eastAsia="方正楷体_GBK" w:cs="方正楷体_GBK"/>
          <w:color w:val="000000"/>
          <w:highlight w:val="none"/>
        </w:rPr>
        <w:t xml:space="preserve">7.招标文件的澄清</w:t>
      </w:r>
      <w:bookmarkEnd w:id="84"/>
      <w:r>
        <w:rPr>
          <w:highlight w:val="none"/>
        </w:rPr>
      </w:r>
      <w:bookmarkEnd w:id="85"/>
      <w:r>
        <w:rPr>
          <w:highlight w:val="none"/>
        </w:rPr>
      </w:r>
      <w:bookmarkEnd w:id="86"/>
      <w:r>
        <w:rPr>
          <w:highlight w:val="none"/>
        </w:rPr>
      </w:r>
      <w:bookmarkEnd w:id="87"/>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88" w:name="_Toc513029212"/>
      <w:r>
        <w:rPr>
          <w:highlight w:val="none"/>
        </w:rPr>
      </w:r>
      <w:bookmarkStart w:id="89" w:name="_Toc20823284"/>
      <w:r>
        <w:rPr>
          <w:highlight w:val="none"/>
        </w:rPr>
      </w:r>
      <w:bookmarkStart w:id="90" w:name="_Toc16938528"/>
      <w:r>
        <w:rPr>
          <w:highlight w:val="none"/>
        </w:rPr>
      </w:r>
      <w:bookmarkStart w:id="91" w:name="_Toc462564071"/>
      <w:r>
        <w:rPr>
          <w:rFonts w:hint="eastAsia" w:ascii="方正楷体_GBK" w:hAnsi="方正楷体_GBK" w:eastAsia="方正楷体_GBK" w:cs="方正楷体_GBK"/>
          <w:color w:val="000000"/>
          <w:highlight w:val="none"/>
        </w:rPr>
        <w:t xml:space="preserve">8.招标文件的修改</w:t>
      </w:r>
      <w:bookmarkEnd w:id="88"/>
      <w:r>
        <w:rPr>
          <w:highlight w:val="none"/>
        </w:rPr>
      </w:r>
      <w:bookmarkEnd w:id="89"/>
      <w:r>
        <w:rPr>
          <w:highlight w:val="none"/>
        </w:rPr>
      </w:r>
      <w:bookmarkEnd w:id="90"/>
      <w:r>
        <w:rPr>
          <w:highlight w:val="none"/>
        </w:rPr>
      </w:r>
      <w:bookmarkEnd w:id="91"/>
      <w:r>
        <w:rPr>
          <w:highlight w:val="none"/>
        </w:rPr>
      </w:r>
      <w:r/>
    </w:p>
    <w:p>
      <w:pPr>
        <w:pStyle w:val="932"/>
        <w:ind w:firstLine="420"/>
        <w:spacing w:line="252" w:lineRule="auto"/>
        <w:rPr>
          <w:rFonts w:hint="eastAsia" w:ascii="宋体" w:hAnsi="宋体"/>
          <w:color w:val="000000"/>
          <w:sz w:val="24"/>
          <w:highlight w:val="none"/>
        </w:rPr>
      </w:pPr>
      <w:r>
        <w:rPr>
          <w:highlight w:val="none"/>
        </w:rPr>
      </w:r>
      <w:bookmarkStart w:id="92" w:name="_Toc513029213"/>
      <w:r>
        <w:rPr>
          <w:highlight w:val="none"/>
        </w:rPr>
      </w:r>
      <w:bookmarkStart w:id="93" w:name="_Toc462564072"/>
      <w:r>
        <w:rPr>
          <w:highlight w:val="none"/>
        </w:rPr>
      </w:r>
      <w:bookmarkStart w:id="94" w:name="_Toc120614216"/>
      <w:r>
        <w:rPr>
          <w:highlight w:val="none"/>
        </w:rPr>
      </w:r>
      <w:bookmarkStart w:id="95" w:name="_Toc20823285"/>
      <w:r>
        <w:rPr>
          <w:highlight w:val="none"/>
        </w:rPr>
      </w:r>
      <w:bookmarkStart w:id="96" w:name="_Toc16938529"/>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97" w:name="_Toc20823286"/>
      <w:r>
        <w:rPr>
          <w:highlight w:val="none"/>
        </w:rPr>
      </w:r>
      <w:bookmarkStart w:id="98" w:name="_Toc513029214"/>
      <w:r>
        <w:rPr>
          <w:highlight w:val="none"/>
        </w:rPr>
      </w:r>
      <w:bookmarkStart w:id="99" w:name="_Toc16938530"/>
      <w:r>
        <w:rPr>
          <w:highlight w:val="none"/>
        </w:rPr>
      </w:r>
      <w:bookmarkStart w:id="100" w:name="_Toc462564073"/>
      <w:r>
        <w:rPr>
          <w:rFonts w:hint="eastAsia" w:ascii="方正楷体_GBK" w:hAnsi="方正楷体_GBK" w:eastAsia="方正楷体_GBK" w:cs="方正楷体_GBK"/>
          <w:color w:val="000000"/>
          <w:highlight w:val="none"/>
        </w:rPr>
        <w:t xml:space="preserve">9.投标文件的语言及度量衡单位</w:t>
      </w:r>
      <w:bookmarkEnd w:id="97"/>
      <w:r>
        <w:rPr>
          <w:highlight w:val="none"/>
        </w:rPr>
      </w:r>
      <w:bookmarkEnd w:id="98"/>
      <w:r>
        <w:rPr>
          <w:highlight w:val="none"/>
        </w:rPr>
      </w:r>
      <w:bookmarkEnd w:id="99"/>
      <w:r>
        <w:rPr>
          <w:highlight w:val="none"/>
        </w:rPr>
      </w:r>
      <w:bookmarkEnd w:id="100"/>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highlight w:val="none"/>
        </w:rPr>
      </w:r>
      <w:r/>
    </w:p>
    <w:p>
      <w:pPr>
        <w:pStyle w:val="932"/>
        <w:ind w:firstLine="420"/>
        <w:spacing w:line="252"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9.2 除技术性能另有规定外，投标文件所使用的度量衡单位，均须采用国家法定计量单位。</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01" w:name="_Toc20823287"/>
      <w:r>
        <w:rPr>
          <w:highlight w:val="none"/>
        </w:rPr>
      </w:r>
      <w:bookmarkStart w:id="102" w:name="_Toc16938531"/>
      <w:r>
        <w:rPr>
          <w:highlight w:val="none"/>
        </w:rPr>
      </w:r>
      <w:bookmarkStart w:id="103" w:name="_Toc462564074"/>
      <w:r>
        <w:rPr>
          <w:highlight w:val="none"/>
        </w:rPr>
      </w:r>
      <w:bookmarkStart w:id="104" w:name="_Toc513029215"/>
      <w:r>
        <w:rPr>
          <w:rFonts w:hint="eastAsia" w:ascii="方正楷体_GBK" w:hAnsi="方正楷体_GBK" w:eastAsia="方正楷体_GBK" w:cs="方正楷体_GBK"/>
          <w:color w:val="000000"/>
          <w:highlight w:val="none"/>
        </w:rPr>
        <w:t xml:space="preserve">10.投标文件构成</w:t>
      </w:r>
      <w:bookmarkEnd w:id="101"/>
      <w:r>
        <w:rPr>
          <w:highlight w:val="none"/>
        </w:rPr>
      </w:r>
      <w:bookmarkEnd w:id="102"/>
      <w:r>
        <w:rPr>
          <w:highlight w:val="none"/>
        </w:rPr>
      </w:r>
      <w:bookmarkEnd w:id="103"/>
      <w:r>
        <w:rPr>
          <w:highlight w:val="none"/>
        </w:rPr>
      </w:r>
      <w:bookmarkEnd w:id="104"/>
      <w:r>
        <w:rPr>
          <w:highlight w:val="none"/>
        </w:rPr>
      </w:r>
      <w:r/>
    </w:p>
    <w:p>
      <w:pPr>
        <w:pStyle w:val="932"/>
        <w:ind w:firstLine="420"/>
        <w:spacing w:line="252"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10.1 投标人编写的投标文件应包括资格证明文件、符合性证明文件、投标分项报价表、响应及偏离表、其他证明文件、投标函、开标一览表等部分。</w:t>
      </w:r>
      <w:r>
        <w:rPr>
          <w:highlight w:val="none"/>
        </w:rPr>
      </w:r>
      <w:r/>
    </w:p>
    <w:p>
      <w:pPr>
        <w:pStyle w:val="932"/>
        <w:ind w:firstLine="420"/>
        <w:spacing w:line="252"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10.2 如标书制作工具中格式和内容与“江苏政府采购网”发布的招标文件不一致，以“江苏政府采购网”发布的招标文件为准。</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05" w:name="_Hlt26670360"/>
      <w:r>
        <w:rPr>
          <w:highlight w:val="none"/>
        </w:rPr>
      </w:r>
      <w:bookmarkEnd w:id="105"/>
      <w:r>
        <w:rPr>
          <w:highlight w:val="none"/>
        </w:rPr>
      </w:r>
      <w:bookmarkStart w:id="106" w:name="_Toc513029219"/>
      <w:r>
        <w:rPr>
          <w:highlight w:val="none"/>
        </w:rPr>
      </w:r>
      <w:bookmarkStart w:id="107" w:name="_Toc49090509"/>
      <w:r>
        <w:rPr>
          <w:highlight w:val="none"/>
        </w:rPr>
      </w:r>
      <w:bookmarkStart w:id="108" w:name="_Toc14577357"/>
      <w:r>
        <w:rPr>
          <w:highlight w:val="none"/>
        </w:rPr>
      </w:r>
      <w:bookmarkStart w:id="109" w:name="_Toc513029216"/>
      <w:r>
        <w:rPr>
          <w:highlight w:val="none"/>
        </w:rPr>
      </w:r>
      <w:bookmarkStart w:id="110" w:name="_Toc14577354"/>
      <w:r>
        <w:rPr>
          <w:highlight w:val="none"/>
        </w:rPr>
      </w:r>
      <w:bookmarkStart w:id="111" w:name="_Toc49090507"/>
      <w:r>
        <w:rPr>
          <w:highlight w:val="none"/>
        </w:rPr>
      </w:r>
      <w:bookmarkStart w:id="112" w:name="_Hlt26954838"/>
      <w:r>
        <w:rPr>
          <w:highlight w:val="none"/>
        </w:rPr>
      </w:r>
      <w:bookmarkEnd w:id="112"/>
      <w:r>
        <w:rPr>
          <w:highlight w:val="none"/>
        </w:rPr>
      </w:r>
      <w:bookmarkStart w:id="113" w:name="_Hlt26668975"/>
      <w:r>
        <w:rPr>
          <w:highlight w:val="none"/>
        </w:rPr>
      </w:r>
      <w:bookmarkEnd w:id="113"/>
      <w:r>
        <w:rPr>
          <w:rFonts w:hint="eastAsia" w:ascii="方正楷体_GBK" w:hAnsi="方正楷体_GBK" w:eastAsia="方正楷体_GBK" w:cs="方正楷体_GBK"/>
          <w:color w:val="000000"/>
          <w:highlight w:val="none"/>
        </w:rPr>
        <w:t xml:space="preserve">11.证明投标人及投标标的符合招标文件规定的文件</w:t>
      </w:r>
      <w:bookmarkEnd w:id="106"/>
      <w:r>
        <w:rPr>
          <w:highlight w:val="none"/>
        </w:rPr>
      </w:r>
      <w:bookmarkEnd w:id="107"/>
      <w:r>
        <w:rPr>
          <w:highlight w:val="none"/>
        </w:rPr>
      </w:r>
      <w:bookmarkEnd w:id="108"/>
      <w:r>
        <w:rPr>
          <w:highlight w:val="none"/>
        </w:rPr>
      </w:r>
      <w:r/>
    </w:p>
    <w:p>
      <w:pPr>
        <w:pStyle w:val="932"/>
        <w:ind w:firstLine="420"/>
        <w:spacing w:line="252" w:lineRule="auto"/>
        <w:rPr>
          <w:rFonts w:hint="eastAsia" w:ascii="宋体" w:hAnsi="宋体"/>
          <w:color w:val="000000"/>
          <w:sz w:val="24"/>
          <w:highlight w:val="none"/>
        </w:rPr>
      </w:pPr>
      <w:r>
        <w:rPr>
          <w:highlight w:val="none"/>
        </w:rPr>
      </w:r>
      <w:bookmarkEnd w:id="109"/>
      <w:r>
        <w:rPr>
          <w:highlight w:val="none"/>
        </w:rPr>
      </w:r>
      <w:bookmarkEnd w:id="110"/>
      <w:r>
        <w:rPr>
          <w:highlight w:val="none"/>
        </w:rPr>
      </w:r>
      <w:bookmarkEnd w:id="111"/>
      <w:r>
        <w:rPr>
          <w:highlight w:val="none"/>
        </w:rPr>
      </w:r>
      <w:bookmarkStart w:id="114" w:name="_Toc49090508"/>
      <w:r>
        <w:rPr>
          <w:highlight w:val="none"/>
        </w:rPr>
      </w:r>
      <w:bookmarkStart w:id="115"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w:t>
      </w:r>
      <w:bookmarkEnd w:id="114"/>
      <w:r>
        <w:rPr>
          <w:highlight w:val="none"/>
        </w:rPr>
      </w:r>
      <w:bookmarkEnd w:id="115"/>
      <w:r>
        <w:rPr>
          <w:rFonts w:hint="eastAsia" w:ascii="方正楷体_GBK" w:hAnsi="方正楷体_GBK" w:eastAsia="方正楷体_GBK" w:cs="方正楷体_GBK"/>
          <w:color w:val="000000"/>
          <w:highlight w:val="none"/>
        </w:rPr>
        <w:t xml:space="preserve">.投标分项报价表（如有）</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12.1 投</w:t>
      </w:r>
      <w:bookmarkStart w:id="116" w:name="_Hlt26954840"/>
      <w:r>
        <w:rPr>
          <w:highlight w:val="none"/>
        </w:rPr>
      </w:r>
      <w:bookmarkEnd w:id="116"/>
      <w:r>
        <w:rPr>
          <w:rFonts w:hint="eastAsia" w:ascii="宋体" w:hAnsi="宋体"/>
          <w:color w:val="000000"/>
          <w:sz w:val="24"/>
          <w:highlight w:val="none"/>
        </w:rPr>
        <w:t xml:space="preserve">标人应按照招标文件规定格式填报</w:t>
      </w:r>
      <w:bookmarkStart w:id="117" w:name="_Hlt26670399"/>
      <w:r>
        <w:rPr>
          <w:highlight w:val="none"/>
        </w:rPr>
      </w:r>
      <w:bookmarkEnd w:id="117"/>
      <w:r>
        <w:rPr>
          <w:rFonts w:hint="eastAsia" w:ascii="宋体" w:hAnsi="宋体"/>
          <w:color w:val="000000"/>
          <w:sz w:val="24"/>
          <w:highlight w:val="none"/>
        </w:rPr>
        <w:t xml:space="preserve">投标分项报价表。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18" w:name="_Hlt26954848"/>
      <w:r>
        <w:rPr>
          <w:highlight w:val="none"/>
        </w:rPr>
      </w:r>
      <w:bookmarkEnd w:id="118"/>
      <w:r>
        <w:rPr>
          <w:highlight w:val="none"/>
        </w:rPr>
      </w:r>
      <w:bookmarkStart w:id="119" w:name="_Hlt26954844"/>
      <w:r>
        <w:rPr>
          <w:highlight w:val="none"/>
        </w:rPr>
      </w:r>
      <w:bookmarkEnd w:id="119"/>
      <w:r>
        <w:rPr>
          <w:highlight w:val="none"/>
        </w:rPr>
      </w:r>
      <w:bookmarkStart w:id="120" w:name="_Hlt26668983"/>
      <w:r>
        <w:rPr>
          <w:highlight w:val="none"/>
        </w:rPr>
      </w:r>
      <w:bookmarkEnd w:id="120"/>
      <w:r>
        <w:rPr>
          <w:highlight w:val="none"/>
        </w:rPr>
      </w:r>
      <w:bookmarkStart w:id="121" w:name="_Hlt26670482"/>
      <w:r>
        <w:rPr>
          <w:highlight w:val="none"/>
        </w:rPr>
      </w:r>
      <w:bookmarkEnd w:id="121"/>
      <w:r>
        <w:rPr>
          <w:highlight w:val="none"/>
        </w:rPr>
      </w:r>
      <w:bookmarkStart w:id="122" w:name="_Hlt26670486"/>
      <w:r>
        <w:rPr>
          <w:highlight w:val="none"/>
        </w:rPr>
      </w:r>
      <w:bookmarkEnd w:id="122"/>
      <w:r>
        <w:rPr>
          <w:highlight w:val="none"/>
        </w:rPr>
      </w:r>
      <w:bookmarkStart w:id="123" w:name="_Hlt26670425"/>
      <w:r>
        <w:rPr>
          <w:highlight w:val="none"/>
        </w:rPr>
      </w:r>
      <w:bookmarkEnd w:id="123"/>
      <w:r>
        <w:rPr>
          <w:highlight w:val="none"/>
        </w:rPr>
      </w:r>
      <w:bookmarkStart w:id="124" w:name="_Hlt26954846"/>
      <w:r>
        <w:rPr>
          <w:highlight w:val="none"/>
        </w:rPr>
      </w:r>
      <w:bookmarkEnd w:id="124"/>
      <w:r>
        <w:rPr>
          <w:highlight w:val="none"/>
        </w:rPr>
      </w:r>
      <w:bookmarkStart w:id="125" w:name="_Hlt26954842"/>
      <w:r>
        <w:rPr>
          <w:highlight w:val="none"/>
        </w:rPr>
      </w:r>
      <w:bookmarkEnd w:id="125"/>
      <w:r>
        <w:rPr>
          <w:highlight w:val="none"/>
        </w:rPr>
      </w:r>
      <w:bookmarkStart w:id="126" w:name="_Hlt26670403"/>
      <w:r>
        <w:rPr>
          <w:highlight w:val="none"/>
        </w:rPr>
      </w:r>
      <w:bookmarkEnd w:id="126"/>
      <w:r>
        <w:rPr>
          <w:highlight w:val="none"/>
        </w:rPr>
      </w:r>
      <w:bookmarkStart w:id="127" w:name="_Hlt26954731"/>
      <w:r>
        <w:rPr>
          <w:highlight w:val="none"/>
        </w:rPr>
      </w:r>
      <w:bookmarkEnd w:id="127"/>
      <w:r>
        <w:rPr>
          <w:rFonts w:hint="eastAsia" w:ascii="方正楷体_GBK" w:hAnsi="方正楷体_GBK" w:eastAsia="方正楷体_GBK" w:cs="方正楷体_GBK"/>
          <w:color w:val="000000"/>
          <w:highlight w:val="none"/>
        </w:rPr>
        <w:t xml:space="preserve">13.响应及偏离表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13.1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13.2 投标人可以在投标文件中提供认为需要的其他技术文件或说明。</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28" w:name="_Toc14577359"/>
      <w:r>
        <w:rPr>
          <w:highlight w:val="none"/>
        </w:rPr>
      </w:r>
      <w:bookmarkStart w:id="129" w:name="_Toc49090510"/>
      <w:r>
        <w:rPr>
          <w:rFonts w:hint="eastAsia" w:ascii="方正楷体_GBK" w:hAnsi="方正楷体_GBK" w:eastAsia="方正楷体_GBK" w:cs="方正楷体_GBK"/>
          <w:color w:val="000000"/>
          <w:highlight w:val="none"/>
        </w:rPr>
        <w:t xml:space="preserve">14.投标函和开标一览表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14.1 投标人应按照招标文件规定格式完整、正确填报投标函、开标一览表。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14.2 对于采用货币报价的项目，开标一览表中的投标总报价应与</w:t>
      </w:r>
      <w:r>
        <w:rPr>
          <w:rFonts w:hint="eastAsia" w:ascii="宋体" w:hAnsi="宋体"/>
          <w:color w:val="000000"/>
          <w:sz w:val="24"/>
          <w:highlight w:val="none"/>
        </w:rPr>
        <w:t xml:space="preserve">投标分项报价表</w:t>
      </w:r>
      <w:r>
        <w:rPr>
          <w:rFonts w:hint="eastAsia" w:ascii="宋体" w:hAnsi="宋体"/>
          <w:color w:val="000000"/>
          <w:sz w:val="24"/>
          <w:highlight w:val="none"/>
          <w:lang w:val="zh-CN"/>
        </w:rPr>
        <w:t xml:space="preserve">中的投标总报价一致，如不一致评标时以开标一览表中价格为准。</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End w:id="128"/>
      <w:r>
        <w:rPr>
          <w:highlight w:val="none"/>
        </w:rPr>
      </w:r>
      <w:bookmarkEnd w:id="129"/>
      <w:r>
        <w:rPr>
          <w:highlight w:val="none"/>
        </w:rPr>
      </w:r>
      <w:bookmarkStart w:id="130" w:name="_Hlt26954734"/>
      <w:r>
        <w:rPr>
          <w:highlight w:val="none"/>
        </w:rPr>
      </w:r>
      <w:bookmarkEnd w:id="130"/>
      <w:r>
        <w:rPr>
          <w:highlight w:val="none"/>
        </w:rPr>
      </w:r>
      <w:bookmarkStart w:id="131" w:name="_Hlt26670489"/>
      <w:r>
        <w:rPr>
          <w:highlight w:val="none"/>
        </w:rPr>
      </w:r>
      <w:bookmarkEnd w:id="131"/>
      <w:r>
        <w:rPr>
          <w:highlight w:val="none"/>
        </w:rPr>
      </w:r>
      <w:bookmarkStart w:id="132" w:name="_Toc14577360"/>
      <w:r>
        <w:rPr>
          <w:highlight w:val="none"/>
        </w:rPr>
      </w:r>
      <w:bookmarkStart w:id="133" w:name="_Toc49090511"/>
      <w:r>
        <w:rPr>
          <w:highlight w:val="none"/>
        </w:rPr>
      </w:r>
      <w:bookmarkStart w:id="134" w:name="_Hlt26954850"/>
      <w:r>
        <w:rPr>
          <w:highlight w:val="none"/>
        </w:rPr>
      </w:r>
      <w:bookmarkEnd w:id="134"/>
      <w:r>
        <w:rPr>
          <w:rFonts w:hint="eastAsia" w:ascii="方正楷体_GBK" w:hAnsi="方正楷体_GBK" w:eastAsia="方正楷体_GBK" w:cs="方正楷体_GBK"/>
          <w:color w:val="000000"/>
          <w:highlight w:val="none"/>
        </w:rPr>
        <w:t xml:space="preserve">15.投标有效期</w:t>
      </w:r>
      <w:bookmarkEnd w:id="132"/>
      <w:r>
        <w:rPr>
          <w:highlight w:val="none"/>
        </w:rPr>
      </w:r>
      <w:bookmarkEnd w:id="133"/>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15.1 投标有效期为招标公告规定的开标之日起六十天。投标有效期比规定短的将被视为未实质性响应招标文件而被拒绝。</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highlight w:val="none"/>
        </w:rPr>
      </w:r>
      <w:bookmarkStart w:id="135" w:name="_Toc16938540"/>
      <w:r>
        <w:rPr>
          <w:highlight w:val="none"/>
        </w:rPr>
      </w:r>
      <w:bookmarkStart w:id="136" w:name="_Toc120614217"/>
      <w:r>
        <w:rPr>
          <w:highlight w:val="none"/>
        </w:rPr>
      </w:r>
      <w:bookmarkStart w:id="137" w:name="_Toc20823309"/>
      <w:r>
        <w:rPr>
          <w:highlight w:val="none"/>
        </w:rPr>
      </w:r>
      <w:bookmarkStart w:id="138" w:name="_Toc513029237"/>
      <w:r>
        <w:rPr>
          <w:highlight w:val="none"/>
        </w:rPr>
      </w:r>
      <w:bookmarkStart w:id="139" w:name="_Toc16938553"/>
      <w:r>
        <w:rPr>
          <w:highlight w:val="none"/>
        </w:rPr>
      </w:r>
      <w:bookmarkStart w:id="140" w:name="_Toc20823296"/>
      <w:r>
        <w:rPr>
          <w:highlight w:val="none"/>
        </w:rPr>
      </w:r>
      <w:bookmarkStart w:id="141" w:name="_Hlt26954852"/>
      <w:r>
        <w:rPr>
          <w:highlight w:val="none"/>
        </w:rPr>
      </w:r>
      <w:bookmarkEnd w:id="141"/>
      <w:r>
        <w:rPr>
          <w:highlight w:val="none"/>
        </w:rPr>
      </w:r>
      <w:bookmarkStart w:id="142" w:name="_Hlt26954739"/>
      <w:r>
        <w:rPr>
          <w:highlight w:val="none"/>
        </w:rPr>
      </w:r>
      <w:bookmarkEnd w:id="142"/>
      <w:r>
        <w:rPr>
          <w:highlight w:val="none"/>
        </w:rPr>
      </w:r>
      <w:bookmarkStart w:id="143" w:name="_Toc513029224"/>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rPr>
          <w:highlight w:val="none"/>
        </w:rPr>
      </w:r>
      <w:bookmarkEnd w:id="136"/>
      <w:r>
        <w:rPr>
          <w:highlight w:val="none"/>
        </w:rPr>
      </w:r>
      <w:bookmarkEnd w:id="140"/>
      <w:r>
        <w:rPr>
          <w:highlight w:val="none"/>
        </w:rPr>
      </w:r>
      <w:bookmarkEnd w:id="143"/>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44" w:name="_Toc513029225"/>
      <w:r>
        <w:rPr>
          <w:highlight w:val="none"/>
        </w:rPr>
      </w:r>
      <w:bookmarkStart w:id="145" w:name="_Toc16938541"/>
      <w:r>
        <w:rPr>
          <w:highlight w:val="none"/>
        </w:rPr>
      </w:r>
      <w:bookmarkStart w:id="146" w:name="_Toc20823297"/>
      <w:r>
        <w:rPr>
          <w:highlight w:val="none"/>
        </w:rPr>
      </w:r>
      <w:bookmarkStart w:id="147" w:name="_Toc462564084"/>
      <w:r>
        <w:rPr>
          <w:rFonts w:hint="eastAsia" w:ascii="方正楷体_GBK" w:hAnsi="方正楷体_GBK" w:eastAsia="方正楷体_GBK" w:cs="方正楷体_GBK"/>
          <w:color w:val="000000"/>
          <w:highlight w:val="none"/>
        </w:rPr>
        <w:t xml:space="preserve">17.投标文件</w:t>
      </w:r>
      <w:bookmarkEnd w:id="144"/>
      <w:r>
        <w:rPr>
          <w:highlight w:val="none"/>
        </w:rPr>
      </w:r>
      <w:bookmarkEnd w:id="145"/>
      <w:r>
        <w:rPr>
          <w:highlight w:val="none"/>
        </w:rPr>
      </w:r>
      <w:bookmarkEnd w:id="146"/>
      <w:r>
        <w:rPr>
          <w:highlight w:val="none"/>
        </w:rPr>
      </w:r>
      <w:bookmarkEnd w:id="147"/>
      <w:r>
        <w:rPr>
          <w:rFonts w:hint="eastAsia" w:ascii="方正楷体_GBK" w:hAnsi="方正楷体_GBK" w:eastAsia="方正楷体_GBK" w:cs="方正楷体_GBK"/>
          <w:color w:val="000000"/>
          <w:highlight w:val="none"/>
        </w:rPr>
        <w:t xml:space="preserve">的递交</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8" w:name="_Toc16938542"/>
      <w:r>
        <w:rPr>
          <w:highlight w:val="none"/>
        </w:rPr>
      </w:r>
      <w:bookmarkStart w:id="149" w:name="_Toc20823298"/>
      <w:r>
        <w:rPr>
          <w:highlight w:val="none"/>
        </w:rPr>
      </w:r>
      <w:bookmarkStart w:id="150" w:name="_Toc513029226"/>
      <w:r>
        <w:rPr>
          <w:highlight w:val="none"/>
        </w:rPr>
      </w:r>
      <w:r/>
    </w:p>
    <w:p>
      <w:pPr>
        <w:pStyle w:val="932"/>
        <w:ind w:firstLine="420"/>
        <w:spacing w:line="252" w:lineRule="auto"/>
        <w:rPr>
          <w:rFonts w:hint="eastAsia" w:ascii="宋体" w:hAnsi="宋体"/>
          <w:color w:val="000000"/>
          <w:sz w:val="24"/>
          <w:highlight w:val="none"/>
        </w:rPr>
      </w:pPr>
      <w:r>
        <w:rPr>
          <w:highlight w:val="none"/>
        </w:rPr>
      </w:r>
      <w:bookmarkEnd w:id="148"/>
      <w:r>
        <w:rPr>
          <w:highlight w:val="none"/>
        </w:rPr>
      </w:r>
      <w:bookmarkEnd w:id="149"/>
      <w:r>
        <w:rPr>
          <w:highlight w:val="none"/>
        </w:rPr>
      </w:r>
      <w:bookmarkEnd w:id="150"/>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51" w:name="_Toc16938543"/>
      <w:r>
        <w:rPr>
          <w:highlight w:val="none"/>
        </w:rPr>
      </w:r>
      <w:bookmarkStart w:id="152" w:name="_Toc20823299"/>
      <w:r>
        <w:rPr>
          <w:highlight w:val="none"/>
        </w:rPr>
      </w:r>
      <w:bookmarkStart w:id="153" w:name="_Toc513029227"/>
      <w:r>
        <w:rPr>
          <w:rFonts w:hint="eastAsia" w:ascii="方正楷体_GBK" w:hAnsi="方正楷体_GBK" w:eastAsia="方正楷体_GBK" w:cs="方正楷体_GBK"/>
          <w:color w:val="000000"/>
          <w:highlight w:val="none"/>
        </w:rPr>
        <w:t xml:space="preserve">18.投标文件</w:t>
      </w:r>
      <w:bookmarkEnd w:id="151"/>
      <w:r>
        <w:rPr>
          <w:highlight w:val="none"/>
        </w:rPr>
      </w:r>
      <w:bookmarkEnd w:id="152"/>
      <w:r>
        <w:rPr>
          <w:highlight w:val="none"/>
        </w:rPr>
      </w:r>
      <w:bookmarkEnd w:id="153"/>
      <w:r>
        <w:rPr>
          <w:rFonts w:hint="eastAsia" w:ascii="方正楷体_GBK" w:hAnsi="方正楷体_GBK" w:eastAsia="方正楷体_GBK" w:cs="方正楷体_GBK"/>
          <w:color w:val="000000"/>
          <w:highlight w:val="none"/>
        </w:rPr>
        <w:t xml:space="preserve">的拒收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54" w:name="_Toc20823300"/>
      <w:r>
        <w:rPr>
          <w:highlight w:val="none"/>
        </w:rPr>
      </w:r>
      <w:bookmarkStart w:id="155" w:name="_Toc16938544"/>
      <w:r>
        <w:rPr>
          <w:highlight w:val="none"/>
        </w:rPr>
      </w:r>
      <w:bookmarkStart w:id="156" w:name="_Toc513029228"/>
      <w:r>
        <w:rPr>
          <w:rFonts w:hint="eastAsia" w:ascii="方正楷体_GBK" w:hAnsi="方正楷体_GBK" w:eastAsia="方正楷体_GBK" w:cs="方正楷体_GBK"/>
          <w:color w:val="000000"/>
          <w:highlight w:val="none"/>
        </w:rPr>
        <w:t xml:space="preserve">19.投标文件的撤回和修改</w:t>
      </w:r>
      <w:bookmarkEnd w:id="154"/>
      <w:r>
        <w:rPr>
          <w:highlight w:val="none"/>
        </w:rPr>
      </w:r>
      <w:bookmarkEnd w:id="155"/>
      <w:r>
        <w:rPr>
          <w:highlight w:val="none"/>
        </w:rPr>
      </w:r>
      <w:bookmarkEnd w:id="156"/>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57" w:name="_Toc16938545"/>
      <w:r>
        <w:rPr>
          <w:highlight w:val="none"/>
        </w:rPr>
      </w:r>
      <w:bookmarkStart w:id="158" w:name="_Toc20823301"/>
      <w:r>
        <w:rPr>
          <w:highlight w:val="none"/>
        </w:rPr>
      </w:r>
      <w:bookmarkStart w:id="159" w:name="_Toc513029229"/>
      <w:r>
        <w:rPr>
          <w:highlight w:val="none"/>
        </w:rPr>
      </w:r>
      <w:bookmarkStart w:id="160" w:name="_Toc120614218"/>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rPr>
          <w:highlight w:val="none"/>
        </w:rPr>
      </w:r>
      <w:bookmarkEnd w:id="158"/>
      <w:r>
        <w:rPr>
          <w:highlight w:val="none"/>
        </w:rPr>
      </w:r>
      <w:bookmarkEnd w:id="159"/>
      <w:r>
        <w:rPr>
          <w:highlight w:val="none"/>
        </w:rPr>
      </w:r>
      <w:bookmarkEnd w:id="160"/>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61" w:name="_Toc513029230"/>
      <w:r>
        <w:rPr>
          <w:highlight w:val="none"/>
        </w:rPr>
      </w:r>
      <w:bookmarkStart w:id="162" w:name="_Toc20823302"/>
      <w:r>
        <w:rPr>
          <w:highlight w:val="none"/>
        </w:rPr>
      </w:r>
      <w:bookmarkStart w:id="163" w:name="_Toc16938546"/>
      <w:r>
        <w:rPr>
          <w:rFonts w:hint="eastAsia" w:ascii="方正楷体_GBK" w:hAnsi="方正楷体_GBK" w:eastAsia="方正楷体_GBK" w:cs="方正楷体_GBK"/>
          <w:color w:val="000000"/>
          <w:highlight w:val="none"/>
        </w:rPr>
        <w:t xml:space="preserve">20.开标</w:t>
      </w:r>
      <w:bookmarkEnd w:id="161"/>
      <w:r>
        <w:rPr>
          <w:highlight w:val="none"/>
        </w:rPr>
      </w:r>
      <w:bookmarkEnd w:id="162"/>
      <w:r>
        <w:rPr>
          <w:highlight w:val="none"/>
        </w:rPr>
      </w:r>
      <w:bookmarkEnd w:id="163"/>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64" w:name="_Toc16938547"/>
      <w:r>
        <w:rPr>
          <w:highlight w:val="none"/>
        </w:rPr>
      </w:r>
      <w:bookmarkStart w:id="165" w:name="_Toc513029231"/>
      <w:r>
        <w:rPr>
          <w:highlight w:val="none"/>
        </w:rPr>
      </w:r>
      <w:bookmarkStart w:id="166" w:name="_Toc20823303"/>
      <w:r>
        <w:rPr>
          <w:rFonts w:hint="eastAsia" w:ascii="方正楷体_GBK" w:hAnsi="方正楷体_GBK" w:eastAsia="方正楷体_GBK" w:cs="方正楷体_GBK"/>
          <w:color w:val="000000"/>
          <w:highlight w:val="none"/>
        </w:rPr>
        <w:t xml:space="preserve">21.评标</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w:t>
      </w:r>
      <w:r>
        <w:rPr>
          <w:rFonts w:hint="eastAsia" w:ascii="宋体" w:hAnsi="宋体"/>
          <w:color w:val="000000"/>
          <w:sz w:val="24"/>
          <w:highlight w:val="none"/>
          <w:lang w:val="zh-CN"/>
        </w:rPr>
        <w:t xml:space="preserve">依法组建的评标委员会（以下简称“评委会”）进行。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评委会由采购人代表和有关技术、经济或法律等方面的专家组成，且人员构成符合政府采购有关规定。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highlight w:val="none"/>
        </w:rPr>
      </w:r>
      <w:r/>
    </w:p>
    <w:p>
      <w:pPr>
        <w:pStyle w:val="932"/>
        <w:ind w:firstLine="420"/>
        <w:spacing w:line="252" w:lineRule="auto"/>
        <w:rPr>
          <w:rFonts w:hint="eastAsia" w:ascii="宋体" w:hAnsi="宋体"/>
          <w:color w:val="000000"/>
          <w:sz w:val="24"/>
          <w:highlight w:val="none"/>
        </w:rPr>
      </w:pPr>
      <w:r>
        <w:rPr>
          <w:highlight w:val="none"/>
        </w:rPr>
      </w:r>
      <w:bookmarkEnd w:id="164"/>
      <w:r>
        <w:rPr>
          <w:highlight w:val="none"/>
        </w:rPr>
      </w:r>
      <w:bookmarkEnd w:id="165"/>
      <w:r>
        <w:rPr>
          <w:highlight w:val="none"/>
        </w:rPr>
      </w:r>
      <w:bookmarkEnd w:id="16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投标人不得以任何方式影响评标，否则其投标文件将被作为无效投标文件。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67" w:name="_Toc513029232"/>
      <w:r>
        <w:rPr>
          <w:highlight w:val="none"/>
        </w:rPr>
      </w:r>
      <w:bookmarkStart w:id="168" w:name="_Toc16938548"/>
      <w:r>
        <w:rPr>
          <w:highlight w:val="none"/>
        </w:rPr>
      </w:r>
      <w:bookmarkStart w:id="169" w:name="_Toc20823304"/>
      <w:r>
        <w:rPr>
          <w:rFonts w:hint="eastAsia" w:ascii="方正楷体_GBK" w:hAnsi="方正楷体_GBK" w:eastAsia="方正楷体_GBK" w:cs="方正楷体_GBK"/>
          <w:color w:val="000000"/>
          <w:highlight w:val="none"/>
        </w:rPr>
        <w:t xml:space="preserve">23.投标文件的澄清</w:t>
      </w:r>
      <w:bookmarkEnd w:id="167"/>
      <w:r>
        <w:rPr>
          <w:highlight w:val="none"/>
        </w:rPr>
      </w:r>
      <w:bookmarkEnd w:id="168"/>
      <w:r>
        <w:rPr>
          <w:highlight w:val="none"/>
        </w:rPr>
      </w:r>
      <w:bookmarkEnd w:id="169"/>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评委会并非对每个投标人都做澄清要求。</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70" w:name="_Toc20823305"/>
      <w:r>
        <w:rPr>
          <w:highlight w:val="none"/>
        </w:rPr>
      </w:r>
      <w:bookmarkStart w:id="171" w:name="_Toc513029233"/>
      <w:r>
        <w:rPr>
          <w:highlight w:val="none"/>
        </w:rPr>
      </w:r>
      <w:bookmarkStart w:id="172" w:name="_Toc16938549"/>
      <w:r>
        <w:rPr>
          <w:rFonts w:hint="eastAsia" w:ascii="方正楷体_GBK" w:hAnsi="方正楷体_GBK" w:eastAsia="方正楷体_GBK" w:cs="方正楷体_GBK"/>
          <w:color w:val="000000"/>
          <w:highlight w:val="none"/>
        </w:rPr>
        <w:t xml:space="preserve">24.投标文件的</w:t>
      </w:r>
      <w:bookmarkEnd w:id="170"/>
      <w:r>
        <w:rPr>
          <w:highlight w:val="none"/>
        </w:rPr>
      </w:r>
      <w:bookmarkEnd w:id="171"/>
      <w:r>
        <w:rPr>
          <w:highlight w:val="none"/>
        </w:rPr>
      </w:r>
      <w:bookmarkEnd w:id="172"/>
      <w:r>
        <w:rPr>
          <w:rFonts w:hint="eastAsia" w:ascii="方正楷体_GBK" w:hAnsi="方正楷体_GBK" w:eastAsia="方正楷体_GBK" w:cs="方正楷体_GBK"/>
          <w:color w:val="000000"/>
          <w:highlight w:val="none"/>
        </w:rPr>
        <w:t xml:space="preserve">审查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24.1 投标文件审查分为资格审查和符合性审查。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24.1.1 资格审查。依据法律法规和招标文件规定，由采购人对投标文件中的资格证明文件进行审查，并向评委会反馈审查结论。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接受联合体的项目，联合体成员存在不良信用记录的，视同联合体存在不良信用记录。</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24.1.3 未通过资格审查或符合性审查的投标人，交易中心将通过苏采云系统告知其具体原因，评标结束后不再接受有关询问。</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（1）投标文件中开标一览表内容与投标文件中相应内容不一致的，以开标一览表为准；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（2）大写金额和小写金额不一致的，以大写金额为准；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（3）单价金额小数点或者百分比有明显错位的，以开标一览表的总价为准，并修改单价；</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（4）总价金额与按单价汇总金额不一致的，以单价金额计算结果为准。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同时出现两种以上错误的，按照前款规定的顺序修正。</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highlight w:val="none"/>
        </w:rPr>
      </w:r>
      <w:r/>
    </w:p>
    <w:p>
      <w:pPr>
        <w:pStyle w:val="932"/>
        <w:ind w:firstLine="420"/>
        <w:spacing w:line="252" w:lineRule="auto"/>
        <w:rPr>
          <w:rFonts w:hint="eastAsia" w:ascii="宋体" w:hAnsi="宋体"/>
          <w:color w:val="000000"/>
          <w:sz w:val="24"/>
          <w:highlight w:val="none"/>
        </w:rPr>
      </w:pPr>
      <w:r>
        <w:rPr>
          <w:highlight w:val="none"/>
        </w:rPr>
      </w:r>
      <w:bookmarkStart w:id="173" w:name="_Toc513029234"/>
      <w:r>
        <w:rPr>
          <w:highlight w:val="none"/>
        </w:rPr>
      </w:r>
      <w:bookmarkStart w:id="174" w:name="_Toc20823306"/>
      <w:r>
        <w:rPr>
          <w:highlight w:val="none"/>
        </w:rPr>
      </w:r>
      <w:bookmarkStart w:id="175" w:name="_Toc1693855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73"/>
      <w:r>
        <w:rPr>
          <w:highlight w:val="none"/>
        </w:rPr>
      </w:r>
      <w:bookmarkEnd w:id="174"/>
      <w:r>
        <w:rPr>
          <w:highlight w:val="none"/>
        </w:rPr>
      </w:r>
      <w:bookmarkEnd w:id="175"/>
      <w:r>
        <w:rPr>
          <w:rFonts w:hint="eastAsia" w:ascii="方正楷体_GBK" w:hAnsi="方正楷体_GBK" w:eastAsia="方正楷体_GBK" w:cs="方正楷体_GBK"/>
          <w:color w:val="000000"/>
          <w:highlight w:val="none"/>
        </w:rPr>
        <w:t xml:space="preserve">5.无效投标和废标</w:t>
      </w:r>
      <w:r>
        <w:rPr>
          <w:highlight w:val="none"/>
        </w:rPr>
      </w:r>
      <w:r/>
    </w:p>
    <w:p>
      <w:pPr>
        <w:pStyle w:val="932"/>
        <w:ind w:firstLine="420"/>
        <w:spacing w:line="252" w:lineRule="auto"/>
        <w:rPr>
          <w:rFonts w:hint="eastAsia" w:ascii="宋体" w:hAnsi="宋体"/>
          <w:color w:val="000000"/>
          <w:sz w:val="24"/>
          <w:highlight w:val="none"/>
        </w:rPr>
      </w:pPr>
      <w:r>
        <w:rPr>
          <w:highlight w:val="none"/>
        </w:rPr>
      </w:r>
      <w:bookmarkStart w:id="176" w:name="_Toc513029235"/>
      <w:r>
        <w:rPr>
          <w:highlight w:val="none"/>
        </w:rPr>
      </w:r>
      <w:bookmarkStart w:id="177" w:name="_Toc20823307"/>
      <w:r>
        <w:rPr>
          <w:highlight w:val="none"/>
        </w:rPr>
      </w:r>
      <w:bookmarkStart w:id="178"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无效投标情形</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不符合招标文件中实质性要求和条件的</w:t>
      </w:r>
      <w:r>
        <w:rPr>
          <w:rFonts w:hint="eastAsia" w:ascii="宋体" w:hAnsi="宋体"/>
          <w:iCs/>
          <w:color w:val="000000"/>
          <w:sz w:val="24"/>
          <w:szCs w:val="22"/>
          <w:highlight w:val="none"/>
          <w:lang w:val="zh-CN"/>
        </w:rPr>
        <w:t xml:space="preserve">（</w:t>
      </w:r>
      <w:r>
        <w:rPr>
          <w:rFonts w:hint="eastAsia" w:ascii="宋体" w:hAnsi="宋体"/>
          <w:b/>
          <w:bCs/>
          <w:iCs/>
          <w:color w:val="000000"/>
          <w:sz w:val="24"/>
          <w:szCs w:val="22"/>
          <w:highlight w:val="none"/>
          <w:lang w:val="zh-CN"/>
        </w:rPr>
        <w:t xml:space="preserve">本文件中斜体且有下划线部分，或者打“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”内容为实质性要求和条件</w:t>
      </w:r>
      <w:r>
        <w:rPr>
          <w:rFonts w:hint="eastAsia" w:ascii="宋体" w:hAnsi="宋体"/>
          <w:iCs/>
          <w:color w:val="000000"/>
          <w:sz w:val="24"/>
          <w:szCs w:val="22"/>
          <w:highlight w:val="none"/>
          <w:lang w:val="zh-CN"/>
        </w:rPr>
        <w:t xml:space="preserve">）。</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.1.10</w:t>
      </w:r>
      <w:r>
        <w:rPr>
          <w:rFonts w:hint="eastAsia" w:ascii="宋体" w:hAnsi="宋体"/>
          <w:color w:val="000000"/>
          <w:sz w:val="24"/>
          <w:highlight w:val="none"/>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投标文件未按照招标文件要求加盖电子公章。</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废标情形</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因苏采云系统故障造成开标不成功。</w:t>
      </w:r>
      <w:r>
        <w:rPr>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.3 如出现投标截止时间后参加投标的供应商或者对招标文件作出实质</w:t>
      </w:r>
      <w:r>
        <w:rPr>
          <w:rFonts w:hint="eastAsia" w:ascii="宋体" w:hAnsi="宋体"/>
          <w:color w:val="000000"/>
          <w:sz w:val="24"/>
          <w:highlight w:val="none"/>
        </w:rPr>
        <w:t xml:space="preserve">性</w:t>
      </w:r>
      <w:r>
        <w:rPr>
          <w:rFonts w:hint="eastAsia" w:ascii="宋体" w:hAnsi="宋体"/>
          <w:color w:val="000000"/>
          <w:sz w:val="24"/>
          <w:highlight w:val="none"/>
          <w:lang w:val="zh-CN"/>
        </w:rPr>
        <w:t xml:space="preserve">响应的供应商不足三家</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情况，按政府采购相关规定执行。</w:t>
      </w:r>
      <w:r>
        <w:rPr>
          <w:highlight w:val="none"/>
        </w:rPr>
      </w:r>
      <w:r/>
    </w:p>
    <w:p>
      <w:pPr>
        <w:pStyle w:val="932"/>
        <w:ind w:firstLine="420"/>
        <w:rPr>
          <w:rFonts w:hint="eastAsia" w:ascii="宋体" w:hAnsi="宋体"/>
          <w:color w:val="000000"/>
          <w:sz w:val="24"/>
          <w:highlight w:val="none"/>
        </w:rPr>
      </w:pPr>
      <w:r>
        <w:rPr>
          <w:rFonts w:ascii="宋体" w:hAnsi="宋体" w:cs="宋体"/>
          <w:color w:val="000000"/>
          <w:sz w:val="24"/>
          <w:szCs w:val="24"/>
          <w:highlight w:val="none"/>
        </w:rPr>
        <w:t xml:space="preserve">25.4 如出现25.2.1或25.3情形，招标活动失败，评审委员会应对招标文件是否存在不合理条款进行论证，并在评审报告中写明论证意见。</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highlight w:val="none"/>
        </w:rPr>
      </w:r>
      <w:bookmarkEnd w:id="137"/>
      <w:r>
        <w:rPr>
          <w:highlight w:val="none"/>
        </w:rPr>
      </w:r>
      <w:bookmarkEnd w:id="138"/>
      <w:r>
        <w:rPr>
          <w:highlight w:val="none"/>
        </w:rPr>
      </w:r>
      <w:bookmarkEnd w:id="139"/>
      <w:r>
        <w:rPr>
          <w:highlight w:val="none"/>
        </w:rPr>
      </w:r>
      <w:bookmarkEnd w:id="176"/>
      <w:r>
        <w:rPr>
          <w:highlight w:val="none"/>
        </w:rPr>
      </w:r>
      <w:bookmarkEnd w:id="177"/>
      <w:r>
        <w:rPr>
          <w:highlight w:val="none"/>
        </w:rPr>
      </w:r>
      <w:bookmarkEnd w:id="178"/>
      <w:r>
        <w:rPr>
          <w:highlight w:val="none"/>
        </w:rPr>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Start w:id="180" w:name="_Toc20823310"/>
      <w:r>
        <w:rPr>
          <w:highlight w:val="none"/>
        </w:rPr>
      </w:r>
      <w:bookmarkStart w:id="181" w:name="_Toc16938554"/>
      <w:r>
        <w:rPr>
          <w:highlight w:val="none"/>
        </w:rPr>
      </w:r>
      <w:bookmarkStart w:id="182" w:name="_Toc513029238"/>
      <w:r>
        <w:rPr>
          <w:rFonts w:hint="eastAsia" w:ascii="方正楷体_GBK" w:hAnsi="方正楷体_GBK" w:eastAsia="方正楷体_GBK" w:cs="方正楷体_GBK"/>
          <w:color w:val="000000"/>
          <w:highlight w:val="none"/>
        </w:rPr>
        <w:t xml:space="preserve">2</w:t>
      </w:r>
      <w:bookmarkEnd w:id="182"/>
      <w:r>
        <w:rPr>
          <w:rFonts w:hint="eastAsia" w:ascii="方正楷体_GBK" w:hAnsi="方正楷体_GBK" w:eastAsia="方正楷体_GBK" w:cs="方正楷体_GBK"/>
          <w:color w:val="000000"/>
          <w:highlight w:val="none"/>
        </w:rPr>
        <w:t xml:space="preserve">6.确定</w:t>
      </w:r>
      <w:bookmarkEnd w:id="180"/>
      <w:r>
        <w:rPr>
          <w:highlight w:val="none"/>
        </w:rPr>
      </w:r>
      <w:bookmarkEnd w:id="181"/>
      <w:r>
        <w:rPr>
          <w:rFonts w:hint="eastAsia" w:ascii="方正楷体_GBK" w:hAnsi="方正楷体_GBK" w:eastAsia="方正楷体_GBK" w:cs="方正楷体_GBK"/>
          <w:color w:val="000000"/>
          <w:highlight w:val="none"/>
        </w:rPr>
        <w:t xml:space="preserve">中标单位</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（1）评委会直接确定排名第一的中标候选人为中标人；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（2）采购人在评委会推荐的中标候选人中按顺序确定中标人。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highlight w:val="none"/>
        </w:rPr>
      </w:r>
      <w:r/>
    </w:p>
    <w:p>
      <w:pPr>
        <w:pStyle w:val="932"/>
        <w:ind w:firstLine="420"/>
        <w:spacing w:line="252" w:lineRule="auto"/>
        <w:rPr>
          <w:rFonts w:hint="eastAsia" w:ascii="宋体" w:hAnsi="宋体"/>
          <w:b/>
          <w:bCs/>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26.4.1 提供虚假材料谋取中标。</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26.4.2 向评审专家、采购人或交易中心工作人员行贿或者提供其他不正当利益。</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26.4.3 与其他供应商、评审专家、采购人或交易中心工作人员恶意串通。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26.4.4 属于本文件规定的无效投标情形，但在评标过程中未被评委会发现。</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26.4.5 采取不正当手段诋毁、排挤其他供应商。</w:t>
      </w:r>
      <w:r>
        <w:rPr>
          <w:highlight w:val="none"/>
        </w:rPr>
      </w:r>
      <w:r/>
    </w:p>
    <w:p>
      <w:pPr>
        <w:pStyle w:val="932"/>
        <w:ind w:firstLine="420"/>
        <w:spacing w:line="252" w:lineRule="auto"/>
        <w:rPr>
          <w:rFonts w:hint="eastAsia" w:ascii="宋体" w:hAnsi="宋体"/>
          <w:b/>
          <w:bCs/>
          <w:color w:val="000000"/>
          <w:sz w:val="24"/>
          <w:highlight w:val="none"/>
        </w:rPr>
      </w:pPr>
      <w:r>
        <w:rPr>
          <w:highlight w:val="none"/>
        </w:rPr>
      </w:r>
      <w:bookmarkStart w:id="183"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End w:id="183"/>
      <w:r>
        <w:rPr>
          <w:rFonts w:hint="eastAsia" w:ascii="方正楷体_GBK" w:hAnsi="方正楷体_GBK" w:eastAsia="方正楷体_GBK" w:cs="方正楷体_GBK"/>
          <w:color w:val="000000"/>
          <w:highlight w:val="none"/>
        </w:rPr>
        <w:t xml:space="preserve">27.中标通知书</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highlight w:val="none"/>
        </w:rPr>
      </w:r>
      <w:bookmarkStart w:id="184" w:name="_Toc20823308"/>
      <w:r>
        <w:rPr>
          <w:highlight w:val="none"/>
        </w:rPr>
      </w:r>
      <w:bookmarkStart w:id="185" w:name="_Toc16938552"/>
      <w:r>
        <w:rPr>
          <w:highlight w:val="none"/>
        </w:rPr>
      </w:r>
      <w:bookmarkStart w:id="186" w:name="_Toc513029236"/>
      <w:r>
        <w:rPr>
          <w:highlight w:val="none"/>
        </w:rPr>
      </w:r>
      <w:bookmarkStart w:id="187"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87"/>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highlight w:val="none"/>
        </w:rPr>
      </w:r>
      <w:bookmarkEnd w:id="184"/>
      <w:r>
        <w:rPr>
          <w:highlight w:val="none"/>
        </w:rPr>
      </w:r>
      <w:bookmarkEnd w:id="185"/>
      <w:r>
        <w:rPr>
          <w:highlight w:val="none"/>
        </w:rPr>
      </w:r>
      <w:bookmarkEnd w:id="186"/>
      <w:r>
        <w:rPr>
          <w:rFonts w:hint="eastAsia" w:ascii="方正楷体_GBK" w:hAnsi="方正楷体_GBK" w:eastAsia="方正楷体_GBK" w:cs="方正楷体_GBK"/>
          <w:color w:val="000000"/>
          <w:highlight w:val="none"/>
        </w:rPr>
        <w:t xml:space="preserve">28.签订合同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28.l 中标人应当在《中标通知书》发出之日起三十日内，按照招标文件确定的事项与采购人签订政府采购合同。采购人于合同签订后2个工作日内通过苏采云系统进行公示。</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28.2 招标文件、中标人的投标文件及招标过程中有关澄清、承诺文件均作为合同附件。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南京市公共资源交易平台网站“小企业融资平台”，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highlight w:val="none"/>
        </w:rPr>
      </w:r>
      <w:r/>
    </w:p>
    <w:p>
      <w:pPr>
        <w:pStyle w:val="932"/>
        <w:ind w:firstLine="420"/>
        <w:spacing w:line="252" w:lineRule="auto"/>
        <w:rPr>
          <w:rFonts w:hint="eastAsia"/>
          <w:color w:val="000000"/>
          <w:highlight w:val="none"/>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highlight w:val="none"/>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000000"/>
          <w:sz w:val="24"/>
          <w:highlight w:val="none"/>
          <w:lang w:val="zh-CN"/>
        </w:rPr>
        <w:t xml:space="preserve">供应商对除上述事项以外其他事项的询问、质疑向交易中心提出，由交易中心负责答复。</w:t>
      </w:r>
      <w:r>
        <w:rPr>
          <w:highlight w:val="none"/>
        </w:rPr>
      </w:r>
      <w:r/>
    </w:p>
    <w:p>
      <w:pPr>
        <w:pStyle w:val="932"/>
        <w:ind w:firstLine="422"/>
        <w:spacing w:line="252"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采购人《质疑函》接收人及联系方式见招标文件第一章。</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t xml:space="preserve"> </w:t>
      </w:r>
      <w:r>
        <w:rPr>
          <w:highlight w:val="none"/>
        </w:rPr>
      </w:r>
      <w:r/>
    </w:p>
    <w:p>
      <w:pPr>
        <w:pStyle w:val="932"/>
        <w:ind w:firstLine="422"/>
        <w:spacing w:line="252"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由采购人负责答复的质疑，采购人将《质疑答复函》抄送交易中心。</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highlight w:val="none"/>
        </w:rPr>
      </w:r>
      <w:r/>
    </w:p>
    <w:p>
      <w:pPr>
        <w:pStyle w:val="935"/>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highlight w:val="none"/>
        </w:rPr>
      </w:r>
      <w:r/>
    </w:p>
    <w:p>
      <w:pPr>
        <w:pStyle w:val="936"/>
        <w:ind w:firstLine="422"/>
        <w:spacing w:before="0" w:after="0" w:line="252"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38.促进中小企业发展</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38.1 </w:t>
      </w:r>
      <w:r>
        <w:rPr>
          <w:rFonts w:hint="eastAsia" w:ascii="宋体" w:hAnsi="宋体"/>
          <w:color w:val="000000"/>
          <w:sz w:val="24"/>
          <w:highlight w:val="none"/>
          <w:lang w:val="zh-CN"/>
        </w:rPr>
        <w:t xml:space="preserve">本项目服务由中小企业承接的，投标供应商享受中小企业扶持政策。</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highlight w:val="none"/>
        </w:rPr>
      </w:r>
      <w:r/>
    </w:p>
    <w:p>
      <w:pPr>
        <w:pStyle w:val="936"/>
        <w:ind w:firstLine="422"/>
        <w:spacing w:before="0" w:after="0" w:line="252"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highlight w:val="none"/>
        </w:rPr>
      </w:r>
      <w:r/>
    </w:p>
    <w:p>
      <w:pPr>
        <w:pStyle w:val="936"/>
        <w:ind w:firstLine="422"/>
        <w:spacing w:before="0" w:after="0" w:line="252"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highlight w:val="none"/>
        </w:rPr>
      </w:r>
      <w:r/>
    </w:p>
    <w:p>
      <w:pPr>
        <w:pStyle w:val="936"/>
        <w:ind w:firstLine="422"/>
        <w:spacing w:before="0" w:after="0" w:line="252"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highlight w:val="none"/>
        </w:rPr>
      </w:r>
      <w:r/>
    </w:p>
    <w:p>
      <w:pPr>
        <w:pStyle w:val="932"/>
        <w:ind w:firstLine="420"/>
        <w:spacing w:line="252" w:lineRule="auto"/>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highlight w:val="none"/>
        </w:rPr>
      </w:r>
      <w:r/>
    </w:p>
    <w:p>
      <w:pPr>
        <w:pStyle w:val="936"/>
        <w:ind w:firstLine="422"/>
        <w:spacing w:before="0" w:after="0" w:line="252"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highlight w:val="none"/>
        </w:rPr>
      </w:r>
      <w:r/>
    </w:p>
    <w:p>
      <w:pPr>
        <w:pStyle w:val="932"/>
        <w:ind w:firstLine="420"/>
        <w:spacing w:line="252" w:lineRule="auto"/>
        <w:rPr>
          <w:rFonts w:hint="eastAsia" w:ascii="宋体" w:hAnsi="宋体"/>
          <w:color w:val="000000"/>
          <w:sz w:val="24"/>
          <w:highlight w:val="none"/>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highlight w:val="none"/>
        </w:rPr>
      </w:r>
      <w:r/>
    </w:p>
    <w:p>
      <w:pPr>
        <w:pStyle w:val="932"/>
        <w:rPr>
          <w:rFonts w:hint="eastAsia" w:ascii="宋体" w:hAnsi="宋体"/>
          <w:color w:val="000000"/>
          <w:sz w:val="24"/>
          <w:highlight w:val="none"/>
        </w:rPr>
      </w:pPr>
      <w:r>
        <w:rPr>
          <w:rFonts w:hint="eastAsia" w:ascii="宋体" w:hAnsi="宋体"/>
          <w:color w:val="000000"/>
          <w:sz w:val="24"/>
          <w:highlight w:val="none"/>
          <w:lang w:val="zh-CN"/>
        </w:rPr>
      </w:r>
      <w:r>
        <w:rPr>
          <w:highlight w:val="none"/>
        </w:rPr>
      </w:r>
      <w:r/>
    </w:p>
    <w:p>
      <w:pPr>
        <w:pStyle w:val="1009"/>
        <w:ind w:left="0"/>
        <w:jc w:val="center"/>
        <w:tabs>
          <w:tab w:val="left" w:pos="463" w:leader="none"/>
        </w:tabs>
        <w:rPr>
          <w:rFonts w:hint="eastAsia" w:ascii="微软雅黑" w:hAnsi="微软雅黑" w:eastAsia="微软雅黑" w:cs="微软雅黑"/>
          <w:color w:val="000000"/>
          <w:sz w:val="36"/>
          <w:szCs w:val="36"/>
          <w:highlight w:val="none"/>
        </w:rPr>
      </w:pPr>
      <w:r>
        <w:rPr>
          <w:rFonts w:hint="eastAsia"/>
          <w:color w:val="000000"/>
          <w:highlight w:val="none"/>
        </w:rPr>
        <w:br w:type="page" w:clear="all"/>
      </w:r>
      <w:r>
        <w:rPr>
          <w:rFonts w:hint="eastAsia" w:ascii="微软雅黑" w:hAnsi="微软雅黑" w:eastAsia="微软雅黑" w:cs="微软雅黑"/>
          <w:color w:val="000000"/>
          <w:sz w:val="36"/>
          <w:szCs w:val="36"/>
          <w:highlight w:val="none"/>
          <w:lang w:val="en-US"/>
        </w:rPr>
        <w:t xml:space="preserve">第三章  合同</w:t>
      </w:r>
      <w:bookmarkEnd w:id="57"/>
      <w:r>
        <w:rPr>
          <w:highlight w:val="none"/>
        </w:rPr>
      </w:r>
      <w:bookmarkEnd w:id="58"/>
      <w:r>
        <w:rPr>
          <w:highlight w:val="none"/>
        </w:rPr>
      </w:r>
      <w:bookmarkEnd w:id="59"/>
      <w:r>
        <w:rPr>
          <w:highlight w:val="none"/>
        </w:rPr>
      </w:r>
      <w:bookmarkEnd w:id="60"/>
      <w:r>
        <w:rPr>
          <w:highlight w:val="none"/>
        </w:rPr>
      </w:r>
      <w:bookmarkEnd w:id="61"/>
      <w:r>
        <w:rPr>
          <w:rFonts w:hint="eastAsia" w:ascii="微软雅黑" w:hAnsi="微软雅黑" w:eastAsia="微软雅黑" w:cs="微软雅黑"/>
          <w:color w:val="000000"/>
          <w:sz w:val="36"/>
          <w:szCs w:val="36"/>
          <w:highlight w:val="none"/>
          <w:lang w:val="en-US"/>
        </w:rPr>
        <w:t xml:space="preserve">文本</w:t>
      </w:r>
      <w:r>
        <w:rPr>
          <w:highlight w:val="none"/>
        </w:rPr>
      </w:r>
      <w:r/>
    </w:p>
    <w:p>
      <w:pPr>
        <w:pStyle w:val="932"/>
        <w:jc w:val="center"/>
        <w:spacing w:before="145" w:after="145"/>
        <w:rPr>
          <w:rFonts w:hint="eastAsia" w:ascii="宋体" w:hAnsi="宋体"/>
          <w:bCs/>
          <w:color w:val="000000"/>
          <w:sz w:val="24"/>
          <w:highlight w:val="none"/>
        </w:rPr>
        <w:outlineLvl w:val="0"/>
      </w:pPr>
      <w:r>
        <w:rPr>
          <w:highlight w:val="none"/>
        </w:rPr>
      </w:r>
      <w:bookmarkStart w:id="188" w:name="_Toc20823315"/>
      <w:r>
        <w:rPr>
          <w:highlight w:val="none"/>
        </w:rPr>
      </w:r>
      <w:bookmarkStart w:id="189" w:name="_Toc513029243"/>
      <w:r>
        <w:rPr>
          <w:highlight w:val="none"/>
        </w:rPr>
      </w:r>
      <w:bookmarkStart w:id="190" w:name="_Toc16938559"/>
      <w:r>
        <w:rPr>
          <w:rFonts w:hint="eastAsia" w:ascii="宋体" w:hAnsi="宋体"/>
          <w:bCs/>
          <w:color w:val="000000"/>
          <w:sz w:val="24"/>
          <w:highlight w:val="none"/>
        </w:rPr>
        <w:t xml:space="preserve">以下为本项目的合同条款，合同双方不得对招标、投标文件内容作实质性修改。</w:t>
      </w:r>
      <w:r>
        <w:rPr>
          <w:highlight w:val="none"/>
        </w:rPr>
      </w:r>
      <w:r/>
    </w:p>
    <w:p>
      <w:pPr>
        <w:pStyle w:val="1009"/>
        <w:ind w:left="0"/>
        <w:rPr>
          <w:rFonts w:hint="eastAsia"/>
          <w:color w:val="000000"/>
          <w:highlight w:val="none"/>
        </w:rPr>
      </w:pPr>
      <w:r>
        <w:rPr>
          <w:rFonts w:hint="eastAsia"/>
          <w:color w:val="000000"/>
          <w:highlight w:val="none"/>
        </w:rPr>
      </w:r>
      <w:r>
        <w:rPr>
          <w:highlight w:val="none"/>
        </w:rPr>
      </w:r>
      <w:r/>
    </w:p>
    <w:p>
      <w:pPr>
        <w:pStyle w:val="932"/>
        <w:jc w:val="center"/>
        <w:spacing w:before="145" w:after="145"/>
        <w:rPr>
          <w:rFonts w:hint="eastAsia" w:ascii="微软雅黑" w:hAnsi="微软雅黑" w:eastAsia="微软雅黑" w:cs="微软雅黑"/>
          <w:bCs/>
          <w:color w:val="000000"/>
          <w:sz w:val="32"/>
          <w:szCs w:val="32"/>
          <w:highlight w:val="none"/>
        </w:rPr>
        <w:outlineLvl w:val="0"/>
      </w:pPr>
      <w:r>
        <w:rPr>
          <w:rFonts w:hint="eastAsia" w:ascii="微软雅黑" w:hAnsi="微软雅黑" w:eastAsia="微软雅黑" w:cs="微软雅黑"/>
          <w:bCs/>
          <w:color w:val="000000"/>
          <w:sz w:val="32"/>
          <w:szCs w:val="32"/>
          <w:highlight w:val="none"/>
        </w:rPr>
        <w:t xml:space="preserve">南京市政府采购合同（服务）</w:t>
      </w:r>
      <w:r>
        <w:rPr>
          <w:highlight w:val="none"/>
        </w:rPr>
      </w:r>
      <w:r/>
    </w:p>
    <w:p>
      <w:pPr>
        <w:pStyle w:val="932"/>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合同编号：</w:t>
      </w:r>
      <w:r>
        <w:rPr>
          <w:highlight w:val="none"/>
        </w:rPr>
      </w:r>
      <w:r/>
    </w:p>
    <w:p>
      <w:pPr>
        <w:pStyle w:val="932"/>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highlight w:val="none"/>
        </w:rPr>
      </w:r>
      <w:r/>
    </w:p>
    <w:p>
      <w:pPr>
        <w:pStyle w:val="932"/>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甲方（买方）：</w:t>
      </w:r>
      <w:r>
        <w:rPr>
          <w:highlight w:val="none"/>
        </w:rPr>
      </w:r>
      <w:r/>
    </w:p>
    <w:p>
      <w:pPr>
        <w:pStyle w:val="932"/>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乙方（卖方）：</w:t>
      </w:r>
      <w:r>
        <w:rPr>
          <w:highlight w:val="none"/>
        </w:rPr>
      </w:r>
      <w:r/>
    </w:p>
    <w:p>
      <w:pPr>
        <w:pStyle w:val="932"/>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highlight w:val="none"/>
        </w:rPr>
      </w:r>
      <w:r/>
    </w:p>
    <w:p>
      <w:pPr>
        <w:pStyle w:val="932"/>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highlight w:val="none"/>
        </w:rPr>
      </w:r>
      <w:r/>
    </w:p>
    <w:p>
      <w:pPr>
        <w:pStyle w:val="932"/>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按招标文件及投标文件执行。</w:t>
      </w:r>
      <w:r>
        <w:rPr>
          <w:highlight w:val="none"/>
        </w:rPr>
      </w:r>
      <w:r/>
    </w:p>
    <w:p>
      <w:pPr>
        <w:pStyle w:val="932"/>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highlight w:val="none"/>
        </w:rPr>
      </w:r>
      <w:r/>
    </w:p>
    <w:p>
      <w:pPr>
        <w:pStyle w:val="932"/>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rPr>
        <w:t xml:space="preserve">按招标文件及投标文件执行。</w:t>
      </w:r>
      <w:r>
        <w:rPr>
          <w:highlight w:val="none"/>
        </w:rPr>
      </w:r>
      <w:r/>
    </w:p>
    <w:p>
      <w:pPr>
        <w:pStyle w:val="932"/>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rPr>
        <w:t xml:space="preserve">采购人指定地点。</w:t>
      </w:r>
      <w:r>
        <w:rPr>
          <w:highlight w:val="none"/>
        </w:rPr>
      </w:r>
      <w:r/>
    </w:p>
    <w:p>
      <w:pPr>
        <w:pStyle w:val="932"/>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t xml:space="preserve">按招标文件及投标文件执行。</w:t>
      </w:r>
      <w:r>
        <w:rPr>
          <w:highlight w:val="none"/>
        </w:rPr>
      </w:r>
      <w:r/>
    </w:p>
    <w:p>
      <w:pPr>
        <w:pStyle w:val="932"/>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w:t>
      </w:r>
      <w:r>
        <w:rPr>
          <w:rFonts w:hint="eastAsia" w:ascii="宋体" w:hAnsi="宋体" w:cs="Courier New"/>
          <w:color w:val="000000"/>
          <w:sz w:val="24"/>
          <w:szCs w:val="24"/>
          <w:highlight w:val="none"/>
        </w:rPr>
        <w:t xml:space="preserve">按招标文件及投标文件执行。</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highlight w:val="none"/>
        </w:rPr>
      </w:r>
      <w:r/>
    </w:p>
    <w:p>
      <w:pPr>
        <w:pStyle w:val="971"/>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本合同金额为（大写）：____________________圆（____________________元）人民币。</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rPr>
        <w:t xml:space="preserve"> 本项目乙方无需缴纳履约保证金。</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highlight w:val="none"/>
        </w:rPr>
      </w:r>
      <w:r/>
    </w:p>
    <w:p>
      <w:pPr>
        <w:pStyle w:val="971"/>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w:t>
      </w:r>
      <w:r>
        <w:rPr>
          <w:rFonts w:hint="eastAsia" w:ascii="宋体" w:hAnsi="宋体" w:cs="Courier New"/>
          <w:color w:val="000000"/>
          <w:sz w:val="24"/>
          <w:szCs w:val="24"/>
          <w:highlight w:val="none"/>
        </w:rPr>
        <w:t xml:space="preserve"> 合同签订后，甲方支付合同总价款的30%作为预付款；</w:t>
      </w:r>
      <w:r>
        <w:rPr>
          <w:highlight w:val="none"/>
        </w:rPr>
      </w:r>
      <w:r/>
    </w:p>
    <w:p>
      <w:pPr>
        <w:pStyle w:val="971"/>
        <w:spacing w:line="264" w:lineRule="auto"/>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olor w:val="000000"/>
          <w:sz w:val="24"/>
          <w:szCs w:val="24"/>
          <w:highlight w:val="none"/>
        </w:rPr>
        <w:t xml:space="preserve"> 硬件部署上线及初验后付合同总价款的40%；</w:t>
      </w:r>
      <w:r>
        <w:rPr>
          <w:highlight w:val="none"/>
        </w:rPr>
      </w:r>
      <w:r/>
    </w:p>
    <w:p>
      <w:pPr>
        <w:pStyle w:val="971"/>
        <w:spacing w:line="264" w:lineRule="auto"/>
        <w:rPr>
          <w:rFonts w:hint="eastAsia" w:hAnsi="宋体"/>
          <w:color w:val="000000"/>
          <w:sz w:val="24"/>
          <w:szCs w:val="24"/>
          <w:highlight w:val="none"/>
        </w:rPr>
      </w:pPr>
      <w:r>
        <w:rPr>
          <w:rFonts w:hint="eastAsia" w:hAnsi="宋体"/>
          <w:color w:val="000000"/>
          <w:sz w:val="24"/>
          <w:szCs w:val="24"/>
          <w:highlight w:val="none"/>
        </w:rPr>
        <w:t xml:space="preserve">8.1.3 软件部署上线及验收后支合同总价款的30%。</w:t>
      </w:r>
      <w:r>
        <w:rPr>
          <w:highlight w:val="none"/>
        </w:rPr>
      </w:r>
      <w:r/>
    </w:p>
    <w:p>
      <w:pPr>
        <w:pStyle w:val="971"/>
        <w:spacing w:line="264" w:lineRule="auto"/>
        <w:rPr>
          <w:rFonts w:hint="eastAsia"/>
          <w:color w:val="000000"/>
          <w:highlight w:val="none"/>
        </w:rPr>
      </w:pPr>
      <w:r>
        <w:rPr>
          <w:rFonts w:hint="eastAsia" w:hAnsi="宋体"/>
          <w:color w:val="000000"/>
          <w:sz w:val="24"/>
          <w:szCs w:val="24"/>
          <w:highlight w:val="none"/>
        </w:rPr>
        <w:t xml:space="preserve">8.1.4 满足合同约定支付条件的，甲方收到乙方发票后10个工作日内，将资金支付到合同约定的乙方账户。 </w:t>
      </w:r>
      <w:r>
        <w:rPr>
          <w:highlight w:val="none"/>
        </w:rPr>
      </w:r>
      <w:r/>
    </w:p>
    <w:p>
      <w:pPr>
        <w:pStyle w:val="971"/>
        <w:rPr>
          <w:rFonts w:hint="eastAsia" w:hAnsi="宋体"/>
          <w:color w:val="000000"/>
          <w:sz w:val="24"/>
          <w:szCs w:val="24"/>
          <w:highlight w:val="none"/>
        </w:rPr>
      </w:pPr>
      <w:r>
        <w:rPr>
          <w:rFonts w:hint="eastAsia" w:hAnsi="宋体"/>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十一、违约责任</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highlight w:val="none"/>
        </w:rPr>
      </w:r>
      <w:r/>
    </w:p>
    <w:p>
      <w:pPr>
        <w:pStyle w:val="932"/>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highlight w:val="none"/>
        </w:rPr>
      </w:r>
      <w:r/>
    </w:p>
    <w:p>
      <w:pPr>
        <w:pStyle w:val="932"/>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highlight w:val="none"/>
        </w:rPr>
      </w:r>
      <w:r/>
    </w:p>
    <w:p>
      <w:pPr>
        <w:pStyle w:val="932"/>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highlight w:val="none"/>
        </w:rPr>
      </w:r>
      <w:r/>
    </w:p>
    <w:p>
      <w:pPr>
        <w:pStyle w:val="97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highlight w:val="none"/>
        </w:rPr>
      </w:r>
      <w:r/>
    </w:p>
    <w:p>
      <w:pPr>
        <w:pStyle w:val="971"/>
        <w:ind w:firstLine="240"/>
        <w:spacing w:before="120" w:after="120"/>
        <w:rPr>
          <w:rFonts w:hint="eastAsia" w:hAnsi="宋体"/>
          <w:color w:val="000000"/>
          <w:sz w:val="24"/>
          <w:szCs w:val="24"/>
          <w:highlight w:val="none"/>
        </w:rPr>
      </w:pPr>
      <w:r>
        <w:rPr>
          <w:highlight w:val="none"/>
        </w:rPr>
      </w:r>
      <w:bookmarkEnd w:id="188"/>
      <w:r>
        <w:rPr>
          <w:highlight w:val="none"/>
        </w:rPr>
      </w:r>
      <w:bookmarkEnd w:id="189"/>
      <w:r>
        <w:rPr>
          <w:highlight w:val="none"/>
        </w:rPr>
      </w:r>
      <w:bookmarkEnd w:id="190"/>
      <w:r>
        <w:rPr>
          <w:rFonts w:hint="eastAsia" w:hAnsi="宋体"/>
          <w:color w:val="000000"/>
          <w:sz w:val="24"/>
          <w:szCs w:val="24"/>
          <w:highlight w:val="none"/>
        </w:rPr>
        <w:t xml:space="preserve">甲方：（公章）                       乙方：（公章） </w:t>
      </w:r>
      <w:r>
        <w:rPr>
          <w:highlight w:val="none"/>
        </w:rPr>
      </w:r>
      <w:r/>
    </w:p>
    <w:p>
      <w:pPr>
        <w:pStyle w:val="971"/>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highlight w:val="none"/>
        </w:rPr>
      </w:r>
      <w:r/>
    </w:p>
    <w:p>
      <w:pPr>
        <w:pStyle w:val="971"/>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highlight w:val="none"/>
        </w:rPr>
      </w:r>
      <w:r/>
    </w:p>
    <w:p>
      <w:pPr>
        <w:pStyle w:val="97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highlight w:val="none"/>
        </w:rPr>
      </w:r>
      <w:r/>
    </w:p>
    <w:p>
      <w:pPr>
        <w:pStyle w:val="97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highlight w:val="none"/>
        </w:rPr>
      </w:r>
      <w:r/>
    </w:p>
    <w:p>
      <w:pPr>
        <w:pStyle w:val="971"/>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highlight w:val="none"/>
        </w:rPr>
      </w:r>
      <w:r/>
    </w:p>
    <w:p>
      <w:pPr>
        <w:pStyle w:val="971"/>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rPr>
          <w:highlight w:val="none"/>
        </w:rPr>
      </w:r>
      <w:r/>
    </w:p>
    <w:p>
      <w:pPr>
        <w:pStyle w:val="932"/>
        <w:jc w:val="center"/>
        <w:spacing w:before="145" w:after="145"/>
        <w:rPr>
          <w:rFonts w:hint="eastAsia" w:ascii="宋体" w:hAnsi="宋体"/>
          <w:b/>
          <w:color w:val="000000"/>
          <w:sz w:val="30"/>
          <w:highlight w:val="none"/>
        </w:rPr>
        <w:outlineLvl w:val="0"/>
      </w:pPr>
      <w:r>
        <w:rPr>
          <w:rFonts w:hint="eastAsia" w:ascii="宋体" w:hAnsi="宋体"/>
          <w:b/>
          <w:color w:val="000000"/>
          <w:sz w:val="30"/>
          <w:highlight w:val="none"/>
        </w:rPr>
      </w:r>
      <w:r>
        <w:rPr>
          <w:highlight w:val="none"/>
        </w:rPr>
      </w:r>
      <w:r/>
    </w:p>
    <w:p>
      <w:pPr>
        <w:pStyle w:val="932"/>
        <w:jc w:val="center"/>
        <w:spacing w:before="145" w:after="145"/>
        <w:rPr>
          <w:rFonts w:hint="eastAsia" w:ascii="宋体" w:hAnsi="宋体"/>
          <w:b/>
          <w:color w:val="000000"/>
          <w:sz w:val="30"/>
          <w:highlight w:val="none"/>
        </w:rPr>
        <w:outlineLvl w:val="0"/>
      </w:pPr>
      <w:r>
        <w:rPr>
          <w:rFonts w:hint="eastAsia" w:ascii="宋体" w:hAnsi="宋体"/>
          <w:b/>
          <w:color w:val="000000"/>
          <w:sz w:val="30"/>
          <w:highlight w:val="none"/>
        </w:rPr>
        <w:t xml:space="preserve">《*******合同》补充协议（合同附件）</w:t>
      </w:r>
      <w:r>
        <w:rPr>
          <w:highlight w:val="none"/>
        </w:rPr>
      </w:r>
      <w:r/>
    </w:p>
    <w:p>
      <w:pPr>
        <w:pStyle w:val="971"/>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highlight w:val="none"/>
        </w:rPr>
      </w:r>
      <w:r/>
    </w:p>
    <w:p>
      <w:pPr>
        <w:pStyle w:val="971"/>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r>
      <w:r>
        <w:rPr>
          <w:highlight w:val="none"/>
        </w:rPr>
      </w:r>
      <w:r/>
    </w:p>
    <w:p>
      <w:pPr>
        <w:pStyle w:val="1052"/>
        <w:jc w:val="center"/>
        <w:spacing w:before="120" w:after="120" w:line="0" w:lineRule="atLeast"/>
        <w:rPr>
          <w:rFonts w:hint="eastAsia" w:ascii="微软雅黑" w:hAnsi="微软雅黑" w:eastAsia="微软雅黑" w:cs="微软雅黑"/>
          <w:color w:val="000000"/>
          <w:sz w:val="36"/>
          <w:szCs w:val="36"/>
          <w:highlight w:val="none"/>
        </w:rPr>
      </w:pPr>
      <w:r>
        <w:rPr>
          <w:rFonts w:hint="eastAsia" w:hAnsi="宋体"/>
          <w:color w:val="000000"/>
          <w:sz w:val="24"/>
          <w:szCs w:val="24"/>
          <w:highlight w:val="none"/>
        </w:rPr>
        <w:br w:type="page" w:clear="all"/>
      </w:r>
      <w:r>
        <w:rPr>
          <w:rFonts w:hint="eastAsia" w:ascii="微软雅黑" w:hAnsi="微软雅黑" w:eastAsia="微软雅黑" w:cs="微软雅黑"/>
          <w:color w:val="000000"/>
          <w:sz w:val="36"/>
          <w:szCs w:val="36"/>
          <w:highlight w:val="none"/>
        </w:rPr>
        <w:t xml:space="preserve">第</w:t>
      </w:r>
      <w:bookmarkEnd w:id="44"/>
      <w:r>
        <w:rPr>
          <w:rFonts w:hint="eastAsia" w:ascii="微软雅黑" w:hAnsi="微软雅黑" w:eastAsia="微软雅黑" w:cs="微软雅黑"/>
          <w:color w:val="000000"/>
          <w:sz w:val="36"/>
          <w:szCs w:val="36"/>
          <w:highlight w:val="none"/>
        </w:rPr>
        <w:t xml:space="preserve">四章  采购需求</w:t>
      </w:r>
      <w:bookmarkEnd w:id="45"/>
      <w:r>
        <w:rPr>
          <w:highlight w:val="none"/>
        </w:rPr>
      </w:r>
      <w:bookmarkEnd w:id="46"/>
      <w:r>
        <w:rPr>
          <w:highlight w:val="none"/>
        </w:rPr>
      </w:r>
      <w:bookmarkEnd w:id="47"/>
      <w:r>
        <w:rPr>
          <w:highlight w:val="none"/>
        </w:rPr>
      </w:r>
      <w:r/>
    </w:p>
    <w:p>
      <w:pPr>
        <w:pStyle w:val="932"/>
        <w:ind w:firstLine="480"/>
        <w:spacing w:line="264" w:lineRule="auto"/>
        <w:rPr>
          <w:rFonts w:hint="eastAsia" w:ascii="黑体" w:hAnsi="黑体" w:eastAsia="黑体" w:cs="黑体"/>
          <w:color w:val="000000"/>
          <w:sz w:val="24"/>
          <w:szCs w:val="24"/>
          <w:highlight w:val="none"/>
        </w:rPr>
      </w:pPr>
      <w:r>
        <w:rPr>
          <w:highlight w:val="none"/>
        </w:rPr>
      </w:r>
      <w:bookmarkStart w:id="191" w:name="_Toc26554093"/>
      <w:r>
        <w:rPr>
          <w:highlight w:val="none"/>
        </w:rPr>
      </w:r>
      <w:bookmarkStart w:id="192"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highlight w:val="none"/>
        </w:rPr>
      </w:r>
      <w:r/>
    </w:p>
    <w:p>
      <w:pPr>
        <w:pStyle w:val="932"/>
        <w:ind w:firstLine="480"/>
        <w:spacing w:line="312" w:lineRule="auto"/>
        <w:rPr>
          <w:rFonts w:hint="eastAsia" w:ascii="宋体" w:hAnsi="宋体" w:cs="宋体"/>
          <w:color w:val="000000"/>
          <w:highlight w:val="none"/>
        </w:rPr>
      </w:pPr>
      <w:r>
        <w:rPr>
          <w:rFonts w:hint="eastAsia" w:ascii="宋体" w:hAnsi="宋体" w:cs="宋体"/>
          <w:color w:val="000000"/>
          <w:sz w:val="24"/>
          <w:szCs w:val="24"/>
          <w:highlight w:val="none"/>
        </w:rPr>
        <w:t xml:space="preserve">随着医院业务发展需要及电子病历评级和未来信创建设要求，医院现有影像部门各信息系统需要进一步融合。本次项目以国家电子病历应用水平测评及智慧医院建设标准为指导顶层设计，兼容</w:t>
      </w:r>
      <w:r>
        <w:rPr>
          <w:rFonts w:hint="eastAsia" w:ascii="宋体" w:hAnsi="宋体" w:cs="宋体"/>
          <w:b/>
          <w:bCs/>
          <w:color w:val="000000"/>
          <w:sz w:val="24"/>
          <w:szCs w:val="24"/>
          <w:highlight w:val="none"/>
        </w:rPr>
        <w:t xml:space="preserve">国家医疗信息信创要求</w:t>
      </w:r>
      <w:r>
        <w:rPr>
          <w:rFonts w:hint="eastAsia" w:ascii="宋体" w:hAnsi="宋体" w:cs="宋体"/>
          <w:color w:val="000000"/>
          <w:sz w:val="24"/>
          <w:szCs w:val="24"/>
          <w:highlight w:val="none"/>
        </w:rPr>
        <w:t xml:space="preserve">，充分结合医院信息化建设现状、各科室工作需求、患者服务满意度指向、数据安全保障等需求，在信创环境下建设</w:t>
      </w:r>
      <w:r>
        <w:rPr>
          <w:rFonts w:hint="eastAsia" w:ascii="宋体" w:hAnsi="宋体" w:cs="宋体"/>
          <w:color w:val="000000"/>
          <w:sz w:val="24"/>
          <w:szCs w:val="24"/>
          <w:highlight w:val="none"/>
        </w:rPr>
        <w:t xml:space="preserve">统一</w:t>
      </w:r>
      <w:r>
        <w:rPr>
          <w:rFonts w:hint="eastAsia" w:ascii="宋体" w:hAnsi="宋体" w:cs="宋体"/>
          <w:color w:val="000000"/>
          <w:sz w:val="24"/>
          <w:szCs w:val="24"/>
          <w:highlight w:val="none"/>
        </w:rPr>
        <w:t xml:space="preserve">影像中心平台，全面提升院内检查流程，以信息化手段促进医院影像信息规范化管理，逐步形成影像信息领域的全流程闭环模式。</w:t>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highlight w:val="none"/>
        </w:rPr>
      </w:r>
      <w:r/>
    </w:p>
    <w:p>
      <w:pPr>
        <w:pStyle w:val="932"/>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提供的系统软件必须符合国家标准的数据模型、数据标准和技术路线，严格遵循IHE集成规范，并考虑与已有信息系统的兼容。</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遵循IHE国际技术规范，特别是ITI、Radiology技术框架。</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遵循共享构架基础-IHE ITI XDS：IHE XDS作为区域医疗信息共享交换基本技术框架文件，定义和规定了不同医疗机构病人信息如何在一个统一集成架构下进行交换和共享。</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符合DICOM3.0、HL7等国际标准。</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符合国际疾病分类标准。</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符合卫生部颁布的电子病历和健康档案数据标准。</w:t>
      </w:r>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符合国家、地方有关法律、法规、规章制度的要求。</w:t>
      </w:r>
      <w:bookmarkStart w:id="193" w:name="_二、系统总体方案"/>
      <w:r>
        <w:rPr>
          <w:highlight w:val="none"/>
        </w:rPr>
      </w:r>
      <w:bookmarkEnd w:id="193"/>
      <w:r>
        <w:rPr>
          <w:highlight w:val="none"/>
        </w:rPr>
      </w:r>
      <w:r/>
    </w:p>
    <w:p>
      <w:pPr>
        <w:pStyle w:val="932"/>
        <w:numPr>
          <w:ilvl w:val="0"/>
          <w:numId w:val="5"/>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满足省内质控管理规范。</w:t>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highlight w:val="none"/>
        </w:rPr>
      </w:r>
      <w:r/>
    </w:p>
    <w:tbl>
      <w:tblPr>
        <w:tblW w:w="5451" w:type="pct"/>
        <w:jc w:val="center"/>
        <w:tblInd w:w="-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282"/>
        <w:gridCol w:w="1934"/>
        <w:gridCol w:w="888"/>
        <w:gridCol w:w="694"/>
        <w:gridCol w:w="1525"/>
        <w:gridCol w:w="1078"/>
        <w:gridCol w:w="1516"/>
        <w:gridCol w:w="1174"/>
      </w:tblGrid>
      <w:tr>
        <w:trPr>
          <w:trHeight w:val="470"/>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highlight w:val="none"/>
              </w:rPr>
            </w:r>
            <w:r/>
          </w:p>
        </w:tc>
        <w:tc>
          <w:tcPr>
            <w:tcW w:w="60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系统名称</w:t>
            </w:r>
            <w:r>
              <w:rPr>
                <w:highlight w:val="none"/>
              </w:rPr>
            </w:r>
            <w:r/>
          </w:p>
        </w:tc>
        <w:tc>
          <w:tcPr>
            <w:tcW w:w="908"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highlight w:val="none"/>
              </w:rPr>
            </w:r>
            <w:r/>
          </w:p>
        </w:tc>
        <w:tc>
          <w:tcPr>
            <w:tcW w:w="417"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highlight w:val="none"/>
              </w:rPr>
            </w:r>
            <w:r/>
          </w:p>
        </w:tc>
        <w:tc>
          <w:tcPr>
            <w:tcW w:w="32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单价上限</w:t>
            </w:r>
            <w:r>
              <w:rPr>
                <w:highlight w:val="none"/>
              </w:rPr>
            </w:r>
            <w:r/>
          </w:p>
          <w:p>
            <w:pPr>
              <w:pStyle w:val="1001"/>
              <w:ind w:firstLine="0"/>
              <w:jc w:val="center"/>
              <w:spacing w:line="400" w:lineRule="exact"/>
              <w:rPr>
                <w:rFonts w:hint="eastAsia" w:cs="宋体"/>
                <w:color w:val="000000"/>
                <w:sz w:val="24"/>
                <w:szCs w:val="24"/>
                <w:highlight w:val="none"/>
              </w:rPr>
            </w:pPr>
            <w:r>
              <w:rPr>
                <w:rFonts w:hint="eastAsia" w:cs="宋体"/>
                <w:bCs/>
                <w:color w:val="000000"/>
                <w:sz w:val="24"/>
                <w:szCs w:val="24"/>
                <w:highlight w:val="none"/>
              </w:rPr>
              <w:t xml:space="preserve">（元）</w:t>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所属行业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highlight w:val="none"/>
              </w:rPr>
            </w:r>
            <w:r/>
          </w:p>
        </w:tc>
        <w:tc>
          <w:tcPr>
            <w:tcW w:w="602" w:type="dxa"/>
            <w:vAlign w:val="center"/>
            <w:vMerge w:val="restart"/>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bidi="ar"/>
              </w:rPr>
              <w:t xml:space="preserve">影像采集及归档管理</w:t>
            </w:r>
            <w:r>
              <w:rPr>
                <w:highlight w:val="none"/>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第三方影像检查报告采集工具</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检查报告采集接口（API）</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第三方影像DICOM图像采集</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影像归档管理</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第三方非标准影像数据对接</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单机设备联机</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highlight w:val="none"/>
              </w:rPr>
            </w:r>
            <w:r/>
          </w:p>
        </w:tc>
        <w:tc>
          <w:tcPr>
            <w:tcW w:w="602" w:type="dxa"/>
            <w:vAlign w:val="center"/>
            <w:vMerge w:val="restart"/>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影像中心一体化软件</w:t>
            </w:r>
            <w:r>
              <w:rPr>
                <w:highlight w:val="none"/>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影像中心一体化调阅</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危急值管理</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特检设备报告再编辑工作站</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highlight w:val="none"/>
              </w:rPr>
            </w:r>
            <w:r/>
          </w:p>
        </w:tc>
        <w:tc>
          <w:tcPr>
            <w:tcW w:w="602" w:type="dxa"/>
            <w:vAlign w:val="center"/>
            <w:vMerge w:val="restart"/>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影像质控评价与分析</w:t>
            </w:r>
            <w:r>
              <w:rPr>
                <w:highlight w:val="none"/>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基础质控</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技术质控评价</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诊断质控评价</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随机技术质控</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影像质控统计</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随机诊断质控</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rPr>
                <w:highlight w:val="none"/>
              </w:rPr>
            </w:r>
            <w:r/>
          </w:p>
        </w:tc>
        <w:tc>
          <w:tcPr>
            <w:tcW w:w="602" w:type="dxa"/>
            <w:vAlign w:val="center"/>
            <w:textDirection w:val="lrTb"/>
            <w:noWrap w:val="false"/>
          </w:tcPr>
          <w:p>
            <w:pPr>
              <w:pStyle w:val="932"/>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影像医生端APP</w:t>
            </w:r>
            <w:r>
              <w:rPr>
                <w:highlight w:val="none"/>
              </w:rPr>
            </w:r>
            <w:r/>
          </w:p>
        </w:tc>
        <w:tc>
          <w:tcPr>
            <w:tcW w:w="908" w:type="dxa"/>
            <w:vAlign w:val="center"/>
            <w:textDirection w:val="lrTb"/>
            <w:noWrap w:val="false"/>
          </w:tcPr>
          <w:p>
            <w:pPr>
              <w:pStyle w:val="932"/>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医生端影像调阅</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highlight w:val="none"/>
              </w:rPr>
            </w:r>
            <w:r/>
          </w:p>
        </w:tc>
        <w:tc>
          <w:tcPr>
            <w:tcW w:w="602" w:type="dxa"/>
            <w:vAlign w:val="center"/>
            <w:vMerge w:val="restart"/>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AI赋能应用</w:t>
            </w:r>
            <w:r>
              <w:rPr>
                <w:highlight w:val="none"/>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图像AI技术质控</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AI报告纠错</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基于AI语音录入及处理</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highlight w:val="none"/>
              </w:rPr>
            </w:r>
            <w:r/>
          </w:p>
        </w:tc>
        <w:tc>
          <w:tcPr>
            <w:tcW w:w="602" w:type="dxa"/>
            <w:vAlign w:val="center"/>
            <w:vMerge w:val="continue"/>
            <w:textDirection w:val="lrTb"/>
            <w:noWrap w:val="false"/>
          </w:tcPr>
          <w:p>
            <w:pPr>
              <w:pStyle w:val="932"/>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W w:w="908" w:type="dxa"/>
            <w:vAlign w:val="center"/>
            <w:textDirection w:val="lrTb"/>
            <w:noWrap w:val="false"/>
          </w:tcPr>
          <w:p>
            <w:pPr>
              <w:pStyle w:val="9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DEEPSEEK部署及扩展应用</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highlight w:val="none"/>
              </w:rPr>
            </w:r>
            <w:r/>
          </w:p>
        </w:tc>
      </w:tr>
      <w:tr>
        <w:trPr>
          <w:trHeight w:val="597"/>
        </w:trPr>
        <w:tc>
          <w:tcPr>
            <w:tcW w:w="259" w:type="dxa"/>
            <w:vAlign w:val="center"/>
            <w:textDirection w:val="lrTb"/>
            <w:noWrap w:val="false"/>
          </w:tcPr>
          <w:p>
            <w:pPr>
              <w:pStyle w:val="932"/>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w:t>
            </w:r>
            <w:r>
              <w:rPr>
                <w:highlight w:val="none"/>
              </w:rPr>
            </w:r>
            <w:r/>
          </w:p>
        </w:tc>
        <w:tc>
          <w:tcPr>
            <w:tcW w:w="602" w:type="dxa"/>
            <w:vAlign w:val="center"/>
            <w:vMerge w:val="restart"/>
            <w:textDirection w:val="lrTb"/>
            <w:noWrap w:val="false"/>
          </w:tcPr>
          <w:p>
            <w:pPr>
              <w:pStyle w:val="932"/>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硬件</w:t>
            </w:r>
            <w:r>
              <w:rPr>
                <w:highlight w:val="none"/>
              </w:rPr>
            </w:r>
            <w:r/>
          </w:p>
        </w:tc>
        <w:tc>
          <w:tcPr>
            <w:tcW w:w="908" w:type="dxa"/>
            <w:vAlign w:val="top"/>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分布式存储</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80000</w:t>
            </w:r>
            <w:r>
              <w:rPr>
                <w:highlight w:val="none"/>
              </w:rPr>
            </w:r>
            <w:r/>
          </w:p>
        </w:tc>
        <w:tc>
          <w:tcPr>
            <w:tcW w:w="712" w:type="dxa"/>
            <w:vAlign w:val="center"/>
            <w:textDirection w:val="lrTb"/>
            <w:noWrap w:val="false"/>
          </w:tcPr>
          <w:p>
            <w:pPr>
              <w:pStyle w:val="932"/>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highlight w:val="none"/>
              </w:rPr>
            </w:r>
            <w:r/>
          </w:p>
        </w:tc>
        <w:tc>
          <w:tcPr>
            <w:tcW w:w="551" w:type="dxa"/>
            <w:vAlign w:val="center"/>
            <w:textDirection w:val="lrTb"/>
            <w:noWrap w:val="false"/>
          </w:tcPr>
          <w:p>
            <w:pPr>
              <w:pStyle w:val="932"/>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highlight w:val="none"/>
              </w:rPr>
            </w:r>
            <w:r/>
          </w:p>
        </w:tc>
      </w:tr>
      <w:tr>
        <w:trPr>
          <w:trHeight w:val="597"/>
        </w:trPr>
        <w:tc>
          <w:tcPr>
            <w:tcW w:w="259"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w:t>
            </w:r>
            <w:r>
              <w:rPr>
                <w:highlight w:val="none"/>
              </w:rPr>
            </w:r>
            <w:r/>
          </w:p>
        </w:tc>
        <w:tc>
          <w:tcPr>
            <w:tcW w:w="602" w:type="dxa"/>
            <w:vAlign w:val="top"/>
            <w:vMerge w:val="continue"/>
            <w:textDirection w:val="lrTb"/>
            <w:noWrap w:val="false"/>
          </w:tcPr>
          <w:p>
            <w:pPr>
              <w:pStyle w:val="932"/>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908" w:type="dxa"/>
            <w:vAlign w:val="top"/>
            <w:textDirection w:val="lrTb"/>
            <w:noWrap w:val="false"/>
          </w:tcPr>
          <w:p>
            <w:pPr>
              <w:pStyle w:val="932"/>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万兆以太网交换机</w:t>
            </w:r>
            <w:r>
              <w:rPr>
                <w:highlight w:val="none"/>
              </w:rPr>
            </w:r>
            <w:r/>
          </w:p>
        </w:tc>
        <w:tc>
          <w:tcPr>
            <w:tcW w:w="417"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highlight w:val="none"/>
              </w:rPr>
            </w:r>
            <w:r/>
          </w:p>
        </w:tc>
        <w:tc>
          <w:tcPr>
            <w:tcW w:w="326" w:type="dxa"/>
            <w:vAlign w:val="center"/>
            <w:textDirection w:val="lrTb"/>
            <w:noWrap w:val="false"/>
          </w:tcPr>
          <w:p>
            <w:pPr>
              <w:pStyle w:val="9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highlight w:val="none"/>
              </w:rPr>
            </w:r>
            <w:r/>
          </w:p>
        </w:tc>
        <w:tc>
          <w:tcPr>
            <w:tcW w:w="71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506"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0000</w:t>
            </w:r>
            <w:r>
              <w:rPr>
                <w:highlight w:val="none"/>
              </w:rPr>
            </w:r>
            <w:r/>
          </w:p>
        </w:tc>
        <w:tc>
          <w:tcPr>
            <w:tcW w:w="712"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highlight w:val="none"/>
              </w:rPr>
            </w:r>
            <w:r/>
          </w:p>
        </w:tc>
        <w:tc>
          <w:tcPr>
            <w:tcW w:w="551" w:type="dxa"/>
            <w:vAlign w:val="center"/>
            <w:textDirection w:val="lrTb"/>
            <w:noWrap w:val="false"/>
          </w:tcPr>
          <w:p>
            <w:pPr>
              <w:pStyle w:val="932"/>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highlight w:val="none"/>
              </w:rPr>
            </w:r>
            <w:r/>
          </w:p>
        </w:tc>
      </w:tr>
    </w:tbl>
    <w:p>
      <w:pPr>
        <w:pStyle w:val="932"/>
        <w:ind w:firstLine="48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highlight w:val="none"/>
        </w:rPr>
      </w:r>
      <w:r/>
    </w:p>
    <w:p>
      <w:pPr>
        <w:pStyle w:val="932"/>
        <w:ind w:firstLine="482"/>
        <w:spacing w:line="264" w:lineRule="auto"/>
        <w:rPr>
          <w:rFonts w:hint="eastAsia" w:ascii="宋体" w:hAnsi="宋体" w:cs="宋体"/>
          <w:b/>
          <w:color w:val="000000"/>
          <w:sz w:val="24"/>
          <w:szCs w:val="24"/>
          <w:highlight w:val="none"/>
        </w:rPr>
      </w:pPr>
      <w:r>
        <w:rPr>
          <w:highlight w:val="none"/>
        </w:rPr>
      </w:r>
      <w:bookmarkStart w:id="194" w:name="_Toc13147"/>
      <w:r>
        <w:rPr>
          <w:rFonts w:hint="eastAsia" w:ascii="宋体" w:hAnsi="宋体" w:cs="宋体"/>
          <w:b/>
          <w:color w:val="000000"/>
          <w:sz w:val="24"/>
          <w:szCs w:val="24"/>
          <w:highlight w:val="none"/>
        </w:rPr>
        <w:t xml:space="preserve">1.影像采集与归档管理</w:t>
      </w:r>
      <w:bookmarkEnd w:id="194"/>
      <w:r>
        <w:rPr>
          <w:highlight w:val="none"/>
        </w:rPr>
      </w:r>
      <w:r/>
    </w:p>
    <w:tbl>
      <w:tblPr>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77"/>
        <w:gridCol w:w="8881"/>
      </w:tblGrid>
      <w:tr>
        <w:trPr>
          <w:trHeight w:val="375"/>
        </w:trPr>
        <w:tc>
          <w:tcPr>
            <w:shd w:val="clear" w:color="ffffff" w:themeColor="background1" w:fill="ffffff" w:themeFill="background1"/>
            <w:tcW w:w="541" w:type="dxa"/>
            <w:vAlign w:val="center"/>
            <w:textDirection w:val="lrTb"/>
            <w:noWrap w:val="false"/>
          </w:tcPr>
          <w:p>
            <w:pPr>
              <w:pStyle w:val="932"/>
              <w:jc w:val="center"/>
              <w:spacing w:line="240" w:lineRule="auto"/>
              <w:widowControl/>
              <w:rPr>
                <w:rFonts w:ascii="宋体" w:hAnsi="宋体" w:cs="宋体"/>
                <w:b/>
                <w:bCs/>
                <w:color w:val="000000"/>
                <w:highlight w:val="none"/>
              </w:rPr>
            </w:pPr>
            <w:r>
              <w:rPr>
                <w:rFonts w:hint="eastAsia" w:ascii="宋体" w:hAnsi="宋体" w:cs="宋体"/>
                <w:b/>
                <w:bCs/>
                <w:color w:val="000000"/>
                <w:highlight w:val="none"/>
                <w:lang w:bidi="ar"/>
              </w:rPr>
              <w:t xml:space="preserve">序号</w:t>
            </w:r>
            <w:r>
              <w:rPr>
                <w:highlight w:val="none"/>
              </w:rPr>
            </w:r>
            <w:r/>
          </w:p>
        </w:tc>
        <w:tc>
          <w:tcPr>
            <w:shd w:val="clear" w:color="ffffff" w:themeColor="background1" w:fill="ffffff" w:themeFill="background1"/>
            <w:tcW w:w="4458" w:type="dxa"/>
            <w:vAlign w:val="center"/>
            <w:textDirection w:val="lrTb"/>
            <w:noWrap w:val="false"/>
          </w:tcPr>
          <w:p>
            <w:pPr>
              <w:pStyle w:val="932"/>
              <w:jc w:val="center"/>
              <w:spacing w:line="240" w:lineRule="auto"/>
              <w:widowControl/>
              <w:rPr>
                <w:rFonts w:ascii="宋体" w:hAnsi="宋体" w:cs="宋体"/>
                <w:b/>
                <w:bCs/>
                <w:color w:val="000000"/>
                <w:highlight w:val="none"/>
              </w:rPr>
            </w:pPr>
            <w:r>
              <w:rPr>
                <w:rFonts w:hint="eastAsia" w:ascii="宋体" w:hAnsi="宋体" w:cs="宋体"/>
                <w:b/>
                <w:bCs/>
                <w:color w:val="000000"/>
                <w:highlight w:val="none"/>
                <w:lang w:bidi="ar"/>
              </w:rPr>
              <w:t xml:space="preserve">详细技术参数</w:t>
            </w:r>
            <w:r>
              <w:rPr>
                <w:highlight w:val="none"/>
              </w:rPr>
            </w:r>
            <w:r/>
          </w:p>
        </w:tc>
      </w:tr>
      <w:tr>
        <w:trPr>
          <w:trHeight w:val="351"/>
        </w:trPr>
        <w:tc>
          <w:tcPr>
            <w:gridSpan w:val="2"/>
            <w:shd w:val="clear" w:color="ffffff" w:themeColor="background1" w:fill="ffffff" w:themeFill="background1"/>
            <w:tcW w:w="9958"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b/>
                <w:bCs/>
                <w:color w:val="000000"/>
                <w:highlight w:val="none"/>
                <w:lang w:bidi="ar"/>
              </w:rPr>
              <w:t xml:space="preserve">1、总体要求</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1.1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影像平台或PACS支持容器化部署架构。</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bidi="ar"/>
              </w:rPr>
              <w:t xml:space="preserve">1.2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采用信创部署架构，产品需通过信创适配。（提供相关证明文件</w:t>
            </w:r>
            <w:r>
              <w:rPr>
                <w:rFonts w:hint="eastAsia"/>
                <w:color w:val="000000"/>
                <w:highlight w:val="none"/>
                <w:lang w:bidi="ar"/>
              </w:rPr>
              <w:t xml:space="preserve">）</w:t>
            </w:r>
            <w:r>
              <w:rPr>
                <w:highlight w:val="none"/>
              </w:rPr>
            </w:r>
            <w:r/>
          </w:p>
        </w:tc>
      </w:tr>
      <w:tr>
        <w:trPr>
          <w:trHeight w:val="351"/>
        </w:trPr>
        <w:tc>
          <w:tcPr>
            <w:gridSpan w:val="2"/>
            <w:shd w:val="clear" w:color="ffffff" w:themeColor="background1" w:fill="ffffff" w:themeFill="background1"/>
            <w:tcW w:w="9958"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b/>
                <w:bCs/>
                <w:color w:val="000000"/>
                <w:highlight w:val="none"/>
                <w:lang w:bidi="ar"/>
              </w:rPr>
              <w:t xml:space="preserve">2、第三方影像检查报告采集工具</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通过第三方提供的检查视图和质控视图的自动采集服务。</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检查报告数据采集：基于数据库视图，定时定量查询采集检查报告数据并通过API上传到平台中心。</w:t>
            </w:r>
            <w:r>
              <w:rPr>
                <w:highlight w:val="none"/>
              </w:rPr>
            </w:r>
            <w:r/>
          </w:p>
        </w:tc>
      </w:tr>
      <w:tr>
        <w:trPr>
          <w:trHeight w:val="317"/>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检查报告统计并补充上传：基于数据库视图，在每天凌晨1点时查询前一天的检查报告统计数据和流水号清单，并通过API上传到平台中心；API返回如果存在缺失流水号，重新查询缺失的流水号清单并补传这部分检查报告数据到平台中心。</w:t>
            </w:r>
            <w:r>
              <w:rPr>
                <w:highlight w:val="none"/>
              </w:rPr>
            </w:r>
            <w:r/>
          </w:p>
        </w:tc>
      </w:tr>
      <w:tr>
        <w:trPr>
          <w:trHeight w:val="243"/>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2.4</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质控数据采集：基于数据库视图，定时定量查询质控数据并通过API上传到平台中心。</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2.5</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支持第三方提供WEB API、HL7模式时能进行采集。</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2.6</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支持与第三方报告系统通过HL7模式时能进行采集能力。</w:t>
            </w:r>
            <w:r>
              <w:rPr>
                <w:highlight w:val="none"/>
              </w:rPr>
            </w:r>
            <w:r/>
          </w:p>
        </w:tc>
      </w:tr>
      <w:tr>
        <w:trPr>
          <w:trHeight w:val="367"/>
        </w:trPr>
        <w:tc>
          <w:tcPr>
            <w:gridSpan w:val="2"/>
            <w:shd w:val="clear" w:color="ffffff" w:themeColor="background1" w:fill="ffffff" w:themeFill="background1"/>
            <w:tcW w:w="9958" w:type="dxa"/>
            <w:vAlign w:val="center"/>
            <w:textDirection w:val="lrTb"/>
            <w:noWrap w:val="false"/>
          </w:tcPr>
          <w:p>
            <w:pPr>
              <w:pStyle w:val="932"/>
              <w:jc w:val="center"/>
              <w:spacing w:line="240" w:lineRule="auto"/>
              <w:widowControl/>
              <w:rPr>
                <w:rFonts w:ascii="宋体" w:hAnsi="宋体" w:cs="宋体"/>
                <w:color w:val="000000"/>
                <w:highlight w:val="none"/>
              </w:rPr>
            </w:pPr>
            <w:r>
              <w:rPr>
                <w:rFonts w:hint="eastAsia" w:ascii="宋体" w:hAnsi="宋体" w:cs="宋体"/>
                <w:b/>
                <w:bCs/>
                <w:color w:val="000000"/>
                <w:highlight w:val="none"/>
                <w:lang w:bidi="ar"/>
              </w:rPr>
              <w:t xml:space="preserve">3、检查报告采集接口（API）</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第三方主动通过WebApi上传检查和质控数据。</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传输数据使用国密加密和签名验证。</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支持单条上传和列表上传。</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3.4</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支持上传错误不停止，记录错误数据并返回错误信息，继续上传不影响后续上传。</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3.5</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支持上传错误停止并返回错误信息。</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3.6</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支持国产中间件发送消息队列。</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3.7</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具有分布式部署的、支持负载均衡的高可用系统架构。</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3.8</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能部署在国产操作系统中。</w:t>
            </w:r>
            <w:r>
              <w:rPr>
                <w:highlight w:val="none"/>
              </w:rPr>
            </w:r>
            <w:r/>
          </w:p>
        </w:tc>
      </w:tr>
      <w:tr>
        <w:trPr>
          <w:trHeight w:val="351"/>
        </w:trPr>
        <w:tc>
          <w:tcPr>
            <w:gridSpan w:val="2"/>
            <w:shd w:val="clear" w:color="ffffff" w:themeColor="background1" w:fill="ffffff" w:themeFill="background1"/>
            <w:tcW w:w="9958" w:type="dxa"/>
            <w:vAlign w:val="center"/>
            <w:textDirection w:val="lrTb"/>
            <w:noWrap w:val="false"/>
          </w:tcPr>
          <w:p>
            <w:pPr>
              <w:pStyle w:val="932"/>
              <w:jc w:val="center"/>
              <w:spacing w:line="240" w:lineRule="auto"/>
              <w:widowControl/>
              <w:rPr>
                <w:rFonts w:ascii="宋体" w:hAnsi="宋体" w:cs="宋体"/>
                <w:color w:val="000000"/>
                <w:highlight w:val="none"/>
              </w:rPr>
            </w:pPr>
            <w:r>
              <w:rPr>
                <w:rFonts w:hint="eastAsia" w:ascii="宋体" w:hAnsi="宋体" w:cs="宋体"/>
                <w:b/>
                <w:bCs/>
                <w:color w:val="000000"/>
                <w:highlight w:val="none"/>
                <w:lang w:bidi="ar"/>
              </w:rPr>
              <w:t xml:space="preserve">4、第三方影像DICOM图像采集</w:t>
            </w:r>
            <w:r>
              <w:rPr>
                <w:highlight w:val="none"/>
              </w:rPr>
            </w:r>
            <w:r/>
          </w:p>
        </w:tc>
      </w:tr>
      <w:tr>
        <w:trPr>
          <w:trHeight w:val="1028"/>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支持标准的Dicom3.0传输协议，支持Echo,C-Store,Association指令。支持不同格式传输语法 ， 支持 JPEGLSLossless ， JPEG2000Lossless 图像传输压缩语法。</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支持被动接收Dicom推送(启动Dicom SCP,长时间接收Dicom)与主动QR两种模式(可同时存在)采集影像数据。</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支持AE信息的校验的启动与关闭,支持AE信息校验功能。</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4.4</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被动接收Dicom推送模式支持服务端自我恢复功能,当出现数据异常或者其他的原因导致SCP被关闭后,支持自我重启动。</w:t>
            </w:r>
            <w:r>
              <w:rPr>
                <w:highlight w:val="none"/>
              </w:rPr>
            </w:r>
            <w:r/>
          </w:p>
        </w:tc>
      </w:tr>
      <w:tr>
        <w:trPr>
          <w:trHeight w:val="1068"/>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4.5</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从服务器端获取相关参数，如：每次上传数量，上传线程数，相关S3存储配置信息等，支持服务器端参数本地化存储。支持本地化基本参数配置，如：服务端网关地址，医院编码，文件存储路径，存储路径规则等相关参数配置。</w:t>
            </w:r>
            <w:r>
              <w:rPr>
                <w:highlight w:val="none"/>
              </w:rPr>
            </w:r>
            <w:r/>
          </w:p>
        </w:tc>
      </w:tr>
      <w:tr>
        <w:trPr>
          <w:trHeight w:val="10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4.6</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支持采集文件的堆积,采集的文件缓存到临时目录下。在断网的情况下也可以保证接收到的影像数据保存在前置机,不会丢失。支持断网后自动恢复机制(断网恢复后,文件亦可继续上传)。</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4.7</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采集客户端国产操作系统部署。</w:t>
            </w:r>
            <w:r>
              <w:rPr>
                <w:highlight w:val="none"/>
              </w:rPr>
            </w:r>
            <w:r/>
          </w:p>
        </w:tc>
      </w:tr>
      <w:tr>
        <w:trPr>
          <w:trHeight w:val="462"/>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▲4.8</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影像采集（或影像数据采集等类似命名）支持部署在信创国产操作系统中，通过信创适配测试</w:t>
            </w:r>
            <w:r>
              <w:rPr>
                <w:rFonts w:hint="eastAsia" w:ascii="宋体" w:hAnsi="宋体" w:cs="宋体"/>
                <w:color w:val="000000"/>
                <w:highlight w:val="none"/>
                <w:lang w:eastAsia="zh-CN" w:bidi="ar"/>
              </w:rPr>
              <w:t xml:space="preserve">。</w:t>
            </w:r>
            <w:r>
              <w:rPr>
                <w:highlight w:val="none"/>
              </w:rPr>
            </w:r>
            <w:r/>
          </w:p>
        </w:tc>
      </w:tr>
      <w:tr>
        <w:trPr>
          <w:trHeight w:val="351"/>
        </w:trPr>
        <w:tc>
          <w:tcPr>
            <w:gridSpan w:val="2"/>
            <w:shd w:val="clear" w:color="ffffff" w:themeColor="background1" w:fill="ffffff" w:themeFill="background1"/>
            <w:tcW w:w="9958" w:type="dxa"/>
            <w:vAlign w:val="center"/>
            <w:textDirection w:val="lrTb"/>
            <w:noWrap w:val="false"/>
          </w:tcPr>
          <w:p>
            <w:pPr>
              <w:pStyle w:val="932"/>
              <w:jc w:val="center"/>
              <w:spacing w:line="240" w:lineRule="auto"/>
              <w:widowControl/>
              <w:rPr>
                <w:rFonts w:ascii="宋体" w:hAnsi="宋体" w:cs="宋体"/>
                <w:color w:val="000000"/>
                <w:highlight w:val="none"/>
              </w:rPr>
            </w:pPr>
            <w:r>
              <w:rPr>
                <w:rFonts w:hint="eastAsia" w:ascii="宋体" w:hAnsi="宋体" w:cs="宋体"/>
                <w:b/>
                <w:bCs/>
                <w:color w:val="000000"/>
                <w:highlight w:val="none"/>
                <w:lang w:bidi="ar"/>
              </w:rPr>
              <w:t xml:space="preserve">5、影像归档管理</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提供影像控制台：针对平台采集的各种数据，进行数据统计和展示，为医疗机构提供统一登录平台。</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提供BI展示功能： 对影像相关数据，进行直观的图形化展示，为管理、决策、维护等工作提供支撑。</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支持按医院分类存储，支持按指定路径格式存储到私有云中。</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5.4</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支持中心端根据解析出来的DICOM文件标签与检查报告进行对应关联。</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5.5</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支持影像数据存储时重复的影像数据过滤。</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5.6</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支持私有云对象存储模式。</w:t>
            </w:r>
            <w:r>
              <w:rPr>
                <w:highlight w:val="none"/>
              </w:rPr>
            </w:r>
            <w:r/>
          </w:p>
        </w:tc>
      </w:tr>
      <w:tr>
        <w:trPr>
          <w:trHeight w:val="37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5.7</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医疗影像图像以DICOM文件方式进行存储。</w:t>
            </w:r>
            <w:r>
              <w:rPr>
                <w:highlight w:val="none"/>
              </w:rPr>
            </w:r>
            <w:r/>
          </w:p>
        </w:tc>
      </w:tr>
      <w:tr>
        <w:trPr>
          <w:trHeight w:val="603"/>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5.8</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rPr>
              <w:t xml:space="preserve">支持DICOM影像云快速归档入库技术，以满足医院海量图像数据的快速归档，减少网络堵塞概率。</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w:t>
            </w:r>
            <w:r>
              <w:rPr>
                <w:rFonts w:hint="eastAsia" w:ascii="宋体" w:hAnsi="宋体" w:cs="宋体"/>
                <w:color w:val="000000"/>
                <w:highlight w:val="none"/>
              </w:rPr>
              <w:t xml:space="preserve">.9</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影像数据采集及归档管理（或影像归档、影像存储等类似命名）功能模块通过信创适配测试。（提供通过信创测试的相关证明文件）</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5.10.</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支持检查图像统一存储管理，建立全院统一的图像存储体系，影像管理中心可查看不同类型检查的列表。</w:t>
            </w:r>
            <w:r>
              <w:rPr>
                <w:highlight w:val="none"/>
              </w:rPr>
            </w:r>
            <w:r/>
          </w:p>
        </w:tc>
      </w:tr>
      <w:tr>
        <w:trPr>
          <w:trHeight w:val="735"/>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5.11.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Style w:val="1055"/>
                <w:color w:val="000000"/>
                <w:sz w:val="21"/>
                <w:szCs w:val="21"/>
                <w:highlight w:val="none"/>
                <w:lang w:bidi="ar"/>
              </w:rPr>
              <w:t xml:space="preserve">支持将所有检查科室（超声、放射、内镜、病理）的图像、报告统一存储到影像管理中心（DICOM格式），检查科室、医生工作站使用统一的工具调阅患者的历次检查图像及报告。</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5.12.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Style w:val="1055"/>
                <w:color w:val="000000"/>
                <w:sz w:val="21"/>
                <w:szCs w:val="21"/>
                <w:highlight w:val="none"/>
              </w:rPr>
            </w:pPr>
            <w:r>
              <w:rPr>
                <w:rStyle w:val="1056"/>
                <w:color w:val="000000"/>
                <w:sz w:val="21"/>
                <w:szCs w:val="21"/>
                <w:highlight w:val="none"/>
                <w:lang w:bidi="ar"/>
              </w:rPr>
              <w:t xml:space="preserve">支持长期存储记录。</w:t>
            </w:r>
            <w:r>
              <w:rPr>
                <w:highlight w:val="none"/>
              </w:rPr>
            </w:r>
            <w:r/>
          </w:p>
        </w:tc>
      </w:tr>
      <w:tr>
        <w:trPr>
          <w:trHeight w:val="90"/>
        </w:trPr>
        <w:tc>
          <w:tcPr>
            <w:gridSpan w:val="2"/>
            <w:shd w:val="clear" w:color="ffffff" w:themeColor="background1" w:fill="ffffff" w:themeFill="background1"/>
            <w:tcW w:w="9958" w:type="dxa"/>
            <w:vAlign w:val="center"/>
            <w:textDirection w:val="lrTb"/>
            <w:noWrap/>
          </w:tcPr>
          <w:p>
            <w:pPr>
              <w:pStyle w:val="932"/>
              <w:jc w:val="center"/>
              <w:spacing w:line="240" w:lineRule="auto"/>
              <w:widowControl/>
              <w:rPr>
                <w:rStyle w:val="1056"/>
                <w:color w:val="000000"/>
                <w:sz w:val="21"/>
                <w:szCs w:val="21"/>
                <w:highlight w:val="none"/>
              </w:rPr>
            </w:pPr>
            <w:r>
              <w:rPr>
                <w:rFonts w:hint="eastAsia" w:ascii="宋体" w:hAnsi="宋体" w:cs="宋体"/>
                <w:b/>
                <w:bCs/>
                <w:color w:val="000000"/>
                <w:highlight w:val="none"/>
                <w:lang w:bidi="ar"/>
              </w:rPr>
              <w:t xml:space="preserve">6、第三方非标准影像数据对接</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6.1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Style w:val="1056"/>
                <w:color w:val="000000"/>
                <w:sz w:val="21"/>
                <w:szCs w:val="21"/>
                <w:highlight w:val="none"/>
              </w:rPr>
            </w:pPr>
            <w:r>
              <w:rPr>
                <w:rStyle w:val="1056"/>
                <w:color w:val="000000"/>
                <w:sz w:val="21"/>
                <w:szCs w:val="21"/>
                <w:highlight w:val="none"/>
                <w:lang w:bidi="ar"/>
              </w:rPr>
              <w:t xml:space="preserve">支持与内镜、病理、心电、眼科、口腔科等系统对接，实现非 DICOM格式医疗数据的归档，包含PDF格式图文报告、MP4 动态影像及 JPG/PNG 静态图像。</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6.2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Style w:val="1056"/>
                <w:color w:val="000000"/>
                <w:sz w:val="21"/>
                <w:szCs w:val="21"/>
                <w:highlight w:val="none"/>
              </w:rPr>
            </w:pPr>
            <w:r>
              <w:rPr>
                <w:rStyle w:val="1056"/>
                <w:color w:val="000000"/>
                <w:sz w:val="21"/>
                <w:szCs w:val="21"/>
                <w:highlight w:val="none"/>
                <w:lang w:bidi="ar"/>
              </w:rPr>
              <w:t xml:space="preserve">支持从第三方检查设备自动采集 PDF 格式图文报告，实现与电子申请单的精准匹配与关联归档。</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6.3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Style w:val="1056"/>
                <w:color w:val="000000"/>
                <w:sz w:val="21"/>
                <w:szCs w:val="21"/>
                <w:highlight w:val="none"/>
              </w:rPr>
            </w:pPr>
            <w:r>
              <w:rPr>
                <w:rStyle w:val="1056"/>
                <w:color w:val="000000"/>
                <w:sz w:val="21"/>
                <w:szCs w:val="21"/>
                <w:highlight w:val="none"/>
                <w:lang w:bidi="ar"/>
              </w:rPr>
              <w:t xml:space="preserve">支持兼容 MP4 动态影像及 JPG/PNG 静态图像的批量采集。</w:t>
            </w:r>
            <w:r>
              <w:rPr>
                <w:highlight w:val="none"/>
              </w:rPr>
            </w:r>
            <w:r/>
          </w:p>
        </w:tc>
      </w:tr>
      <w:tr>
        <w:trPr>
          <w:trHeight w:val="90"/>
        </w:trPr>
        <w:tc>
          <w:tcPr>
            <w:gridSpan w:val="2"/>
            <w:shd w:val="clear" w:color="ffffff" w:themeColor="background1" w:fill="ffffff" w:themeFill="background1"/>
            <w:tcW w:w="9958" w:type="dxa"/>
            <w:vAlign w:val="center"/>
            <w:textDirection w:val="lrTb"/>
            <w:noWrap/>
          </w:tcPr>
          <w:p>
            <w:pPr>
              <w:pStyle w:val="932"/>
              <w:jc w:val="center"/>
              <w:spacing w:line="240" w:lineRule="auto"/>
              <w:widowControl/>
              <w:rPr>
                <w:rStyle w:val="1056"/>
                <w:color w:val="000000"/>
                <w:sz w:val="21"/>
                <w:szCs w:val="21"/>
                <w:highlight w:val="none"/>
              </w:rPr>
            </w:pPr>
            <w:r>
              <w:rPr>
                <w:rFonts w:hint="eastAsia" w:ascii="宋体" w:hAnsi="宋体" w:cs="宋体"/>
                <w:b/>
                <w:bCs/>
                <w:color w:val="000000"/>
                <w:highlight w:val="none"/>
                <w:lang w:bidi="ar"/>
              </w:rPr>
              <w:t xml:space="preserve">7、单机设备联机</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7.1</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hint="eastAsia" w:ascii="宋体" w:hAnsi="宋体" w:cs="宋体"/>
                <w:color w:val="000000"/>
                <w:highlight w:val="none"/>
              </w:rPr>
            </w:pPr>
            <w:r>
              <w:rPr>
                <w:rFonts w:hint="eastAsia" w:ascii="宋体" w:hAnsi="宋体" w:cs="宋体"/>
                <w:color w:val="000000"/>
                <w:highlight w:val="none"/>
                <w:lang w:bidi="ar"/>
              </w:rPr>
              <w:t xml:space="preserve">支持与特殊检查单机设备进行对接，实现单机设备检查报告及图像上传归档及调阅。</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7.2</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支持特检报告无纸化归档和PDF报告上传，支持生成结构化文字结论。</w:t>
            </w:r>
            <w:r>
              <w:rPr>
                <w:highlight w:val="none"/>
              </w:rPr>
            </w:r>
            <w:r/>
          </w:p>
        </w:tc>
      </w:tr>
      <w:tr>
        <w:trPr>
          <w:trHeight w:val="90"/>
        </w:trPr>
        <w:tc>
          <w:tcPr>
            <w:shd w:val="clear" w:color="ffffff" w:themeColor="background1" w:fill="ffffff" w:themeFill="background1"/>
            <w:tcW w:w="541" w:type="dxa"/>
            <w:vAlign w:val="center"/>
            <w:textDirection w:val="lrTb"/>
            <w:noWrap/>
          </w:tcPr>
          <w:p>
            <w:pPr>
              <w:pStyle w:val="932"/>
              <w:jc w:val="center"/>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7.3</w:t>
            </w:r>
            <w:r>
              <w:rPr>
                <w:highlight w:val="none"/>
              </w:rPr>
            </w:r>
            <w:r/>
          </w:p>
        </w:tc>
        <w:tc>
          <w:tcPr>
            <w:shd w:val="clear" w:color="ffffff" w:themeColor="background1" w:fill="ffffff" w:themeFill="background1"/>
            <w:tcW w:w="4458" w:type="dxa"/>
            <w:vAlign w:val="center"/>
            <w:textDirection w:val="lrTb"/>
            <w:noWrap w:val="false"/>
          </w:tcPr>
          <w:p>
            <w:pPr>
              <w:pStyle w:val="932"/>
              <w:jc w:val="left"/>
              <w:spacing w:line="240" w:lineRule="auto"/>
              <w:widowControl/>
              <w:rPr>
                <w:rFonts w:ascii="宋体" w:hAnsi="宋体" w:cs="宋体"/>
                <w:color w:val="000000"/>
                <w:highlight w:val="none"/>
              </w:rPr>
            </w:pPr>
            <w:r>
              <w:rPr>
                <w:rFonts w:hint="eastAsia" w:ascii="宋体" w:hAnsi="宋体" w:cs="宋体"/>
                <w:color w:val="000000"/>
                <w:highlight w:val="none"/>
                <w:lang w:bidi="ar"/>
              </w:rPr>
              <w:t xml:space="preserve">支持第三方检查设备PDF采集归档并与电子申请单进行匹配</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Start w:id="195" w:name="_Toc11264"/>
      <w:r>
        <w:rPr>
          <w:highlight w:val="none"/>
        </w:rPr>
      </w:r>
      <w:r/>
    </w:p>
    <w:p>
      <w:pPr>
        <w:pStyle w:val="932"/>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2.全院影像中心一体化软件</w:t>
      </w:r>
      <w:bookmarkEnd w:id="195"/>
      <w:r>
        <w:rPr>
          <w:highlight w:val="none"/>
        </w:rPr>
      </w:r>
      <w:r/>
    </w:p>
    <w:tbl>
      <w:tblPr>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88"/>
        <w:gridCol w:w="8970"/>
      </w:tblGrid>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序号</w:t>
            </w:r>
            <w:r>
              <w:rPr>
                <w:highlight w:val="none"/>
              </w:rPr>
            </w:r>
            <w:r/>
          </w:p>
        </w:tc>
        <w:tc>
          <w:tcPr>
            <w:shd w:val="clear" w:color="ffffff" w:themeColor="background1" w:fill="ffffff" w:themeFill="background1"/>
            <w:tcW w:w="4503" w:type="dxa"/>
            <w:vAlign w:val="center"/>
            <w:textDirection w:val="lrTb"/>
            <w:noWrap w:val="false"/>
          </w:tcPr>
          <w:p>
            <w:pPr>
              <w:pStyle w:val="932"/>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详细技术参数</w:t>
            </w:r>
            <w:r>
              <w:rPr>
                <w:highlight w:val="none"/>
              </w:rPr>
            </w:r>
            <w:r/>
          </w:p>
        </w:tc>
      </w:tr>
      <w:tr>
        <w:trPr>
          <w:trHeight w:val="447"/>
        </w:trPr>
        <w:tc>
          <w:tcPr>
            <w:gridSpan w:val="2"/>
            <w:shd w:val="clear" w:color="ffffff" w:themeColor="background1" w:fill="ffffff" w:themeFill="background1"/>
            <w:tcW w:w="9958"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1、影像中心一体化调阅</w:t>
            </w:r>
            <w:r>
              <w:rPr>
                <w:highlight w:val="none"/>
              </w:rPr>
            </w:r>
            <w:r/>
          </w:p>
        </w:tc>
      </w:tr>
      <w:tr>
        <w:trPr>
          <w:trHeight w:val="447"/>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w:t>
            </w:r>
            <w:r>
              <w:rPr>
                <w:highlight w:val="none"/>
              </w:rPr>
            </w:r>
            <w:r/>
          </w:p>
        </w:tc>
        <w:tc>
          <w:tcPr>
            <w:shd w:val="clear" w:color="ffffff" w:themeColor="background1" w:fill="ffffff" w:themeFill="background1"/>
            <w:tcW w:w="4503" w:type="dxa"/>
            <w:vAlign w:val="top"/>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支持将院内各种检查（超声、放射、内镜、病理）图像严格遵守DICOM标准协议并通过影像管理中心统一存储管理，检查科室、临床医生可以使用统一的终端工具进行查看。</w:t>
            </w:r>
            <w:r>
              <w:rPr>
                <w:highlight w:val="none"/>
              </w:rPr>
            </w:r>
            <w:r/>
          </w:p>
        </w:tc>
      </w:tr>
      <w:tr>
        <w:trPr>
          <w:trHeight w:val="447"/>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w:t>
            </w:r>
            <w:r>
              <w:rPr>
                <w:highlight w:val="none"/>
              </w:rPr>
            </w:r>
            <w:r/>
          </w:p>
        </w:tc>
        <w:tc>
          <w:tcPr>
            <w:shd w:val="clear" w:color="ffffff" w:themeColor="background1" w:fill="ffffff" w:themeFill="background1"/>
            <w:tcW w:w="4503" w:type="dxa"/>
            <w:vAlign w:val="top"/>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按照病人ID号、影像号、检查项目、检查设备、检查状态、患者姓名、性别、出生日期、身份证号、手机号码、访问号、患者类型、申请科室、申请医生、检查部位、检查时间、诊断结果等筛选搜索院内检查患者。</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具有通过患者基本信息查询检查报告和影像的功能。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支持特定检查患者提供指定人员授权调阅功能。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1.5.</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具有查看患者检查报告的具体内容和相关影像的功能。</w:t>
            </w:r>
            <w:r>
              <w:rPr>
                <w:highlight w:val="none"/>
              </w:rPr>
            </w:r>
            <w:r/>
          </w:p>
        </w:tc>
      </w:tr>
      <w:tr>
        <w:trPr>
          <w:trHeight w:val="90"/>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1.6.</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支持纯WEB类WORD报告显示模式；支持PDF报告调阅，可查看超声、内镜等图文报告；支持放射、超声、内镜、病理、心电电生理等报告调阅。</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1.7.</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支持申请单显示。</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1.8.</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支持调阅查看原始影像图像，并对图像进行处理；具有对图像进行患者信息匿名处理；支持自定义切换序列布局和图像布局。</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1.9.</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支持历史图像对比调阅功能。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支持不同患者图像对比调阅功能。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具有查看同一检查同一序列图像不同排版布局显示的功能。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1.12.</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具有在同一窗体中查看同一检查（或不同检查）不同序列对比显示的功能；并有在同一窗体查看不同患者的检查图像对比显示的功能。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具有对图像进行顺时针旋转、逆时针旋转、水平镜像、垂直镜像、反色操作、滚动查看、放大及缩小、移动的功能。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具有对图像进行图像播放/暂停,并具有调节播放速度的功能。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1.15.</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具有预设窗宽或窗位自定义设置，并保存的功能。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1.16.</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支持按需直接输入的窗宽或窗位数值进行图像调整。</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1.17.</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具有预设的窗宽窗位，如头部平扫、头颅骨窗、颈椎、肺窗、纵膈窗、腹部、肝脏、关节骨窗、血管等，可以直接选择快速切换窗宽窗位</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1.18.</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支持进行窗宽窗位预设时选择颜色，根据实际选择的色彩来改变当前影像进行伪彩显示。</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1.19.</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具有对图像进行长度、角度、CT值、椭圆形区域CT值、矩形区域CT值、十字线等测量的功能，支持选择部位进行文字、长度和宽度标注的功能；并且具有删除所有的标注信息的功能。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具有能通过连续画中轴线、最大心右缘距离、最大心左缘距离、胸部两侧最大轮廓距离自动算出心胸比例大小的功能。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具有用选择的色彩来模糊灰度图像的功能，并具有为增强查看而改变图像色彩的功能。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具有保存影像的功能，保存图像时可以选择截屏、窗口截屏、导出格式和是否包含患者信息等。。</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支持多种图像类型的三维重建，如 CT，MR，PET 等；并且支持多种三维图像重建方式，如 MPR、VR、MIP、MinIP、CPR 等；以及具有对生成的VR图像进行三维旋转的功能。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纯WEB模式下实现VR 功能，可调整VR预设显示颜色的功能。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1.25.</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具有在MPR模式下对图像进行层厚重建的功能。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1.26.</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具有3D切割功能，支持在MPR模式下对VR图像进行任意切割的功能；同时具有定位图像显示功能。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1.27.</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支持在MPR模式下切换窗宽窗位进行调整，同时支持点标注、椭圆形区域测量、长度测量、角度测量、矩形区域测量等功能。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1.28.</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具有以预定的步进角度产生图像的功能。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1.29.</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具有最大或平均密度值影像重建的功能。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具有VR模式下一键去床板、三维切割等功能以及具有对裁切过的VR图像进行复位的功能。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具有导出多种格式图像文件的功能，包括.dcm,.jpg,.bmp,.png等格式文件。</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具有查看患者DICOM信息的功能，包括查看患者信息、检查信息、序列信息、instance信息、图像信息、设备信息、UID信息等。</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支持设置是否兼容模式，支持自定义设置图像标记和选中操作颜色、支持设置重置操作恢复到初始状态。</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bidi="ar"/>
              </w:rPr>
              <w:t xml:space="preserve">1.34.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肺结节历史对比，支持不同检查时间结节位置、结节长径、短径、病灶类型的对比，且无需打开新的窗体。（提供</w:t>
            </w:r>
            <w:r>
              <w:rPr>
                <w:rFonts w:hint="eastAsia"/>
                <w:color w:val="000000"/>
                <w:highlight w:val="none"/>
                <w:lang w:val="en-US" w:eastAsia="zh-CN"/>
              </w:rPr>
              <w:t xml:space="preserve">功能</w:t>
            </w:r>
            <w:r>
              <w:rPr>
                <w:rFonts w:hint="eastAsia" w:ascii="宋体" w:hAnsi="宋体" w:cs="宋体"/>
                <w:color w:val="000000"/>
                <w:highlight w:val="none"/>
                <w:lang w:bidi="ar"/>
              </w:rPr>
              <w:t xml:space="preserve">界面截图证明）</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1.35.</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纯WEB模式下支持三维后处理（或三维重建）。</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1.36.</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支持核对检查科室医生在图像上标注的区域、注解在临床查看图像时能看到。</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1.37.</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支持可看患者就诊时以往的历史图像、外院带来的胶片是否进行数字化处理，核对医生站可看到这些图像。</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1.38.</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支持实时获取检查结果和报告各阶段的状态。</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1.39.</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能够查看检查各个阶段状态（如开写、到检、报告等)。</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1.40.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对于检查危急值,能够通知(如系统弹窗)医师、护士。</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1.41.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rPr>
              <w:t xml:space="preserve">支持移动查房时使用，且移动端具有三维处理(或三维重建)功能。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highlight w:val="none"/>
              </w:rPr>
            </w:r>
            <w:bookmarkStart w:id="196" w:name="_Toc1243345692"/>
            <w:r>
              <w:rPr>
                <w:highlight w:val="none"/>
              </w:rPr>
            </w:r>
            <w:bookmarkStart w:id="197" w:name="_Toc619451664"/>
            <w:r>
              <w:rPr>
                <w:highlight w:val="none"/>
              </w:rPr>
            </w:r>
            <w:bookmarkStart w:id="198" w:name="_Toc1160416225"/>
            <w:r>
              <w:rPr>
                <w:rFonts w:hint="eastAsia" w:ascii="宋体" w:hAnsi="宋体" w:cs="宋体"/>
                <w:color w:val="000000"/>
                <w:highlight w:val="none"/>
              </w:rPr>
              <w:t xml:space="preserve">▲</w:t>
            </w:r>
            <w:r>
              <w:rPr>
                <w:rFonts w:hint="eastAsia" w:ascii="宋体" w:hAnsi="宋体" w:cs="宋体"/>
                <w:color w:val="000000"/>
                <w:highlight w:val="none"/>
                <w:lang w:bidi="ar"/>
              </w:rPr>
              <w:t xml:space="preserve">1.42.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rPr>
              <w:t xml:space="preserve">移动端图像软件(或数字影像调阅软件、云胶片调阅等类似命名)通过信创适配测试，通过的适配测试至少包括影像调阅、CT值测量、三维处理、图像播放功能。(</w:t>
            </w:r>
            <w:r>
              <w:rPr>
                <w:rFonts w:hint="eastAsia" w:ascii="宋体" w:hAnsi="宋体" w:cs="宋体"/>
                <w:color w:val="000000"/>
                <w:highlight w:val="none"/>
                <w:lang w:bidi="ar"/>
              </w:rPr>
              <w:t xml:space="preserve">提供</w:t>
            </w:r>
            <w:r>
              <w:rPr>
                <w:rFonts w:hint="eastAsia" w:ascii="宋体" w:hAnsi="宋体" w:cs="宋体"/>
                <w:color w:val="000000"/>
                <w:highlight w:val="none"/>
              </w:rPr>
              <w:t xml:space="preserve">通过信创</w:t>
            </w:r>
            <w:r>
              <w:rPr>
                <w:rFonts w:hint="eastAsia" w:ascii="宋体" w:hAnsi="宋体" w:cs="宋体"/>
                <w:color w:val="000000"/>
                <w:highlight w:val="none"/>
              </w:rPr>
              <w:t xml:space="preserve">测试的相关证明文件)</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1.43.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rPr>
              <w:t xml:space="preserve">预留与第三方肺结节人工智能算法融合，能将第三方肺结节（或肋骨骨折）AI算法结果反馈到PACS临床客户端及移动端。在PC端及移动端，具有肺结节（或肋骨骨折）病灶显示相关功能。</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bidi="ar"/>
              </w:rPr>
              <w:t xml:space="preserve">1.44.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rPr>
              <w:t xml:space="preserve">纯WEB浏览器除支持DICOM影像调阅外，具有扩展支持MP4动态图像；PNG图片、PDF文档调阅；心电波形（支持走速选择、支持增益选择、支持波形测量）调阅功能。</w:t>
            </w:r>
            <w:r>
              <w:rPr>
                <w:rFonts w:hint="eastAsia" w:cs="宋体"/>
                <w:b/>
                <w:color w:val="000000"/>
                <w:highlight w:val="none"/>
              </w:rPr>
              <w:t xml:space="preserve">（</w:t>
            </w:r>
            <w:r>
              <w:rPr>
                <w:rFonts w:hint="eastAsia" w:ascii="宋体" w:hAnsi="宋体" w:cs="宋体"/>
                <w:color w:val="000000"/>
                <w:highlight w:val="none"/>
                <w:lang w:bidi="ar"/>
              </w:rPr>
              <w:t xml:space="preserve">提供</w:t>
            </w:r>
            <w:r>
              <w:rPr>
                <w:rFonts w:hint="eastAsia" w:ascii="宋体" w:hAnsi="宋体" w:cs="宋体"/>
                <w:color w:val="000000"/>
                <w:highlight w:val="none"/>
                <w:lang w:val="en-US" w:eastAsia="zh-CN" w:bidi="ar"/>
              </w:rPr>
              <w:t xml:space="preserve">功能</w:t>
            </w:r>
            <w:r>
              <w:rPr>
                <w:rFonts w:hint="eastAsia" w:cs="宋体"/>
                <w:color w:val="000000"/>
                <w:highlight w:val="none"/>
              </w:rPr>
              <w:t xml:space="preserve">截图证明）</w:t>
            </w:r>
            <w:r>
              <w:rPr>
                <w:highlight w:val="none"/>
              </w:rPr>
            </w:r>
            <w:r/>
          </w:p>
        </w:tc>
      </w:tr>
      <w:tr>
        <w:trPr>
          <w:trHeight w:val="288"/>
        </w:trPr>
        <w:tc>
          <w:tcPr>
            <w:gridSpan w:val="2"/>
            <w:shd w:val="clear" w:color="ffffff" w:themeColor="background1" w:fill="ffffff" w:themeFill="background1"/>
            <w:tcW w:w="9958"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2、危急值管理</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支持与第三方院内 PACS 对接，实现有危急值告警时上报到临床医生。</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医生收到后且查看返回给科室医生已经查看知道情况，从而形成完整的危急值闭环。</w:t>
            </w:r>
            <w:r>
              <w:rPr>
                <w:highlight w:val="none"/>
              </w:rPr>
            </w:r>
            <w:r/>
          </w:p>
        </w:tc>
      </w:tr>
      <w:tr>
        <w:trPr>
          <w:trHeight w:val="288"/>
        </w:trPr>
        <w:tc>
          <w:tcPr>
            <w:shd w:val="clear" w:color="ffffff" w:themeColor="background1" w:fill="ffffff" w:themeFill="background1"/>
            <w:tcW w:w="496"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支持点击该检查时通过弹窗等方式通知医师、护士检查危急值。</w:t>
            </w:r>
            <w:r>
              <w:rPr>
                <w:highlight w:val="none"/>
              </w:rPr>
            </w:r>
            <w:r/>
          </w:p>
        </w:tc>
      </w:tr>
      <w:tr>
        <w:trPr>
          <w:trHeight w:val="288"/>
        </w:trPr>
        <w:tc>
          <w:tcPr>
            <w:gridSpan w:val="2"/>
            <w:shd w:val="clear" w:color="ffffff" w:themeColor="background1" w:fill="ffffff" w:themeFill="background1"/>
            <w:tcW w:w="9958" w:type="dxa"/>
            <w:vAlign w:val="top"/>
            <w:textDirection w:val="lrTb"/>
            <w:noWrap w:val="false"/>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3、特检设备报告再编辑工作站</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电子病历特检报告无纸化归档，结构化文字结论和PDF报告上传。支持归档报告修改、撤销等异常处理流程。</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系统采用B/S架构，需要保证客户端浏览器稳定性和兼容性，兼容PC服务器、小型机等多种服务器平台，客户端支持Win7、Win10等操作系统。</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病人信息自动匹配获取:与医院信息系统、电子病历系统、集成平台等系统进行接口集成，实现病人基本信息和检查信息的自动获取和同步。</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3.4.</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病人在检查诊间通过刷卡、扫码等方式进行到检登记，自动获取病人信息和检查项目，并更新检查状态。特殊情况下支持手动登记患者检查申请单信息，支持根据设置的预约规则自动推荐最佳号源，支持多检查一键联合预约。</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3.5.</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支持医护人员在系统中进行执行检查确认，可选择多个执行操作人员，便于后续绩效考核及工作量统计。</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3.6.</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支持检查诊间显示病人基本信息、检查项目、注意事项等信息，方便医护人员进行核对，确保检查的准确性和安全性。</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3.7.</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支持根据检查状态（开立、到检、检查、报告等）对病人数据进行筛选，方便医生快速查看不同状态的病人列表。</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3.8.</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在工作列表中展示病人基本信息、检查项目、检查状态、报告状态等关键信息，方便医生快速了解病人情况。</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3.9.</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支持医生在工作列表中直接进行报告查看、报告审核、报告打印等操作，提高工作效率。</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报告管理分为初始报告、终审报告。终审报告可在总览里面查看。</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3.11.</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审核阶段报告可撤回（需填写撤回原因）。</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医生可在审核报告时，可在书写报告界面调阅到该病人临床数据，包括360全息视图、病案首页、病程记录、检查检验记录数据、图像信息等资料。对医生书写报告结论起到辅助和数据支持的作用。</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上级用户对下级用户的报告可驳回（需填写驳回修改意见）从而使报告进行重新审核。</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bidi="ar"/>
              </w:rPr>
              <w:t xml:space="preserve">3.14.</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检查设备有外部数据接口则通过接口方式获取原始报告数据；如果没有外部数据接口则通过NLP后结构化算法将自然语言报告转换为结构化报告数据存储。（提供系统</w:t>
            </w:r>
            <w:r>
              <w:rPr>
                <w:rFonts w:hint="eastAsia" w:ascii="宋体" w:hAnsi="宋体" w:cs="宋体"/>
                <w:color w:val="000000"/>
                <w:highlight w:val="none"/>
                <w:lang w:val="en-US" w:eastAsia="zh-CN" w:bidi="ar"/>
              </w:rPr>
              <w:t xml:space="preserve">功能</w:t>
            </w:r>
            <w:r>
              <w:rPr>
                <w:rFonts w:hint="eastAsia" w:ascii="宋体" w:hAnsi="宋体" w:cs="宋体"/>
                <w:color w:val="000000"/>
                <w:highlight w:val="none"/>
                <w:lang w:bidi="ar"/>
              </w:rPr>
              <w:t xml:space="preserve">截图证明）</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3.15.</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支持根据医院质控及评审等要求，对特检系统原始报告进行设备厂家信息脱敏、文本描述变更、同种类检查不同厂家设备产生的报告格式统一等个性化报告重构处理。</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3.16.</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olor w:val="000000"/>
                <w:highlight w:val="none"/>
              </w:rPr>
            </w:pPr>
            <w:r>
              <w:rPr>
                <w:rFonts w:hint="eastAsia" w:ascii="宋体" w:hAnsi="宋体" w:cs="宋体"/>
                <w:color w:val="000000"/>
                <w:highlight w:val="none"/>
                <w:lang w:bidi="ar"/>
              </w:rPr>
              <w:t xml:space="preserve">在报告中集成电子签章CA系统，集成医生身份认证、数字电子签章、报告验签。也可附加手写体图片签名。</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3.17.</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通过对报告的数据结构化处理，各种具有危急值的检查项目在平台中能通过匹配算法根据具体测量数值和诊断术语自动判断危急值报告并预警，结合危急值人工干预上报及后续全院信息平台危急值处理反馈，形成一个较为完善的危急值发现、上报、处理、回馈的业务流程。</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3.18.</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具备报告质量评估：根据报告的结构化数据元对报告的质量进行判评，包括报告医生签名是否缺失、报告时间是否及时、报告结论是否完整。</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3.19.</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用户可自定义检查测量项正常值范围，根据定义范围结合患者年龄、性别等基本信息判断异常值。并对异常值有醒目颜色及上下箭头标注。</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3.20.</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根据结构化的检查结论、检查所见及测量数值设置检索条件，并可支持多组检索条件组合检索出对应符合报告，提高检索报告的效率和准确性。</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3.21.</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olor w:val="000000"/>
                <w:highlight w:val="none"/>
              </w:rPr>
            </w:pPr>
            <w:r>
              <w:rPr>
                <w:rFonts w:hint="eastAsia" w:ascii="宋体" w:hAnsi="宋体" w:cs="宋体"/>
                <w:color w:val="000000"/>
                <w:highlight w:val="none"/>
                <w:lang w:bidi="ar"/>
              </w:rPr>
              <w:t xml:space="preserve">可在临床任意终端筛选查看不同类型特殊检查的原始报告或重构后的结构化报告，支持纯WEB类WORD报告显示模式，支持PDF报告调阅，调阅报告时可查看申请单信息。</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3.22.</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基础数据统计:对检查人次、检查项目数量、检查阳性率、报告出具时间等基础数据进行统计，并以图表形式直观展示，方便用户快速掌握特检功能检查工作的整体情况。</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3.23.</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多维数据分析:支持按时间、科室、医生、患者类型、检查项目等多个维度对检查数据进行交叉分析。对比不同医生的检查效率和诊断准确率，为绩效考核提供依据。分析不同检查项目的阳性率和诊断价值，优化检查项目组合。</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3.24.</w:t>
            </w:r>
            <w:r>
              <w:rPr>
                <w:highlight w:val="none"/>
              </w:rPr>
            </w:r>
            <w:r/>
          </w:p>
        </w:tc>
        <w:tc>
          <w:tcPr>
            <w:shd w:val="clear" w:color="ffffff" w:themeColor="background1" w:fill="ffffff" w:themeFill="background1"/>
            <w:tcW w:w="4503" w:type="dxa"/>
            <w:vAlign w:val="center"/>
            <w:textDirection w:val="lrTb"/>
            <w:noWrap w:val="false"/>
          </w:tcPr>
          <w:p>
            <w:pPr>
              <w:pStyle w:val="932"/>
              <w:widowControl/>
              <w:rPr>
                <w:rFonts w:ascii="宋体" w:hAnsi="宋体"/>
                <w:color w:val="000000"/>
                <w:highlight w:val="none"/>
              </w:rPr>
            </w:pPr>
            <w:r>
              <w:rPr>
                <w:rFonts w:hint="eastAsia" w:ascii="宋体" w:hAnsi="宋体" w:cs="宋体"/>
                <w:color w:val="000000"/>
                <w:highlight w:val="none"/>
                <w:lang w:bidi="ar"/>
              </w:rPr>
              <w:t xml:space="preserve">定制化报表生成:用户可根据自身需求，定制统计指标、分析维度和图表类型，生成个性化的统计分析报表，满足多样化的数据分析需求。并可将统计分析结果以图表、地图等形式直观呈现，帮助用户快速理解数据背后的规律和趋势。</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3.25.</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用户管理：具备多级多权限多用户的系统管理，针对各项具体业务的查看、修改、删除、撤销等有权限控制。</w:t>
            </w:r>
            <w:r>
              <w:rPr>
                <w:highlight w:val="none"/>
              </w:rPr>
            </w:r>
            <w:r/>
          </w:p>
        </w:tc>
      </w:tr>
      <w:tr>
        <w:trPr>
          <w:trHeight w:val="288"/>
        </w:trPr>
        <w:tc>
          <w:tcPr>
            <w:shd w:val="clear" w:color="ffffff" w:themeColor="background1" w:fill="ffffff" w:themeFill="background1"/>
            <w:tcW w:w="496"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3.26.</w:t>
            </w:r>
            <w:r>
              <w:rPr>
                <w:highlight w:val="none"/>
              </w:rPr>
            </w:r>
            <w:r/>
          </w:p>
        </w:tc>
        <w:tc>
          <w:tcPr>
            <w:shd w:val="clear" w:color="ffffff" w:themeColor="background1" w:fill="ffffff" w:themeFill="background1"/>
            <w:tcW w:w="4503" w:type="dxa"/>
            <w:vAlign w:val="center"/>
            <w:textDirection w:val="lrTb"/>
            <w:noWrap w:val="false"/>
          </w:tcPr>
          <w:p>
            <w:pPr>
              <w:pStyle w:val="932"/>
              <w:jc w:val="left"/>
              <w:widowControl/>
              <w:rPr>
                <w:rFonts w:ascii="宋体" w:hAnsi="宋体"/>
                <w:color w:val="000000"/>
                <w:highlight w:val="none"/>
              </w:rPr>
            </w:pPr>
            <w:r>
              <w:rPr>
                <w:rFonts w:hint="eastAsia" w:ascii="宋体" w:hAnsi="宋体" w:cs="宋体"/>
                <w:color w:val="000000"/>
                <w:highlight w:val="none"/>
                <w:lang w:bidi="ar"/>
              </w:rPr>
              <w:t xml:space="preserve">多院区分级管理：支持多院区报告的接收，不同院区的医生对报告的审核，查询等管理流程。</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Start w:id="199" w:name="_Toc20218"/>
      <w:r>
        <w:rPr>
          <w:highlight w:val="none"/>
        </w:rPr>
      </w:r>
      <w:r/>
    </w:p>
    <w:p>
      <w:pPr>
        <w:pStyle w:val="932"/>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3.影像质控评价与分析</w:t>
      </w:r>
      <w:bookmarkEnd w:id="199"/>
      <w:r>
        <w:rPr>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932"/>
        <w:gridCol w:w="9026"/>
      </w:tblGrid>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val="false"/>
          </w:tcPr>
          <w:p>
            <w:pPr>
              <w:pStyle w:val="932"/>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序号</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详细技术参数</w:t>
            </w:r>
            <w:r>
              <w:rPr>
                <w:highlight w:val="none"/>
              </w:rPr>
            </w:r>
            <w:r/>
          </w:p>
        </w:tc>
      </w:tr>
      <w:tr>
        <w:trPr>
          <w:trHeight w:val="367"/>
        </w:trPr>
        <w:tc>
          <w:tcPr>
            <w:gridSpan w:val="2"/>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9958"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1、总体要求</w:t>
            </w:r>
            <w:r>
              <w:rPr>
                <w:highlight w:val="none"/>
              </w:rPr>
            </w:r>
            <w:r/>
          </w:p>
        </w:tc>
      </w:tr>
      <w:tr>
        <w:trPr>
          <w:trHeight w:val="367"/>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1.1</w:t>
            </w:r>
            <w:r>
              <w:rPr>
                <w:highlight w:val="none"/>
              </w:rPr>
            </w:r>
            <w:r/>
          </w:p>
        </w:tc>
        <w:tc>
          <w:tcPr>
            <w:shd w:val="clear" w:color="ffffff" w:themeColor="background1" w:fill="ffffff" w:themeFill="background1"/>
            <w:tcBorders>
              <w:top w:val="single" w:color="000000" w:sz="8" w:space="0"/>
              <w:left w:val="none" w:color="000000" w:sz="4" w:space="0"/>
              <w:bottom w:val="single" w:color="000000" w:sz="8" w:space="0"/>
              <w:right w:val="single" w:color="000000" w:sz="8" w:space="0"/>
            </w:tcBorders>
            <w:tcW w:w="4531" w:type="dxa"/>
            <w:vAlign w:val="center"/>
            <w:textDirection w:val="lrTb"/>
            <w:noWrap/>
          </w:tcPr>
          <w:p>
            <w:pPr>
              <w:pStyle w:val="932"/>
              <w:widowControl/>
              <w:rPr>
                <w:rFonts w:ascii="宋体" w:hAnsi="宋体" w:cs="宋体"/>
                <w:color w:val="000000"/>
                <w:highlight w:val="none"/>
              </w:rPr>
            </w:pPr>
            <w:r>
              <w:rPr>
                <w:rFonts w:hint="eastAsia" w:ascii="宋体" w:hAnsi="宋体" w:cs="宋体"/>
                <w:color w:val="000000"/>
                <w:highlight w:val="none"/>
                <w:lang w:bidi="ar"/>
              </w:rPr>
              <w:t xml:space="preserve">支持纯WEB架构</w:t>
            </w:r>
            <w:r>
              <w:rPr>
                <w:highlight w:val="none"/>
              </w:rPr>
            </w:r>
            <w:r/>
          </w:p>
        </w:tc>
      </w:tr>
      <w:tr>
        <w:trPr>
          <w:trHeight w:val="367"/>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531" w:type="dxa"/>
            <w:vAlign w:val="center"/>
            <w:textDirection w:val="lrTb"/>
            <w:noWrap/>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支持HTML5浏览器调阅。</w:t>
            </w:r>
            <w:r>
              <w:rPr>
                <w:highlight w:val="none"/>
              </w:rPr>
            </w:r>
            <w:r/>
          </w:p>
        </w:tc>
      </w:tr>
      <w:tr>
        <w:trPr>
          <w:trHeight w:val="367"/>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1.3</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采用信创</w:t>
            </w:r>
            <w:r>
              <w:rPr>
                <w:rFonts w:hint="eastAsia" w:ascii="宋体" w:hAnsi="宋体" w:cs="宋体"/>
                <w:color w:val="000000"/>
                <w:highlight w:val="none"/>
                <w:lang w:bidi="ar"/>
              </w:rPr>
              <w:t xml:space="preserve">数据库。</w:t>
            </w:r>
            <w:r>
              <w:rPr>
                <w:highlight w:val="none"/>
              </w:rPr>
            </w:r>
            <w:r/>
          </w:p>
        </w:tc>
      </w:tr>
      <w:tr>
        <w:trPr>
          <w:trHeight w:val="367"/>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1.4</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影像质控评价与分析（或影像云质控等类似命名）通过信创适配</w:t>
            </w:r>
            <w:r>
              <w:rPr>
                <w:rStyle w:val="1057"/>
                <w:rFonts w:hint="eastAsia" w:ascii="宋体" w:hAnsi="宋体" w:cs="宋体"/>
                <w:color w:val="000000"/>
                <w:sz w:val="21"/>
                <w:szCs w:val="21"/>
                <w:highlight w:val="none"/>
                <w:lang w:bidi="ar"/>
              </w:rPr>
              <w:t xml:space="preserve">。</w:t>
            </w:r>
            <w:r>
              <w:rPr>
                <w:highlight w:val="none"/>
              </w:rPr>
            </w:r>
            <w:r/>
          </w:p>
        </w:tc>
      </w:tr>
      <w:tr>
        <w:trPr>
          <w:trHeight w:val="367"/>
        </w:trPr>
        <w:tc>
          <w:tcPr>
            <w:gridSpan w:val="2"/>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995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2、技术质控评价</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2.1</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能显示检查报告数据和根据检查号关联的技术质控数据及对应的技术质控历史记录。</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2.2</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支持对整个影像中心检查随机抽取进行质控管理评价。</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支持技术质控评价，评价时通过评价因子自动得出评价结果的智能评价功。</w:t>
            </w:r>
            <w:r>
              <w:rPr>
                <w:highlight w:val="none"/>
              </w:rPr>
            </w:r>
            <w:r/>
          </w:p>
        </w:tc>
      </w:tr>
      <w:tr>
        <w:trPr>
          <w:trHeight w:val="73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2.4</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评价因子设置：可新增、修改、删除当前报告数据对应部门下的技术质控的评价因子数据。</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2.5</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结果设置：可新增、修改、删除当前报告数据对应部门下的技术质控的报告质量数据。</w:t>
            </w:r>
            <w:r>
              <w:rPr>
                <w:highlight w:val="none"/>
              </w:rPr>
            </w:r>
            <w:r/>
          </w:p>
        </w:tc>
      </w:tr>
      <w:tr>
        <w:trPr>
          <w:trHeight w:val="367"/>
        </w:trPr>
        <w:tc>
          <w:tcPr>
            <w:gridSpan w:val="2"/>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995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3、诊断质控评价</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3.1</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能显示检查报告数据和根据检查号关联的诊断质控数据及对应的诊断质控历史记录。</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3.2</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支持对整个影像云平台检查随机抽取进行质控管理评价。</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3.3</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支持诊断质控评价，评价时通过评价因子自动得出评价结果的智能评价功。</w:t>
            </w:r>
            <w:r>
              <w:rPr>
                <w:highlight w:val="none"/>
              </w:rPr>
            </w:r>
            <w:r/>
          </w:p>
        </w:tc>
      </w:tr>
      <w:tr>
        <w:trPr>
          <w:trHeight w:val="401"/>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3.4</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评价因子设置：可新增、修改、删除当前报告数据对应部门下的诊断质控的评价因子数据。</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3.5</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结果设置：可新增、修改、删除当前报告数据对应部门下的诊断质控的报告质量数据。</w:t>
            </w:r>
            <w:r>
              <w:rPr>
                <w:highlight w:val="none"/>
              </w:rPr>
            </w:r>
            <w:r/>
          </w:p>
        </w:tc>
      </w:tr>
      <w:tr>
        <w:trPr>
          <w:trHeight w:val="367"/>
        </w:trPr>
        <w:tc>
          <w:tcPr>
            <w:gridSpan w:val="2"/>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995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4、基础质控分析</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4.1</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判断报告医生和审核医生是否同一人。</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4.2</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判断检查时间和审核时间是否超过2 个小时。</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4.3</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判断是否存在身份证号、手机号、检查日期、报告日期、审核日期为空。</w:t>
            </w:r>
            <w:r>
              <w:rPr>
                <w:highlight w:val="none"/>
              </w:rPr>
            </w:r>
            <w:r/>
          </w:p>
        </w:tc>
      </w:tr>
      <w:tr>
        <w:trPr>
          <w:trHeight w:val="367"/>
        </w:trPr>
        <w:tc>
          <w:tcPr>
            <w:gridSpan w:val="2"/>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995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b/>
                <w:bCs/>
                <w:color w:val="000000"/>
                <w:highlight w:val="none"/>
                <w:lang w:bidi="ar"/>
              </w:rPr>
              <w:t xml:space="preserve">5、影像质控统计</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5.1</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技术质控统计：根据医院、部门、设备、评价结果分组统计技术质控数据的数量。</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5.2</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诊断质控统计：根据医院、部门、设备、评定结果分组统计诊断质控数据的数量。</w:t>
            </w:r>
            <w:r>
              <w:rPr>
                <w:highlight w:val="none"/>
              </w:rPr>
            </w:r>
            <w:r/>
          </w:p>
        </w:tc>
      </w:tr>
      <w:tr>
        <w:trPr>
          <w:trHeight w:val="10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5.3</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信息完整统计：列表显示身份证号、手机号、检查日期、报告日期、审核日期为空的检查报告数据，支持折线图和柱形图显示根据医院、部门和审核日期分组统计的信息不完整数据的数量。</w:t>
            </w:r>
            <w:r>
              <w:rPr>
                <w:highlight w:val="none"/>
              </w:rPr>
            </w:r>
            <w:r/>
          </w:p>
        </w:tc>
      </w:tr>
      <w:tr>
        <w:trPr>
          <w:trHeight w:val="73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5.4</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数据规范统计：列表显示报告医院和审核医院为同一人的检查报告数据，支持折线图和柱形图显示根据医院、部门和审核日期分组统计的数据不规范的数量。</w:t>
            </w:r>
            <w:r>
              <w:rPr>
                <w:highlight w:val="none"/>
              </w:rPr>
            </w:r>
            <w:r/>
          </w:p>
        </w:tc>
      </w:tr>
      <w:tr>
        <w:trPr>
          <w:trHeight w:val="10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5.5</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报告及时率统计：列表显示检查时间和审核时间超过 2 个小时的检查报告数据，支持折线图显示根据医院、部门和审核日期分组统计的报告不及时的数量。</w:t>
            </w:r>
            <w:r>
              <w:rPr>
                <w:highlight w:val="none"/>
              </w:rPr>
            </w:r>
            <w:r/>
          </w:p>
        </w:tc>
      </w:tr>
      <w:tr>
        <w:trPr>
          <w:trHeight w:val="375"/>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68" w:type="dxa"/>
            <w:vAlign w:val="center"/>
            <w:textDirection w:val="lrTb"/>
            <w:noWrap/>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5.6</w:t>
            </w:r>
            <w:r>
              <w:rPr>
                <w:highlight w:val="none"/>
              </w:rPr>
            </w:r>
            <w:r/>
          </w:p>
        </w:tc>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4531" w:type="dxa"/>
            <w:vAlign w:val="center"/>
            <w:textDirection w:val="lrTb"/>
            <w:noWrap w:val="false"/>
          </w:tcPr>
          <w:p>
            <w:pPr>
              <w:pStyle w:val="932"/>
              <w:jc w:val="left"/>
              <w:widowControl/>
              <w:rPr>
                <w:rFonts w:ascii="宋体" w:hAnsi="宋体" w:cs="宋体"/>
                <w:color w:val="000000"/>
                <w:highlight w:val="none"/>
              </w:rPr>
            </w:pPr>
            <w:r>
              <w:rPr>
                <w:rFonts w:hint="eastAsia" w:ascii="宋体" w:hAnsi="宋体" w:cs="宋体"/>
                <w:color w:val="000000"/>
                <w:highlight w:val="none"/>
                <w:lang w:bidi="ar"/>
              </w:rPr>
              <w:t xml:space="preserve">上述所有功能采用纯 WEB 架构。</w:t>
            </w:r>
            <w:r>
              <w:rPr>
                <w:highlight w:val="none"/>
              </w:rPr>
            </w:r>
            <w:r/>
          </w:p>
        </w:tc>
      </w:tr>
    </w:tbl>
    <w:p>
      <w:pPr>
        <w:pStyle w:val="932"/>
        <w:ind w:firstLine="482"/>
        <w:spacing w:line="264" w:lineRule="auto"/>
        <w:rPr>
          <w:rFonts w:ascii="宋体" w:hAnsi="宋体" w:cs="宋体"/>
          <w:b/>
          <w:color w:val="000000"/>
          <w:sz w:val="24"/>
          <w:szCs w:val="24"/>
          <w:highlight w:val="none"/>
        </w:rPr>
      </w:pPr>
      <w:r>
        <w:rPr>
          <w:highlight w:val="none"/>
        </w:rPr>
      </w:r>
      <w:bookmarkStart w:id="200" w:name="_Toc4354"/>
      <w:r>
        <w:rPr>
          <w:rFonts w:hint="eastAsia" w:ascii="宋体" w:hAnsi="宋体" w:cs="宋体"/>
          <w:b/>
          <w:color w:val="000000"/>
          <w:sz w:val="24"/>
          <w:szCs w:val="24"/>
          <w:highlight w:val="none"/>
        </w:rPr>
        <w:t xml:space="preserve">4.影像医生端APP</w:t>
      </w:r>
      <w:r>
        <w:rPr>
          <w:highlight w:val="none"/>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8735"/>
      </w:tblGrid>
      <w:tr>
        <w:trPr>
          <w:trHeight w:val="289"/>
        </w:trPr>
        <w:tc>
          <w:tcPr>
            <w:tcW w:w="607" w:type="dxa"/>
            <w:vAlign w:val="center"/>
            <w:textDirection w:val="lrTb"/>
            <w:noWrap/>
          </w:tcPr>
          <w:p>
            <w:pPr>
              <w:pStyle w:val="932"/>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序号</w:t>
            </w:r>
            <w:r>
              <w:rPr>
                <w:highlight w:val="none"/>
              </w:rPr>
            </w:r>
            <w:r/>
          </w:p>
        </w:tc>
        <w:tc>
          <w:tcPr>
            <w:tcW w:w="4392" w:type="dxa"/>
            <w:vAlign w:val="center"/>
            <w:textDirection w:val="lrTb"/>
            <w:noWrap/>
          </w:tcPr>
          <w:p>
            <w:pPr>
              <w:pStyle w:val="932"/>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功能说明与描述</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支持用户查看个人影像数据</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支持用户查看个人档案数据</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支持检查报告扫描调阅</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支持针对图像部分直接以DICOM方式进行影像调阅</w:t>
            </w:r>
            <w:r>
              <w:rPr>
                <w:highlight w:val="none"/>
              </w:rPr>
            </w:r>
            <w:r/>
          </w:p>
        </w:tc>
      </w:tr>
      <w:tr>
        <w:trPr>
          <w:trHeight w:val="564"/>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支持可在移动设备上进行图像放大缩小、窗宽窗位调节、大小长度测量；</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支持点CT值测量及画圈平均CT值测量功能</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支持角度测量功能</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支持根据窗宽窗位自定义设置并进行选择功能（如选择肺窗、纵膈窗）</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支持MPR功能，支持冠状面、矢状面快速切换及图像滚动；</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支持MIP功能 ；</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支持层厚重建功能</w:t>
            </w:r>
            <w:r>
              <w:rPr>
                <w:highlight w:val="none"/>
              </w:rPr>
            </w:r>
            <w:r/>
          </w:p>
        </w:tc>
      </w:tr>
      <w:tr>
        <w:trPr>
          <w:trHeight w:val="297"/>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支持单个图像翻阅功能</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支持支持查看历史相关报告</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图像缩略图</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图像动态播放显示</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支持图像黑白翻转</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支持图像左右翻转</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支持图像上下翻转</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支持图像重载</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支持图像布局显示</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支持图像对比显示</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支持序列布局显示</w:t>
            </w:r>
            <w:r>
              <w:rPr>
                <w:highlight w:val="none"/>
              </w:rPr>
            </w:r>
            <w:r/>
          </w:p>
        </w:tc>
      </w:tr>
      <w:tr>
        <w:trPr>
          <w:trHeight w:val="289"/>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widowControl/>
              <w:rPr>
                <w:rFonts w:hint="eastAsia" w:ascii="宋体" w:hAnsi="宋体" w:cs="宋体"/>
                <w:color w:val="000000"/>
                <w:highlight w:val="none"/>
              </w:rPr>
            </w:pPr>
            <w:r>
              <w:rPr>
                <w:rFonts w:hint="eastAsia" w:ascii="宋体" w:hAnsi="宋体" w:cs="宋体"/>
                <w:color w:val="000000"/>
                <w:highlight w:val="none"/>
                <w:lang w:bidi="ar"/>
              </w:rPr>
              <w:t xml:space="preserve">拥有VR功能，且支持同一个界面上进行MPR冠状面、MPR矢状面轴状位快速切换。</w:t>
            </w:r>
            <w:r>
              <w:rPr>
                <w:highlight w:val="none"/>
              </w:rPr>
            </w:r>
            <w:r/>
          </w:p>
        </w:tc>
      </w:tr>
      <w:tr>
        <w:trPr>
          <w:trHeight w:val="564"/>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shd w:val="clear" w:color="auto" w:fill="ffffff"/>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支持医生根据权限账号进行登录</w:t>
            </w:r>
            <w:r>
              <w:rPr>
                <w:highlight w:val="none"/>
              </w:rPr>
            </w:r>
            <w:r/>
          </w:p>
        </w:tc>
      </w:tr>
      <w:tr>
        <w:trPr>
          <w:trHeight w:val="564"/>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支持医生随时随地调阅报告图像，并且能够通过检查部门、检查状态、患者类型、检查时间、患者姓名等筛选患者</w:t>
            </w:r>
            <w:r>
              <w:rPr>
                <w:highlight w:val="none"/>
              </w:rPr>
            </w:r>
            <w:r/>
          </w:p>
        </w:tc>
      </w:tr>
      <w:tr>
        <w:trPr>
          <w:trHeight w:val="564"/>
        </w:trPr>
        <w:tc>
          <w:tcPr>
            <w:tcW w:w="607" w:type="dxa"/>
            <w:vAlign w:val="center"/>
            <w:textDirection w:val="lrTb"/>
            <w:noWrap/>
          </w:tcPr>
          <w:p>
            <w:pPr>
              <w:pStyle w:val="932"/>
              <w:numPr>
                <w:ilvl w:val="1"/>
                <w:numId w:val="6"/>
              </w:numPr>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W w:w="4392" w:type="dxa"/>
            <w:vAlign w:val="center"/>
            <w:textDirection w:val="lrTb"/>
            <w:noWrap w:val="false"/>
          </w:tcPr>
          <w:p>
            <w:pPr>
              <w:pStyle w:val="932"/>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支持在调阅图像报告时，查看患者相关检查。</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5.AI赋能应用</w:t>
      </w:r>
      <w:bookmarkEnd w:id="200"/>
      <w:r>
        <w:rPr>
          <w:highlight w:val="none"/>
        </w:rPr>
      </w:r>
      <w:r/>
    </w:p>
    <w:p>
      <w:pPr>
        <w:pStyle w:val="932"/>
        <w:ind w:firstLine="482"/>
        <w:spacing w:line="264" w:lineRule="auto"/>
        <w:rPr>
          <w:rFonts w:hint="eastAsia" w:ascii="宋体" w:hAnsi="宋体" w:cs="宋体"/>
          <w:b/>
          <w:color w:val="000000"/>
          <w:sz w:val="24"/>
          <w:szCs w:val="24"/>
          <w:highlight w:val="none"/>
        </w:rPr>
      </w:pPr>
      <w:r>
        <w:rPr>
          <w:highlight w:val="none"/>
        </w:rPr>
      </w:r>
      <w:bookmarkStart w:id="201" w:name="_Toc5367"/>
      <w:r>
        <w:rPr>
          <w:rFonts w:hint="eastAsia" w:ascii="宋体" w:hAnsi="宋体" w:cs="宋体"/>
          <w:b/>
          <w:color w:val="000000"/>
          <w:sz w:val="24"/>
          <w:szCs w:val="24"/>
          <w:highlight w:val="none"/>
        </w:rPr>
        <w:t xml:space="preserve">5.1 图像AI技术质控</w:t>
      </w:r>
      <w:bookmarkEnd w:id="201"/>
      <w:r>
        <w:rPr>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080"/>
        <w:gridCol w:w="8880"/>
      </w:tblGrid>
      <w:tr>
        <w:trPr>
          <w:trHeight w:val="270"/>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序号</w:t>
            </w:r>
            <w:r>
              <w:rPr>
                <w:highlight w:val="none"/>
              </w:rPr>
            </w:r>
            <w:r/>
          </w:p>
        </w:tc>
        <w:tc>
          <w:tcPr>
            <w:shd w:val="clear" w:color="ffffff" w:themeColor="background1" w:fill="ffffff" w:themeFill="background1"/>
            <w:tcBorders>
              <w:top w:val="single" w:color="000000" w:sz="8" w:space="0"/>
              <w:left w:val="none" w:color="000000" w:sz="4" w:space="0"/>
              <w:bottom w:val="single" w:color="000000" w:sz="8" w:space="0"/>
              <w:right w:val="single" w:color="000000" w:sz="8" w:space="0"/>
            </w:tcBorders>
            <w:tcW w:w="4457"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r>
              <w:rPr>
                <w:highlight w:val="none"/>
              </w:rPr>
            </w:r>
            <w:r/>
          </w:p>
        </w:tc>
      </w:tr>
      <w:tr>
        <w:trPr>
          <w:trHeight w:val="300"/>
        </w:trPr>
        <w:tc>
          <w:tcPr>
            <w:gridSpan w:val="2"/>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9960"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1、总体要求</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支持容器化部署架构。</w:t>
            </w:r>
            <w:r>
              <w:rPr>
                <w:highlight w:val="none"/>
              </w:rPr>
            </w:r>
            <w:r/>
          </w:p>
        </w:tc>
      </w:tr>
      <w:tr>
        <w:trPr>
          <w:trHeight w:val="9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支持纯WEB架构。</w:t>
            </w:r>
            <w:r>
              <w:rPr>
                <w:highlight w:val="none"/>
              </w:rPr>
            </w:r>
            <w:r/>
          </w:p>
        </w:tc>
      </w:tr>
      <w:tr>
        <w:trPr>
          <w:trHeight w:val="416"/>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1.3</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支持HTML5浏览器调阅。</w:t>
            </w:r>
            <w:r>
              <w:rPr>
                <w:highlight w:val="none"/>
              </w:rPr>
            </w:r>
            <w:r/>
          </w:p>
        </w:tc>
      </w:tr>
      <w:tr>
        <w:trPr>
          <w:trHeight w:val="9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1.4</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支持信创数据库。</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1.5</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影像AI质控符合影像检查质量标准从项目内涵准确、图像获取符合操作规范、图像处理得当、图像满足诊断需求、图像上信息准确等多个维度进行评价。</w:t>
            </w:r>
            <w:r>
              <w:rPr>
                <w:highlight w:val="none"/>
              </w:rPr>
            </w:r>
            <w:r/>
          </w:p>
        </w:tc>
      </w:tr>
      <w:tr>
        <w:trPr>
          <w:trHeight w:val="641"/>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1.6</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支持对图像获取是否符合操作规范进行AI质控，包括患者体位、检查范围、检查参数设置、层厚层间距等。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1.7</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支持对图像处理是否得当进行AI质控，包括图像窗宽窗中心、重建算法、灰度对比度、图像清晰度、FOV、图像显示方向、图像显示顺序和 MPR、VR 等后处理等。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1.8</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支持对图像是否满足诊断需求进行AI质控，包括有意义的病变包全病灶，无异物或异物不影响诊断，无伪影或伪影不影响诊断等。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1.9</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支持对图像上信息是否准确进行AI质控，包括图像上应有医院名称、检查时间、患者编号、患者信息（姓名、性别、年 龄等）、主要检查参数等信息，标识标记准确摆放等。</w:t>
            </w:r>
            <w:r>
              <w:rPr>
                <w:highlight w:val="none"/>
              </w:rPr>
            </w:r>
            <w:r/>
          </w:p>
        </w:tc>
      </w:tr>
      <w:tr>
        <w:trPr>
          <w:trHeight w:val="345"/>
        </w:trPr>
        <w:tc>
          <w:tcPr>
            <w:gridSpan w:val="2"/>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9960"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2、DR图像AI质控</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从DR项目内涵准确、图像获取符合操作规范、图像处理得当、图像满足诊断需求、图像上的信息准确五个维度进行质控评价。</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提供不少于13个细项进行评分和质控。</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患者摆位进行AI质控和评分，如体位摆放是否合适，是否偏斜等；支持对图像范围两侧肋骨外缘、两侧肋膈角和肺尖上软组织是否包含进行AI质控和评分；支持对影像是否居于图像正中位置进行AI质控和评分；支持对肩胛骨投影是否于肺野之外进行AI质控和评分；支持对双侧胸锁关节是否对称，双侧锁骨是否等高并趋于水平进行AI质控和评分。（</w:t>
            </w:r>
            <w:r>
              <w:rPr>
                <w:rFonts w:hint="eastAsia" w:ascii="宋体" w:hAnsi="宋体" w:cs="宋体"/>
                <w:color w:val="000000"/>
                <w:highlight w:val="none"/>
                <w:lang w:bidi="ar"/>
              </w:rPr>
              <w:t xml:space="preserve">提供</w:t>
            </w:r>
            <w:r>
              <w:rPr>
                <w:rFonts w:hint="eastAsia" w:cs="宋体"/>
                <w:color w:val="000000"/>
                <w:highlight w:val="none"/>
                <w:lang w:bidi="ar"/>
              </w:rPr>
              <w:t xml:space="preserve">界面截图证明） </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2.4.</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支持对肩部软组织上空曝区是否在30~50mm之间进行AI质控和评分；支持对FOV大小是否适中进行AI质控和评分；支持对图像曝光度，肺纹理显示清楚度进行AI质控和评分，等各种质控及评分。</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2.5.</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支持自动识别异物，并分级判断异物影响程度。</w:t>
            </w:r>
            <w:r>
              <w:rPr>
                <w:highlight w:val="none"/>
              </w:rPr>
            </w:r>
            <w:r/>
          </w:p>
        </w:tc>
      </w:tr>
      <w:tr>
        <w:trPr>
          <w:trHeight w:val="541"/>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2.6.</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支持自动检测检查信息是否准确，包括医疗机构名称、设备检查时间、患者检查编号、患者基本信息等。</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2.7.</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支持自动检查图像标识是否有误，如左右标识；支持自动检测图像标识位置是否规范，是否有遮挡解剖结构。</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2.8.</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根据质控项目的扣分情况自动统计整体的质控评分，自动将图像进行质控归类，分为优秀、中等、不合格；支持查看每个质控扣分项的扣分原因、质控数据等细则。可根据质控分项自动出具质控报告，并支持导出。</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ascii="宋体" w:hAnsi="宋体" w:cs="宋体"/>
                <w:color w:val="000000"/>
                <w:highlight w:val="none"/>
              </w:rPr>
            </w:pPr>
            <w:r>
              <w:rPr>
                <w:rFonts w:hint="eastAsia" w:ascii="宋体" w:hAnsi="宋体" w:cs="宋体"/>
                <w:color w:val="000000"/>
                <w:highlight w:val="none"/>
                <w:lang w:bidi="ar"/>
              </w:rPr>
              <w:t xml:space="preserve">▲2.9.</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ascii="宋体" w:hAnsi="宋体" w:cs="宋体"/>
                <w:color w:val="000000"/>
                <w:highlight w:val="none"/>
                <w:lang w:bidi="ar"/>
              </w:rPr>
              <w:t xml:space="preserve">需提供至少一个部位的自有软件研发能力证明，提供相关DR图像部位的AI质控软件著作权证书。</w:t>
            </w:r>
            <w:r>
              <w:rPr>
                <w:highlight w:val="none"/>
              </w:rPr>
            </w:r>
            <w:r/>
          </w:p>
        </w:tc>
      </w:tr>
      <w:tr>
        <w:trPr>
          <w:trHeight w:val="300"/>
        </w:trPr>
        <w:tc>
          <w:tcPr>
            <w:gridSpan w:val="2"/>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9960"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3、CT胸部图像AI质控</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从CT项目内涵准确、图像获取符合操作规范、图像处理得当、图像满足诊断需求、图像上的信息准确五个维度进行质控评价。</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提供23个细项进行评分和质控。</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3.3</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支持对对码和项目内涵准确性与一致性进行AI质控，并根据准确率进行自动分级评分。</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3.4</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支持对患者摆位进行AI质控，如体位摆放是否合适，是否偏斜、重叠等。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3.5</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支持自动判断是否为胸部正位定位图像；支持自动判断是否为横断面螺旋方式扫描。</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3.6</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扫描范围：肺尖至肺底，胸壁组织包全，进行AI质控和评分；支持扫描参数是否符合质控范围进行AI质控和评分；支持分别采用高分辨算法和软组织算法重建肺窗和软组织窗图像进行AI质控和评分；支持对重建层厚大小、高分辨CT 肺窗层厚大小进行AI质控和评分；支持根据检查者体形对FOV大小是否适中进行AI质控和评分；支持对图像中心是否偏移、旋转进行AI质控和评分等。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3.7</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轴位两侧结构是否对称进行AI质控和评分；支持对肺窗窗宽窗位，纵膈窗窗宽窗位是否适中进行AI质控和评分；支持对灰度对比度，不同组织分辨清楚度进行AI质控和评分；支持对图像清晰度进行AI质控和评分；支持对病变范围，有意义的病变包全病灶进行AI质控和评分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3.8</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支持自动识别图像伪影，并分级判断伪影影响程度。支持标识异物和金属伪影的序列号，并在图像中框选定位坐标。</w:t>
            </w:r>
            <w:r>
              <w:rPr>
                <w:highlight w:val="none"/>
              </w:rPr>
            </w:r>
            <w:r/>
          </w:p>
        </w:tc>
      </w:tr>
      <w:tr>
        <w:trPr>
          <w:trHeight w:val="58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3.9</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支持自动检测图像上的信息是否准确，包括医疗机构名称、设备检查时间、患者检查编号、患者基本信息等。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3.10</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支持自动检查kV、mAs、窗宽窗中心等主要检查参数是否准确；支持自动检查图像标识是否有误，如左右、前后标识等。</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3.11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根据质控项目的扣分情况自动统计整体的质控评分，可查看每个质控扣分项的扣分原因、质控数据等细则，并根据质控评分自动将图像进行质控归类，分为优秀、中等、不合格，以及根据质控分项自动出具质控报告，并支持导出。</w:t>
            </w:r>
            <w:r>
              <w:rPr>
                <w:highlight w:val="none"/>
              </w:rPr>
            </w:r>
            <w:r/>
          </w:p>
        </w:tc>
      </w:tr>
      <w:tr>
        <w:trPr>
          <w:trHeight w:val="300"/>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42" w:type="dxa"/>
            <w:vAlign w:val="center"/>
            <w:textDirection w:val="lrTb"/>
            <w:noWrap w:val="false"/>
          </w:tcPr>
          <w:p>
            <w:pPr>
              <w:pStyle w:val="932"/>
              <w:jc w:val="center"/>
              <w:widowControl/>
              <w:rPr>
                <w:rFonts w:cs="宋体"/>
                <w:color w:val="000000"/>
                <w:highlight w:val="none"/>
              </w:rPr>
            </w:pPr>
            <w:r>
              <w:rPr>
                <w:rFonts w:hint="eastAsia" w:cs="宋体"/>
                <w:color w:val="000000"/>
                <w:highlight w:val="none"/>
                <w:lang w:bidi="ar"/>
              </w:rPr>
              <w:t xml:space="preserve">3.12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57" w:type="dxa"/>
            <w:vAlign w:val="center"/>
            <w:textDirection w:val="lrTb"/>
            <w:noWrap w:val="false"/>
          </w:tcPr>
          <w:p>
            <w:pPr>
              <w:pStyle w:val="932"/>
              <w:jc w:val="left"/>
              <w:widowControl/>
              <w:rPr>
                <w:rFonts w:cs="宋体"/>
                <w:color w:val="000000"/>
                <w:highlight w:val="none"/>
              </w:rPr>
            </w:pPr>
            <w:r>
              <w:rPr>
                <w:rFonts w:hint="eastAsia" w:ascii="宋体" w:hAnsi="宋体" w:cs="宋体"/>
                <w:color w:val="000000"/>
                <w:highlight w:val="none"/>
                <w:lang w:bidi="ar"/>
              </w:rPr>
              <w:t xml:space="preserve">需提供至少一个部位的自有软件研发能力证明，提供相关CT图像部位的AI质控软件著作权证书。</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Start w:id="202" w:name="_Toc2589"/>
      <w:r>
        <w:rPr>
          <w:rFonts w:hint="eastAsia" w:ascii="宋体" w:hAnsi="宋体" w:cs="宋体"/>
          <w:b/>
          <w:color w:val="000000"/>
          <w:sz w:val="24"/>
          <w:szCs w:val="24"/>
          <w:highlight w:val="none"/>
        </w:rPr>
        <w:t xml:space="preserve">5.2 AI报告纠错</w:t>
      </w:r>
      <w:bookmarkEnd w:id="202"/>
      <w:r>
        <w:rPr>
          <w:highlight w:val="none"/>
        </w:rPr>
      </w:r>
      <w:r/>
    </w:p>
    <w:tbl>
      <w:tblPr>
        <w:tblW w:w="5173"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01"/>
        <w:gridCol w:w="9206"/>
      </w:tblGrid>
      <w:tr>
        <w:trPr>
          <w:trHeight w:val="270"/>
        </w:trPr>
        <w:tc>
          <w:tcPr>
            <w:shd w:val="clear" w:color="ffffff" w:themeColor="background1" w:fill="ffffff" w:themeFill="background1"/>
            <w:tcW w:w="534"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序号</w:t>
            </w:r>
            <w:r>
              <w:rPr>
                <w:highlight w:val="none"/>
              </w:rPr>
            </w:r>
            <w:r/>
          </w:p>
        </w:tc>
        <w:tc>
          <w:tcPr>
            <w:shd w:val="clear" w:color="ffffff" w:themeColor="background1" w:fill="ffffff" w:themeFill="background1"/>
            <w:tcW w:w="4465"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r>
              <w:rPr>
                <w:highlight w:val="none"/>
              </w:rPr>
            </w:r>
            <w:r/>
          </w:p>
        </w:tc>
      </w:tr>
      <w:tr>
        <w:trPr>
          <w:trHeight w:val="300"/>
        </w:trPr>
        <w:tc>
          <w:tcPr>
            <w:gridSpan w:val="2"/>
            <w:shd w:val="clear" w:color="ffffff" w:themeColor="background1" w:fill="ffffff" w:themeFill="background1"/>
            <w:tcW w:w="10307" w:type="dxa"/>
            <w:vAlign w:val="center"/>
            <w:textDirection w:val="lrTb"/>
            <w:noWrap w:val="false"/>
          </w:tcPr>
          <w:p>
            <w:pPr>
              <w:pStyle w:val="932"/>
              <w:ind w:left="425" w:hanging="425"/>
              <w:jc w:val="center"/>
              <w:widowControl/>
              <w:rPr>
                <w:rFonts w:cs="宋体"/>
                <w:b/>
                <w:bCs/>
                <w:color w:val="000000"/>
                <w:highlight w:val="none"/>
              </w:rPr>
            </w:pPr>
            <w:r>
              <w:rPr>
                <w:rFonts w:cs="宋体"/>
                <w:b/>
                <w:bCs/>
                <w:color w:val="000000"/>
                <w:highlight w:val="none"/>
              </w:rPr>
              <w:t xml:space="preserve">1.</w:t>
            </w:r>
            <w:r>
              <w:rPr>
                <w:rFonts w:hint="eastAsia" w:cs="宋体"/>
                <w:b/>
                <w:bCs/>
                <w:color w:val="000000"/>
                <w:highlight w:val="none"/>
                <w:lang w:bidi="ar"/>
              </w:rPr>
              <w:t xml:space="preserve">总体要求</w:t>
            </w:r>
            <w:r>
              <w:rPr>
                <w:highlight w:val="none"/>
              </w:rPr>
            </w:r>
            <w:r/>
          </w:p>
        </w:tc>
      </w:tr>
      <w:tr>
        <w:trPr>
          <w:trHeight w:val="165"/>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1.1.</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支持HTML5浏览器中调阅。</w:t>
            </w:r>
            <w:r>
              <w:rPr>
                <w:highlight w:val="none"/>
              </w:rPr>
            </w:r>
            <w:r/>
          </w:p>
        </w:tc>
      </w:tr>
      <w:tr>
        <w:trPr>
          <w:trHeight w:val="9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1.2.</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支持报告内容</w:t>
            </w:r>
            <w:r>
              <w:rPr>
                <w:rFonts w:hint="eastAsia" w:ascii="宋体" w:hAnsi="宋体" w:cs="宋体"/>
                <w:color w:val="000000"/>
                <w:highlight w:val="none"/>
              </w:rPr>
              <w:t xml:space="preserve">纠错反馈，通过自动化分析减少人为错误。</w:t>
            </w:r>
            <w:r>
              <w:rPr>
                <w:highlight w:val="none"/>
              </w:rPr>
            </w:r>
            <w:r/>
          </w:p>
        </w:tc>
      </w:tr>
      <w:tr>
        <w:trPr>
          <w:trHeight w:val="416"/>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1.3.</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支持针对与报告影像结合检查部位动态生成诊断内容。</w:t>
            </w:r>
            <w:r>
              <w:rPr>
                <w:highlight w:val="none"/>
              </w:rPr>
            </w:r>
            <w:r/>
          </w:p>
        </w:tc>
      </w:tr>
      <w:tr>
        <w:trPr>
          <w:trHeight w:val="300"/>
        </w:trPr>
        <w:tc>
          <w:tcPr>
            <w:gridSpan w:val="2"/>
            <w:shd w:val="clear" w:color="ffffff" w:themeColor="background1" w:fill="ffffff" w:themeFill="background1"/>
            <w:tcW w:w="10307" w:type="dxa"/>
            <w:vAlign w:val="center"/>
            <w:textDirection w:val="lrTb"/>
            <w:noWrap w:val="false"/>
          </w:tcPr>
          <w:p>
            <w:pPr>
              <w:pStyle w:val="932"/>
              <w:ind w:left="425" w:hanging="425"/>
              <w:jc w:val="center"/>
              <w:widowControl/>
              <w:rPr>
                <w:rFonts w:cs="宋体"/>
                <w:color w:val="000000"/>
                <w:highlight w:val="none"/>
              </w:rPr>
            </w:pPr>
            <w:r>
              <w:rPr>
                <w:rFonts w:cs="宋体"/>
                <w:b/>
                <w:bCs/>
                <w:color w:val="000000"/>
                <w:highlight w:val="none"/>
                <w:lang w:bidi="ar"/>
              </w:rPr>
              <w:t xml:space="preserve">2.</w:t>
            </w:r>
            <w:r>
              <w:rPr>
                <w:rFonts w:hint="eastAsia" w:cs="宋体"/>
                <w:b/>
                <w:bCs/>
                <w:color w:val="000000"/>
                <w:highlight w:val="none"/>
                <w:lang w:bidi="ar"/>
              </w:rPr>
              <w:t xml:space="preserve">AI报告纠错</w:t>
            </w:r>
            <w:r>
              <w:rPr>
                <w:highlight w:val="none"/>
              </w:rPr>
            </w:r>
            <w:r/>
          </w:p>
        </w:tc>
      </w:tr>
      <w:tr>
        <w:trPr>
          <w:trHeight w:val="585"/>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2.1.</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通过AI技术快速判断书写的报告影像描述、影像结构是否有错别字，并提供独立的报告纠错页面，支持复制粘贴文本到纠错诊端页面，支持在线编辑报告表现与诊断内容。</w:t>
            </w:r>
            <w:r>
              <w:rPr>
                <w:highlight w:val="none"/>
              </w:rPr>
            </w:r>
            <w:r/>
          </w:p>
        </w:tc>
      </w:tr>
      <w:tr>
        <w:trPr>
          <w:trHeight w:val="30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2.2.</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支持编辑内容设置字号，支持在维护中心添加额外的字号设置；支持对编辑中的内容进行单项复制，全部复制、清空、以及对应的文本纠错，纠错内容包括支持错别字纠错、检查性别部位等识别。</w:t>
            </w:r>
            <w:r>
              <w:rPr>
                <w:highlight w:val="none"/>
              </w:rPr>
            </w:r>
            <w:r/>
          </w:p>
        </w:tc>
      </w:tr>
      <w:tr>
        <w:trPr>
          <w:trHeight w:val="30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2.3.</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支持独立的WEB页面、支持与影像管理如RIS系统进行数据双向通信，数据传递，保证双方数据统一。</w:t>
            </w:r>
            <w:r>
              <w:rPr>
                <w:highlight w:val="none"/>
              </w:rPr>
            </w:r>
            <w:r/>
          </w:p>
        </w:tc>
      </w:tr>
      <w:tr>
        <w:trPr>
          <w:trHeight w:val="30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2.4.</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支持实时录音翻译，将翻译的内容显示到对应的编辑框中，也可查看选择当前患者的录音文件，支持单个文件或者全部文件解析，并且自动纠错，支持选中的录音文件一键归档。</w:t>
            </w:r>
            <w:r>
              <w:rPr>
                <w:highlight w:val="none"/>
              </w:rPr>
            </w:r>
            <w:r/>
          </w:p>
        </w:tc>
      </w:tr>
      <w:tr>
        <w:trPr>
          <w:trHeight w:val="30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2.5.</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支持根据检查部位、影像表现动态生成影像诊断内容，允许诊断内容二次纠错。</w:t>
            </w:r>
            <w:r>
              <w:rPr>
                <w:highlight w:val="none"/>
              </w:rPr>
            </w:r>
            <w:r/>
          </w:p>
        </w:tc>
      </w:tr>
      <w:tr>
        <w:trPr>
          <w:trHeight w:val="25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2.6.</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影像报告AI纠错算法无需借助第三方AI大模型,分析时间&lt;2s即可反馈结果。</w:t>
            </w:r>
            <w:r>
              <w:rPr>
                <w:highlight w:val="none"/>
              </w:rPr>
            </w:r>
            <w:r/>
          </w:p>
        </w:tc>
      </w:tr>
      <w:tr>
        <w:trPr>
          <w:trHeight w:val="250"/>
        </w:trPr>
        <w:tc>
          <w:tcPr>
            <w:shd w:val="clear" w:color="ffffff" w:themeColor="background1" w:fill="ffffff" w:themeFill="background1"/>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ascii="宋体" w:hAnsi="宋体" w:cs="宋体"/>
                <w:color w:val="000000"/>
                <w:highlight w:val="none"/>
                <w:lang w:bidi="ar"/>
              </w:rPr>
              <w:t xml:space="preserve">▲</w:t>
            </w:r>
            <w:r>
              <w:rPr>
                <w:rFonts w:hint="eastAsia" w:cs="宋体"/>
                <w:color w:val="000000"/>
                <w:highlight w:val="none"/>
                <w:lang w:bidi="ar"/>
              </w:rPr>
              <w:t xml:space="preserve">2.7.</w:t>
            </w:r>
            <w:r>
              <w:rPr>
                <w:highlight w:val="none"/>
              </w:rPr>
            </w:r>
            <w:r/>
          </w:p>
        </w:tc>
        <w:tc>
          <w:tcPr>
            <w:shd w:val="clear" w:color="ffffff" w:themeColor="background1" w:fill="ffffff" w:themeFill="background1"/>
            <w:tcW w:w="4465" w:type="dxa"/>
            <w:vAlign w:val="center"/>
            <w:textDirection w:val="lrTb"/>
            <w:noWrap w:val="false"/>
          </w:tcPr>
          <w:p>
            <w:pPr>
              <w:pStyle w:val="932"/>
              <w:jc w:val="left"/>
              <w:widowControl/>
              <w:rPr>
                <w:rFonts w:hint="eastAsia" w:cs="宋体"/>
                <w:color w:val="000000"/>
                <w:highlight w:val="none"/>
              </w:rPr>
            </w:pPr>
            <w:r>
              <w:rPr>
                <w:rFonts w:hint="eastAsia" w:ascii="宋体" w:hAnsi="宋体" w:cs="宋体"/>
                <w:color w:val="000000"/>
                <w:highlight w:val="none"/>
                <w:lang w:bidi="ar"/>
              </w:rPr>
              <w:t xml:space="preserve">需提供自有软件研发能力证明，提供相关软件著作权证明。</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Start w:id="203" w:name="_Toc18954"/>
      <w:r>
        <w:rPr>
          <w:rFonts w:hint="eastAsia" w:ascii="宋体" w:hAnsi="宋体" w:cs="宋体"/>
          <w:b/>
          <w:color w:val="000000"/>
          <w:sz w:val="24"/>
          <w:szCs w:val="24"/>
          <w:highlight w:val="none"/>
        </w:rPr>
        <w:t xml:space="preserve">5.3 基于AI语音录入及处理</w:t>
      </w:r>
      <w:bookmarkEnd w:id="203"/>
      <w:r>
        <w:rPr>
          <w:highlight w:val="none"/>
        </w:rPr>
      </w:r>
      <w:r/>
    </w:p>
    <w:tbl>
      <w:tblPr>
        <w:tblW w:w="5173" w:type="pct"/>
        <w:tblInd w:w="-108" w:type="dxa"/>
        <w:shd w:val="clear" w:color="ffffff" w:fill="ffffff"/>
        <w:tblLayout w:type="fixed"/>
        <w:tblCellMar>
          <w:left w:w="108" w:type="dxa"/>
          <w:top w:w="0" w:type="dxa"/>
          <w:right w:w="108" w:type="dxa"/>
          <w:bottom w:w="0" w:type="dxa"/>
        </w:tblCellMar>
        <w:tblLook w:val="04A0" w:firstRow="1" w:lastRow="0" w:firstColumn="1" w:lastColumn="0" w:noHBand="0" w:noVBand="1"/>
      </w:tblPr>
      <w:tblGrid>
        <w:gridCol w:w="1101"/>
        <w:gridCol w:w="9206"/>
      </w:tblGrid>
      <w:tr>
        <w:trPr>
          <w:trHeight w:val="270"/>
        </w:trPr>
        <w:tc>
          <w:tcPr>
            <w:shd w:val="clear" w:color="ffffff" w:fill="ffffff"/>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序号</w:t>
            </w:r>
            <w:r>
              <w:rPr>
                <w:highlight w:val="none"/>
              </w:rPr>
            </w:r>
            <w:r/>
          </w:p>
        </w:tc>
        <w:tc>
          <w:tcPr>
            <w:shd w:val="clear" w:color="ffffff" w:fill="ffffff"/>
            <w:tcBorders>
              <w:top w:val="single" w:color="000000" w:sz="8" w:space="0"/>
              <w:left w:val="none" w:color="000000" w:sz="4" w:space="0"/>
              <w:bottom w:val="single" w:color="000000" w:sz="8" w:space="0"/>
              <w:right w:val="single" w:color="000000" w:sz="8" w:space="0"/>
            </w:tcBorders>
            <w:tcW w:w="4465"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r>
              <w:rPr>
                <w:highlight w:val="none"/>
              </w:rPr>
            </w:r>
            <w:r/>
          </w:p>
        </w:tc>
      </w:tr>
      <w:tr>
        <w:trPr>
          <w:trHeight w:val="300"/>
        </w:trPr>
        <w:tc>
          <w:tcPr>
            <w:gridSpan w:val="2"/>
            <w:shd w:val="clear" w:color="ffffff" w:fill="ffffff"/>
            <w:tcBorders>
              <w:top w:val="none" w:color="000000" w:sz="4" w:space="0"/>
              <w:left w:val="single" w:color="000000" w:sz="8" w:space="0"/>
              <w:bottom w:val="single" w:color="000000" w:sz="8" w:space="0"/>
              <w:right w:val="single" w:color="000000" w:sz="8" w:space="0"/>
            </w:tcBorders>
            <w:tcW w:w="10307" w:type="dxa"/>
            <w:vAlign w:val="center"/>
            <w:textDirection w:val="lrTb"/>
            <w:noWrap w:val="false"/>
          </w:tcPr>
          <w:p>
            <w:pPr>
              <w:pStyle w:val="932"/>
              <w:ind w:left="425" w:hanging="425"/>
              <w:jc w:val="center"/>
              <w:widowControl/>
              <w:rPr>
                <w:rFonts w:cs="宋体"/>
                <w:b/>
                <w:bCs/>
                <w:color w:val="000000"/>
                <w:highlight w:val="none"/>
              </w:rPr>
            </w:pPr>
            <w:r>
              <w:rPr>
                <w:rFonts w:cs="宋体"/>
                <w:b/>
                <w:bCs/>
                <w:color w:val="000000"/>
                <w:highlight w:val="none"/>
              </w:rPr>
              <w:t xml:space="preserve">1.</w:t>
            </w:r>
            <w:r>
              <w:rPr>
                <w:rFonts w:hint="eastAsia" w:cs="宋体"/>
                <w:b/>
                <w:bCs/>
                <w:color w:val="000000"/>
                <w:highlight w:val="none"/>
                <w:lang w:bidi="ar"/>
              </w:rPr>
              <w:t xml:space="preserve">总体要求</w:t>
            </w:r>
            <w:r>
              <w:rPr>
                <w:highlight w:val="none"/>
              </w:rPr>
            </w:r>
            <w:r/>
          </w:p>
        </w:tc>
      </w:tr>
      <w:tr>
        <w:trPr>
          <w:trHeight w:val="165"/>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1.1.</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支持HTML5浏览器中调阅</w:t>
            </w:r>
            <w:r>
              <w:rPr>
                <w:highlight w:val="none"/>
              </w:rPr>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1.2.</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支持医生录音或者针对与病人批量录音上传，通过录音文件，统一书写报告</w:t>
            </w:r>
            <w:r>
              <w:rPr>
                <w:rFonts w:cs="宋体"/>
                <w:color w:val="000000"/>
                <w:highlight w:val="none"/>
                <w:lang w:bidi="ar"/>
              </w:rPr>
              <w:t xml:space="preserve">,</w:t>
            </w:r>
            <w:r>
              <w:rPr>
                <w:rFonts w:hint="eastAsia" w:cs="宋体"/>
                <w:color w:val="000000"/>
                <w:highlight w:val="none"/>
                <w:lang w:bidi="ar"/>
              </w:rPr>
              <w:t xml:space="preserve"> 支持录音选择，全部解析，单个录音文件解析，支持实时录音解析</w:t>
            </w:r>
            <w:r>
              <w:rPr>
                <w:highlight w:val="none"/>
              </w:rPr>
            </w:r>
            <w:r/>
          </w:p>
        </w:tc>
      </w:tr>
      <w:tr>
        <w:trPr>
          <w:trHeight w:val="416"/>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1.3.</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支持在线编辑报告内容，支持字号选择，字号添加</w:t>
            </w:r>
            <w:r>
              <w:rPr>
                <w:highlight w:val="none"/>
              </w:rPr>
            </w:r>
            <w:r/>
          </w:p>
        </w:tc>
      </w:tr>
      <w:tr>
        <w:trPr>
          <w:trHeight w:val="345"/>
        </w:trPr>
        <w:tc>
          <w:tcPr>
            <w:gridSpan w:val="2"/>
            <w:shd w:val="clear" w:color="ffffff" w:fill="ffffff"/>
            <w:tcBorders>
              <w:top w:val="none" w:color="000000" w:sz="4" w:space="0"/>
              <w:left w:val="single" w:color="000000" w:sz="8" w:space="0"/>
              <w:bottom w:val="single" w:color="000000" w:sz="8" w:space="0"/>
              <w:right w:val="single" w:color="000000" w:sz="8" w:space="0"/>
            </w:tcBorders>
            <w:tcW w:w="10307" w:type="dxa"/>
            <w:vAlign w:val="center"/>
            <w:textDirection w:val="lrTb"/>
            <w:noWrap w:val="false"/>
          </w:tcPr>
          <w:p>
            <w:pPr>
              <w:pStyle w:val="932"/>
              <w:ind w:left="425" w:hanging="425"/>
              <w:jc w:val="center"/>
              <w:widowControl/>
              <w:rPr>
                <w:rFonts w:cs="宋体"/>
                <w:b/>
                <w:bCs/>
                <w:color w:val="000000"/>
                <w:highlight w:val="none"/>
              </w:rPr>
            </w:pPr>
            <w:r>
              <w:rPr>
                <w:rFonts w:cs="宋体"/>
                <w:b/>
                <w:bCs/>
                <w:color w:val="000000"/>
                <w:highlight w:val="none"/>
              </w:rPr>
              <w:t xml:space="preserve">2.</w:t>
            </w:r>
            <w:r>
              <w:rPr>
                <w:rFonts w:hint="eastAsia" w:cs="宋体"/>
                <w:b/>
                <w:bCs/>
                <w:color w:val="000000"/>
                <w:highlight w:val="none"/>
                <w:lang w:bidi="ar"/>
              </w:rPr>
              <w:t xml:space="preserve">A</w:t>
            </w:r>
            <w:r>
              <w:rPr>
                <w:rFonts w:cs="宋体"/>
                <w:b/>
                <w:bCs/>
                <w:color w:val="000000"/>
                <w:highlight w:val="none"/>
                <w:lang w:bidi="ar"/>
              </w:rPr>
              <w:t xml:space="preserve">I</w:t>
            </w:r>
            <w:r>
              <w:rPr>
                <w:rFonts w:hint="eastAsia" w:cs="宋体"/>
                <w:b/>
                <w:bCs/>
                <w:color w:val="000000"/>
                <w:highlight w:val="none"/>
                <w:lang w:bidi="ar"/>
              </w:rPr>
              <w:t xml:space="preserve">报告录音</w:t>
            </w:r>
            <w:r>
              <w:rPr>
                <w:highlight w:val="none"/>
              </w:rPr>
            </w:r>
            <w:r/>
          </w:p>
        </w:tc>
      </w:tr>
      <w:tr>
        <w:trPr>
          <w:trHeight w:val="300"/>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color w:val="000000"/>
                <w:highlight w:val="none"/>
              </w:rPr>
            </w:pPr>
            <w:r>
              <w:rPr>
                <w:color w:val="000000"/>
                <w:highlight w:val="none"/>
              </w:rPr>
              <w:t xml:space="preserve">2.1.</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支持设置维护录音参数，默认参数为：录音查询范围、最短录音时长</w:t>
            </w:r>
            <w:r>
              <w:rPr>
                <w:highlight w:val="none"/>
              </w:rPr>
            </w:r>
            <w:r/>
          </w:p>
        </w:tc>
      </w:tr>
      <w:tr>
        <w:trPr>
          <w:trHeight w:val="300"/>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color w:val="000000"/>
                <w:highlight w:val="none"/>
              </w:rPr>
            </w:pPr>
            <w:r>
              <w:rPr>
                <w:color w:val="000000"/>
                <w:highlight w:val="none"/>
              </w:rPr>
              <w:t xml:space="preserve">2.2.</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支持医生对选中的患者进行录音上传，也可对患者的录音文件的操作，如归档，删除，支持在维护中心中管理相关的录音文件</w:t>
            </w:r>
            <w:r>
              <w:rPr>
                <w:highlight w:val="none"/>
              </w:rPr>
            </w:r>
            <w:r/>
          </w:p>
        </w:tc>
      </w:tr>
      <w:tr>
        <w:trPr>
          <w:trHeight w:val="585"/>
        </w:trPr>
        <w:tc>
          <w:tcPr>
            <w:shd w:val="clear" w:color="ffffff" w:fill="ffffff"/>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color w:val="000000"/>
                <w:highlight w:val="none"/>
              </w:rPr>
            </w:pPr>
            <w:r>
              <w:rPr>
                <w:color w:val="000000"/>
                <w:highlight w:val="none"/>
              </w:rPr>
              <w:t xml:space="preserve">2.3.</w:t>
            </w:r>
            <w:r>
              <w:rPr>
                <w:highlight w:val="none"/>
              </w:rPr>
            </w:r>
            <w:r/>
          </w:p>
        </w:tc>
        <w:tc>
          <w:tcPr>
            <w:shd w:val="clear" w:color="ffffff" w:fill="ffffff"/>
            <w:tcBorders>
              <w:top w:val="none" w:color="000000" w:sz="4" w:space="0"/>
              <w:left w:val="none" w:color="000000" w:sz="4"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支持对医生的录音相关操作进行日志查询，数据追溯</w:t>
            </w:r>
            <w:r>
              <w:rPr>
                <w:highlight w:val="none"/>
              </w:rPr>
            </w:r>
            <w:r/>
          </w:p>
        </w:tc>
      </w:tr>
      <w:tr>
        <w:trPr>
          <w:trHeight w:val="300"/>
        </w:trPr>
        <w:tc>
          <w:tcPr>
            <w:gridSpan w:val="2"/>
            <w:shd w:val="clear" w:color="ffffff" w:fill="ffffff"/>
            <w:tcBorders>
              <w:top w:val="single" w:color="000000" w:sz="8" w:space="0"/>
              <w:left w:val="single" w:color="000000" w:sz="8" w:space="0"/>
              <w:bottom w:val="single" w:color="000000" w:sz="8" w:space="0"/>
              <w:right w:val="single" w:color="000000" w:sz="8" w:space="0"/>
            </w:tcBorders>
            <w:tcW w:w="10307" w:type="dxa"/>
            <w:vAlign w:val="center"/>
            <w:textDirection w:val="lrTb"/>
            <w:noWrap w:val="false"/>
          </w:tcPr>
          <w:p>
            <w:pPr>
              <w:pStyle w:val="932"/>
              <w:ind w:left="425" w:hanging="425"/>
              <w:jc w:val="center"/>
              <w:widowControl/>
              <w:rPr>
                <w:rFonts w:cs="宋体"/>
                <w:color w:val="000000"/>
                <w:highlight w:val="none"/>
              </w:rPr>
            </w:pPr>
            <w:r>
              <w:rPr>
                <w:rFonts w:cs="宋体"/>
                <w:b/>
                <w:bCs/>
                <w:color w:val="000000"/>
                <w:highlight w:val="none"/>
                <w:lang w:bidi="ar"/>
              </w:rPr>
              <w:t xml:space="preserve">3.</w:t>
            </w:r>
            <w:r>
              <w:rPr>
                <w:rFonts w:hint="eastAsia" w:cs="宋体"/>
                <w:b/>
                <w:bCs/>
                <w:color w:val="000000"/>
                <w:highlight w:val="none"/>
                <w:lang w:bidi="ar"/>
              </w:rPr>
              <w:t xml:space="preserve">语音识别</w:t>
            </w:r>
            <w:r>
              <w:rPr>
                <w:highlight w:val="none"/>
              </w:rPr>
            </w:r>
            <w:r/>
          </w:p>
        </w:tc>
      </w:tr>
      <w:tr>
        <w:trPr>
          <w:trHeight w:val="300"/>
        </w:trPr>
        <w:tc>
          <w:tcPr>
            <w:shd w:val="clear" w:color="ffffff" w:fill="ffffff"/>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b/>
                <w:bCs/>
                <w:color w:val="000000"/>
                <w:highlight w:val="none"/>
              </w:rPr>
            </w:pPr>
            <w:r>
              <w:rPr>
                <w:rFonts w:cs="宋体"/>
                <w:color w:val="000000"/>
                <w:highlight w:val="none"/>
                <w:lang w:bidi="ar"/>
              </w:rPr>
              <w:t xml:space="preserve">3.1.</w:t>
            </w:r>
            <w:r>
              <w:rPr>
                <w:highlight w:val="none"/>
              </w:rPr>
            </w:r>
            <w:r/>
          </w:p>
        </w:tc>
        <w:tc>
          <w:tcPr>
            <w:shd w:val="clear" w:color="ffffff" w:fill="ffffff"/>
            <w:tcBorders>
              <w:top w:val="single" w:color="000000" w:sz="8" w:space="0"/>
              <w:left w:val="single" w:color="000000" w:sz="8"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支持上传音频文件进行识别</w:t>
            </w:r>
            <w:r>
              <w:rPr>
                <w:highlight w:val="none"/>
              </w:rPr>
            </w:r>
            <w:r/>
          </w:p>
        </w:tc>
      </w:tr>
      <w:tr>
        <w:trPr>
          <w:trHeight w:val="300"/>
        </w:trPr>
        <w:tc>
          <w:tcPr>
            <w:shd w:val="clear" w:color="ffffff" w:fill="ffffff"/>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b/>
                <w:bCs/>
                <w:color w:val="000000"/>
                <w:highlight w:val="none"/>
              </w:rPr>
            </w:pPr>
            <w:r>
              <w:rPr>
                <w:rFonts w:cs="宋体"/>
                <w:color w:val="000000"/>
                <w:highlight w:val="none"/>
                <w:lang w:bidi="ar"/>
              </w:rPr>
              <w:t xml:space="preserve">3.2.</w:t>
            </w:r>
            <w:r>
              <w:rPr>
                <w:highlight w:val="none"/>
              </w:rPr>
            </w:r>
            <w:r/>
          </w:p>
        </w:tc>
        <w:tc>
          <w:tcPr>
            <w:shd w:val="clear" w:color="ffffff" w:fill="ffffff"/>
            <w:tcBorders>
              <w:top w:val="single" w:color="000000" w:sz="8" w:space="0"/>
              <w:left w:val="single" w:color="000000" w:sz="8" w:space="0"/>
              <w:bottom w:val="single" w:color="000000" w:sz="8" w:space="0"/>
              <w:right w:val="single" w:color="000000" w:sz="8" w:space="0"/>
            </w:tcBorders>
            <w:tcW w:w="4465"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支持实时语音转写</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Start w:id="204" w:name="_Toc1238"/>
      <w:r>
        <w:rPr>
          <w:rFonts w:hint="eastAsia" w:ascii="宋体" w:hAnsi="宋体" w:cs="宋体"/>
          <w:b/>
          <w:color w:val="000000"/>
          <w:sz w:val="24"/>
          <w:szCs w:val="24"/>
          <w:highlight w:val="none"/>
        </w:rPr>
        <w:t xml:space="preserve">5.4 DEEPSEEK部署及扩展应用</w:t>
      </w:r>
      <w:bookmarkEnd w:id="204"/>
      <w:r>
        <w:rPr>
          <w:highlight w:val="none"/>
        </w:rPr>
      </w:r>
      <w:r/>
    </w:p>
    <w:tbl>
      <w:tblPr>
        <w:tblW w:w="5173" w:type="pct"/>
        <w:tblInd w:w="-108" w:type="dxa"/>
        <w:tblLayout w:type="fixed"/>
        <w:tblCellMar>
          <w:left w:w="108" w:type="dxa"/>
          <w:top w:w="0" w:type="dxa"/>
          <w:right w:w="108" w:type="dxa"/>
          <w:bottom w:w="0" w:type="dxa"/>
        </w:tblCellMar>
        <w:tblLook w:val="04A0" w:firstRow="1" w:lastRow="0" w:firstColumn="1" w:lastColumn="0" w:noHBand="0" w:noVBand="1"/>
      </w:tblPr>
      <w:tblGrid>
        <w:gridCol w:w="1101"/>
        <w:gridCol w:w="9206"/>
      </w:tblGrid>
      <w:tr>
        <w:trPr>
          <w:trHeight w:val="270"/>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pStyle w:val="932"/>
              <w:jc w:val="center"/>
              <w:widowControl/>
              <w:rPr>
                <w:rFonts w:cs="宋体"/>
                <w:b/>
                <w:bCs/>
                <w:color w:val="000000"/>
                <w:highlight w:val="none"/>
              </w:rPr>
            </w:pPr>
            <w:r>
              <w:rPr>
                <w:highlight w:val="none"/>
              </w:rPr>
            </w:r>
            <w:bookmarkStart w:id="205" w:name="_Hlk200457188"/>
            <w:r>
              <w:rPr>
                <w:rFonts w:hint="eastAsia" w:cs="宋体"/>
                <w:b/>
                <w:bCs/>
                <w:color w:val="000000"/>
                <w:highlight w:val="none"/>
                <w:lang w:bidi="ar"/>
              </w:rPr>
              <w:t xml:space="preserve">序号</w:t>
            </w:r>
            <w:r>
              <w:rPr>
                <w:highlight w:val="none"/>
              </w:rPr>
            </w:r>
            <w:r/>
          </w:p>
        </w:tc>
        <w:tc>
          <w:tcPr>
            <w:shd w:val="clear" w:color="ffffff" w:themeColor="background1" w:fill="ffffff" w:themeFill="background1"/>
            <w:tcBorders>
              <w:top w:val="single" w:color="000000" w:sz="8" w:space="0"/>
              <w:left w:val="none" w:color="000000" w:sz="4" w:space="0"/>
              <w:bottom w:val="single" w:color="000000" w:sz="8" w:space="0"/>
              <w:right w:val="single" w:color="000000" w:sz="8" w:space="0"/>
            </w:tcBorders>
            <w:tcW w:w="4466"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bookmarkEnd w:id="205"/>
            <w:r>
              <w:rPr>
                <w:highlight w:val="none"/>
              </w:rPr>
            </w:r>
            <w:r/>
          </w:p>
        </w:tc>
      </w:tr>
      <w:tr>
        <w:trPr>
          <w:trHeight w:val="16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66" w:type="dxa"/>
            <w:vAlign w:val="center"/>
            <w:textDirection w:val="lrTb"/>
            <w:noWrap w:val="false"/>
          </w:tcPr>
          <w:p>
            <w:pPr>
              <w:pStyle w:val="932"/>
              <w:jc w:val="left"/>
              <w:widowControl/>
              <w:rPr>
                <w:color w:val="000000"/>
                <w:highlight w:val="none"/>
              </w:rPr>
            </w:pPr>
            <w:r>
              <w:rPr>
                <w:rFonts w:hint="eastAsia" w:cs="宋体"/>
                <w:color w:val="000000"/>
                <w:highlight w:val="none"/>
                <w:lang w:bidi="ar"/>
              </w:rPr>
              <w:t xml:space="preserve">支持辅助诊断，包括病情分析、鉴别诊断等</w:t>
            </w:r>
            <w:r>
              <w:rPr>
                <w:highlight w:val="none"/>
              </w:rPr>
            </w:r>
            <w:r/>
          </w:p>
        </w:tc>
      </w:tr>
      <w:tr>
        <w:trPr>
          <w:trHeight w:val="16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66"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支持智能问答，如医学知识解答、个性化就医建议，具体独立的应用界面，能将DEEPSEEK结果反馈到独立的应用窗体上。</w:t>
            </w:r>
            <w:r>
              <w:rPr>
                <w:highlight w:val="none"/>
              </w:rPr>
            </w:r>
            <w:r/>
          </w:p>
        </w:tc>
      </w:tr>
    </w:tbl>
    <w:p>
      <w:pPr>
        <w:pStyle w:val="932"/>
        <w:ind w:firstLine="482"/>
        <w:spacing w:line="264" w:lineRule="auto"/>
        <w:rPr>
          <w:rFonts w:hint="eastAsia" w:ascii="宋体" w:hAnsi="宋体" w:cs="宋体"/>
          <w:b/>
          <w:color w:val="000000"/>
          <w:sz w:val="24"/>
          <w:szCs w:val="24"/>
          <w:highlight w:val="none"/>
        </w:rPr>
      </w:pPr>
      <w:r>
        <w:rPr>
          <w:highlight w:val="none"/>
        </w:rPr>
      </w:r>
      <w:bookmarkEnd w:id="196"/>
      <w:r>
        <w:rPr>
          <w:highlight w:val="none"/>
        </w:rPr>
      </w:r>
      <w:bookmarkEnd w:id="197"/>
      <w:r>
        <w:rPr>
          <w:highlight w:val="none"/>
        </w:rPr>
      </w:r>
      <w:bookmarkEnd w:id="198"/>
      <w:r>
        <w:rPr>
          <w:highlight w:val="none"/>
        </w:rPr>
      </w:r>
      <w:r/>
    </w:p>
    <w:p>
      <w:pPr>
        <w:pStyle w:val="932"/>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6.分布式存储</w:t>
      </w:r>
      <w:r>
        <w:rPr>
          <w:highlight w:val="none"/>
        </w:rPr>
      </w:r>
      <w:r/>
    </w:p>
    <w:tbl>
      <w:tblPr>
        <w:tblW w:w="5217" w:type="pct"/>
        <w:tblInd w:w="-119" w:type="dxa"/>
        <w:tblLayout w:type="fixed"/>
        <w:tblCellMar>
          <w:left w:w="108" w:type="dxa"/>
          <w:top w:w="0" w:type="dxa"/>
          <w:right w:w="108" w:type="dxa"/>
          <w:bottom w:w="0" w:type="dxa"/>
        </w:tblCellMar>
        <w:tblLook w:val="04A0" w:firstRow="1" w:lastRow="0" w:firstColumn="1" w:lastColumn="0" w:noHBand="0" w:noVBand="1"/>
      </w:tblPr>
      <w:tblGrid>
        <w:gridCol w:w="1112"/>
        <w:gridCol w:w="9282"/>
      </w:tblGrid>
      <w:tr>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535"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序号</w:t>
            </w:r>
            <w:r>
              <w:rPr>
                <w:highlight w:val="none"/>
              </w:rPr>
            </w:r>
            <w:r/>
          </w:p>
        </w:tc>
        <w:tc>
          <w:tcPr>
            <w:shd w:val="clear" w:color="ffffff" w:themeColor="background1" w:fill="ffffff" w:themeFill="background1"/>
            <w:tcBorders>
              <w:top w:val="single" w:color="000000" w:sz="8" w:space="0"/>
              <w:left w:val="none" w:color="000000" w:sz="4" w:space="0"/>
              <w:bottom w:val="single" w:color="000000" w:sz="8" w:space="0"/>
              <w:right w:val="single" w:color="000000" w:sz="8" w:space="0"/>
            </w:tcBorders>
            <w:tcW w:w="4464"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1</w:t>
            </w:r>
            <w:r>
              <w:rPr>
                <w:rFonts w:cs="宋体"/>
                <w:b/>
                <w:bCs/>
                <w:color w:val="000000"/>
                <w:highlight w:val="none"/>
              </w:rPr>
              <w:t xml:space="preserve">.</w:t>
            </w:r>
            <w:r>
              <w:rPr>
                <w:rFonts w:hint="eastAsia" w:cs="宋体"/>
                <w:b/>
                <w:bCs/>
                <w:color w:val="000000"/>
                <w:highlight w:val="none"/>
              </w:rPr>
              <w:t xml:space="preserve">产品要求</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为保证系统安全性和稳定性，投标人本次投标产品拥有完全自主知识产权，未采用国外开源软件（如Ceph、GFS等）调优，非OEM产品。</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hint="eastAsia" w:cs="宋体"/>
                <w:color w:val="000000"/>
                <w:highlight w:val="none"/>
              </w:rPr>
            </w:pPr>
            <w:r>
              <w:rPr>
                <w:rFonts w:hint="eastAsia" w:cs="宋体"/>
                <w:color w:val="000000"/>
                <w:highlight w:val="none"/>
                <w:lang w:bidi="ar"/>
              </w:rPr>
              <w:t xml:space="preserve">投标存储系统符合信息技术应用创新产品评估规范要求。</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2</w:t>
            </w:r>
            <w:r>
              <w:rPr>
                <w:rFonts w:cs="宋体"/>
                <w:b/>
                <w:bCs/>
                <w:color w:val="000000"/>
                <w:highlight w:val="none"/>
              </w:rPr>
              <w:t xml:space="preserve">.</w:t>
            </w:r>
            <w:r>
              <w:rPr>
                <w:rFonts w:hint="eastAsia" w:cs="宋体"/>
                <w:b/>
                <w:bCs/>
                <w:color w:val="000000"/>
                <w:highlight w:val="none"/>
              </w:rPr>
              <w:t xml:space="preserve">系统架构</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具有Scale-out横向扩展能力，软件定义分布式存储架构，硬件无绑定，同一存储资源池中兼容支持X86、ARM异构存储服务器。</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在同一存储资源池中支持同时运行并提供文件存储、对象存储及块存储服务。</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2.3</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支持以目录级别为单位设定数据保护策略，可按照目录设定副本数或纠删码策略的数据保护。</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2.4</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当存储集群节点的容量利用率达到80%以上时，每个磁盘的容量利用率差异不大于0.5%。</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2.5</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支持集群无均衡扩展，将扩容新存储资源池作为原存储资源池的扩展，集群内同一目录可跨多个资源池无缝扩容，无需进行数据均衡。</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2.6</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元数据、数据均采用集群方式部署，任何一个节点出现故障，不影响数据的正常访问。</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3</w:t>
            </w:r>
            <w:r>
              <w:rPr>
                <w:rFonts w:cs="宋体"/>
                <w:b/>
                <w:bCs/>
                <w:color w:val="000000"/>
                <w:highlight w:val="none"/>
              </w:rPr>
              <w:t xml:space="preserve">.</w:t>
            </w:r>
            <w:r>
              <w:rPr>
                <w:rFonts w:hint="eastAsia" w:cs="宋体"/>
                <w:b/>
                <w:bCs/>
                <w:color w:val="000000"/>
                <w:highlight w:val="none"/>
              </w:rPr>
              <w:t xml:space="preserve">硬件配置</w:t>
            </w:r>
            <w:r>
              <w:rPr>
                <w:highlight w:val="none"/>
              </w:rPr>
            </w:r>
            <w:r/>
          </w:p>
        </w:tc>
      </w:tr>
      <w:tr>
        <w:trPr/>
        <w:tc>
          <w:tcPr>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3.1</w:t>
            </w:r>
            <w:r>
              <w:rPr>
                <w:highlight w:val="none"/>
              </w:rPr>
            </w:r>
            <w:r/>
          </w:p>
        </w:tc>
        <w:tc>
          <w:tcPr>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本次配置不少于2台存储节点，每节点配置如下：</w:t>
            </w:r>
            <w:r>
              <w:rPr>
                <w:highlight w:val="none"/>
              </w:rPr>
            </w:r>
            <w:r/>
          </w:p>
          <w:p>
            <w:pPr>
              <w:pStyle w:val="932"/>
              <w:jc w:val="left"/>
              <w:widowControl/>
              <w:rPr>
                <w:rFonts w:cs="宋体"/>
                <w:color w:val="000000"/>
                <w:highlight w:val="none"/>
              </w:rPr>
            </w:pPr>
            <w:r>
              <w:rPr>
                <w:rFonts w:hint="eastAsia" w:cs="宋体"/>
                <w:color w:val="000000"/>
                <w:highlight w:val="none"/>
                <w:lang w:bidi="ar"/>
              </w:rPr>
              <w:t xml:space="preserve">CPU：每节点配置≥2颗CPU，单颗CPU核心数≥16，主频≥2.5GHz，符合安全可靠</w:t>
            </w:r>
            <w:r>
              <w:rPr>
                <w:rFonts w:hint="eastAsia" w:cs="宋体"/>
                <w:color w:val="000000"/>
                <w:highlight w:val="none"/>
                <w:lang w:bidi="ar"/>
              </w:rPr>
              <w:t xml:space="preserve">测评</w:t>
            </w:r>
            <w:r>
              <w:rPr>
                <w:rFonts w:hint="eastAsia" w:cs="宋体"/>
                <w:color w:val="000000"/>
                <w:highlight w:val="none"/>
                <w:lang w:bidi="ar"/>
              </w:rPr>
              <w:t xml:space="preserve">要求；</w:t>
            </w:r>
            <w:r>
              <w:rPr>
                <w:highlight w:val="none"/>
              </w:rPr>
            </w:r>
            <w:r/>
          </w:p>
          <w:p>
            <w:pPr>
              <w:pStyle w:val="932"/>
              <w:jc w:val="left"/>
              <w:widowControl/>
              <w:rPr>
                <w:rFonts w:cs="宋体"/>
                <w:color w:val="000000"/>
                <w:highlight w:val="none"/>
              </w:rPr>
            </w:pPr>
            <w:r>
              <w:rPr>
                <w:rFonts w:hint="eastAsia" w:cs="宋体"/>
                <w:color w:val="000000"/>
                <w:highlight w:val="none"/>
                <w:lang w:bidi="ar"/>
              </w:rPr>
              <w:t xml:space="preserve">内存：每节点≥128GB；</w:t>
            </w:r>
            <w:r>
              <w:rPr>
                <w:highlight w:val="none"/>
              </w:rPr>
            </w:r>
            <w:r/>
          </w:p>
          <w:p>
            <w:pPr>
              <w:pStyle w:val="932"/>
              <w:jc w:val="left"/>
              <w:widowControl/>
              <w:rPr>
                <w:rFonts w:cs="宋体"/>
                <w:color w:val="000000"/>
                <w:highlight w:val="none"/>
              </w:rPr>
            </w:pPr>
            <w:r>
              <w:rPr>
                <w:rFonts w:hint="eastAsia" w:cs="宋体"/>
                <w:color w:val="000000"/>
                <w:highlight w:val="none"/>
                <w:lang w:bidi="ar"/>
              </w:rPr>
              <w:t xml:space="preserve">每节点配置≥2块480GB SSD；</w:t>
            </w:r>
            <w:r>
              <w:rPr>
                <w:highlight w:val="none"/>
              </w:rPr>
            </w:r>
            <w:r/>
          </w:p>
          <w:p>
            <w:pPr>
              <w:pStyle w:val="932"/>
              <w:jc w:val="left"/>
              <w:widowControl/>
              <w:rPr>
                <w:rFonts w:cs="宋体"/>
                <w:color w:val="000000"/>
                <w:highlight w:val="none"/>
              </w:rPr>
            </w:pPr>
            <w:r>
              <w:rPr>
                <w:rFonts w:hint="eastAsia" w:cs="宋体"/>
                <w:color w:val="000000"/>
                <w:highlight w:val="none"/>
                <w:lang w:bidi="ar"/>
              </w:rPr>
              <w:t xml:space="preserve">每节点配置≥2块6.4TB企业级读写混合型NVMe SSD；</w:t>
            </w:r>
            <w:r>
              <w:rPr>
                <w:highlight w:val="none"/>
              </w:rPr>
            </w:r>
            <w:r/>
          </w:p>
          <w:p>
            <w:pPr>
              <w:pStyle w:val="932"/>
              <w:jc w:val="left"/>
              <w:widowControl/>
              <w:rPr>
                <w:rFonts w:cs="宋体"/>
                <w:color w:val="000000"/>
                <w:highlight w:val="none"/>
              </w:rPr>
            </w:pPr>
            <w:r>
              <w:rPr>
                <w:rFonts w:hint="eastAsia" w:cs="宋体"/>
                <w:color w:val="000000"/>
                <w:highlight w:val="none"/>
                <w:lang w:bidi="ar"/>
              </w:rPr>
              <w:t xml:space="preserve">每节点配置≥12块16TB SATA 7.2KRPM 企业级HDD盘；</w:t>
            </w:r>
            <w:r>
              <w:rPr>
                <w:highlight w:val="none"/>
              </w:rPr>
            </w:r>
            <w:r/>
          </w:p>
          <w:p>
            <w:pPr>
              <w:pStyle w:val="1028"/>
              <w:ind w:left="0"/>
              <w:rPr>
                <w:rFonts w:cs="宋体"/>
                <w:color w:val="000000"/>
                <w:sz w:val="21"/>
                <w:szCs w:val="21"/>
                <w:highlight w:val="none"/>
              </w:rPr>
            </w:pPr>
            <w:r>
              <w:rPr>
                <w:rFonts w:hint="eastAsia" w:cs="宋体"/>
                <w:color w:val="000000"/>
                <w:sz w:val="21"/>
                <w:szCs w:val="21"/>
                <w:highlight w:val="none"/>
                <w:lang w:eastAsia="zh-CN" w:bidi="ar"/>
              </w:rPr>
              <w:t xml:space="preserve">每节点配置≥2块双端口10GE SFP+ 网卡（含模块）；</w:t>
            </w:r>
            <w:r>
              <w:rPr>
                <w:highlight w:val="none"/>
              </w:rPr>
            </w:r>
            <w:r/>
          </w:p>
          <w:p>
            <w:pPr>
              <w:pStyle w:val="932"/>
              <w:jc w:val="left"/>
              <w:widowControl/>
              <w:rPr>
                <w:rFonts w:hint="eastAsia" w:cs="宋体"/>
                <w:color w:val="000000"/>
                <w:highlight w:val="none"/>
              </w:rPr>
            </w:pPr>
            <w:r>
              <w:rPr>
                <w:rFonts w:hint="eastAsia" w:cs="宋体"/>
                <w:color w:val="000000"/>
                <w:highlight w:val="none"/>
                <w:lang w:bidi="ar"/>
              </w:rPr>
              <w:t xml:space="preserve">每节点配置≥2个热插拔冗余电源。</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cs="宋体"/>
                <w:b/>
                <w:bCs/>
                <w:color w:val="000000"/>
                <w:highlight w:val="none"/>
              </w:rPr>
            </w:pPr>
            <w:r>
              <w:rPr>
                <w:rFonts w:hint="eastAsia" w:cs="宋体"/>
                <w:b/>
                <w:bCs/>
                <w:color w:val="000000"/>
                <w:highlight w:val="none"/>
              </w:rPr>
              <w:t xml:space="preserve">4</w:t>
            </w:r>
            <w:r>
              <w:rPr>
                <w:rFonts w:cs="宋体"/>
                <w:b/>
                <w:bCs/>
                <w:color w:val="000000"/>
                <w:highlight w:val="none"/>
              </w:rPr>
              <w:t xml:space="preserve">.</w:t>
            </w:r>
            <w:r>
              <w:rPr>
                <w:rFonts w:hint="eastAsia" w:cs="宋体"/>
                <w:b/>
                <w:bCs/>
                <w:color w:val="000000"/>
                <w:highlight w:val="none"/>
              </w:rPr>
              <w:t xml:space="preserve">软件许可</w:t>
            </w:r>
            <w:r>
              <w:rPr>
                <w:highlight w:val="none"/>
              </w:rPr>
            </w:r>
            <w:r/>
          </w:p>
        </w:tc>
      </w:tr>
      <w:tr>
        <w:trPr/>
        <w:tc>
          <w:tcPr>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4.1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提供≥410TB分布式软件系统物理容量授权许可或节点满配硬盘物理容量授权许可，无额外付费功能项。</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5</w:t>
            </w:r>
            <w:r>
              <w:rPr>
                <w:rFonts w:cs="宋体"/>
                <w:b/>
                <w:bCs/>
                <w:color w:val="000000"/>
                <w:highlight w:val="none"/>
              </w:rPr>
              <w:t xml:space="preserve">.</w:t>
            </w:r>
            <w:r>
              <w:rPr>
                <w:rFonts w:hint="eastAsia" w:cs="宋体"/>
                <w:b/>
                <w:bCs/>
                <w:color w:val="000000"/>
                <w:highlight w:val="none"/>
              </w:rPr>
              <w:t xml:space="preserve">块存储</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5</w:t>
            </w:r>
            <w:r>
              <w:rPr>
                <w:rFonts w:cs="宋体"/>
                <w:color w:val="000000"/>
                <w:highlight w:val="none"/>
                <w:lang w:bidi="ar"/>
              </w:rPr>
              <w:t xml:space="preserve">.1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支持iSCSI协议，支持主流操作系统及虚拟化平台。</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5</w:t>
            </w:r>
            <w:r>
              <w:rPr>
                <w:rFonts w:cs="宋体"/>
                <w:color w:val="000000"/>
                <w:highlight w:val="none"/>
                <w:lang w:bidi="ar"/>
              </w:rPr>
              <w:t xml:space="preserve">.2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支持iSCSI多路径自动发现及访问控制。</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▲5</w:t>
            </w:r>
            <w:r>
              <w:rPr>
                <w:rFonts w:cs="宋体"/>
                <w:color w:val="000000"/>
                <w:highlight w:val="none"/>
                <w:lang w:bidi="ar"/>
              </w:rPr>
              <w:t xml:space="preserve">.3</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支持快照克隆、快照恢复功能，可自定义设置创建快照时间、周期以及保留期限等。10组快照批量创建时间在0.3秒以内。</w:t>
            </w:r>
            <w:r>
              <w:rPr>
                <w:rFonts w:hint="eastAsia" w:ascii="宋体" w:hAnsi="宋体" w:cs="宋体"/>
                <w:color w:val="000000"/>
                <w:highlight w:val="none"/>
                <w:lang w:bidi="ar"/>
              </w:rPr>
              <w:t xml:space="preserve">签合同时提供</w:t>
            </w:r>
            <w:r>
              <w:rPr>
                <w:rFonts w:hint="eastAsia" w:cs="宋体"/>
                <w:color w:val="000000"/>
                <w:highlight w:val="none"/>
                <w:lang w:bidi="ar"/>
              </w:rPr>
              <w:t xml:space="preserve">带有CMA标识的测试报告。</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5</w:t>
            </w:r>
            <w:r>
              <w:rPr>
                <w:rFonts w:cs="宋体"/>
                <w:color w:val="000000"/>
                <w:highlight w:val="none"/>
                <w:lang w:bidi="ar"/>
              </w:rPr>
              <w:t xml:space="preserve">.4</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支持同时提供iSCSI精简置备逻辑卷和非精简逻辑卷，可按需灵活进行空间分配。单个5TB大小iSCSI非精简逻辑卷创建时间在3分钟以内。</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6</w:t>
            </w:r>
            <w:r>
              <w:rPr>
                <w:rFonts w:cs="宋体"/>
                <w:b/>
                <w:bCs/>
                <w:color w:val="000000"/>
                <w:highlight w:val="none"/>
              </w:rPr>
              <w:t xml:space="preserve">.</w:t>
            </w:r>
            <w:r>
              <w:rPr>
                <w:rFonts w:hint="eastAsia" w:cs="宋体"/>
                <w:b/>
                <w:bCs/>
                <w:color w:val="000000"/>
                <w:highlight w:val="none"/>
              </w:rPr>
              <w:t xml:space="preserve">文件存储</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6</w:t>
            </w:r>
            <w:r>
              <w:rPr>
                <w:rFonts w:cs="宋体"/>
                <w:color w:val="000000"/>
                <w:highlight w:val="none"/>
                <w:lang w:bidi="ar"/>
              </w:rPr>
              <w:t xml:space="preserve">.1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支持NFS/SMB/FTP/WebDAV等常用文件协议。</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6</w:t>
            </w:r>
            <w:r>
              <w:rPr>
                <w:rFonts w:cs="宋体"/>
                <w:color w:val="000000"/>
                <w:highlight w:val="none"/>
                <w:lang w:bidi="ar"/>
              </w:rPr>
              <w:t xml:space="preserve">.2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单个存储节点支持FTP并发连接数不低于2000个。</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6</w:t>
            </w:r>
            <w:r>
              <w:rPr>
                <w:rFonts w:cs="宋体"/>
                <w:color w:val="000000"/>
                <w:highlight w:val="none"/>
                <w:lang w:bidi="ar"/>
              </w:rPr>
              <w:t xml:space="preserve">.3</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对所有文件协议和接口都支持小文件合并和大文件拆分优化功能，在管理页面可选择是否开启此功能。</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7</w:t>
            </w:r>
            <w:r>
              <w:rPr>
                <w:rFonts w:cs="宋体"/>
                <w:b/>
                <w:bCs/>
                <w:color w:val="000000"/>
                <w:highlight w:val="none"/>
              </w:rPr>
              <w:t xml:space="preserve">.</w:t>
            </w:r>
            <w:r>
              <w:rPr>
                <w:rFonts w:hint="eastAsia" w:cs="宋体"/>
                <w:b/>
                <w:bCs/>
                <w:color w:val="000000"/>
                <w:highlight w:val="none"/>
              </w:rPr>
              <w:t xml:space="preserve">对象存储</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7</w:t>
            </w:r>
            <w:r>
              <w:rPr>
                <w:rFonts w:cs="宋体"/>
                <w:color w:val="000000"/>
                <w:highlight w:val="none"/>
                <w:lang w:bidi="ar"/>
              </w:rPr>
              <w:t xml:space="preserve">.1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支持集群中同一个命名空间同时设置多个文件和对象协议访问方式，用对象S3协议方式写入的数据，可以通过文件协议方式访问；或用文件协议方式写入的数据，可以通过对象S3协议方式访问，互通访问性能损耗小于5%。</w:t>
            </w:r>
            <w:r>
              <w:rPr>
                <w:rFonts w:hint="eastAsia" w:ascii="宋体" w:hAnsi="宋体" w:cs="宋体"/>
                <w:color w:val="000000"/>
                <w:highlight w:val="none"/>
                <w:lang w:bidi="ar"/>
              </w:rPr>
              <w:t xml:space="preserve">提供</w:t>
            </w:r>
            <w:r>
              <w:rPr>
                <w:rFonts w:hint="eastAsia" w:cs="宋体"/>
                <w:color w:val="000000"/>
                <w:highlight w:val="none"/>
                <w:lang w:bidi="ar"/>
              </w:rPr>
              <w:t xml:space="preserve">软件截图证明。</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none" w:color="000000" w:sz="0"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8</w:t>
            </w:r>
            <w:r>
              <w:rPr>
                <w:rFonts w:cs="宋体"/>
                <w:b/>
                <w:bCs/>
                <w:color w:val="000000"/>
                <w:highlight w:val="none"/>
              </w:rPr>
              <w:t xml:space="preserve">.</w:t>
            </w:r>
            <w:r>
              <w:rPr>
                <w:rFonts w:hint="eastAsia" w:cs="宋体"/>
                <w:b/>
                <w:bCs/>
                <w:color w:val="000000"/>
                <w:highlight w:val="none"/>
              </w:rPr>
              <w:t xml:space="preserve">数据保护</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8</w:t>
            </w:r>
            <w:r>
              <w:rPr>
                <w:rFonts w:cs="宋体"/>
                <w:color w:val="000000"/>
                <w:highlight w:val="none"/>
                <w:lang w:bidi="ar"/>
              </w:rPr>
              <w:t xml:space="preserve">.1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提供WORM功能，可按照单个目录选择是否开启WORM功能。</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8</w:t>
            </w:r>
            <w:r>
              <w:rPr>
                <w:rFonts w:cs="宋体"/>
                <w:color w:val="000000"/>
                <w:highlight w:val="none"/>
                <w:lang w:bidi="ar"/>
              </w:rPr>
              <w:t xml:space="preserve">.2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提供文件回收站功能，支持自定义回收站文件保留期限、被删除文件快速批量检索与恢复。</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8</w:t>
            </w:r>
            <w:r>
              <w:rPr>
                <w:rFonts w:cs="宋体"/>
                <w:color w:val="000000"/>
                <w:highlight w:val="none"/>
                <w:lang w:bidi="ar"/>
              </w:rPr>
              <w:t xml:space="preserve">.3</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提供集群异步复制功能，支持根据目录与对象桶自定义同步策略，支持备端不跟随主端同步删除操作。</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9</w:t>
            </w:r>
            <w:r>
              <w:rPr>
                <w:rFonts w:cs="宋体"/>
                <w:b/>
                <w:bCs/>
                <w:color w:val="000000"/>
                <w:highlight w:val="none"/>
              </w:rPr>
              <w:t xml:space="preserve">.</w:t>
            </w:r>
            <w:r>
              <w:rPr>
                <w:rFonts w:hint="eastAsia" w:cs="宋体"/>
                <w:b/>
                <w:bCs/>
                <w:color w:val="000000"/>
                <w:highlight w:val="none"/>
              </w:rPr>
              <w:t xml:space="preserve">系统管理</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9</w:t>
            </w:r>
            <w:r>
              <w:rPr>
                <w:rFonts w:cs="宋体"/>
                <w:color w:val="000000"/>
                <w:highlight w:val="none"/>
                <w:lang w:bidi="ar"/>
              </w:rPr>
              <w:t xml:space="preserve">.1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具备文件和对象访问的审计功能，可设置审计服务是否开启，可设置审计桶（或目录）及审计大小。</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9</w:t>
            </w:r>
            <w:r>
              <w:rPr>
                <w:rFonts w:cs="宋体"/>
                <w:color w:val="000000"/>
                <w:highlight w:val="none"/>
                <w:lang w:bidi="ar"/>
              </w:rPr>
              <w:t xml:space="preserve">.2</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系统管理界面实时显示集群已存储文件总数量、集群已使用存储空间、集群剩余存储空间、集群读写IOPS和吞吐率。</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9</w:t>
            </w:r>
            <w:r>
              <w:rPr>
                <w:rFonts w:cs="宋体"/>
                <w:color w:val="000000"/>
                <w:highlight w:val="none"/>
                <w:lang w:bidi="ar"/>
              </w:rPr>
              <w:t xml:space="preserve">.3</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可设定自适应速率数据修复策略，即根据业务系统负载大小自动调整数据重构速率，无需手动设置带宽规则，在管理页面实时显示修复速率，1TB数据重构修复时间≤20分钟。</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9</w:t>
            </w:r>
            <w:r>
              <w:rPr>
                <w:rFonts w:cs="宋体"/>
                <w:color w:val="000000"/>
                <w:highlight w:val="none"/>
                <w:lang w:bidi="ar"/>
              </w:rPr>
              <w:t xml:space="preserve">.4</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可查询存储系统单块硬盘、单节点、单存储池最近180天内的历史性能读写吞吐率、IOPS、IO大小和使用容量空间等监控数据。</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9</w:t>
            </w:r>
            <w:r>
              <w:rPr>
                <w:rFonts w:cs="宋体"/>
                <w:color w:val="000000"/>
                <w:highlight w:val="none"/>
                <w:lang w:bidi="ar"/>
              </w:rPr>
              <w:t xml:space="preserve">.5</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存储系统自带一键自检功能，自检参数可在管理页面手动设置。</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10394" w:type="dxa"/>
            <w:vAlign w:val="center"/>
            <w:textDirection w:val="lrTb"/>
            <w:noWrap w:val="false"/>
          </w:tcPr>
          <w:p>
            <w:pPr>
              <w:pStyle w:val="932"/>
              <w:ind w:left="425" w:hanging="425"/>
              <w:jc w:val="center"/>
              <w:widowControl/>
              <w:rPr>
                <w:rFonts w:ascii="宋体" w:hAnsi="宋体" w:cs="宋体"/>
                <w:color w:val="000000"/>
                <w:highlight w:val="none"/>
              </w:rPr>
            </w:pPr>
            <w:r>
              <w:rPr>
                <w:rFonts w:hint="eastAsia" w:cs="宋体"/>
                <w:b/>
                <w:bCs/>
                <w:color w:val="000000"/>
                <w:highlight w:val="none"/>
              </w:rPr>
              <w:t xml:space="preserve">1</w:t>
            </w:r>
            <w:r>
              <w:rPr>
                <w:rFonts w:cs="宋体"/>
                <w:b/>
                <w:bCs/>
                <w:color w:val="000000"/>
                <w:highlight w:val="none"/>
              </w:rPr>
              <w:t xml:space="preserve">0.</w:t>
            </w:r>
            <w:r>
              <w:rPr>
                <w:rFonts w:hint="eastAsia" w:cs="宋体"/>
                <w:b/>
                <w:bCs/>
                <w:color w:val="000000"/>
                <w:highlight w:val="none"/>
              </w:rPr>
              <w:t xml:space="preserve">售后服务</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1</w:t>
            </w:r>
            <w:r>
              <w:rPr>
                <w:rFonts w:cs="宋体"/>
                <w:color w:val="000000"/>
                <w:highlight w:val="none"/>
                <w:lang w:bidi="ar"/>
              </w:rPr>
              <w:t xml:space="preserve">0.1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numPr>
                <w:ilvl w:val="1"/>
                <w:numId w:val="0"/>
              </w:numPr>
              <w:ind w:left="567" w:hanging="567"/>
              <w:jc w:val="left"/>
              <w:widowControl/>
              <w:rPr>
                <w:rFonts w:cs="宋体"/>
                <w:color w:val="000000"/>
                <w:highlight w:val="none"/>
              </w:rPr>
            </w:pPr>
            <w:r>
              <w:rPr>
                <w:rFonts w:hint="eastAsia" w:cs="宋体"/>
                <w:color w:val="000000"/>
                <w:highlight w:val="none"/>
                <w:lang w:bidi="ar"/>
              </w:rPr>
              <w:t xml:space="preserve">提供设备原厂工程师初次现场安装、培训、验收服务，提供3年 7*24 小时原厂标准服务。</w:t>
            </w:r>
            <w:r>
              <w:rPr>
                <w:highlight w:val="none"/>
              </w:rPr>
            </w:r>
            <w:r/>
          </w:p>
        </w:tc>
      </w:tr>
      <w:tr>
        <w:trPr/>
        <w:tc>
          <w:tcPr>
            <w:gridSpan w:val="2"/>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10394" w:type="dxa"/>
            <w:vAlign w:val="center"/>
            <w:textDirection w:val="lrTb"/>
            <w:noWrap w:val="false"/>
          </w:tcPr>
          <w:p>
            <w:pPr>
              <w:pStyle w:val="932"/>
              <w:ind w:left="425" w:hanging="425"/>
              <w:jc w:val="center"/>
              <w:widowControl/>
              <w:rPr>
                <w:rFonts w:cs="宋体"/>
                <w:color w:val="000000"/>
                <w:highlight w:val="none"/>
              </w:rPr>
            </w:pPr>
            <w:r>
              <w:rPr>
                <w:rFonts w:hint="eastAsia" w:cs="宋体"/>
                <w:b/>
                <w:bCs/>
                <w:color w:val="000000"/>
                <w:highlight w:val="none"/>
              </w:rPr>
              <w:t xml:space="preserve">1</w:t>
            </w:r>
            <w:r>
              <w:rPr>
                <w:rFonts w:cs="宋体"/>
                <w:b/>
                <w:bCs/>
                <w:color w:val="000000"/>
                <w:highlight w:val="none"/>
              </w:rPr>
              <w:t xml:space="preserve">1</w:t>
            </w:r>
            <w:r>
              <w:rPr>
                <w:rFonts w:hint="eastAsia" w:cs="宋体"/>
                <w:b/>
                <w:bCs/>
                <w:color w:val="000000"/>
                <w:highlight w:val="none"/>
              </w:rPr>
              <w:t xml:space="preserve">备注</w:t>
            </w:r>
            <w:r>
              <w:rPr>
                <w:highlight w:val="none"/>
              </w:rPr>
            </w:r>
            <w:r/>
          </w:p>
        </w:tc>
      </w:tr>
      <w:tr>
        <w:trPr/>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hint="eastAsia" w:cs="宋体"/>
                <w:color w:val="000000"/>
                <w:highlight w:val="none"/>
                <w:lang w:bidi="ar"/>
              </w:rPr>
              <w:t xml:space="preserve">1</w:t>
            </w:r>
            <w:r>
              <w:rPr>
                <w:rFonts w:cs="宋体"/>
                <w:color w:val="000000"/>
                <w:highlight w:val="none"/>
                <w:lang w:bidi="ar"/>
              </w:rPr>
              <w:t xml:space="preserve">1.1</w:t>
            </w:r>
            <w:r>
              <w:rPr>
                <w:highlight w:val="none"/>
              </w:rPr>
            </w:r>
            <w:r/>
          </w:p>
        </w:tc>
        <w:tc>
          <w:tcPr>
            <w:shd w:val="clear" w:color="ffffff" w:themeColor="background1" w:fill="ffffff" w:themeFill="background1"/>
            <w:tcBorders>
              <w:top w:val="single" w:color="000000" w:sz="4" w:space="0"/>
              <w:left w:val="single" w:color="000000" w:sz="4" w:space="0"/>
              <w:bottom w:val="single" w:color="000000" w:sz="4" w:space="0"/>
              <w:right w:val="single" w:color="000000" w:sz="4" w:space="0"/>
            </w:tcBorders>
            <w:tcW w:w="4464" w:type="dxa"/>
            <w:vAlign w:val="center"/>
            <w:textDirection w:val="lrTb"/>
            <w:noWrap w:val="false"/>
          </w:tcPr>
          <w:p>
            <w:pPr>
              <w:pStyle w:val="932"/>
              <w:jc w:val="left"/>
              <w:widowControl/>
              <w:rPr>
                <w:rFonts w:cs="宋体"/>
                <w:color w:val="000000"/>
                <w:highlight w:val="none"/>
              </w:rPr>
            </w:pPr>
            <w:r>
              <w:rPr>
                <w:highlight w:val="none"/>
              </w:rPr>
            </w:r>
            <w:bookmarkStart w:id="206" w:name="_Toc22941"/>
            <w:r>
              <w:rPr>
                <w:highlight w:val="none"/>
              </w:rPr>
            </w:r>
            <w:bookmarkStart w:id="207" w:name="_Toc7989"/>
            <w:r>
              <w:rPr>
                <w:highlight w:val="none"/>
              </w:rPr>
            </w:r>
            <w:bookmarkStart w:id="208" w:name="_Toc3022"/>
            <w:r>
              <w:rPr>
                <w:highlight w:val="none"/>
              </w:rPr>
            </w:r>
            <w:bookmarkStart w:id="209" w:name="_Toc8611"/>
            <w:r>
              <w:rPr>
                <w:highlight w:val="none"/>
              </w:rPr>
            </w:r>
            <w:bookmarkStart w:id="210" w:name="_Toc14728"/>
            <w:r>
              <w:rPr>
                <w:rFonts w:hint="eastAsia" w:cs="宋体"/>
                <w:color w:val="000000"/>
                <w:highlight w:val="none"/>
                <w:lang w:bidi="ar"/>
              </w:rPr>
              <w:t xml:space="preserve">以上为设备的主要技术参数要求，供应商</w:t>
            </w:r>
            <w:r>
              <w:rPr>
                <w:rFonts w:hint="eastAsia" w:ascii="宋体" w:hAnsi="宋体" w:cs="宋体"/>
                <w:color w:val="000000"/>
                <w:highlight w:val="none"/>
                <w:lang w:val="en-US" w:eastAsia="zh-CN" w:bidi="ar"/>
              </w:rPr>
              <w:t xml:space="preserve">签订合同时</w:t>
            </w:r>
            <w:r>
              <w:rPr>
                <w:rFonts w:hint="eastAsia" w:ascii="宋体" w:hAnsi="宋体" w:cs="宋体"/>
                <w:color w:val="000000"/>
                <w:highlight w:val="none"/>
                <w:lang w:bidi="ar"/>
              </w:rPr>
              <w:t xml:space="preserve">提供</w:t>
            </w:r>
            <w:r>
              <w:rPr>
                <w:rFonts w:hint="eastAsia" w:cs="宋体"/>
                <w:color w:val="000000"/>
                <w:highlight w:val="none"/>
                <w:lang w:bidi="ar"/>
              </w:rPr>
              <w:t xml:space="preserve">加盖所投产品厂商公章的证明材料（原件）</w:t>
            </w:r>
            <w:r>
              <w:rPr>
                <w:rFonts w:hint="eastAsia" w:cs="宋体"/>
                <w:color w:val="000000"/>
                <w:highlight w:val="none"/>
                <w:lang w:eastAsia="zh-CN" w:bidi="ar"/>
              </w:rPr>
              <w:t xml:space="preserve">。</w:t>
            </w:r>
            <w:r>
              <w:rPr>
                <w:rFonts w:hint="eastAsia" w:cs="宋体"/>
                <w:color w:val="000000"/>
                <w:highlight w:val="none"/>
                <w:lang w:val="en-US" w:eastAsia="zh-CN" w:bidi="ar"/>
              </w:rPr>
              <w:t xml:space="preserve">采购人</w:t>
            </w:r>
            <w:r>
              <w:rPr>
                <w:rFonts w:hint="eastAsia" w:cs="宋体"/>
                <w:color w:val="000000"/>
                <w:highlight w:val="none"/>
                <w:lang w:bidi="ar"/>
              </w:rPr>
              <w:t xml:space="preserve">有权要求供应商在中标后三个工作日内提供样机进行功能性测试。</w:t>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r/>
          </w:p>
        </w:tc>
      </w:tr>
    </w:tbl>
    <w:p>
      <w:pPr>
        <w:pStyle w:val="963"/>
        <w:rPr>
          <w:color w:val="000000"/>
          <w:highlight w:val="none"/>
        </w:rPr>
      </w:pPr>
      <w:r>
        <w:rPr>
          <w:color w:val="000000"/>
          <w:highlight w:val="none"/>
        </w:rPr>
      </w:r>
      <w:r>
        <w:rPr>
          <w:highlight w:val="none"/>
        </w:rPr>
      </w:r>
      <w:r/>
    </w:p>
    <w:p>
      <w:pPr>
        <w:pStyle w:val="932"/>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7.万兆光纤以太网交换机</w:t>
      </w:r>
      <w:r>
        <w:rPr>
          <w:highlight w:val="none"/>
        </w:rPr>
      </w:r>
      <w:r/>
    </w:p>
    <w:tbl>
      <w:tblPr>
        <w:tblW w:w="5173" w:type="pct"/>
        <w:tblInd w:w="-108" w:type="dxa"/>
        <w:tblLayout w:type="fixed"/>
        <w:tblCellMar>
          <w:left w:w="108" w:type="dxa"/>
          <w:top w:w="0" w:type="dxa"/>
          <w:right w:w="108" w:type="dxa"/>
          <w:bottom w:w="0" w:type="dxa"/>
        </w:tblCellMar>
        <w:tblLook w:val="04A0" w:firstRow="1" w:lastRow="0" w:firstColumn="1" w:lastColumn="0" w:noHBand="0" w:noVBand="1"/>
      </w:tblPr>
      <w:tblGrid>
        <w:gridCol w:w="1101"/>
        <w:gridCol w:w="9206"/>
      </w:tblGrid>
      <w:tr>
        <w:trPr>
          <w:trHeight w:val="270"/>
        </w:trPr>
        <w:tc>
          <w:tcPr>
            <w:shd w:val="clear" w:color="ffffff" w:themeColor="background1" w:fill="ffffff" w:themeFill="background1"/>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序号</w:t>
            </w:r>
            <w:r>
              <w:rPr>
                <w:highlight w:val="none"/>
              </w:rPr>
            </w:r>
            <w:r/>
          </w:p>
        </w:tc>
        <w:tc>
          <w:tcPr>
            <w:shd w:val="clear" w:color="ffffff" w:themeColor="background1" w:fill="ffffff" w:themeFill="background1"/>
            <w:tcBorders>
              <w:top w:val="single" w:color="000000" w:sz="8" w:space="0"/>
              <w:left w:val="none" w:color="000000" w:sz="4" w:space="0"/>
              <w:bottom w:val="single" w:color="000000" w:sz="8" w:space="0"/>
              <w:right w:val="single" w:color="000000" w:sz="8" w:space="0"/>
            </w:tcBorders>
            <w:tcW w:w="4466" w:type="dxa"/>
            <w:vAlign w:val="center"/>
            <w:textDirection w:val="lrTb"/>
            <w:noWrap w:val="false"/>
          </w:tcPr>
          <w:p>
            <w:pPr>
              <w:pStyle w:val="932"/>
              <w:jc w:val="center"/>
              <w:widowControl/>
              <w:rPr>
                <w:rFonts w:cs="宋体"/>
                <w:b/>
                <w:bCs/>
                <w:color w:val="000000"/>
                <w:highlight w:val="none"/>
              </w:rPr>
            </w:pPr>
            <w:r>
              <w:rPr>
                <w:rFonts w:hint="eastAsia" w:cs="宋体"/>
                <w:b/>
                <w:bCs/>
                <w:color w:val="000000"/>
                <w:highlight w:val="none"/>
                <w:lang w:bidi="ar"/>
              </w:rPr>
              <w:t xml:space="preserve">详细技术参数</w:t>
            </w:r>
            <w:r>
              <w:rPr>
                <w:highlight w:val="none"/>
              </w:rPr>
            </w:r>
            <w:r/>
          </w:p>
        </w:tc>
      </w:tr>
      <w:tr>
        <w:trPr>
          <w:trHeight w:val="16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1.1</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66" w:type="dxa"/>
            <w:vAlign w:val="center"/>
            <w:textDirection w:val="lrTb"/>
            <w:noWrap w:val="false"/>
          </w:tcPr>
          <w:p>
            <w:pPr>
              <w:pStyle w:val="932"/>
              <w:jc w:val="left"/>
              <w:widowControl/>
              <w:rPr>
                <w:rFonts w:cs="宋体"/>
                <w:color w:val="000000"/>
                <w:highlight w:val="none"/>
              </w:rPr>
            </w:pPr>
            <w:r>
              <w:rPr>
                <w:rFonts w:hint="eastAsia" w:cs="宋体"/>
                <w:color w:val="000000"/>
                <w:highlight w:val="none"/>
                <w:lang w:bidi="ar"/>
              </w:rPr>
              <w:t xml:space="preserve">万兆光纤以太网交换机，单台配置≥24个10G SFP Plus端口，交换容量≥2.56Tbps，包转发率≥480Mpps。</w:t>
            </w:r>
            <w:r>
              <w:rPr>
                <w:highlight w:val="none"/>
              </w:rPr>
            </w:r>
            <w:r/>
          </w:p>
        </w:tc>
      </w:tr>
      <w:tr>
        <w:trPr>
          <w:trHeight w:val="165"/>
        </w:trPr>
        <w:tc>
          <w:tcPr>
            <w:shd w:val="clear" w:color="ffffff" w:themeColor="background1" w:fill="ffffff" w:themeFill="background1"/>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pStyle w:val="932"/>
              <w:numPr>
                <w:ilvl w:val="1"/>
                <w:numId w:val="0"/>
              </w:numPr>
              <w:ind w:left="567" w:hanging="567"/>
              <w:jc w:val="center"/>
              <w:widowControl/>
              <w:rPr>
                <w:rFonts w:cs="宋体"/>
                <w:color w:val="000000"/>
                <w:highlight w:val="none"/>
              </w:rPr>
            </w:pPr>
            <w:r>
              <w:rPr>
                <w:rFonts w:cs="宋体"/>
                <w:color w:val="000000"/>
                <w:highlight w:val="none"/>
                <w:lang w:bidi="ar"/>
              </w:rPr>
              <w:t xml:space="preserve">1.2</w:t>
            </w:r>
            <w:r>
              <w:rPr>
                <w:highlight w:val="none"/>
              </w:rPr>
            </w:r>
            <w:r/>
          </w:p>
        </w:tc>
        <w:tc>
          <w:tcPr>
            <w:shd w:val="clear" w:color="ffffff" w:themeColor="background1" w:fill="ffffff" w:themeFill="background1"/>
            <w:tcBorders>
              <w:top w:val="none" w:color="000000" w:sz="4" w:space="0"/>
              <w:left w:val="none" w:color="000000" w:sz="4" w:space="0"/>
              <w:bottom w:val="single" w:color="000000" w:sz="8" w:space="0"/>
              <w:right w:val="single" w:color="000000" w:sz="8" w:space="0"/>
            </w:tcBorders>
            <w:tcW w:w="4466" w:type="dxa"/>
            <w:vAlign w:val="center"/>
            <w:textDirection w:val="lrTb"/>
            <w:noWrap w:val="false"/>
          </w:tcPr>
          <w:p>
            <w:pPr>
              <w:pStyle w:val="932"/>
              <w:numPr>
                <w:ilvl w:val="1"/>
                <w:numId w:val="0"/>
              </w:numPr>
              <w:ind w:left="567" w:hanging="567"/>
              <w:jc w:val="left"/>
              <w:widowControl/>
              <w:rPr>
                <w:rFonts w:cs="宋体"/>
                <w:color w:val="000000"/>
                <w:highlight w:val="none"/>
              </w:rPr>
            </w:pPr>
            <w:r>
              <w:rPr>
                <w:rFonts w:hint="eastAsia" w:cs="宋体"/>
                <w:color w:val="000000"/>
                <w:highlight w:val="none"/>
                <w:lang w:bidi="ar"/>
              </w:rPr>
              <w:t xml:space="preserve">单台配置≥</w:t>
            </w:r>
            <w:r>
              <w:rPr>
                <w:rFonts w:cs="宋体"/>
                <w:color w:val="000000"/>
                <w:highlight w:val="none"/>
                <w:lang w:bidi="ar"/>
              </w:rPr>
              <w:t xml:space="preserve">1</w:t>
            </w:r>
            <w:r>
              <w:rPr>
                <w:rFonts w:hint="eastAsia" w:cs="宋体"/>
                <w:color w:val="000000"/>
                <w:highlight w:val="none"/>
                <w:lang w:bidi="ar"/>
              </w:rPr>
              <w:t xml:space="preserve">0个SFP+万兆模块及相应光纤跳线。</w:t>
            </w:r>
            <w:r>
              <w:rPr>
                <w:highlight w:val="none"/>
              </w:rPr>
            </w:r>
            <w:r/>
          </w:p>
        </w:tc>
      </w:tr>
    </w:tbl>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highlight w:val="none"/>
        </w:rPr>
      </w:r>
      <w:r/>
    </w:p>
    <w:p>
      <w:pPr>
        <w:pStyle w:val="932"/>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报价要求</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highlight w:val="none"/>
        </w:rPr>
      </w:r>
      <w:r/>
    </w:p>
    <w:p>
      <w:pPr>
        <w:pStyle w:val="932"/>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highlight w:val="none"/>
        </w:rPr>
      </w:r>
      <w:r/>
    </w:p>
    <w:p>
      <w:pPr>
        <w:pStyle w:val="932"/>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软件支持信创部署，同时支持非信创部署环境。</w:t>
      </w:r>
      <w:r>
        <w:rPr>
          <w:highlight w:val="none"/>
        </w:rPr>
      </w:r>
      <w:r/>
    </w:p>
    <w:p>
      <w:pPr>
        <w:pStyle w:val="932"/>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安装调试要求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①安装标准：符合我国国家有关技术规范要求和技术标准。</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②安装过程中发生的费用由供应商负责。</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③供应商应在投标文件中明确其安装调试过程中医院需配合的内容。</w:t>
      </w:r>
      <w:r>
        <w:rPr>
          <w:highlight w:val="none"/>
        </w:rPr>
      </w:r>
      <w:r/>
    </w:p>
    <w:p>
      <w:pPr>
        <w:pStyle w:val="932"/>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④如在规定的时间内由于供应商的原因不能完成安装和调试，供应商应承担由此给采购人造成的损失。</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供应商应提供系统及其设备的有效检验文件，经采购人认可后，与系统检验标准及设备性能指标、合同内容一起作为系统验收标准。采购人对系统验收合格后，双方共同签署验收合格证书。验收中发现系统达不到验收标准或合同规定的性能指标，供应商必须更换相关设备，并且赔偿由此给采购人造成的损失。</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②验收过程所发生的一切费用由供应商承担。</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（4）维保要求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①维保期从验收通过由采购人开始临床使用系统之后起开始生效，维保期为一年。</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②供应商需安排一名工程师常驻采购人现场，在维保期一年内，为采购人提供现场驻点服务。</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（5）人员要求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①项目经理：1人，具有至少1年以上信息化项目管理工作经验，须1年驻场服务，不得兼任其他岗位。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②技术负责人1人，具有至少2年以上信息化技术管理工作经验。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③开发实施人员：不少于6人，具有信息化工作经验。 </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④项目组所有人员必须为供应商正式工作人员。 </w:t>
      </w:r>
      <w:r>
        <w:rPr>
          <w:highlight w:val="none"/>
        </w:rPr>
      </w:r>
      <w:r/>
    </w:p>
    <w:p>
      <w:pPr>
        <w:pStyle w:val="932"/>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（6）知识产权及保密要求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（7）建设成果要求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供应商在项目建设的各个阶段及时提交建设成果，主要包括但不限于以下内容：</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①项目启动阶段：项目实施方案。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②业务需求分析阶段：需求调研方案、需求分析说明书。</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③系统设计、开发阶段：需求规格说明书、概要设计说明书、详细设计说明书、数据库设计说明书、系统接口说明书。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④系统实施阶段：系统上线部署方案、软件安装说明书、软件使用说明书、系统安装光盘、系统培训方案、系统培训手册。 </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⑤项目验收阶段：测试报告、项目验收方案、系统运行报告、项目验收报告。 </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⑥运行维护阶段：系统维护方案、系统维护手册、系统运行维护记录。</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（8）技术培训要求</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①供应商</w:t>
      </w:r>
      <w:r>
        <w:rPr>
          <w:rFonts w:hint="eastAsia" w:ascii="宋体" w:hAnsi="宋体"/>
          <w:color w:val="000000"/>
          <w:sz w:val="24"/>
          <w:szCs w:val="24"/>
          <w:highlight w:val="none"/>
          <w:lang w:val="zh-TW" w:eastAsia="zh-TW"/>
        </w:rPr>
        <w:t xml:space="preserve">应对</w:t>
      </w:r>
      <w:r>
        <w:rPr>
          <w:rFonts w:hint="eastAsia" w:ascii="宋体" w:hAnsi="宋体"/>
          <w:color w:val="000000"/>
          <w:sz w:val="24"/>
          <w:szCs w:val="24"/>
          <w:highlight w:val="none"/>
          <w:lang w:val="zh-TW"/>
        </w:rPr>
        <w:t xml:space="preserve">采购</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val="zh-TW" w:eastAsia="zh-TW"/>
        </w:rPr>
        <w:t xml:space="preserve">的</w:t>
      </w:r>
      <w:r>
        <w:rPr>
          <w:rFonts w:hint="eastAsia" w:ascii="宋体" w:hAnsi="宋体"/>
          <w:color w:val="000000"/>
          <w:sz w:val="24"/>
          <w:szCs w:val="24"/>
          <w:highlight w:val="none"/>
        </w:rPr>
        <w:t xml:space="preserve">维护</w:t>
      </w:r>
      <w:r>
        <w:rPr>
          <w:rFonts w:hint="eastAsia" w:ascii="宋体" w:hAnsi="宋体"/>
          <w:color w:val="000000"/>
          <w:sz w:val="24"/>
          <w:szCs w:val="24"/>
          <w:highlight w:val="none"/>
          <w:lang w:val="zh-TW" w:eastAsia="zh-TW"/>
        </w:rPr>
        <w:t xml:space="preserve">人员提供一人一天的培训，使其能对</w:t>
      </w:r>
      <w:r>
        <w:rPr>
          <w:rFonts w:hint="eastAsia" w:ascii="宋体" w:hAnsi="宋体"/>
          <w:color w:val="000000"/>
          <w:sz w:val="24"/>
          <w:szCs w:val="24"/>
          <w:highlight w:val="none"/>
        </w:rPr>
        <w:t xml:space="preserve">整个系统</w:t>
      </w:r>
      <w:r>
        <w:rPr>
          <w:rFonts w:hint="eastAsia" w:ascii="宋体" w:hAnsi="宋体"/>
          <w:color w:val="000000"/>
          <w:sz w:val="24"/>
          <w:szCs w:val="24"/>
          <w:highlight w:val="none"/>
          <w:lang w:val="zh-TW" w:eastAsia="zh-TW"/>
        </w:rPr>
        <w:t xml:space="preserve">进行日常的维护，并向</w:t>
      </w:r>
      <w:r>
        <w:rPr>
          <w:rFonts w:hint="eastAsia" w:ascii="宋体" w:hAnsi="宋体"/>
          <w:color w:val="000000"/>
          <w:sz w:val="24"/>
          <w:szCs w:val="24"/>
          <w:highlight w:val="none"/>
        </w:rPr>
        <w:t xml:space="preserve">参加</w:t>
      </w:r>
      <w:r>
        <w:rPr>
          <w:rFonts w:hint="eastAsia" w:ascii="宋体" w:hAnsi="宋体"/>
          <w:color w:val="000000"/>
          <w:sz w:val="24"/>
          <w:szCs w:val="24"/>
          <w:highlight w:val="none"/>
          <w:lang w:val="zh-TW" w:eastAsia="zh-TW"/>
        </w:rPr>
        <w:t xml:space="preserve">培训人员提供维修手册。</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w:t>
      </w:r>
      <w:r>
        <w:rPr>
          <w:rFonts w:hint="eastAsia" w:ascii="宋体" w:hAnsi="宋体"/>
          <w:color w:val="000000"/>
          <w:sz w:val="24"/>
          <w:szCs w:val="24"/>
          <w:highlight w:val="none"/>
          <w:lang w:val="zh-TW" w:eastAsia="zh-TW"/>
        </w:rPr>
        <w:t xml:space="preserve">应对</w:t>
      </w:r>
      <w:r>
        <w:rPr>
          <w:rFonts w:hint="eastAsia" w:ascii="宋体" w:hAnsi="宋体"/>
          <w:color w:val="000000"/>
          <w:sz w:val="24"/>
          <w:szCs w:val="24"/>
          <w:highlight w:val="none"/>
          <w:lang w:val="zh-TW"/>
        </w:rPr>
        <w:t xml:space="preserve">采购</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val="zh-TW" w:eastAsia="zh-TW"/>
        </w:rPr>
        <w:t xml:space="preserve">的操作人员提供多场次的操作培训，并使其能熟练应用系统。</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w:t>
      </w:r>
      <w:r>
        <w:rPr>
          <w:rFonts w:hint="eastAsia" w:ascii="宋体" w:hAnsi="宋体"/>
          <w:color w:val="000000"/>
          <w:sz w:val="24"/>
          <w:szCs w:val="24"/>
          <w:highlight w:val="none"/>
          <w:lang w:val="zh-TW" w:eastAsia="zh-TW"/>
        </w:rPr>
        <w:t xml:space="preserve">上述二种培训的培训方式、地点、人员及费用</w:t>
      </w:r>
      <w:r>
        <w:rPr>
          <w:rFonts w:hint="eastAsia" w:ascii="宋体" w:hAnsi="宋体"/>
          <w:color w:val="000000"/>
          <w:sz w:val="24"/>
          <w:szCs w:val="24"/>
          <w:highlight w:val="none"/>
          <w:lang w:val="zh-TW"/>
        </w:rPr>
        <w:t xml:space="preserve">，</w:t>
      </w:r>
      <w:r>
        <w:rPr>
          <w:rFonts w:hint="eastAsia" w:ascii="宋体" w:hAnsi="宋体"/>
          <w:color w:val="000000"/>
          <w:sz w:val="24"/>
          <w:szCs w:val="24"/>
          <w:highlight w:val="none"/>
        </w:rPr>
        <w:t xml:space="preserve">供应商应综合考虑</w:t>
      </w:r>
      <w:r>
        <w:rPr>
          <w:rFonts w:hint="eastAsia" w:ascii="宋体" w:hAnsi="宋体"/>
          <w:color w:val="000000"/>
          <w:sz w:val="24"/>
          <w:szCs w:val="24"/>
          <w:highlight w:val="none"/>
          <w:lang w:val="zh-TW" w:eastAsia="zh-TW"/>
        </w:rPr>
        <w:t xml:space="preserve">包含在投标总价中。</w:t>
      </w:r>
      <w:r>
        <w:rPr>
          <w:highlight w:val="none"/>
        </w:rPr>
      </w:r>
      <w:r/>
    </w:p>
    <w:p>
      <w:pPr>
        <w:pStyle w:val="932"/>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（9）随机资料</w:t>
      </w:r>
      <w:r>
        <w:rPr>
          <w:highlight w:val="none"/>
        </w:rPr>
      </w:r>
      <w:r/>
    </w:p>
    <w:p>
      <w:pPr>
        <w:pStyle w:val="932"/>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至少包括：中文使用说明书1份，系统管理员说明书1份。</w:t>
      </w:r>
      <w:r>
        <w:rPr>
          <w:highlight w:val="none"/>
        </w:rPr>
      </w:r>
      <w:r/>
    </w:p>
    <w:p>
      <w:pPr>
        <w:pStyle w:val="932"/>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付款条件</w:t>
      </w:r>
      <w:r>
        <w:rPr>
          <w:highlight w:val="none"/>
        </w:rPr>
      </w:r>
      <w:r/>
    </w:p>
    <w:p>
      <w:pPr>
        <w:pStyle w:val="932"/>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highlight w:val="none"/>
        </w:rPr>
      </w:r>
      <w:r/>
    </w:p>
    <w:p>
      <w:pPr>
        <w:pStyle w:val="932"/>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highlight w:val="none"/>
        </w:rPr>
      </w:r>
      <w:r/>
    </w:p>
    <w:p>
      <w:pPr>
        <w:pStyle w:val="932"/>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90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w:t>
      </w:r>
      <w:r>
        <w:rPr>
          <w:rFonts w:ascii="宋体" w:hAnsi="宋体" w:cs="宋体"/>
          <w:color w:val="000000"/>
          <w:sz w:val="24"/>
          <w:szCs w:val="24"/>
          <w:highlight w:val="none"/>
        </w:rPr>
        <w:t xml:space="preserve">。</w:t>
      </w:r>
      <w:r>
        <w:rPr>
          <w:highlight w:val="none"/>
        </w:rPr>
      </w:r>
      <w:r/>
    </w:p>
    <w:p>
      <w:pPr>
        <w:pStyle w:val="932"/>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highlight w:val="none"/>
        </w:rPr>
      </w:r>
      <w:r/>
    </w:p>
    <w:p>
      <w:pPr>
        <w:pStyle w:val="932"/>
        <w:rPr>
          <w:rFonts w:hint="eastAsia"/>
          <w:color w:val="000000"/>
          <w:highlight w:val="none"/>
        </w:rPr>
      </w:pPr>
      <w:r>
        <w:rPr>
          <w:rFonts w:hint="eastAsia"/>
          <w:color w:val="000000"/>
          <w:highlight w:val="none"/>
        </w:rPr>
        <w:br w:type="page" w:clear="all"/>
      </w:r>
      <w:r>
        <w:rPr>
          <w:highlight w:val="none"/>
        </w:rPr>
      </w:r>
      <w:r/>
    </w:p>
    <w:p>
      <w:pPr>
        <w:pStyle w:val="932"/>
        <w:ind w:right="840"/>
        <w:jc w:val="center"/>
        <w:rPr>
          <w:rFonts w:hint="eastAsia" w:ascii="微软雅黑" w:hAnsi="微软雅黑" w:eastAsia="微软雅黑" w:cs="微软雅黑"/>
          <w:color w:val="000000"/>
          <w:sz w:val="36"/>
          <w:szCs w:val="36"/>
          <w:highlight w:val="none"/>
        </w:rPr>
      </w:pPr>
      <w:r>
        <w:rPr>
          <w:highlight w:val="none"/>
        </w:rPr>
      </w:r>
      <w:bookmarkStart w:id="211" w:name="_Toc120614281"/>
      <w:r>
        <w:rPr>
          <w:rFonts w:hint="eastAsia" w:ascii="微软雅黑" w:hAnsi="微软雅黑" w:eastAsia="微软雅黑" w:cs="微软雅黑"/>
          <w:color w:val="000000"/>
          <w:sz w:val="36"/>
          <w:szCs w:val="36"/>
          <w:highlight w:val="none"/>
        </w:rPr>
        <w:t xml:space="preserve">第五章  评标方法与评标标准</w:t>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highlight w:val="none"/>
        </w:rPr>
      </w:r>
      <w:r/>
    </w:p>
    <w:p>
      <w:pPr>
        <w:pStyle w:val="932"/>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采用综合评分法，评标结果按评审后得分由高到低顺序排列。得分相同的，按投标报价由低到高顺序排列。得分且投标报价相同的，按“三、评标标准-</w:t>
      </w:r>
      <w:r>
        <w:rPr>
          <w:rFonts w:hint="eastAsia" w:ascii="宋体" w:hAnsi="宋体"/>
          <w:color w:val="000000"/>
          <w:sz w:val="24"/>
          <w:szCs w:val="24"/>
          <w:highlight w:val="none"/>
        </w:rPr>
        <w:t xml:space="preserve">2.技术</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”得分由高到低顺序排列。在投标文件满足招标文件全部实质性要求的供应商中，按照评审得分由高到低选取</w:t>
      </w:r>
      <w:r>
        <w:rPr>
          <w:rFonts w:hint="eastAsia" w:ascii="宋体" w:hAnsi="宋体"/>
          <w:color w:val="000000"/>
          <w:sz w:val="24"/>
          <w:szCs w:val="24"/>
          <w:highlight w:val="none"/>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highlight w:val="none"/>
        </w:rPr>
      </w:r>
      <w:r/>
    </w:p>
    <w:p>
      <w:pPr>
        <w:pStyle w:val="932"/>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二、评标标准</w:t>
      </w:r>
      <w:r>
        <w:rPr>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932"/>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序号</w:t>
            </w:r>
            <w:r>
              <w:rPr>
                <w:highlight w:val="none"/>
              </w:rPr>
            </w:r>
            <w:r/>
          </w:p>
        </w:tc>
        <w:tc>
          <w:tcPr>
            <w:tcW w:w="1179" w:type="dxa"/>
            <w:vAlign w:val="top"/>
            <w:textDirection w:val="lrTb"/>
            <w:noWrap w:val="false"/>
          </w:tcPr>
          <w:p>
            <w:pPr>
              <w:pStyle w:val="932"/>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评审因素</w:t>
            </w:r>
            <w:r>
              <w:rPr>
                <w:highlight w:val="none"/>
              </w:rPr>
            </w:r>
            <w:r/>
          </w:p>
        </w:tc>
        <w:tc>
          <w:tcPr>
            <w:tcW w:w="6330" w:type="dxa"/>
            <w:vAlign w:val="top"/>
            <w:textDirection w:val="lrTb"/>
            <w:noWrap w:val="false"/>
          </w:tcPr>
          <w:p>
            <w:pPr>
              <w:pStyle w:val="932"/>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评审细则</w:t>
            </w:r>
            <w:r>
              <w:rPr>
                <w:highlight w:val="none"/>
              </w:rPr>
            </w:r>
            <w:r/>
          </w:p>
        </w:tc>
        <w:tc>
          <w:tcPr>
            <w:tcW w:w="647" w:type="dxa"/>
            <w:vAlign w:val="top"/>
            <w:textDirection w:val="lrTb"/>
            <w:noWrap w:val="false"/>
          </w:tcPr>
          <w:p>
            <w:pPr>
              <w:pStyle w:val="932"/>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分值</w:t>
            </w:r>
            <w:r>
              <w:rPr>
                <w:highlight w:val="none"/>
              </w:rPr>
            </w:r>
            <w:r/>
          </w:p>
        </w:tc>
        <w:tc>
          <w:tcPr>
            <w:tcW w:w="900" w:type="dxa"/>
            <w:vAlign w:val="top"/>
            <w:textDirection w:val="lrTb"/>
            <w:noWrap w:val="false"/>
          </w:tcPr>
          <w:p>
            <w:pPr>
              <w:pStyle w:val="932"/>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类型</w:t>
            </w:r>
            <w:r>
              <w:rPr>
                <w:highlight w:val="none"/>
              </w:rPr>
            </w:r>
            <w:r/>
          </w:p>
        </w:tc>
      </w:tr>
      <w:tr>
        <w:trPr>
          <w:trHeight w:val="460"/>
        </w:trPr>
        <w:tc>
          <w:tcPr>
            <w:gridSpan w:val="5"/>
            <w:tcW w:w="9575" w:type="dxa"/>
            <w:vAlign w:val="top"/>
            <w:textDirection w:val="lrTb"/>
            <w:noWrap w:val="false"/>
          </w:tcPr>
          <w:p>
            <w:pPr>
              <w:pStyle w:val="932"/>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highlight w:val="none"/>
              </w:rPr>
            </w:r>
            <w:r/>
          </w:p>
        </w:tc>
      </w:tr>
      <w:tr>
        <w:trPr>
          <w:trHeight w:val="1030"/>
        </w:trPr>
        <w:tc>
          <w:tcPr>
            <w:tcW w:w="519" w:type="dxa"/>
            <w:vAlign w:val="center"/>
            <w:textDirection w:val="lrTb"/>
            <w:noWrap w:val="false"/>
          </w:tcPr>
          <w:p>
            <w:pPr>
              <w:pStyle w:val="932"/>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highlight w:val="none"/>
              </w:rPr>
            </w:r>
            <w:r/>
          </w:p>
        </w:tc>
        <w:tc>
          <w:tcPr>
            <w:tcW w:w="1179" w:type="dxa"/>
            <w:vAlign w:val="center"/>
            <w:textDirection w:val="lrTb"/>
            <w:noWrap w:val="false"/>
          </w:tcPr>
          <w:p>
            <w:pPr>
              <w:pStyle w:val="932"/>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highlight w:val="none"/>
              </w:rPr>
            </w:r>
            <w:r/>
          </w:p>
        </w:tc>
        <w:tc>
          <w:tcPr>
            <w:tcW w:w="6330" w:type="dxa"/>
            <w:vAlign w:val="center"/>
            <w:textDirection w:val="lrTb"/>
            <w:noWrap w:val="false"/>
          </w:tcPr>
          <w:p>
            <w:pPr>
              <w:pStyle w:val="932"/>
              <w:jc w:val="left"/>
              <w:spacing w:line="264" w:lineRule="auto"/>
              <w:rPr>
                <w:color w:val="000000"/>
                <w:highlight w:val="none"/>
              </w:rPr>
            </w:pPr>
            <w:r>
              <w:rPr>
                <w:color w:val="000000"/>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highlight w:val="none"/>
              </w:rPr>
              <w:t xml:space="preserve">价格分值（小数点保留两位）</w:t>
            </w:r>
            <w:r>
              <w:rPr>
                <w:highlight w:val="none"/>
              </w:rPr>
            </w:r>
            <w:r/>
          </w:p>
        </w:tc>
        <w:tc>
          <w:tcPr>
            <w:tcW w:w="647" w:type="dxa"/>
            <w:vAlign w:val="center"/>
            <w:textDirection w:val="lrTb"/>
            <w:noWrap w:val="false"/>
          </w:tcPr>
          <w:p>
            <w:pPr>
              <w:pStyle w:val="932"/>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10</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价格分</w:t>
            </w:r>
            <w:r>
              <w:rPr>
                <w:highlight w:val="none"/>
              </w:rPr>
            </w:r>
            <w:r/>
          </w:p>
        </w:tc>
      </w:tr>
      <w:tr>
        <w:trPr>
          <w:trHeight w:val="460"/>
        </w:trPr>
        <w:tc>
          <w:tcPr>
            <w:gridSpan w:val="5"/>
            <w:tcW w:w="9575" w:type="dxa"/>
            <w:vAlign w:val="top"/>
            <w:textDirection w:val="lrTb"/>
            <w:noWrap w:val="false"/>
          </w:tcPr>
          <w:p>
            <w:pPr>
              <w:pStyle w:val="932"/>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2.技术</w:t>
            </w:r>
            <w:r>
              <w:rPr>
                <w:highlight w:val="none"/>
              </w:rPr>
            </w:r>
            <w:r/>
          </w:p>
        </w:tc>
      </w:tr>
      <w:tr>
        <w:trPr>
          <w:trHeight w:val="479"/>
        </w:trPr>
        <w:tc>
          <w:tcPr>
            <w:tcW w:w="519" w:type="dxa"/>
            <w:vAlign w:val="center"/>
            <w:textDirection w:val="lrTb"/>
            <w:noWrap w:val="false"/>
          </w:tcPr>
          <w:p>
            <w:pPr>
              <w:pStyle w:val="932"/>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2.1</w:t>
            </w:r>
            <w:r>
              <w:rPr>
                <w:highlight w:val="none"/>
              </w:rPr>
            </w:r>
            <w:r/>
          </w:p>
        </w:tc>
        <w:tc>
          <w:tcPr>
            <w:tcW w:w="1179" w:type="dxa"/>
            <w:vAlign w:val="center"/>
            <w:textDirection w:val="lrTb"/>
            <w:noWrap w:val="false"/>
          </w:tcPr>
          <w:p>
            <w:pPr>
              <w:pStyle w:val="932"/>
              <w:jc w:val="left"/>
              <w:spacing w:before="68" w:line="264" w:lineRule="auto"/>
              <w:rPr>
                <w:rFonts w:hint="eastAsia" w:ascii="宋体" w:hAnsi="宋体" w:cs="宋体"/>
                <w:color w:val="000000"/>
                <w:spacing w:val="-2"/>
                <w:highlight w:val="none"/>
              </w:rPr>
            </w:pPr>
            <w:r>
              <w:rPr>
                <w:rFonts w:hint="eastAsia"/>
                <w:color w:val="000000"/>
                <w:highlight w:val="none"/>
              </w:rPr>
              <w:t xml:space="preserve">产品</w:t>
            </w:r>
            <w:r>
              <w:rPr>
                <w:color w:val="000000"/>
                <w:highlight w:val="none"/>
              </w:rPr>
              <w:t xml:space="preserve">技术参数</w:t>
            </w:r>
            <w:r>
              <w:rPr>
                <w:highlight w:val="none"/>
              </w:rPr>
            </w:r>
            <w:r/>
          </w:p>
        </w:tc>
        <w:tc>
          <w:tcPr>
            <w:tcW w:w="6330" w:type="dxa"/>
            <w:vAlign w:val="center"/>
            <w:textDirection w:val="lrTb"/>
            <w:noWrap w:val="false"/>
          </w:tcPr>
          <w:p>
            <w:pPr>
              <w:pStyle w:val="932"/>
              <w:jc w:val="left"/>
              <w:spacing w:line="264" w:lineRule="auto"/>
              <w:rPr>
                <w:color w:val="000000"/>
                <w:highlight w:val="none"/>
              </w:rPr>
            </w:pPr>
            <w:r>
              <w:rPr>
                <w:rFonts w:hint="eastAsia" w:ascii="宋体" w:hAnsi="宋体" w:cs="宋体"/>
                <w:color w:val="000000"/>
                <w:highlight w:val="none"/>
              </w:rPr>
              <w:t xml:space="preserve">产品</w:t>
            </w:r>
            <w:r>
              <w:rPr>
                <w:rFonts w:ascii="宋体" w:hAnsi="宋体" w:cs="宋体"/>
                <w:color w:val="000000"/>
                <w:highlight w:val="none"/>
              </w:rPr>
              <w:t xml:space="preserve">技术参数全部满足招标要求的得满分</w:t>
            </w:r>
            <w:r>
              <w:rPr>
                <w:rFonts w:hint="eastAsia" w:ascii="宋体" w:hAnsi="宋体" w:cs="宋体"/>
                <w:color w:val="000000"/>
                <w:highlight w:val="none"/>
              </w:rPr>
              <w:t xml:space="preserve">，</w:t>
            </w:r>
            <w:r>
              <w:rPr>
                <w:rFonts w:ascii="宋体" w:hAnsi="宋体" w:cs="宋体"/>
                <w:color w:val="000000"/>
                <w:highlight w:val="none"/>
              </w:rPr>
              <w:t xml:space="preserve">打★指标为必须满足项，如有负偏离将作为无效投标</w:t>
            </w:r>
            <w:r>
              <w:rPr>
                <w:rFonts w:hint="eastAsia" w:ascii="宋体" w:hAnsi="宋体" w:cs="宋体"/>
                <w:color w:val="000000"/>
                <w:highlight w:val="none"/>
              </w:rPr>
              <w:t xml:space="preserve">，</w:t>
            </w:r>
            <w:r>
              <w:rPr>
                <w:rFonts w:ascii="宋体" w:hAnsi="宋体" w:cs="宋体"/>
                <w:color w:val="000000"/>
                <w:highlight w:val="none"/>
              </w:rPr>
              <w:t xml:space="preserve">打▲指标为重要指标，有</w:t>
            </w:r>
            <w:r>
              <w:rPr>
                <w:rFonts w:hint="eastAsia" w:ascii="宋体" w:hAnsi="宋体" w:cs="宋体"/>
                <w:color w:val="000000"/>
                <w:highlight w:val="none"/>
              </w:rPr>
              <w:t xml:space="preserve">1</w:t>
            </w:r>
            <w:r>
              <w:rPr>
                <w:rFonts w:ascii="宋体" w:hAnsi="宋体" w:cs="宋体"/>
                <w:color w:val="000000"/>
                <w:highlight w:val="none"/>
              </w:rPr>
              <w:t xml:space="preserve">项负偏离扣</w:t>
            </w:r>
            <w:r>
              <w:rPr>
                <w:rFonts w:hint="eastAsia" w:ascii="宋体" w:hAnsi="宋体" w:cs="宋体"/>
                <w:color w:val="000000"/>
                <w:highlight w:val="none"/>
              </w:rPr>
              <w:t xml:space="preserve">3</w:t>
            </w:r>
            <w:r>
              <w:rPr>
                <w:rFonts w:ascii="宋体" w:hAnsi="宋体" w:cs="宋体"/>
                <w:color w:val="000000"/>
                <w:highlight w:val="none"/>
              </w:rPr>
              <w:t xml:space="preserve">分</w:t>
            </w:r>
            <w:r>
              <w:rPr>
                <w:rFonts w:hint="eastAsia" w:ascii="宋体" w:hAnsi="宋体" w:cs="宋体"/>
                <w:color w:val="000000"/>
                <w:highlight w:val="none"/>
              </w:rPr>
              <w:t xml:space="preserve">，</w:t>
            </w:r>
            <w:r>
              <w:rPr>
                <w:rFonts w:ascii="宋体" w:hAnsi="宋体" w:cs="宋体"/>
                <w:color w:val="000000"/>
                <w:highlight w:val="none"/>
              </w:rPr>
              <w:t xml:space="preserve">其余指标有</w:t>
            </w:r>
            <w:r>
              <w:rPr>
                <w:rFonts w:hint="eastAsia" w:ascii="宋体" w:hAnsi="宋体" w:cs="宋体"/>
                <w:color w:val="000000"/>
                <w:highlight w:val="none"/>
              </w:rPr>
              <w:t xml:space="preserve">1</w:t>
            </w:r>
            <w:r>
              <w:rPr>
                <w:rFonts w:ascii="宋体" w:hAnsi="宋体" w:cs="宋体"/>
                <w:color w:val="000000"/>
                <w:highlight w:val="none"/>
              </w:rPr>
              <w:t xml:space="preserve">项负偏离扣1分，扣完为止。</w:t>
            </w:r>
            <w:r>
              <w:rPr>
                <w:highlight w:val="none"/>
              </w:rPr>
            </w:r>
            <w:r/>
          </w:p>
        </w:tc>
        <w:tc>
          <w:tcPr>
            <w:tcW w:w="647" w:type="dxa"/>
            <w:vAlign w:val="center"/>
            <w:textDirection w:val="lrTb"/>
            <w:noWrap w:val="false"/>
          </w:tcPr>
          <w:p>
            <w:pPr>
              <w:pStyle w:val="932"/>
              <w:jc w:val="center"/>
              <w:spacing w:before="68" w:line="264" w:lineRule="auto"/>
              <w:rPr>
                <w:rFonts w:hint="eastAsia" w:ascii="宋体" w:hAnsi="宋体" w:eastAsia="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3</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479"/>
        </w:trPr>
        <w:tc>
          <w:tcPr>
            <w:tcW w:w="519" w:type="dxa"/>
            <w:vAlign w:val="center"/>
            <w:textDirection w:val="lrTb"/>
            <w:noWrap w:val="false"/>
          </w:tcPr>
          <w:p>
            <w:pPr>
              <w:pStyle w:val="932"/>
              <w:jc w:val="center"/>
              <w:spacing w:before="68" w:line="264" w:lineRule="auto"/>
              <w:rPr>
                <w:rFonts w:ascii="宋体" w:hAnsi="宋体" w:eastAsia="宋体" w:cs="宋体"/>
                <w:color w:val="000000"/>
                <w:spacing w:val="-2"/>
                <w:highlight w:val="none"/>
              </w:rPr>
            </w:pPr>
            <w:r>
              <w:rPr>
                <w:rFonts w:hint="eastAsia" w:ascii="宋体" w:hAnsi="宋体" w:cs="宋体"/>
                <w:color w:val="000000"/>
                <w:spacing w:val="-2"/>
                <w:highlight w:val="none"/>
                <w:lang w:val="en-US" w:eastAsia="zh-CN"/>
              </w:rPr>
              <w:t xml:space="preserve">2.2</w:t>
            </w:r>
            <w:r>
              <w:rPr>
                <w:highlight w:val="none"/>
              </w:rPr>
            </w:r>
            <w:r/>
          </w:p>
        </w:tc>
        <w:tc>
          <w:tcPr>
            <w:tcW w:w="1179" w:type="dxa"/>
            <w:vAlign w:val="center"/>
            <w:textDirection w:val="lrTb"/>
            <w:noWrap w:val="false"/>
          </w:tcPr>
          <w:p>
            <w:pPr>
              <w:pStyle w:val="932"/>
              <w:jc w:val="left"/>
              <w:spacing w:before="68" w:line="264" w:lineRule="auto"/>
              <w:rPr>
                <w:rFonts w:eastAsia="宋体"/>
                <w:color w:val="000000"/>
                <w:highlight w:val="none"/>
              </w:rPr>
            </w:pPr>
            <w:r>
              <w:rPr>
                <w:rFonts w:hint="eastAsia"/>
                <w:color w:val="000000"/>
                <w:highlight w:val="none"/>
                <w:lang w:val="en-US" w:eastAsia="zh-CN"/>
              </w:rPr>
              <w:t xml:space="preserve">产品其他技术功能</w:t>
            </w:r>
            <w:r>
              <w:rPr>
                <w:highlight w:val="none"/>
              </w:rPr>
            </w:r>
            <w:r/>
          </w:p>
        </w:tc>
        <w:tc>
          <w:tcPr>
            <w:tcW w:w="6330" w:type="dxa"/>
            <w:vAlign w:val="center"/>
            <w:textDirection w:val="lrTb"/>
            <w:noWrap w:val="false"/>
          </w:tcPr>
          <w:p>
            <w:pPr>
              <w:pStyle w:val="932"/>
              <w:jc w:val="left"/>
              <w:spacing w:line="264"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1.本项目</w:t>
            </w:r>
            <w:r>
              <w:rPr>
                <w:rFonts w:hint="eastAsia" w:ascii="宋体" w:hAnsi="宋体" w:cs="宋体"/>
                <w:color w:val="000000"/>
                <w:highlight w:val="none"/>
              </w:rPr>
              <w:t xml:space="preserve">所投产品</w:t>
            </w:r>
            <w:r>
              <w:rPr>
                <w:rFonts w:hint="eastAsia" w:ascii="宋体" w:hAnsi="宋体" w:cs="宋体"/>
                <w:color w:val="000000"/>
                <w:highlight w:val="none"/>
                <w:lang w:val="en-US" w:eastAsia="zh-CN"/>
              </w:rPr>
              <w:t xml:space="preserve">支持容器化部署，</w:t>
            </w:r>
            <w:r>
              <w:rPr>
                <w:rFonts w:hint="eastAsia" w:ascii="宋体" w:hAnsi="宋体" w:cs="宋体"/>
                <w:color w:val="000000"/>
                <w:highlight w:val="none"/>
              </w:rPr>
              <w:t xml:space="preserve">提供具备CMA资质的第三方评测机构</w:t>
            </w:r>
            <w:r>
              <w:rPr>
                <w:rFonts w:hint="eastAsia" w:ascii="宋体" w:hAnsi="宋体" w:cs="宋体"/>
                <w:color w:val="000000"/>
                <w:highlight w:val="none"/>
                <w:lang w:val="en-US" w:eastAsia="zh-CN"/>
              </w:rPr>
              <w:t xml:space="preserve">出具</w:t>
            </w:r>
            <w:r>
              <w:rPr>
                <w:rFonts w:hint="eastAsia" w:ascii="宋体" w:hAnsi="宋体" w:cs="宋体"/>
                <w:color w:val="000000"/>
                <w:highlight w:val="none"/>
              </w:rPr>
              <w:t xml:space="preserve">的软件评测报告</w:t>
            </w:r>
            <w:r>
              <w:rPr>
                <w:rFonts w:hint="eastAsia" w:ascii="宋体" w:hAnsi="宋体" w:cs="宋体"/>
                <w:color w:val="000000"/>
                <w:highlight w:val="none"/>
                <w:lang w:eastAsia="zh-CN"/>
              </w:rPr>
              <w:t xml:space="preserve">。</w:t>
            </w:r>
            <w:r>
              <w:rPr>
                <w:highlight w:val="none"/>
              </w:rPr>
            </w:r>
            <w:r/>
          </w:p>
          <w:p>
            <w:pPr>
              <w:pStyle w:val="932"/>
              <w:jc w:val="left"/>
              <w:spacing w:line="24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2.本项目所投产品具有提升DICOM影像云归档入库速度的技术，提供</w:t>
            </w:r>
            <w:r>
              <w:rPr>
                <w:rFonts w:hint="eastAsia" w:ascii="宋体" w:hAnsi="宋体" w:cs="宋体"/>
                <w:color w:val="000000"/>
                <w:highlight w:val="none"/>
              </w:rPr>
              <w:t xml:space="preserve">具备CMA资质的第三方评测机构</w:t>
            </w:r>
            <w:r>
              <w:rPr>
                <w:rFonts w:hint="eastAsia" w:ascii="宋体" w:hAnsi="宋体" w:cs="宋体"/>
                <w:color w:val="000000"/>
                <w:highlight w:val="none"/>
                <w:lang w:val="en-US" w:eastAsia="zh-CN"/>
              </w:rPr>
              <w:t xml:space="preserve">出具</w:t>
            </w:r>
            <w:r>
              <w:rPr>
                <w:rFonts w:hint="eastAsia" w:ascii="宋体" w:hAnsi="宋体" w:cs="宋体"/>
                <w:color w:val="000000"/>
                <w:highlight w:val="none"/>
              </w:rPr>
              <w:t xml:space="preserve">的软件评测报告</w:t>
            </w:r>
            <w:r>
              <w:rPr>
                <w:rFonts w:hint="eastAsia" w:ascii="宋体" w:hAnsi="宋体" w:cs="宋体"/>
                <w:color w:val="000000"/>
                <w:highlight w:val="none"/>
                <w:lang w:eastAsia="zh-CN"/>
              </w:rPr>
              <w:t xml:space="preserve">。</w:t>
            </w:r>
            <w:r>
              <w:rPr>
                <w:highlight w:val="none"/>
              </w:rPr>
            </w:r>
            <w:r/>
          </w:p>
          <w:p>
            <w:pPr>
              <w:pStyle w:val="932"/>
              <w:jc w:val="left"/>
              <w:spacing w:line="264"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3.本项目所投产品在纯WEB模式下支持三维后处理（或三维重建）功能，提供医疗器械注册证。</w:t>
            </w:r>
            <w:r>
              <w:rPr>
                <w:highlight w:val="none"/>
              </w:rPr>
            </w:r>
            <w:r/>
          </w:p>
          <w:p>
            <w:pPr>
              <w:pStyle w:val="932"/>
              <w:jc w:val="left"/>
              <w:spacing w:line="264"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4.本项目所投产品需预留与第三方肺结节人工智能算法融合，在PC端及移动端，具有肺结节（或肋骨骨折）病灶显示相关功能。提供提供医疗器械注册证。</w:t>
            </w:r>
            <w:r>
              <w:rPr>
                <w:highlight w:val="none"/>
              </w:rPr>
            </w:r>
            <w:r/>
          </w:p>
        </w:tc>
        <w:tc>
          <w:tcPr>
            <w:tcW w:w="647" w:type="dxa"/>
            <w:vAlign w:val="center"/>
            <w:textDirection w:val="lrTb"/>
            <w:noWrap w:val="false"/>
          </w:tcPr>
          <w:p>
            <w:pPr>
              <w:pStyle w:val="932"/>
              <w:jc w:val="center"/>
              <w:spacing w:before="68" w:line="264"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eastAsia="宋体" w:cs="宋体"/>
                <w:color w:val="000000"/>
                <w:spacing w:val="-6"/>
                <w:highlight w:val="none"/>
              </w:rPr>
            </w:pPr>
            <w:r>
              <w:rPr>
                <w:rFonts w:hint="eastAsia" w:ascii="宋体" w:hAnsi="宋体" w:cs="宋体"/>
                <w:color w:val="000000"/>
                <w:spacing w:val="-6"/>
                <w:highlight w:val="none"/>
                <w:lang w:val="en-US" w:eastAsia="zh-CN"/>
              </w:rPr>
              <w:t xml:space="preserve">客观分</w:t>
            </w:r>
            <w:r>
              <w:rPr>
                <w:highlight w:val="none"/>
              </w:rPr>
            </w:r>
            <w:r/>
          </w:p>
        </w:tc>
      </w:tr>
      <w:tr>
        <w:trPr>
          <w:trHeight w:val="315"/>
        </w:trPr>
        <w:tc>
          <w:tcPr>
            <w:tcW w:w="519" w:type="dxa"/>
            <w:vAlign w:val="center"/>
            <w:textDirection w:val="lrTb"/>
            <w:noWrap w:val="false"/>
          </w:tcPr>
          <w:p>
            <w:pPr>
              <w:pStyle w:val="932"/>
              <w:jc w:val="center"/>
              <w:spacing w:before="68" w:line="264" w:lineRule="auto"/>
              <w:rPr>
                <w:rFonts w:hint="eastAsia" w:ascii="宋体" w:hAnsi="宋体" w:eastAsia="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3</w:t>
            </w:r>
            <w:r>
              <w:rPr>
                <w:highlight w:val="none"/>
              </w:rPr>
            </w:r>
            <w:r/>
          </w:p>
        </w:tc>
        <w:tc>
          <w:tcPr>
            <w:tcW w:w="1179" w:type="dxa"/>
            <w:vAlign w:val="center"/>
            <w:textDirection w:val="lrTb"/>
            <w:noWrap w:val="false"/>
          </w:tcPr>
          <w:p>
            <w:pPr>
              <w:pStyle w:val="932"/>
              <w:spacing w:line="264" w:lineRule="auto"/>
              <w:rPr>
                <w:color w:val="000000"/>
                <w:highlight w:val="none"/>
              </w:rPr>
            </w:pPr>
            <w:r>
              <w:rPr>
                <w:rFonts w:hint="eastAsia"/>
                <w:color w:val="000000"/>
                <w:highlight w:val="none"/>
              </w:rPr>
              <w:t xml:space="preserve">项目实施方案</w:t>
            </w:r>
            <w:r>
              <w:rPr>
                <w:highlight w:val="none"/>
              </w:rPr>
            </w:r>
            <w:r/>
          </w:p>
        </w:tc>
        <w:tc>
          <w:tcPr>
            <w:tcW w:w="6330" w:type="dxa"/>
            <w:vAlign w:val="center"/>
            <w:textDirection w:val="lrTb"/>
            <w:noWrap w:val="false"/>
          </w:tcPr>
          <w:p>
            <w:pPr>
              <w:pStyle w:val="932"/>
              <w:spacing w:line="264" w:lineRule="auto"/>
              <w:rPr>
                <w:rFonts w:ascii="宋体" w:hAnsi="宋体" w:cs="宋体"/>
                <w:color w:val="000000"/>
                <w:highlight w:val="none"/>
              </w:rPr>
            </w:pPr>
            <w:r>
              <w:rPr>
                <w:rFonts w:ascii="宋体" w:hAnsi="宋体" w:cs="宋体"/>
                <w:color w:val="000000"/>
                <w:highlight w:val="none"/>
              </w:rPr>
              <w:t xml:space="preserve">评委根据投标人提供的</w:t>
            </w:r>
            <w:r>
              <w:rPr>
                <w:rFonts w:hint="eastAsia" w:ascii="宋体" w:hAnsi="宋体" w:cs="宋体"/>
                <w:color w:val="000000"/>
                <w:highlight w:val="none"/>
              </w:rPr>
              <w:t xml:space="preserve">项目实施方案</w:t>
            </w:r>
            <w:r>
              <w:rPr>
                <w:rFonts w:ascii="宋体" w:hAnsi="宋体" w:cs="宋体"/>
                <w:color w:val="000000"/>
                <w:highlight w:val="none"/>
              </w:rPr>
              <w:t xml:space="preserve">综合评分：</w:t>
            </w:r>
            <w:r>
              <w:rPr>
                <w:highlight w:val="none"/>
              </w:rPr>
            </w:r>
            <w:r/>
          </w:p>
          <w:p>
            <w:pPr>
              <w:pStyle w:val="932"/>
              <w:spacing w:line="264" w:lineRule="auto"/>
              <w:rPr>
                <w:rFonts w:hint="eastAsia" w:ascii="宋体" w:hAnsi="宋体" w:cs="宋体"/>
                <w:color w:val="000000"/>
                <w:highlight w:val="none"/>
              </w:rPr>
            </w:pPr>
            <w:r>
              <w:rPr>
                <w:rFonts w:ascii="宋体" w:hAnsi="宋体" w:cs="宋体"/>
                <w:color w:val="000000"/>
                <w:highlight w:val="none"/>
              </w:rPr>
              <w:t xml:space="preserve"> </w:t>
            </w:r>
            <w:r>
              <w:rPr>
                <w:rFonts w:hint="eastAsia" w:ascii="GWZT-EN" w:hAnsi="宋体" w:cs="宋体"/>
                <w:color w:val="000000"/>
                <w:highlight w:val="none"/>
                <w:lang w:bidi="ar"/>
              </w:rPr>
              <w:t xml:space="preserve">①总体方案（包括项目实施组织、流程、执行进度安排）；②技术方案（包括项目背景及需求分析、技术架构设计、历史数据迁移方案、系统安全设计及测试方案）；③运维方案（包括总体安排、人员配置、安全保障、质量控制）；④培训方案（包括培训计划、培训人员安排及组织、培训的内容及效果）；⑤应急保障方案（包括突发故障的处理及安排、紧急事件的处理措施、软件系统审计保障措施）。</w:t>
            </w:r>
            <w:r>
              <w:rPr>
                <w:highlight w:val="none"/>
              </w:rPr>
            </w:r>
            <w:r/>
          </w:p>
          <w:p>
            <w:pPr>
              <w:pStyle w:val="932"/>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w:t>
            </w:r>
            <w:r>
              <w:rPr>
                <w:rFonts w:ascii="宋体" w:hAnsi="宋体" w:cs="宋体"/>
                <w:color w:val="000000"/>
                <w:highlight w:val="none"/>
              </w:rPr>
              <w:t xml:space="preserve">方案完整深刻、可行性强、紧贴采购需求的，得</w:t>
            </w:r>
            <w:r>
              <w:rPr>
                <w:rFonts w:hint="eastAsia" w:ascii="宋体" w:hAnsi="宋体" w:cs="宋体"/>
                <w:color w:val="000000"/>
                <w:highlight w:val="none"/>
              </w:rPr>
              <w:t xml:space="preserve">1</w:t>
            </w:r>
            <w:r>
              <w:rPr>
                <w:rFonts w:ascii="宋体" w:hAnsi="宋体" w:cs="宋体"/>
                <w:color w:val="000000"/>
                <w:highlight w:val="none"/>
              </w:rPr>
              <w:t xml:space="preserve">分； </w:t>
            </w:r>
            <w:r>
              <w:rPr>
                <w:highlight w:val="none"/>
              </w:rPr>
            </w:r>
            <w:r/>
          </w:p>
          <w:p>
            <w:pPr>
              <w:pStyle w:val="932"/>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w:t>
            </w:r>
            <w:r>
              <w:rPr>
                <w:rFonts w:ascii="宋体" w:hAnsi="宋体" w:cs="宋体"/>
                <w:color w:val="000000"/>
                <w:highlight w:val="none"/>
              </w:rPr>
              <w:t xml:space="preserve">方案</w:t>
            </w:r>
            <w:r>
              <w:rPr>
                <w:rFonts w:hint="eastAsia" w:ascii="宋体" w:hAnsi="宋体" w:cs="宋体"/>
                <w:color w:val="000000"/>
                <w:highlight w:val="none"/>
              </w:rPr>
              <w:t xml:space="preserve">基本</w:t>
            </w:r>
            <w:r>
              <w:rPr>
                <w:rFonts w:ascii="宋体" w:hAnsi="宋体" w:cs="宋体"/>
                <w:color w:val="000000"/>
                <w:highlight w:val="none"/>
              </w:rPr>
              <w:t xml:space="preserve">完整、可行、能够满足采购需求的，得</w:t>
            </w:r>
            <w:r>
              <w:rPr>
                <w:rFonts w:hint="eastAsia" w:ascii="宋体" w:hAnsi="宋体" w:cs="宋体"/>
                <w:color w:val="000000"/>
                <w:highlight w:val="none"/>
              </w:rPr>
              <w:t xml:space="preserve">0.5</w:t>
            </w:r>
            <w:r>
              <w:rPr>
                <w:rFonts w:ascii="宋体" w:hAnsi="宋体" w:cs="宋体"/>
                <w:color w:val="000000"/>
                <w:highlight w:val="none"/>
              </w:rPr>
              <w:t xml:space="preserve">分； </w:t>
            </w:r>
            <w:r>
              <w:rPr>
                <w:highlight w:val="none"/>
              </w:rPr>
            </w:r>
            <w:r/>
          </w:p>
          <w:p>
            <w:pPr>
              <w:pStyle w:val="932"/>
              <w:jc w:val="left"/>
              <w:spacing w:line="264" w:lineRule="auto"/>
              <w:widowControl/>
              <w:rPr>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w:t>
            </w:r>
            <w:r>
              <w:rPr>
                <w:rFonts w:ascii="宋体" w:hAnsi="宋体" w:cs="宋体"/>
                <w:color w:val="000000"/>
                <w:highlight w:val="none"/>
              </w:rPr>
              <w:t xml:space="preserve">方案不合理可行或未提供方案的不得分。</w:t>
            </w:r>
            <w:r>
              <w:rPr>
                <w:highlight w:val="none"/>
              </w:rPr>
            </w:r>
            <w:r/>
          </w:p>
        </w:tc>
        <w:tc>
          <w:tcPr>
            <w:tcW w:w="647" w:type="dxa"/>
            <w:vAlign w:val="center"/>
            <w:textDirection w:val="lrTb"/>
            <w:noWrap w:val="false"/>
          </w:tcPr>
          <w:p>
            <w:pPr>
              <w:pStyle w:val="932"/>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900" w:type="dxa"/>
            <w:vAlign w:val="center"/>
            <w:textDirection w:val="lrTb"/>
            <w:noWrap w:val="false"/>
          </w:tcPr>
          <w:p>
            <w:pPr>
              <w:pStyle w:val="932"/>
              <w:jc w:val="center"/>
              <w:spacing w:before="68" w:line="264" w:lineRule="auto"/>
              <w:rPr>
                <w:rFonts w:ascii="宋体" w:hAnsi="宋体" w:cs="宋体"/>
                <w:color w:val="000000"/>
                <w:highlight w:val="none"/>
              </w:rPr>
            </w:pPr>
            <w:r>
              <w:rPr>
                <w:rFonts w:hint="eastAsia" w:ascii="宋体" w:hAnsi="宋体" w:cs="宋体"/>
                <w:color w:val="000000"/>
                <w:spacing w:val="-4"/>
                <w:highlight w:val="none"/>
              </w:rPr>
              <w:t xml:space="preserve">主观分</w:t>
            </w:r>
            <w:r>
              <w:rPr>
                <w:highlight w:val="none"/>
              </w:rPr>
            </w:r>
            <w:r/>
          </w:p>
        </w:tc>
      </w:tr>
      <w:tr>
        <w:trPr>
          <w:trHeight w:val="455"/>
        </w:trPr>
        <w:tc>
          <w:tcPr>
            <w:gridSpan w:val="5"/>
            <w:tcW w:w="9575" w:type="dxa"/>
            <w:vAlign w:val="center"/>
            <w:textDirection w:val="lrTb"/>
            <w:noWrap w:val="false"/>
          </w:tcPr>
          <w:p>
            <w:pPr>
              <w:pStyle w:val="932"/>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3.业绩</w:t>
            </w:r>
            <w:r>
              <w:rPr>
                <w:highlight w:val="none"/>
              </w:rPr>
            </w:r>
            <w:r/>
          </w:p>
        </w:tc>
      </w:tr>
      <w:tr>
        <w:trPr>
          <w:trHeight w:val="1015"/>
        </w:trPr>
        <w:tc>
          <w:tcPr>
            <w:tcW w:w="519" w:type="dxa"/>
            <w:vAlign w:val="center"/>
            <w:textDirection w:val="lrTb"/>
            <w:noWrap w:val="false"/>
          </w:tcPr>
          <w:p>
            <w:pPr>
              <w:pStyle w:val="932"/>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w:t>
            </w:r>
            <w:r>
              <w:rPr>
                <w:rFonts w:ascii="宋体" w:hAnsi="宋体" w:cs="宋体"/>
                <w:color w:val="000000"/>
                <w:spacing w:val="-2"/>
                <w:highlight w:val="none"/>
              </w:rPr>
              <w:t xml:space="preserve">.1</w:t>
            </w:r>
            <w:r>
              <w:rPr>
                <w:highlight w:val="none"/>
              </w:rPr>
            </w:r>
            <w:r/>
          </w:p>
        </w:tc>
        <w:tc>
          <w:tcPr>
            <w:tcW w:w="1179" w:type="dxa"/>
            <w:vAlign w:val="center"/>
            <w:textDirection w:val="lrTb"/>
            <w:noWrap w:val="false"/>
          </w:tcPr>
          <w:p>
            <w:pPr>
              <w:pStyle w:val="932"/>
              <w:spacing w:before="69" w:line="264" w:lineRule="auto"/>
              <w:rPr>
                <w:rFonts w:ascii="宋体" w:hAnsi="宋体" w:cs="宋体"/>
                <w:color w:val="000000"/>
                <w:spacing w:val="-2"/>
                <w:highlight w:val="none"/>
              </w:rPr>
            </w:pPr>
            <w:r>
              <w:rPr>
                <w:rFonts w:ascii="宋体" w:hAnsi="宋体" w:cs="宋体"/>
                <w:color w:val="000000"/>
                <w:spacing w:val="-1"/>
                <w:highlight w:val="none"/>
              </w:rPr>
              <w:t xml:space="preserve">业绩</w:t>
            </w:r>
            <w:r>
              <w:rPr>
                <w:highlight w:val="none"/>
              </w:rPr>
            </w:r>
            <w:r/>
          </w:p>
        </w:tc>
        <w:tc>
          <w:tcPr>
            <w:tcW w:w="6330" w:type="dxa"/>
            <w:vAlign w:val="center"/>
            <w:textDirection w:val="lrTb"/>
            <w:noWrap w:val="false"/>
          </w:tcPr>
          <w:p>
            <w:pPr>
              <w:pStyle w:val="932"/>
              <w:spacing w:line="264" w:lineRule="auto"/>
              <w:rPr>
                <w:rFonts w:eastAsia="方正仿宋_GBK"/>
                <w:color w:val="000000"/>
                <w:highlight w:val="none"/>
              </w:rPr>
            </w:pPr>
            <w:r>
              <w:rPr>
                <w:rFonts w:ascii="宋体" w:hAnsi="宋体" w:cs="宋体"/>
                <w:color w:val="000000"/>
                <w:highlight w:val="none"/>
              </w:rPr>
              <w:t xml:space="preserve">投标人</w:t>
            </w:r>
            <w:r>
              <w:rPr>
                <w:rFonts w:hint="eastAsia" w:ascii="宋体" w:hAnsi="宋体" w:cs="宋体"/>
                <w:color w:val="000000"/>
                <w:highlight w:val="none"/>
              </w:rPr>
              <w:t xml:space="preserve">提供</w:t>
            </w:r>
            <w:r>
              <w:rPr>
                <w:rFonts w:hint="eastAsia" w:ascii="宋体" w:hAnsi="宋体" w:cs="宋体"/>
                <w:color w:val="000000"/>
                <w:highlight w:val="none"/>
              </w:rPr>
              <w:t xml:space="preserve">2022年1月1日</w:t>
            </w:r>
            <w:r>
              <w:rPr>
                <w:rFonts w:ascii="宋体" w:hAnsi="宋体" w:cs="宋体"/>
                <w:color w:val="000000"/>
                <w:highlight w:val="none"/>
              </w:rPr>
              <w:t xml:space="preserve">（含）以来类似项目业绩</w:t>
            </w:r>
            <w:r>
              <w:rPr>
                <w:rFonts w:hint="eastAsia" w:ascii="宋体" w:hAnsi="宋体" w:cs="宋体"/>
                <w:color w:val="000000"/>
                <w:highlight w:val="none"/>
              </w:rPr>
              <w:t xml:space="preserve">（至少包含PACS或影像平台或影像中心或区域影像云相关产品）</w:t>
            </w:r>
            <w:r>
              <w:rPr>
                <w:rFonts w:ascii="宋体" w:hAnsi="宋体" w:cs="宋体"/>
                <w:color w:val="000000"/>
                <w:highlight w:val="none"/>
              </w:rPr>
              <w:t xml:space="preserve">，每提供</w:t>
            </w:r>
            <w:r>
              <w:rPr>
                <w:rFonts w:hint="eastAsia" w:ascii="宋体" w:hAnsi="宋体" w:cs="宋体"/>
                <w:color w:val="000000"/>
                <w:highlight w:val="none"/>
              </w:rPr>
              <w:t xml:space="preserve">1</w:t>
            </w:r>
            <w:r>
              <w:rPr>
                <w:rFonts w:ascii="宋体" w:hAnsi="宋体" w:cs="宋体"/>
                <w:color w:val="000000"/>
                <w:highlight w:val="none"/>
              </w:rPr>
              <w:t xml:space="preserve">个得</w:t>
            </w:r>
            <w:r>
              <w:rPr>
                <w:rFonts w:hint="eastAsia" w:ascii="宋体" w:hAnsi="宋体" w:cs="宋体"/>
                <w:color w:val="000000"/>
                <w:highlight w:val="none"/>
              </w:rPr>
              <w:t xml:space="preserve">1</w:t>
            </w:r>
            <w:r>
              <w:rPr>
                <w:rFonts w:ascii="宋体" w:hAnsi="宋体" w:cs="宋体"/>
                <w:color w:val="000000"/>
                <w:highlight w:val="none"/>
              </w:rPr>
              <w:t xml:space="preserve">分</w:t>
            </w:r>
            <w:r>
              <w:rPr>
                <w:rFonts w:hint="eastAsia" w:ascii="宋体" w:hAnsi="宋体" w:cs="宋体"/>
                <w:color w:val="000000"/>
                <w:highlight w:val="none"/>
              </w:rPr>
              <w:t xml:space="preserve">，最多得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ascii="宋体" w:hAnsi="宋体" w:cs="宋体"/>
                <w:color w:val="000000"/>
                <w:highlight w:val="none"/>
              </w:rPr>
              <w:t xml:space="preserve">。（</w:t>
            </w:r>
            <w:r>
              <w:rPr>
                <w:rFonts w:hint="eastAsia" w:ascii="宋体" w:hAnsi="宋体" w:cs="宋体"/>
                <w:color w:val="000000"/>
                <w:highlight w:val="none"/>
              </w:rPr>
              <w:t xml:space="preserve">时间以合同签订时间为准，</w:t>
            </w:r>
            <w:r>
              <w:rPr>
                <w:rFonts w:ascii="宋体" w:hAnsi="宋体" w:cs="宋体"/>
                <w:color w:val="000000"/>
                <w:highlight w:val="none"/>
              </w:rPr>
              <w:t xml:space="preserve">提供有效合同，合同</w:t>
            </w:r>
            <w:r>
              <w:rPr>
                <w:rFonts w:hint="eastAsia" w:ascii="宋体" w:hAnsi="宋体" w:cs="宋体"/>
                <w:color w:val="000000"/>
                <w:highlight w:val="none"/>
              </w:rPr>
              <w:t xml:space="preserve">页</w:t>
            </w:r>
            <w:r>
              <w:rPr>
                <w:rFonts w:ascii="宋体" w:hAnsi="宋体" w:cs="宋体"/>
                <w:color w:val="000000"/>
                <w:highlight w:val="none"/>
              </w:rPr>
              <w:t xml:space="preserve">须清晰可见相应内容</w:t>
            </w:r>
            <w:r>
              <w:rPr>
                <w:rFonts w:hint="eastAsia" w:ascii="宋体" w:hAnsi="宋体" w:cs="宋体"/>
                <w:color w:val="000000"/>
                <w:highlight w:val="none"/>
              </w:rPr>
              <w:t xml:space="preserve">）</w:t>
            </w:r>
            <w:r>
              <w:rPr>
                <w:highlight w:val="none"/>
              </w:rPr>
            </w:r>
            <w:r/>
          </w:p>
        </w:tc>
        <w:tc>
          <w:tcPr>
            <w:tcW w:w="647" w:type="dxa"/>
            <w:vAlign w:val="center"/>
            <w:textDirection w:val="lrTb"/>
            <w:noWrap w:val="false"/>
          </w:tcPr>
          <w:p>
            <w:pPr>
              <w:pStyle w:val="932"/>
              <w:jc w:val="center"/>
              <w:spacing w:line="264" w:lineRule="auto"/>
              <w:rPr>
                <w:rFonts w:hint="eastAsia" w:eastAsia="宋体"/>
                <w:color w:val="000000"/>
                <w:highlight w:val="none"/>
              </w:rPr>
            </w:pPr>
            <w:r>
              <w:rPr>
                <w:rFonts w:hint="eastAsia" w:ascii="宋体" w:hAnsi="宋体" w:cs="宋体"/>
                <w:color w:val="000000"/>
                <w:highlight w:val="none"/>
                <w:lang w:val="en-US" w:eastAsia="zh-CN"/>
              </w:rPr>
              <w:t xml:space="preserve">6</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269"/>
        </w:trPr>
        <w:tc>
          <w:tcPr>
            <w:gridSpan w:val="5"/>
            <w:tcW w:w="9575" w:type="dxa"/>
            <w:vAlign w:val="top"/>
            <w:textDirection w:val="lrTb"/>
            <w:noWrap w:val="false"/>
          </w:tcPr>
          <w:p>
            <w:pPr>
              <w:pStyle w:val="932"/>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4.履约能力</w:t>
            </w:r>
            <w:r>
              <w:rPr>
                <w:highlight w:val="none"/>
              </w:rPr>
            </w:r>
            <w:r/>
          </w:p>
        </w:tc>
      </w:tr>
      <w:tr>
        <w:trPr>
          <w:trHeight w:val="387"/>
        </w:trPr>
        <w:tc>
          <w:tcPr>
            <w:tcW w:w="519" w:type="dxa"/>
            <w:vAlign w:val="center"/>
            <w:textDirection w:val="lrTb"/>
            <w:noWrap w:val="false"/>
          </w:tcPr>
          <w:p>
            <w:pPr>
              <w:pStyle w:val="932"/>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.1</w:t>
            </w:r>
            <w:r>
              <w:rPr>
                <w:highlight w:val="none"/>
              </w:rPr>
            </w:r>
            <w:r/>
          </w:p>
        </w:tc>
        <w:tc>
          <w:tcPr>
            <w:tcW w:w="1179" w:type="dxa"/>
            <w:vAlign w:val="center"/>
            <w:textDirection w:val="lrTb"/>
            <w:noWrap w:val="false"/>
          </w:tcPr>
          <w:p>
            <w:pPr>
              <w:pStyle w:val="932"/>
              <w:spacing w:line="264" w:lineRule="auto"/>
              <w:rPr>
                <w:rFonts w:hint="eastAsia"/>
                <w:color w:val="000000"/>
                <w:highlight w:val="none"/>
              </w:rPr>
            </w:pPr>
            <w:r>
              <w:rPr>
                <w:rFonts w:hint="eastAsia"/>
                <w:color w:val="000000"/>
                <w:highlight w:val="none"/>
              </w:rPr>
              <w:t xml:space="preserve">履约能力1</w:t>
            </w:r>
            <w:r>
              <w:rPr>
                <w:highlight w:val="none"/>
              </w:rPr>
            </w:r>
            <w:r/>
          </w:p>
        </w:tc>
        <w:tc>
          <w:tcPr>
            <w:tcW w:w="6330" w:type="dxa"/>
            <w:vAlign w:val="center"/>
            <w:textDirection w:val="lrTb"/>
            <w:noWrap w:val="false"/>
          </w:tcPr>
          <w:p>
            <w:pPr>
              <w:pStyle w:val="932"/>
              <w:spacing w:line="264"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投标人投入的项目实施团队成员具有高级系统架构设计师得2分，最高2分。</w:t>
            </w:r>
            <w:r>
              <w:rPr>
                <w:highlight w:val="none"/>
              </w:rPr>
            </w:r>
            <w:r/>
          </w:p>
          <w:p>
            <w:pPr>
              <w:pStyle w:val="932"/>
              <w:spacing w:line="264"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投标人投入的项目实施团队成员具有CISP(注册信息安全专业人员)证书得1分，最高1分。</w:t>
            </w:r>
            <w:r>
              <w:rPr>
                <w:highlight w:val="none"/>
              </w:rPr>
            </w:r>
            <w:r/>
          </w:p>
          <w:p>
            <w:pPr>
              <w:pStyle w:val="932"/>
              <w:spacing w:line="264" w:lineRule="auto"/>
              <w:rPr>
                <w:rFonts w:ascii="宋体" w:hAnsi="宋体" w:eastAsia="宋体" w:cs="宋体"/>
                <w:color w:val="000000"/>
                <w:highlight w:val="none"/>
              </w:rPr>
            </w:pPr>
            <w:r>
              <w:rPr>
                <w:rFonts w:hint="eastAsia" w:ascii="宋体" w:hAnsi="宋体" w:cs="宋体"/>
                <w:color w:val="000000"/>
                <w:highlight w:val="none"/>
                <w:lang w:val="en-US" w:eastAsia="zh-CN"/>
              </w:rPr>
              <w:t xml:space="preserve">以上一人多证不重复得分，以高分计。</w:t>
            </w:r>
            <w:r>
              <w:rPr>
                <w:highlight w:val="none"/>
              </w:rPr>
            </w:r>
            <w:r/>
          </w:p>
          <w:p>
            <w:pPr>
              <w:pStyle w:val="932"/>
              <w:spacing w:line="264" w:lineRule="auto"/>
              <w:rPr>
                <w:color w:val="000000"/>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en-US" w:eastAsia="zh-CN"/>
              </w:rPr>
              <w:t xml:space="preserve">和</w:t>
            </w:r>
            <w:r>
              <w:rPr>
                <w:rFonts w:hint="eastAsia" w:ascii="宋体" w:hAnsi="宋体" w:cs="宋体"/>
                <w:color w:val="000000"/>
                <w:highlight w:val="none"/>
                <w:lang w:val="zh-CN"/>
              </w:rPr>
              <w:t xml:space="preserve">投标人</w:t>
            </w:r>
            <w:r>
              <w:rPr>
                <w:rFonts w:ascii="宋体" w:hAnsi="宋体" w:cs="宋体"/>
                <w:color w:val="000000"/>
                <w:highlight w:val="none"/>
                <w:lang w:val="zh-CN"/>
              </w:rPr>
              <w:t xml:space="preserve">为其缴纳的</w:t>
            </w:r>
            <w:r>
              <w:rPr>
                <w:rFonts w:ascii="宋体" w:hAnsi="宋体" w:cs="宋体"/>
                <w:color w:val="000000"/>
                <w:szCs w:val="22"/>
                <w:highlight w:val="none"/>
              </w:rPr>
              <w:t xml:space="preserve">20</w:t>
            </w:r>
            <w:r>
              <w:rPr>
                <w:rFonts w:hint="eastAsia" w:ascii="宋体" w:hAnsi="宋体" w:cs="宋体"/>
                <w:color w:val="000000"/>
                <w:szCs w:val="22"/>
                <w:highlight w:val="none"/>
              </w:rPr>
              <w:t xml:space="preserve">25</w:t>
            </w:r>
            <w:r>
              <w:rPr>
                <w:rFonts w:ascii="宋体" w:hAnsi="宋体" w:cs="宋体"/>
                <w:color w:val="000000"/>
                <w:szCs w:val="22"/>
                <w:highlight w:val="none"/>
                <w:lang w:val="zh-CN"/>
              </w:rPr>
              <w:t xml:space="preserve">年1月</w:t>
            </w:r>
            <w:r>
              <w:rPr>
                <w:rFonts w:ascii="宋体" w:hAnsi="宋体" w:cs="宋体"/>
                <w:color w:val="000000"/>
                <w:highlight w:val="none"/>
                <w:lang w:val="zh-CN"/>
              </w:rPr>
              <w:t xml:space="preserve">以来任意一个月的社保证明</w:t>
            </w:r>
            <w:r>
              <w:rPr>
                <w:rFonts w:hint="eastAsia" w:ascii="宋体" w:hAnsi="宋体" w:cs="宋体"/>
                <w:color w:val="000000"/>
                <w:highlight w:val="none"/>
                <w:lang w:val="zh-CN"/>
              </w:rPr>
              <w:t xml:space="preserve">材料</w:t>
            </w:r>
            <w:r>
              <w:rPr>
                <w:rFonts w:ascii="宋体" w:hAnsi="宋体" w:cs="宋体"/>
                <w:color w:val="000000"/>
                <w:highlight w:val="none"/>
                <w:lang w:val="zh-CN"/>
              </w:rPr>
              <w:t xml:space="preserve">，缺一不可）</w:t>
            </w:r>
            <w:r>
              <w:rPr>
                <w:highlight w:val="none"/>
              </w:rPr>
            </w:r>
            <w:r/>
          </w:p>
        </w:tc>
        <w:tc>
          <w:tcPr>
            <w:tcW w:w="647" w:type="dxa"/>
            <w:vAlign w:val="center"/>
            <w:textDirection w:val="lrTb"/>
            <w:noWrap w:val="false"/>
          </w:tcPr>
          <w:p>
            <w:pPr>
              <w:pStyle w:val="932"/>
              <w:jc w:val="center"/>
              <w:spacing w:before="68" w:line="264" w:lineRule="auto"/>
              <w:rPr>
                <w:rFonts w:ascii="宋体" w:hAnsi="宋体" w:cs="宋体"/>
                <w:color w:val="000000"/>
                <w:szCs w:val="22"/>
                <w:highlight w:val="none"/>
              </w:rPr>
            </w:pPr>
            <w:r>
              <w:rPr>
                <w:rFonts w:hint="eastAsia" w:ascii="宋体" w:hAnsi="宋体" w:cs="宋体"/>
                <w:color w:val="000000"/>
                <w:highlight w:val="none"/>
              </w:rPr>
              <w:t xml:space="preserve">3</w:t>
            </w:r>
            <w:r>
              <w:rPr>
                <w:highlight w:val="none"/>
              </w:rPr>
            </w:r>
            <w:r/>
          </w:p>
        </w:tc>
        <w:tc>
          <w:tcPr>
            <w:tcW w:w="900" w:type="dxa"/>
            <w:vAlign w:val="center"/>
            <w:textDirection w:val="lrTb"/>
            <w:noWrap w:val="false"/>
          </w:tcPr>
          <w:p>
            <w:pPr>
              <w:pStyle w:val="932"/>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383"/>
        </w:trPr>
        <w:tc>
          <w:tcPr>
            <w:tcW w:w="519" w:type="dxa"/>
            <w:vAlign w:val="center"/>
            <w:textDirection w:val="lrTb"/>
            <w:noWrap w:val="false"/>
          </w:tcPr>
          <w:p>
            <w:pPr>
              <w:pStyle w:val="932"/>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.2</w:t>
            </w:r>
            <w:r>
              <w:rPr>
                <w:highlight w:val="none"/>
              </w:rPr>
            </w:r>
            <w:r/>
          </w:p>
        </w:tc>
        <w:tc>
          <w:tcPr>
            <w:tcW w:w="1179" w:type="dxa"/>
            <w:vAlign w:val="center"/>
            <w:textDirection w:val="lrTb"/>
            <w:noWrap w:val="false"/>
          </w:tcPr>
          <w:p>
            <w:pPr>
              <w:pStyle w:val="932"/>
              <w:spacing w:line="264" w:lineRule="auto"/>
              <w:rPr>
                <w:rFonts w:hint="eastAsia"/>
                <w:color w:val="000000"/>
                <w:highlight w:val="none"/>
              </w:rPr>
            </w:pPr>
            <w:r>
              <w:rPr>
                <w:rFonts w:hint="eastAsia"/>
                <w:color w:val="000000"/>
                <w:highlight w:val="none"/>
              </w:rPr>
              <w:t xml:space="preserve">履约能力2</w:t>
            </w:r>
            <w:r>
              <w:rPr>
                <w:highlight w:val="none"/>
              </w:rPr>
            </w:r>
            <w:r/>
          </w:p>
        </w:tc>
        <w:tc>
          <w:tcPr>
            <w:tcW w:w="6330" w:type="dxa"/>
            <w:vAlign w:val="center"/>
            <w:textDirection w:val="lrTb"/>
            <w:noWrap w:val="false"/>
          </w:tcPr>
          <w:p>
            <w:pPr>
              <w:pStyle w:val="932"/>
              <w:spacing w:line="264" w:lineRule="auto"/>
              <w:rPr>
                <w:rFonts w:hint="eastAsia" w:ascii="宋体" w:hAnsi="宋体" w:cs="宋体"/>
                <w:color w:val="000000"/>
                <w:highlight w:val="none"/>
              </w:rPr>
            </w:pPr>
            <w:r>
              <w:rPr>
                <w:rFonts w:hint="eastAsia" w:ascii="宋体" w:hAnsi="宋体" w:cs="宋体"/>
                <w:color w:val="000000"/>
                <w:highlight w:val="none"/>
              </w:rPr>
              <w:t xml:space="preserve">投标人投入的项目实施团队成员具有信创数据库</w:t>
            </w:r>
            <w:r>
              <w:rPr>
                <w:rFonts w:hint="eastAsia" w:ascii="宋体" w:hAnsi="宋体" w:cs="宋体"/>
                <w:color w:val="000000"/>
                <w:highlight w:val="none"/>
                <w:lang w:val="en-US" w:eastAsia="zh-CN"/>
              </w:rPr>
              <w:t xml:space="preserve">厂家出具的相应数据库</w:t>
            </w:r>
            <w:r>
              <w:rPr>
                <w:rFonts w:hint="eastAsia" w:ascii="宋体" w:hAnsi="宋体" w:cs="宋体"/>
                <w:color w:val="000000"/>
                <w:highlight w:val="none"/>
              </w:rPr>
              <w:t xml:space="preserve">认证</w:t>
            </w:r>
            <w:r>
              <w:rPr>
                <w:rFonts w:hint="eastAsia" w:ascii="宋体" w:hAnsi="宋体" w:cs="宋体"/>
                <w:color w:val="000000"/>
                <w:highlight w:val="none"/>
                <w:lang w:val="en-US" w:eastAsia="zh-CN"/>
              </w:rPr>
              <w:t xml:space="preserve">人员证书</w:t>
            </w:r>
            <w:r>
              <w:rPr>
                <w:rFonts w:hint="eastAsia" w:ascii="宋体" w:hAnsi="宋体" w:cs="宋体"/>
                <w:color w:val="000000"/>
                <w:highlight w:val="none"/>
              </w:rPr>
              <w:t xml:space="preserve">，每提供一个得1分，最高分3分。</w:t>
            </w:r>
            <w:r>
              <w:rPr>
                <w:highlight w:val="none"/>
              </w:rPr>
            </w:r>
            <w:r/>
          </w:p>
          <w:p>
            <w:pPr>
              <w:pStyle w:val="932"/>
              <w:spacing w:line="264" w:lineRule="auto"/>
              <w:rPr>
                <w:rFonts w:ascii="宋体" w:hAnsi="宋体" w:cs="宋体"/>
                <w:color w:val="000000"/>
                <w:szCs w:val="22"/>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en-US" w:eastAsia="zh-CN"/>
              </w:rPr>
              <w:t xml:space="preserve">和</w:t>
            </w:r>
            <w:r>
              <w:rPr>
                <w:rFonts w:hint="eastAsia" w:ascii="宋体" w:hAnsi="宋体" w:cs="宋体"/>
                <w:color w:val="000000"/>
                <w:highlight w:val="none"/>
                <w:lang w:val="zh-CN"/>
              </w:rPr>
              <w:t xml:space="preserve">投标人</w:t>
            </w:r>
            <w:r>
              <w:rPr>
                <w:rFonts w:ascii="宋体" w:hAnsi="宋体" w:cs="宋体"/>
                <w:color w:val="000000"/>
                <w:highlight w:val="none"/>
                <w:lang w:val="zh-CN"/>
              </w:rPr>
              <w:t xml:space="preserve">为其缴纳的</w:t>
            </w:r>
            <w:r>
              <w:rPr>
                <w:rFonts w:ascii="宋体" w:hAnsi="宋体" w:cs="宋体"/>
                <w:color w:val="000000"/>
                <w:szCs w:val="22"/>
                <w:highlight w:val="none"/>
              </w:rPr>
              <w:t xml:space="preserve">20</w:t>
            </w:r>
            <w:r>
              <w:rPr>
                <w:rFonts w:hint="eastAsia" w:ascii="宋体" w:hAnsi="宋体" w:cs="宋体"/>
                <w:color w:val="000000"/>
                <w:szCs w:val="22"/>
                <w:highlight w:val="none"/>
              </w:rPr>
              <w:t xml:space="preserve">25</w:t>
            </w:r>
            <w:r>
              <w:rPr>
                <w:rFonts w:ascii="宋体" w:hAnsi="宋体" w:cs="宋体"/>
                <w:color w:val="000000"/>
                <w:szCs w:val="22"/>
                <w:highlight w:val="none"/>
                <w:lang w:val="zh-CN"/>
              </w:rPr>
              <w:t xml:space="preserve">年</w:t>
            </w:r>
            <w:r>
              <w:rPr>
                <w:rFonts w:ascii="宋体" w:hAnsi="宋体" w:cs="宋体"/>
                <w:color w:val="000000"/>
                <w:szCs w:val="22"/>
                <w:highlight w:val="none"/>
                <w:lang w:val="zh-CN"/>
              </w:rPr>
              <w:t xml:space="preserve">1月</w:t>
            </w:r>
            <w:r>
              <w:rPr>
                <w:rFonts w:ascii="宋体" w:hAnsi="宋体" w:cs="宋体"/>
                <w:color w:val="000000"/>
                <w:highlight w:val="none"/>
                <w:lang w:val="zh-CN"/>
              </w:rPr>
              <w:t xml:space="preserve">以来任意一个月的社保证明</w:t>
            </w:r>
            <w:r>
              <w:rPr>
                <w:rFonts w:hint="eastAsia" w:ascii="宋体" w:hAnsi="宋体" w:cs="宋体"/>
                <w:color w:val="000000"/>
                <w:highlight w:val="none"/>
                <w:lang w:val="zh-CN"/>
              </w:rPr>
              <w:t xml:space="preserve">材料</w:t>
            </w:r>
            <w:r>
              <w:rPr>
                <w:rFonts w:ascii="宋体" w:hAnsi="宋体" w:cs="宋体"/>
                <w:color w:val="000000"/>
                <w:highlight w:val="none"/>
                <w:lang w:val="zh-CN"/>
              </w:rPr>
              <w:t xml:space="preserve">，缺一不可）</w:t>
            </w:r>
            <w:r>
              <w:rPr>
                <w:highlight w:val="none"/>
              </w:rPr>
            </w:r>
            <w:r/>
          </w:p>
        </w:tc>
        <w:tc>
          <w:tcPr>
            <w:tcW w:w="647" w:type="dxa"/>
            <w:vAlign w:val="center"/>
            <w:textDirection w:val="lrTb"/>
            <w:noWrap w:val="false"/>
          </w:tcPr>
          <w:p>
            <w:pPr>
              <w:pStyle w:val="932"/>
              <w:jc w:val="center"/>
              <w:spacing w:before="68" w:line="264" w:lineRule="auto"/>
              <w:rPr>
                <w:rFonts w:ascii="宋体" w:hAnsi="宋体" w:cs="宋体"/>
                <w:color w:val="000000"/>
                <w:szCs w:val="22"/>
                <w:highlight w:val="none"/>
              </w:rPr>
            </w:pPr>
            <w:r>
              <w:rPr>
                <w:rFonts w:hint="eastAsia" w:ascii="宋体" w:hAnsi="宋体" w:cs="宋体"/>
                <w:color w:val="000000"/>
                <w:highlight w:val="none"/>
              </w:rPr>
              <w:t xml:space="preserve">3</w:t>
            </w:r>
            <w:r>
              <w:rPr>
                <w:highlight w:val="none"/>
              </w:rPr>
            </w:r>
            <w:r/>
          </w:p>
        </w:tc>
        <w:tc>
          <w:tcPr>
            <w:tcW w:w="900" w:type="dxa"/>
            <w:vAlign w:val="center"/>
            <w:textDirection w:val="lrTb"/>
            <w:noWrap w:val="false"/>
          </w:tcPr>
          <w:p>
            <w:pPr>
              <w:pStyle w:val="932"/>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383"/>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w:t>
            </w:r>
            <w:r>
              <w:rPr>
                <w:rFonts w:hint="eastAsia" w:ascii="宋体" w:hAnsi="宋体" w:cs="宋体"/>
                <w:color w:val="000000"/>
                <w:spacing w:val="-2"/>
                <w:highlight w:val="none"/>
              </w:rPr>
              <w:t xml:space="preserve">3</w:t>
            </w:r>
            <w:r>
              <w:rPr>
                <w:highlight w:val="none"/>
              </w:rPr>
            </w:r>
            <w:r/>
          </w:p>
        </w:tc>
        <w:tc>
          <w:tcPr>
            <w:tcW w:w="1179" w:type="dxa"/>
            <w:vAlign w:val="center"/>
            <w:textDirection w:val="lrTb"/>
            <w:noWrap w:val="false"/>
          </w:tcPr>
          <w:p>
            <w:pPr>
              <w:pStyle w:val="932"/>
              <w:spacing w:line="264" w:lineRule="auto"/>
              <w:rPr>
                <w:rFonts w:hint="eastAsia"/>
                <w:color w:val="000000"/>
                <w:highlight w:val="none"/>
              </w:rPr>
            </w:pPr>
            <w:r>
              <w:rPr>
                <w:rFonts w:hint="eastAsia"/>
                <w:color w:val="000000"/>
                <w:highlight w:val="none"/>
              </w:rPr>
              <w:t xml:space="preserve">履约能力3</w:t>
            </w:r>
            <w:r>
              <w:rPr>
                <w:highlight w:val="none"/>
              </w:rPr>
            </w:r>
            <w:r/>
          </w:p>
        </w:tc>
        <w:tc>
          <w:tcPr>
            <w:tcW w:w="6330" w:type="dxa"/>
            <w:vAlign w:val="center"/>
            <w:textDirection w:val="lrTb"/>
            <w:noWrap w:val="false"/>
          </w:tcPr>
          <w:p>
            <w:pPr>
              <w:pStyle w:val="932"/>
              <w:spacing w:line="264" w:lineRule="auto"/>
              <w:rPr>
                <w:rFonts w:hint="eastAsia"/>
                <w:color w:val="000000"/>
                <w:highlight w:val="none"/>
              </w:rPr>
            </w:pPr>
            <w:r>
              <w:rPr>
                <w:rFonts w:hint="eastAsia"/>
                <w:color w:val="000000"/>
                <w:highlight w:val="none"/>
              </w:rPr>
              <w:t xml:space="preserve">投标人或所投产品厂家获得</w:t>
            </w:r>
            <w:r>
              <w:rPr>
                <w:color w:val="000000"/>
                <w:highlight w:val="none"/>
                <w:lang w:val="zh-CN"/>
              </w:rPr>
              <w:t xml:space="preserve">国家有关部门（工信部门或科技部门）颁发的应用创新解决方案或应用创新案例（云影像、云胶片、PACS、影像平台相关信息系统软件），每提供一个得1分，最高分</w:t>
            </w:r>
            <w:r>
              <w:rPr>
                <w:rFonts w:hint="eastAsia"/>
                <w:color w:val="000000"/>
                <w:highlight w:val="none"/>
                <w:lang w:val="en-US" w:eastAsia="zh-CN"/>
              </w:rPr>
              <w:t xml:space="preserve">3</w:t>
            </w:r>
            <w:r>
              <w:rPr>
                <w:color w:val="000000"/>
                <w:highlight w:val="none"/>
                <w:lang w:val="zh-CN"/>
              </w:rPr>
              <w:t xml:space="preserve">分。</w:t>
            </w:r>
            <w:r>
              <w:rPr>
                <w:rFonts w:hint="eastAsia"/>
                <w:color w:val="000000"/>
                <w:highlight w:val="none"/>
                <w:lang w:val="zh-CN"/>
              </w:rPr>
              <w:t xml:space="preserve">（</w:t>
            </w:r>
            <w:r>
              <w:rPr>
                <w:rFonts w:hint="eastAsia"/>
                <w:color w:val="000000"/>
                <w:highlight w:val="none"/>
              </w:rPr>
              <w:t xml:space="preserve">提供相关证明</w:t>
            </w:r>
            <w:r>
              <w:rPr>
                <w:rFonts w:hint="eastAsia"/>
                <w:color w:val="000000"/>
                <w:highlight w:val="none"/>
                <w:lang w:val="zh-CN"/>
              </w:rPr>
              <w:t xml:space="preserve">）</w:t>
            </w:r>
            <w:r>
              <w:rPr>
                <w:highlight w:val="none"/>
              </w:rPr>
            </w:r>
            <w:r/>
          </w:p>
        </w:tc>
        <w:tc>
          <w:tcPr>
            <w:tcW w:w="647" w:type="dxa"/>
            <w:vAlign w:val="center"/>
            <w:textDirection w:val="lrTb"/>
            <w:noWrap w:val="false"/>
          </w:tcPr>
          <w:p>
            <w:pPr>
              <w:pStyle w:val="932"/>
              <w:jc w:val="center"/>
              <w:spacing w:before="68" w:line="264"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383"/>
        </w:trPr>
        <w:tc>
          <w:tcPr>
            <w:tcW w:w="519" w:type="dxa"/>
            <w:vAlign w:val="center"/>
            <w:textDirection w:val="lrTb"/>
            <w:noWrap w:val="false"/>
          </w:tcPr>
          <w:p>
            <w:pPr>
              <w:pStyle w:val="932"/>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4.4</w:t>
            </w:r>
            <w:r>
              <w:rPr>
                <w:highlight w:val="none"/>
              </w:rPr>
            </w:r>
            <w:r/>
          </w:p>
        </w:tc>
        <w:tc>
          <w:tcPr>
            <w:tcW w:w="1179" w:type="dxa"/>
            <w:vAlign w:val="center"/>
            <w:textDirection w:val="lrTb"/>
            <w:noWrap w:val="false"/>
          </w:tcPr>
          <w:p>
            <w:pPr>
              <w:pStyle w:val="932"/>
              <w:spacing w:line="264" w:lineRule="auto"/>
              <w:rPr>
                <w:rFonts w:hint="eastAsia"/>
                <w:color w:val="000000"/>
                <w:highlight w:val="none"/>
              </w:rPr>
            </w:pPr>
            <w:r>
              <w:rPr>
                <w:rFonts w:hint="eastAsia"/>
                <w:color w:val="000000"/>
                <w:highlight w:val="none"/>
              </w:rPr>
              <w:t xml:space="preserve">履约能力4</w:t>
            </w:r>
            <w:r>
              <w:rPr>
                <w:highlight w:val="none"/>
              </w:rPr>
            </w:r>
            <w:r/>
          </w:p>
        </w:tc>
        <w:tc>
          <w:tcPr>
            <w:tcW w:w="6330" w:type="dxa"/>
            <w:vAlign w:val="center"/>
            <w:textDirection w:val="lrTb"/>
            <w:noWrap w:val="false"/>
          </w:tcPr>
          <w:p>
            <w:pPr>
              <w:pStyle w:val="932"/>
              <w:spacing w:line="264" w:lineRule="auto"/>
              <w:rPr>
                <w:rFonts w:ascii="宋体" w:hAnsi="宋体" w:cs="宋体"/>
                <w:color w:val="000000"/>
                <w:highlight w:val="none"/>
              </w:rPr>
            </w:pPr>
            <w:r>
              <w:rPr>
                <w:rFonts w:hint="eastAsia" w:ascii="宋体" w:hAnsi="宋体" w:cs="宋体"/>
                <w:color w:val="000000"/>
                <w:highlight w:val="none"/>
              </w:rPr>
              <w:t xml:space="preserve">投标人具有与本项目采购需求相关的</w:t>
            </w:r>
            <w:r>
              <w:rPr>
                <w:rFonts w:ascii="宋体" w:hAnsi="宋体" w:cs="宋体"/>
                <w:color w:val="000000"/>
                <w:highlight w:val="none"/>
              </w:rPr>
              <w:t xml:space="preserve">分布式高并发影像信息化类架构技术</w:t>
            </w:r>
            <w:r>
              <w:rPr>
                <w:rFonts w:hint="eastAsia" w:ascii="宋体" w:hAnsi="宋体" w:cs="宋体"/>
                <w:color w:val="000000"/>
                <w:highlight w:val="none"/>
              </w:rPr>
              <w:t xml:space="preserve">软件著作权证书，每提供1个</w:t>
            </w:r>
            <w:r>
              <w:rPr>
                <w:rFonts w:ascii="宋体" w:hAnsi="宋体" w:cs="宋体"/>
                <w:color w:val="000000"/>
                <w:highlight w:val="none"/>
              </w:rPr>
              <w:t xml:space="preserve">证书</w:t>
            </w:r>
            <w:r>
              <w:rPr>
                <w:rFonts w:hint="eastAsia" w:ascii="宋体" w:hAnsi="宋体" w:cs="宋体"/>
                <w:color w:val="000000"/>
                <w:highlight w:val="none"/>
              </w:rPr>
              <w:t xml:space="preserve">得</w:t>
            </w:r>
            <w:r>
              <w:rPr>
                <w:rFonts w:ascii="宋体" w:hAnsi="宋体" w:cs="宋体"/>
                <w:color w:val="000000"/>
                <w:highlight w:val="none"/>
              </w:rPr>
              <w:t xml:space="preserve">1</w:t>
            </w:r>
            <w:r>
              <w:rPr>
                <w:rFonts w:hint="eastAsia" w:ascii="宋体" w:hAnsi="宋体" w:cs="宋体"/>
                <w:color w:val="000000"/>
                <w:highlight w:val="none"/>
              </w:rPr>
              <w:t xml:space="preserve">分，最多得3分。</w:t>
            </w:r>
            <w:r>
              <w:rPr>
                <w:highlight w:val="none"/>
              </w:rPr>
            </w:r>
            <w:r/>
          </w:p>
          <w:p>
            <w:pPr>
              <w:pStyle w:val="932"/>
              <w:spacing w:line="264" w:lineRule="auto"/>
              <w:rPr>
                <w:rFonts w:hint="eastAsia"/>
                <w:color w:val="000000"/>
                <w:highlight w:val="none"/>
              </w:rPr>
            </w:pPr>
            <w:r>
              <w:rPr>
                <w:rFonts w:hint="eastAsia" w:ascii="宋体" w:hAnsi="宋体" w:cs="宋体"/>
                <w:color w:val="000000"/>
                <w:highlight w:val="none"/>
              </w:rPr>
              <w:t xml:space="preserve">（所提供证书</w:t>
            </w:r>
            <w:r>
              <w:rPr>
                <w:rFonts w:ascii="宋体" w:hAnsi="宋体" w:cs="宋体"/>
                <w:color w:val="000000"/>
                <w:highlight w:val="none"/>
              </w:rPr>
              <w:t xml:space="preserve">“</w:t>
            </w:r>
            <w:r>
              <w:rPr>
                <w:rFonts w:hint="eastAsia" w:ascii="宋体" w:hAnsi="宋体" w:cs="宋体"/>
                <w:color w:val="000000"/>
                <w:highlight w:val="none"/>
              </w:rPr>
              <w:t xml:space="preserve">软件名称</w:t>
            </w:r>
            <w:r>
              <w:rPr>
                <w:rFonts w:ascii="宋体" w:hAnsi="宋体" w:cs="宋体"/>
                <w:color w:val="000000"/>
                <w:highlight w:val="none"/>
              </w:rPr>
              <w:t xml:space="preserve">”</w:t>
            </w:r>
            <w:r>
              <w:rPr>
                <w:rFonts w:hint="eastAsia" w:ascii="宋体" w:hAnsi="宋体" w:cs="宋体"/>
                <w:color w:val="000000"/>
                <w:highlight w:val="none"/>
              </w:rPr>
              <w:t xml:space="preserve">中需包括影像关键字信息，否则不予认可。）</w:t>
            </w:r>
            <w:r>
              <w:rPr>
                <w:highlight w:val="none"/>
              </w:rPr>
            </w:r>
            <w:r/>
          </w:p>
        </w:tc>
        <w:tc>
          <w:tcPr>
            <w:tcW w:w="647" w:type="dxa"/>
            <w:vAlign w:val="center"/>
            <w:textDirection w:val="lrTb"/>
            <w:noWrap w:val="false"/>
          </w:tcPr>
          <w:p>
            <w:pPr>
              <w:pStyle w:val="932"/>
              <w:jc w:val="center"/>
              <w:spacing w:before="68" w:line="264" w:lineRule="auto"/>
              <w:rPr>
                <w:rFonts w:hint="eastAsia" w:ascii="宋体" w:hAnsi="宋体" w:cs="宋体"/>
                <w:color w:val="000000"/>
                <w:szCs w:val="22"/>
                <w:highlight w:val="none"/>
              </w:rPr>
            </w:pPr>
            <w:r>
              <w:rPr>
                <w:rFonts w:hint="eastAsia" w:ascii="宋体" w:hAnsi="宋体" w:cs="宋体"/>
                <w:color w:val="000000"/>
                <w:highlight w:val="none"/>
              </w:rPr>
              <w:t xml:space="preserve">3</w:t>
            </w:r>
            <w:r>
              <w:rPr>
                <w:highlight w:val="none"/>
              </w:rPr>
            </w:r>
            <w:r/>
          </w:p>
        </w:tc>
        <w:tc>
          <w:tcPr>
            <w:tcW w:w="900" w:type="dxa"/>
            <w:vAlign w:val="center"/>
            <w:textDirection w:val="lrTb"/>
            <w:noWrap w:val="false"/>
          </w:tcPr>
          <w:p>
            <w:pPr>
              <w:pStyle w:val="932"/>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highlight w:val="none"/>
              </w:rPr>
            </w:r>
            <w:r/>
          </w:p>
        </w:tc>
      </w:tr>
      <w:tr>
        <w:trPr>
          <w:trHeight w:val="464"/>
        </w:trPr>
        <w:tc>
          <w:tcPr>
            <w:tcW w:w="519" w:type="dxa"/>
            <w:vAlign w:val="center"/>
            <w:textDirection w:val="lrTb"/>
            <w:noWrap w:val="false"/>
          </w:tcPr>
          <w:p>
            <w:pPr>
              <w:pStyle w:val="932"/>
              <w:jc w:val="center"/>
              <w:spacing w:line="264" w:lineRule="auto"/>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highlight w:val="none"/>
              </w:rPr>
            </w:r>
            <w:r/>
          </w:p>
        </w:tc>
        <w:tc>
          <w:tcPr>
            <w:gridSpan w:val="2"/>
            <w:tcW w:w="7509" w:type="dxa"/>
            <w:vAlign w:val="center"/>
            <w:textDirection w:val="lrTb"/>
            <w:noWrap w:val="false"/>
          </w:tcPr>
          <w:p>
            <w:pPr>
              <w:pStyle w:val="932"/>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rPr>
                <w:highlight w:val="none"/>
              </w:rPr>
            </w:r>
            <w:r/>
          </w:p>
        </w:tc>
        <w:tc>
          <w:tcPr>
            <w:gridSpan w:val="2"/>
            <w:tcW w:w="1547" w:type="dxa"/>
            <w:vAlign w:val="center"/>
            <w:textDirection w:val="lrTb"/>
            <w:noWrap w:val="false"/>
          </w:tcPr>
          <w:p>
            <w:pPr>
              <w:pStyle w:val="932"/>
              <w:jc w:val="center"/>
              <w:spacing w:line="264" w:lineRule="auto"/>
              <w:rPr>
                <w:color w:val="000000"/>
                <w:highlight w:val="none"/>
              </w:rPr>
            </w:pPr>
            <w:r>
              <w:rPr>
                <w:rFonts w:ascii="宋体" w:hAnsi="宋体" w:cs="宋体"/>
                <w:color w:val="000000"/>
                <w:spacing w:val="-11"/>
                <w:highlight w:val="none"/>
              </w:rPr>
              <w:t xml:space="preserve">100分</w:t>
            </w:r>
            <w:r>
              <w:rPr>
                <w:highlight w:val="none"/>
              </w:rPr>
            </w:r>
            <w:r/>
          </w:p>
        </w:tc>
      </w:tr>
    </w:tbl>
    <w:p>
      <w:pPr>
        <w:pStyle w:val="932"/>
        <w:spacing w:line="264" w:lineRule="auto"/>
        <w:rPr>
          <w:rFonts w:hint="eastAsia"/>
          <w:color w:val="000000"/>
          <w:highlight w:val="none"/>
        </w:rPr>
      </w:pPr>
      <w:r>
        <w:rPr>
          <w:rFonts w:hint="eastAsia"/>
          <w:color w:val="000000"/>
          <w:highlight w:val="none"/>
        </w:rPr>
      </w:r>
      <w:r>
        <w:rPr>
          <w:highlight w:val="none"/>
        </w:rPr>
      </w:r>
      <w:r/>
    </w:p>
    <w:p>
      <w:pPr>
        <w:pStyle w:val="932"/>
        <w:spacing w:line="264" w:lineRule="auto"/>
        <w:rPr>
          <w:rFonts w:hint="eastAsia"/>
          <w:color w:val="000000"/>
          <w:highlight w:val="none"/>
        </w:rPr>
      </w:pPr>
      <w:r>
        <w:rPr>
          <w:rFonts w:hint="eastAsia"/>
          <w:color w:val="000000"/>
          <w:highlight w:val="none"/>
        </w:rPr>
      </w:r>
      <w:r>
        <w:rPr>
          <w:highlight w:val="none"/>
        </w:rPr>
      </w:r>
      <w:r/>
    </w:p>
    <w:p>
      <w:pPr>
        <w:pStyle w:val="932"/>
        <w:spacing w:line="264" w:lineRule="auto"/>
        <w:rPr>
          <w:rFonts w:hint="eastAsia"/>
          <w:color w:val="000000"/>
          <w:highlight w:val="none"/>
        </w:rPr>
      </w:pPr>
      <w:r>
        <w:rPr>
          <w:rFonts w:hint="eastAsia"/>
          <w:color w:val="000000"/>
          <w:highlight w:val="none"/>
        </w:rPr>
      </w:r>
      <w:r>
        <w:rPr>
          <w:highlight w:val="none"/>
        </w:rPr>
      </w:r>
      <w:r/>
    </w:p>
    <w:p>
      <w:pPr>
        <w:pStyle w:val="1009"/>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r>
      <w:r>
        <w:rPr>
          <w:highlight w:val="none"/>
        </w:rPr>
      </w:r>
      <w:r/>
    </w:p>
    <w:p>
      <w:pPr>
        <w:pStyle w:val="932"/>
        <w:ind w:right="840"/>
        <w:jc w:val="center"/>
        <w:rPr>
          <w:rFonts w:hint="eastAsia" w:ascii="微软雅黑" w:hAnsi="微软雅黑" w:eastAsia="微软雅黑" w:cs="微软雅黑"/>
          <w:color w:val="000000"/>
          <w:sz w:val="36"/>
          <w:szCs w:val="36"/>
          <w:highlight w:val="none"/>
        </w:rPr>
      </w:pPr>
      <w:r>
        <w:rPr>
          <w:rFonts w:hint="eastAsia" w:ascii="微软雅黑" w:hAnsi="微软雅黑" w:eastAsia="微软雅黑" w:cs="微软雅黑"/>
          <w:color w:val="000000"/>
          <w:sz w:val="36"/>
          <w:szCs w:val="36"/>
          <w:highlight w:val="none"/>
        </w:rPr>
        <w:br w:type="page" w:clear="all"/>
      </w:r>
      <w:r>
        <w:rPr>
          <w:rFonts w:hint="eastAsia" w:ascii="微软雅黑" w:hAnsi="微软雅黑" w:eastAsia="微软雅黑" w:cs="微软雅黑"/>
          <w:color w:val="000000"/>
          <w:sz w:val="36"/>
          <w:szCs w:val="36"/>
          <w:highlight w:val="none"/>
        </w:rPr>
        <w:t xml:space="preserve">第六章  投标</w:t>
      </w:r>
      <w:bookmarkEnd w:id="191"/>
      <w:r>
        <w:rPr>
          <w:highlight w:val="none"/>
        </w:rPr>
      </w:r>
      <w:bookmarkEnd w:id="192"/>
      <w:r>
        <w:rPr>
          <w:highlight w:val="none"/>
        </w:rPr>
      </w:r>
      <w:bookmarkEnd w:id="211"/>
      <w:r>
        <w:rPr>
          <w:rFonts w:hint="eastAsia" w:ascii="微软雅黑" w:hAnsi="微软雅黑" w:eastAsia="微软雅黑" w:cs="微软雅黑"/>
          <w:color w:val="000000"/>
          <w:sz w:val="36"/>
          <w:szCs w:val="36"/>
          <w:highlight w:val="none"/>
        </w:rPr>
        <w:t xml:space="preserve">文件格式 </w:t>
      </w:r>
      <w:r>
        <w:rPr>
          <w:highlight w:val="none"/>
        </w:rPr>
      </w:r>
      <w:r/>
    </w:p>
    <w:p>
      <w:pPr>
        <w:pStyle w:val="932"/>
        <w:jc w:val="center"/>
        <w:rPr>
          <w:rFonts w:hint="eastAsia" w:ascii="宋体" w:hAnsi="宋体"/>
          <w:b/>
          <w:color w:val="000000"/>
          <w:sz w:val="72"/>
          <w:highlight w:val="none"/>
        </w:rPr>
      </w:pPr>
      <w:r>
        <w:rPr>
          <w:highlight w:val="none"/>
        </w:rPr>
      </w:r>
      <w:bookmarkStart w:id="212" w:name="_Hlt26955039"/>
      <w:r>
        <w:rPr>
          <w:highlight w:val="none"/>
        </w:rPr>
      </w:r>
      <w:bookmarkEnd w:id="212"/>
      <w:r>
        <w:rPr>
          <w:highlight w:val="none"/>
        </w:rPr>
      </w:r>
      <w:bookmarkStart w:id="213" w:name="_Toc49090576"/>
      <w:r>
        <w:rPr>
          <w:highlight w:val="none"/>
        </w:rPr>
      </w:r>
      <w:bookmarkStart w:id="214" w:name="_Toc120614282"/>
      <w:r>
        <w:rPr>
          <w:highlight w:val="none"/>
        </w:rPr>
      </w:r>
      <w:bookmarkStart w:id="215" w:name="_Toc26554094"/>
      <w:r>
        <w:rPr>
          <w:highlight w:val="none"/>
        </w:rPr>
      </w:r>
      <w:bookmarkStart w:id="216" w:name="_Hlt26671244"/>
      <w:r>
        <w:rPr>
          <w:highlight w:val="none"/>
        </w:rPr>
      </w:r>
      <w:bookmarkEnd w:id="216"/>
      <w:r>
        <w:rPr>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3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highlight w:val="none"/>
        </w:rPr>
      </w:r>
      <w:r/>
    </w:p>
    <w:p>
      <w:pPr>
        <w:pStyle w:val="93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highlight w:val="non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highlight w:val="non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highlight w:val="none"/>
        </w:rPr>
      </w:r>
      <w:r/>
    </w:p>
    <w:p>
      <w:pPr>
        <w:pStyle w:val="93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32"/>
        <w:spacing w:line="440" w:lineRule="exact"/>
        <w:rPr>
          <w:rFonts w:ascii="宋体" w:hAnsi="宋体"/>
          <w:color w:val="000000"/>
          <w:highlight w:val="none"/>
        </w:rPr>
      </w:pPr>
      <w:r>
        <w:rPr>
          <w:rFonts w:ascii="宋体" w:hAnsi="宋体"/>
          <w:color w:val="000000"/>
          <w:highlight w:val="none"/>
        </w:rPr>
      </w:r>
      <w:r>
        <w:rPr>
          <w:highlight w:val="none"/>
        </w:rPr>
      </w:r>
      <w:r/>
    </w:p>
    <w:p>
      <w:pPr>
        <w:pStyle w:val="932"/>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w:t>
      </w:r>
      <w:r>
        <w:rPr>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1012"/>
        <w:rPr>
          <w:color w:val="000000"/>
          <w:sz w:val="24"/>
          <w:highlight w:val="none"/>
        </w:rPr>
      </w:pPr>
      <w:r>
        <w:rPr>
          <w:color w:val="000000"/>
          <w:sz w:val="24"/>
          <w:highlight w:val="none"/>
        </w:rPr>
      </w:r>
      <w:r>
        <w:rPr>
          <w:highlight w:val="none"/>
        </w:rPr>
      </w:r>
      <w:r/>
    </w:p>
    <w:p>
      <w:pPr>
        <w:pStyle w:val="1012"/>
        <w:rPr>
          <w:color w:val="000000"/>
          <w:sz w:val="24"/>
          <w:highlight w:val="none"/>
        </w:rPr>
      </w:pPr>
      <w:r>
        <w:rPr>
          <w:color w:val="000000"/>
          <w:sz w:val="24"/>
          <w:highlight w:val="none"/>
        </w:rPr>
      </w:r>
      <w:r>
        <w:rPr>
          <w:highlight w:val="none"/>
        </w:rPr>
      </w:r>
      <w:r/>
    </w:p>
    <w:p>
      <w:pPr>
        <w:pStyle w:val="1012"/>
        <w:rPr>
          <w:color w:val="000000"/>
          <w:sz w:val="24"/>
          <w:highlight w:val="none"/>
        </w:rPr>
      </w:pPr>
      <w:r>
        <w:rPr>
          <w:color w:val="000000"/>
          <w:sz w:val="24"/>
          <w:highlight w:val="none"/>
        </w:rPr>
      </w:r>
      <w:r>
        <w:rPr>
          <w:highlight w:val="none"/>
        </w:rPr>
      </w:r>
      <w:r/>
    </w:p>
    <w:p>
      <w:pPr>
        <w:pStyle w:val="1012"/>
        <w:rPr>
          <w:color w:val="000000"/>
          <w:sz w:val="24"/>
          <w:highlight w:val="none"/>
        </w:rPr>
      </w:pPr>
      <w:r>
        <w:rPr>
          <w:color w:val="000000"/>
          <w:sz w:val="24"/>
          <w:highlight w:val="none"/>
        </w:rPr>
      </w:r>
      <w:r>
        <w:rPr>
          <w:highlight w:val="none"/>
        </w:rPr>
      </w:r>
      <w:r/>
    </w:p>
    <w:p>
      <w:pPr>
        <w:pStyle w:val="1012"/>
        <w:rPr>
          <w:color w:val="000000"/>
          <w:sz w:val="24"/>
          <w:highlight w:val="none"/>
        </w:rPr>
      </w:pPr>
      <w:r>
        <w:rPr>
          <w:color w:val="000000"/>
          <w:sz w:val="24"/>
          <w:highlight w:val="none"/>
        </w:rPr>
      </w:r>
      <w:r>
        <w:rPr>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32"/>
        <w:rPr>
          <w:rFonts w:hint="eastAsia" w:ascii="黑体" w:hAnsi="黑体" w:eastAsia="黑体"/>
          <w:i/>
          <w:color w:val="000000"/>
          <w:sz w:val="32"/>
          <w:szCs w:val="32"/>
          <w:highlight w:val="none"/>
          <w:u w:val="single"/>
        </w:rPr>
      </w:pPr>
      <w:r>
        <w:rPr>
          <w:highlight w:val="none"/>
        </w:rPr>
      </w:r>
      <w:bookmarkEnd w:id="213"/>
      <w:r>
        <w:rPr>
          <w:highlight w:val="none"/>
        </w:rPr>
      </w:r>
      <w:bookmarkEnd w:id="214"/>
      <w:r>
        <w:rPr>
          <w:highlight w:val="none"/>
        </w:rPr>
      </w:r>
      <w:bookmarkEnd w:id="215"/>
      <w:r>
        <w:rPr>
          <w:highlight w:val="none"/>
        </w:rPr>
      </w:r>
      <w:bookmarkStart w:id="217" w:name="_Toc120614284"/>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outlineLvl w:val="0"/>
      </w:pPr>
      <w:r>
        <w:rPr>
          <w:rFonts w:hint="eastAsia" w:ascii="微软雅黑" w:hAnsi="微软雅黑" w:eastAsia="微软雅黑" w:cs="微软雅黑"/>
          <w:color w:val="000000"/>
          <w:sz w:val="32"/>
          <w:szCs w:val="32"/>
          <w:highlight w:val="none"/>
        </w:rPr>
        <w:t xml:space="preserve">供应商信用承诺函</w:t>
      </w:r>
      <w:r>
        <w:rPr>
          <w:highlight w:val="none"/>
        </w:rPr>
      </w:r>
      <w:r/>
    </w:p>
    <w:p>
      <w:pPr>
        <w:pStyle w:val="93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highlight w:val="none"/>
        </w:rPr>
      </w:r>
      <w:r/>
    </w:p>
    <w:p>
      <w:pPr>
        <w:pStyle w:val="932"/>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highlight w:val="none"/>
        </w:rPr>
      </w:r>
      <w:r/>
    </w:p>
    <w:p>
      <w:pPr>
        <w:pStyle w:val="932"/>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highlight w:val="none"/>
        </w:rPr>
      </w:r>
      <w:r/>
    </w:p>
    <w:p>
      <w:pPr>
        <w:pStyle w:val="932"/>
        <w:ind w:firstLine="492"/>
        <w:spacing w:line="460" w:lineRule="exact"/>
        <w:rPr>
          <w:color w:val="000000"/>
          <w:sz w:val="24"/>
          <w:szCs w:val="24"/>
          <w:highlight w:val="none"/>
        </w:rPr>
      </w:pPr>
      <w:r>
        <w:rPr>
          <w:color w:val="000000"/>
          <w:sz w:val="24"/>
          <w:szCs w:val="24"/>
          <w:highlight w:val="none"/>
        </w:rPr>
      </w:r>
      <w:r>
        <w:rPr>
          <w:highlight w:val="none"/>
        </w:rPr>
      </w:r>
      <w:r/>
    </w:p>
    <w:p>
      <w:pPr>
        <w:pStyle w:val="1049"/>
        <w:rPr>
          <w:color w:val="000000"/>
          <w:sz w:val="24"/>
          <w:szCs w:val="24"/>
          <w:highlight w:val="none"/>
        </w:rPr>
      </w:pPr>
      <w:r>
        <w:rPr>
          <w:color w:val="000000"/>
          <w:sz w:val="24"/>
          <w:szCs w:val="24"/>
          <w:highlight w:val="none"/>
        </w:rPr>
      </w:r>
      <w:r>
        <w:rPr>
          <w:highlight w:val="none"/>
        </w:rPr>
      </w:r>
      <w:r/>
    </w:p>
    <w:p>
      <w:pPr>
        <w:pStyle w:val="932"/>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highlight w:val="none"/>
        </w:rPr>
      </w:r>
      <w:r/>
    </w:p>
    <w:p>
      <w:pPr>
        <w:pStyle w:val="932"/>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highlight w:val="none"/>
        </w:rPr>
      </w:r>
      <w:r/>
    </w:p>
    <w:p>
      <w:pPr>
        <w:pStyle w:val="932"/>
        <w:rPr>
          <w:color w:val="000000"/>
          <w:sz w:val="24"/>
          <w:szCs w:val="24"/>
          <w:highlight w:val="none"/>
        </w:rPr>
      </w:pPr>
      <w:r>
        <w:rPr>
          <w:color w:val="000000"/>
          <w:sz w:val="24"/>
          <w:szCs w:val="24"/>
          <w:highlight w:val="none"/>
        </w:rPr>
      </w:r>
      <w:r>
        <w:rPr>
          <w:highlight w:val="none"/>
        </w:rPr>
      </w:r>
      <w:r/>
    </w:p>
    <w:p>
      <w:pPr>
        <w:pStyle w:val="932"/>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1051"/>
        <w:rPr>
          <w:rFonts w:hint="eastAsia" w:ascii="宋体" w:hAnsi="宋体"/>
          <w:b/>
          <w:bCs/>
          <w:color w:val="000000"/>
          <w:highlight w:val="none"/>
        </w:rPr>
      </w:pPr>
      <w:r>
        <w:rPr>
          <w:rFonts w:hint="eastAsia" w:ascii="宋体" w:hAnsi="宋体"/>
          <w:b/>
          <w:bCs/>
          <w:color w:val="000000"/>
          <w:highlight w:val="none"/>
          <w:lang w:eastAsia="zh-CN"/>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1001"/>
        <w:rPr>
          <w:rFonts w:hint="eastAsia"/>
          <w:color w:val="000000"/>
          <w:highlight w:val="none"/>
        </w:rPr>
      </w:pPr>
      <w:r>
        <w:rPr>
          <w:rFonts w:hint="eastAsia"/>
          <w:color w:val="000000"/>
          <w:highlight w:val="none"/>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highlight w:val="none"/>
        </w:rPr>
      </w:r>
      <w:r/>
    </w:p>
    <w:p>
      <w:pPr>
        <w:pStyle w:val="102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1051"/>
        <w:rPr>
          <w:rFonts w:hint="eastAsia"/>
          <w:color w:val="000000"/>
          <w:highlight w:val="none"/>
        </w:rPr>
      </w:pPr>
      <w:r>
        <w:rPr>
          <w:rFonts w:hint="eastAsia"/>
          <w:color w:val="000000"/>
          <w:highlight w:val="none"/>
          <w:lang w:eastAsia="zh-CN"/>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3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highlight w:val="none"/>
        </w:rPr>
      </w:r>
      <w:r/>
    </w:p>
    <w:p>
      <w:pPr>
        <w:pStyle w:val="932"/>
        <w:jc w:val="center"/>
        <w:spacing w:line="420" w:lineRule="exact"/>
        <w:rPr>
          <w:rFonts w:hint="eastAsia" w:ascii="微软雅黑" w:hAnsi="微软雅黑" w:eastAsia="微软雅黑" w:cs="微软雅黑"/>
          <w:color w:val="000000"/>
          <w:sz w:val="32"/>
          <w:szCs w:val="32"/>
          <w:highlight w:val="none"/>
        </w:rPr>
        <w:outlineLvl w:val="0"/>
      </w:pPr>
      <w:r>
        <w:rPr>
          <w:rFonts w:hint="eastAsia" w:ascii="微软雅黑" w:hAnsi="微软雅黑" w:eastAsia="微软雅黑" w:cs="微软雅黑"/>
          <w:color w:val="000000"/>
          <w:sz w:val="32"/>
          <w:szCs w:val="32"/>
          <w:highlight w:val="none"/>
        </w:rPr>
        <w:t xml:space="preserve">法人授权书</w:t>
      </w:r>
      <w:r>
        <w:rPr>
          <w:highlight w:val="none"/>
        </w:rPr>
      </w:r>
      <w:r/>
    </w:p>
    <w:p>
      <w:pPr>
        <w:pStyle w:val="1021"/>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rPr>
          <w:highlight w:val="none"/>
        </w:rPr>
      </w:r>
      <w:r/>
    </w:p>
    <w:p>
      <w:pPr>
        <w:pStyle w:val="102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highlight w:val="none"/>
        </w:rPr>
      </w:r>
      <w:r/>
    </w:p>
    <w:p>
      <w:pPr>
        <w:pStyle w:val="102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highlight w:val="none"/>
        </w:rPr>
      </w:r>
      <w:r/>
    </w:p>
    <w:p>
      <w:pPr>
        <w:pStyle w:val="102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highlight w:val="none"/>
        </w:rPr>
      </w:r>
      <w:r/>
    </w:p>
    <w:p>
      <w:pPr>
        <w:pStyle w:val="1021"/>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highlight w:val="none"/>
        </w:rPr>
      </w:r>
      <w:r/>
    </w:p>
    <w:p>
      <w:pPr>
        <w:pStyle w:val="1021"/>
        <w:ind w:firstLine="468"/>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highlight w:val="none"/>
        </w:rPr>
      </w:r>
      <w:r/>
    </w:p>
    <w:p>
      <w:pPr>
        <w:pStyle w:val="1021"/>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highlight w:val="none"/>
        </w:rPr>
      </w:r>
      <w:r/>
    </w:p>
    <w:p>
      <w:pPr>
        <w:pStyle w:val="102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18" w:name="_格式3__银行出具的资信证明"/>
      <w:r>
        <w:rPr>
          <w:highlight w:val="none"/>
        </w:rPr>
      </w:r>
      <w:bookmarkEnd w:id="218"/>
      <w:r>
        <w:rPr>
          <w:highlight w:val="none"/>
        </w:rPr>
      </w:r>
      <w:bookmarkStart w:id="219" w:name="_Hlt26955070"/>
      <w:r>
        <w:rPr>
          <w:highlight w:val="none"/>
        </w:rPr>
      </w:r>
      <w:bookmarkEnd w:id="219"/>
      <w:r>
        <w:rPr>
          <w:highlight w:val="none"/>
        </w:rPr>
      </w:r>
      <w:bookmarkStart w:id="220" w:name="_Hlt26671380"/>
      <w:r>
        <w:rPr>
          <w:highlight w:val="none"/>
        </w:rPr>
      </w:r>
      <w:bookmarkEnd w:id="220"/>
      <w:r>
        <w:rPr>
          <w:highlight w:val="none"/>
        </w:rPr>
      </w:r>
      <w:r/>
    </w:p>
    <w:p>
      <w:pPr>
        <w:pStyle w:val="948"/>
        <w:rPr>
          <w:rFonts w:hint="eastAsia"/>
          <w:i/>
          <w:color w:val="000000"/>
          <w:sz w:val="24"/>
          <w:szCs w:val="24"/>
          <w:highlight w:val="none"/>
          <w:u w:val="single"/>
        </w:rPr>
      </w:pPr>
      <w:r>
        <w:rPr>
          <w:rFonts w:hint="eastAsia"/>
          <w:i/>
          <w:color w:val="000000"/>
          <w:sz w:val="24"/>
          <w:szCs w:val="24"/>
          <w:highlight w:val="none"/>
          <w:u w:val="single"/>
        </w:rPr>
      </w:r>
      <w:r>
        <w:rPr>
          <w:highlight w:val="none"/>
        </w:rPr>
      </w:r>
      <w:r/>
    </w:p>
    <w:p>
      <w:pPr>
        <w:pStyle w:val="948"/>
        <w:rPr>
          <w:rFonts w:hint="eastAsia"/>
          <w:i/>
          <w:color w:val="000000"/>
          <w:sz w:val="24"/>
          <w:szCs w:val="24"/>
          <w:highlight w:val="none"/>
          <w:u w:val="single"/>
        </w:rPr>
      </w:pPr>
      <w:r>
        <w:rPr>
          <w:rFonts w:hint="eastAsia"/>
          <w:i/>
          <w:color w:val="000000"/>
          <w:sz w:val="24"/>
          <w:szCs w:val="24"/>
          <w:highlight w:val="none"/>
          <w:u w:val="single"/>
        </w:rPr>
      </w:r>
      <w:r>
        <w:rPr>
          <w:highlight w:val="none"/>
        </w:rPr>
      </w:r>
      <w:r/>
    </w:p>
    <w:p>
      <w:pPr>
        <w:pStyle w:val="948"/>
        <w:rPr>
          <w:rFonts w:hint="eastAsia"/>
          <w:i/>
          <w:color w:val="000000"/>
          <w:sz w:val="24"/>
          <w:szCs w:val="24"/>
          <w:highlight w:val="none"/>
          <w:u w:val="single"/>
        </w:rPr>
      </w:pPr>
      <w:r>
        <w:rPr>
          <w:rFonts w:hint="eastAsia"/>
          <w:i/>
          <w:color w:val="000000"/>
          <w:sz w:val="24"/>
          <w:szCs w:val="24"/>
          <w:highlight w:val="none"/>
          <w:u w:val="single"/>
        </w:rPr>
      </w:r>
      <w:r>
        <w:rPr>
          <w:highlight w:val="none"/>
        </w:rPr>
      </w:r>
      <w:r/>
    </w:p>
    <w:p>
      <w:pPr>
        <w:pStyle w:val="948"/>
        <w:ind w:firstLine="0"/>
        <w:rPr>
          <w:rFonts w:hint="eastAsia"/>
          <w:color w:val="000000"/>
          <w:highlight w:val="none"/>
        </w:rPr>
      </w:pPr>
      <w:r>
        <w:rPr>
          <w:rFonts w:hint="eastAsia"/>
          <w:color w:val="000000"/>
          <w:highlight w:val="none"/>
        </w:rPr>
      </w:r>
      <w:r>
        <w:rPr>
          <w:highlight w:val="none"/>
        </w:rPr>
      </w:r>
      <w:r/>
    </w:p>
    <w:p>
      <w:pPr>
        <w:pStyle w:val="932"/>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rPr>
          <w:highlight w:val="none"/>
        </w:rPr>
      </w:r>
      <w:r/>
    </w:p>
    <w:p>
      <w:pPr>
        <w:pStyle w:val="932"/>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1012"/>
        <w:rPr>
          <w:rFonts w:hint="eastAsia"/>
          <w:bCs/>
          <w:color w:val="000000"/>
          <w:sz w:val="24"/>
          <w:highlight w:val="none"/>
        </w:rPr>
      </w:pPr>
      <w:r>
        <w:rPr>
          <w:rFonts w:hint="eastAsia"/>
          <w:bCs/>
          <w:color w:val="000000"/>
          <w:sz w:val="24"/>
          <w:highlight w:val="none"/>
        </w:rPr>
      </w:r>
      <w:r>
        <w:rPr>
          <w:highlight w:val="none"/>
        </w:rPr>
      </w:r>
      <w:r/>
    </w:p>
    <w:p>
      <w:pPr>
        <w:pStyle w:val="1012"/>
        <w:rPr>
          <w:rFonts w:hint="eastAsia"/>
          <w:bCs/>
          <w:color w:val="000000"/>
          <w:sz w:val="24"/>
          <w:highlight w:val="none"/>
        </w:rPr>
      </w:pPr>
      <w:r>
        <w:rPr>
          <w:rFonts w:hint="eastAsia"/>
          <w:bCs/>
          <w:color w:val="000000"/>
          <w:sz w:val="24"/>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outlineLvl w:val="0"/>
      </w:pPr>
      <w:r>
        <w:rPr>
          <w:rFonts w:hint="eastAsia" w:ascii="微软雅黑" w:hAnsi="微软雅黑" w:eastAsia="微软雅黑" w:cs="微软雅黑"/>
          <w:color w:val="000000"/>
          <w:sz w:val="32"/>
          <w:szCs w:val="32"/>
          <w:highlight w:val="none"/>
        </w:rPr>
        <w:t xml:space="preserve">投标函</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highlight w:val="none"/>
        </w:rPr>
      </w:r>
      <w:r/>
    </w:p>
    <w:p>
      <w:pPr>
        <w:pStyle w:val="102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2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932"/>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highlight w:val="none"/>
        </w:rPr>
      </w:r>
      <w:r/>
    </w:p>
    <w:p>
      <w:pPr>
        <w:pStyle w:val="102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highlight w:val="none"/>
        </w:rPr>
      </w:r>
      <w:r/>
    </w:p>
    <w:p>
      <w:pPr>
        <w:pStyle w:val="102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highlight w:val="none"/>
        </w:rPr>
      </w:r>
      <w:r/>
    </w:p>
    <w:p>
      <w:pPr>
        <w:pStyle w:val="102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highlight w:val="none"/>
        </w:rPr>
      </w:r>
      <w:r/>
    </w:p>
    <w:p>
      <w:pPr>
        <w:pStyle w:val="102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highlight w:val="none"/>
        </w:rPr>
      </w:r>
      <w:r/>
    </w:p>
    <w:p>
      <w:pPr>
        <w:pStyle w:val="932"/>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highlight w:val="none"/>
        </w:rPr>
      </w:r>
      <w:r/>
    </w:p>
    <w:p>
      <w:pPr>
        <w:pStyle w:val="102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highlight w:val="none"/>
        </w:rPr>
      </w:r>
      <w:r/>
    </w:p>
    <w:p>
      <w:pPr>
        <w:pStyle w:val="102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rPr>
          <w:highlight w:val="none"/>
        </w:rPr>
      </w:r>
      <w:r/>
    </w:p>
    <w:p>
      <w:pPr>
        <w:pStyle w:val="102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rPr>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highlight w:val="none"/>
        </w:rPr>
      </w:r>
      <w:r/>
    </w:p>
    <w:p>
      <w:pPr>
        <w:pStyle w:val="932"/>
        <w:jc w:val="center"/>
        <w:spacing w:line="480" w:lineRule="auto"/>
        <w:rPr>
          <w:rFonts w:hint="eastAsia" w:ascii="微软雅黑" w:hAnsi="微软雅黑" w:eastAsia="微软雅黑" w:cs="微软雅黑"/>
          <w:color w:val="000000"/>
          <w:sz w:val="32"/>
          <w:szCs w:val="32"/>
          <w:highlight w:val="none"/>
        </w:rPr>
        <w:outlineLvl w:val="0"/>
      </w:pPr>
      <w:r>
        <w:rPr>
          <w:rFonts w:hint="eastAsia" w:ascii="微软雅黑" w:hAnsi="微软雅黑" w:eastAsia="微软雅黑" w:cs="微软雅黑"/>
          <w:color w:val="000000"/>
          <w:sz w:val="32"/>
          <w:szCs w:val="32"/>
          <w:highlight w:val="none"/>
        </w:rPr>
        <w:t xml:space="preserve">开标一览表</w:t>
      </w:r>
      <w:r>
        <w:rPr>
          <w:highlight w:val="none"/>
        </w:rPr>
      </w:r>
      <w:r/>
    </w:p>
    <w:p>
      <w:pPr>
        <w:pStyle w:val="93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highlight w:val="none"/>
        </w:rPr>
      </w:r>
      <w:r/>
    </w:p>
    <w:p>
      <w:pPr>
        <w:pStyle w:val="932"/>
        <w:spacing w:line="480" w:lineRule="auto"/>
        <w:rPr>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pStyle w:val="932"/>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2"/>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highlight w:val="none"/>
              </w:rPr>
            </w:r>
            <w:r/>
          </w:p>
        </w:tc>
      </w:tr>
      <w:tr>
        <w:trPr>
          <w:cantSplit/>
          <w:trHeight w:val="780"/>
        </w:trPr>
        <w:tc>
          <w:tcPr>
            <w:tcW w:w="9748" w:type="dxa"/>
            <w:vAlign w:val="center"/>
            <w:textDirection w:val="lrTb"/>
            <w:noWrap w:val="false"/>
          </w:tcPr>
          <w:p>
            <w:pPr>
              <w:pStyle w:val="1023"/>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highlight w:val="none"/>
              </w:rPr>
            </w:r>
            <w:r/>
          </w:p>
        </w:tc>
      </w:tr>
    </w:tbl>
    <w:p>
      <w:pPr>
        <w:pStyle w:val="932"/>
        <w:spacing w:line="480"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32"/>
        <w:ind w:firstLine="48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highlight w:val="none"/>
        </w:rPr>
      </w:r>
      <w:r/>
    </w:p>
    <w:p>
      <w:pPr>
        <w:pStyle w:val="932"/>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rPr>
          <w:highlight w:val="none"/>
        </w:rPr>
      </w:r>
      <w:r/>
    </w:p>
    <w:p>
      <w:pPr>
        <w:pStyle w:val="932"/>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rPr>
          <w:highlight w:val="none"/>
        </w:rPr>
      </w:r>
      <w:r/>
    </w:p>
    <w:p>
      <w:pPr>
        <w:pStyle w:val="932"/>
        <w:jc w:val="center"/>
        <w:spacing w:line="360" w:lineRule="auto"/>
        <w:rPr>
          <w:rFonts w:hint="eastAsia" w:ascii="黑体" w:eastAsia="黑体"/>
          <w:color w:val="000000"/>
          <w:sz w:val="32"/>
          <w:szCs w:val="32"/>
          <w:highlight w:val="none"/>
        </w:rPr>
        <w:outlineLvl w:val="0"/>
      </w:pPr>
      <w:r>
        <w:rPr>
          <w:rFonts w:hint="eastAsia" w:ascii="黑体" w:eastAsia="黑体"/>
          <w:color w:val="000000"/>
          <w:sz w:val="32"/>
          <w:szCs w:val="32"/>
          <w:highlight w:val="none"/>
        </w:rPr>
      </w:r>
      <w:r>
        <w:rPr>
          <w:highlight w:val="none"/>
        </w:rPr>
      </w:r>
      <w:r/>
    </w:p>
    <w:p>
      <w:pPr>
        <w:pStyle w:val="1009"/>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lang w:val="en-US"/>
        </w:rPr>
      </w:r>
      <w:r>
        <w:rPr>
          <w:highlight w:val="none"/>
        </w:rPr>
      </w:r>
      <w:r/>
    </w:p>
    <w:p>
      <w:pPr>
        <w:pStyle w:val="932"/>
        <w:rPr>
          <w:rFonts w:hint="eastAsia" w:ascii="黑体" w:eastAsia="黑体"/>
          <w:color w:val="000000"/>
          <w:sz w:val="32"/>
          <w:szCs w:val="32"/>
          <w:highlight w:val="none"/>
        </w:rPr>
      </w:pPr>
      <w:r>
        <w:rPr>
          <w:rFonts w:hint="eastAsia" w:ascii="黑体" w:eastAsia="黑体"/>
          <w:color w:val="000000"/>
          <w:sz w:val="32"/>
          <w:szCs w:val="32"/>
          <w:highlight w:val="none"/>
        </w:rPr>
      </w:r>
      <w:r>
        <w:rPr>
          <w:highlight w:val="none"/>
        </w:rPr>
      </w:r>
      <w:r/>
    </w:p>
    <w:p>
      <w:pPr>
        <w:pStyle w:val="1009"/>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lang w:val="en-US"/>
        </w:rPr>
      </w:r>
      <w:r>
        <w:rPr>
          <w:highlight w:val="none"/>
        </w:rPr>
      </w:r>
      <w:r/>
    </w:p>
    <w:p>
      <w:pPr>
        <w:pStyle w:val="932"/>
        <w:rPr>
          <w:rFonts w:hint="eastAsia" w:ascii="黑体" w:eastAsia="黑体"/>
          <w:color w:val="000000"/>
          <w:sz w:val="32"/>
          <w:szCs w:val="32"/>
          <w:highlight w:val="none"/>
        </w:rPr>
      </w:pPr>
      <w:r>
        <w:rPr>
          <w:rFonts w:hint="eastAsia" w:ascii="黑体" w:eastAsia="黑体"/>
          <w:color w:val="000000"/>
          <w:sz w:val="32"/>
          <w:szCs w:val="32"/>
          <w:highlight w:val="none"/>
        </w:rPr>
      </w:r>
      <w:r>
        <w:rPr>
          <w:highlight w:val="none"/>
        </w:rPr>
      </w:r>
      <w:r/>
    </w:p>
    <w:p>
      <w:pPr>
        <w:pStyle w:val="1009"/>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lang w:val="en-US"/>
        </w:rPr>
      </w:r>
      <w:r>
        <w:rPr>
          <w:highlight w:val="none"/>
        </w:rPr>
      </w:r>
      <w:r/>
    </w:p>
    <w:p>
      <w:pPr>
        <w:pStyle w:val="932"/>
        <w:rPr>
          <w:rFonts w:hint="eastAsia" w:ascii="黑体" w:eastAsia="黑体"/>
          <w:color w:val="000000"/>
          <w:sz w:val="32"/>
          <w:szCs w:val="32"/>
          <w:highlight w:val="none"/>
        </w:rPr>
      </w:pPr>
      <w:r>
        <w:rPr>
          <w:rFonts w:hint="eastAsia" w:ascii="黑体" w:eastAsia="黑体"/>
          <w:color w:val="000000"/>
          <w:sz w:val="32"/>
          <w:szCs w:val="32"/>
          <w:highlight w:val="none"/>
        </w:rPr>
      </w:r>
      <w:r>
        <w:rPr>
          <w:highlight w:val="none"/>
        </w:rPr>
      </w:r>
      <w:r/>
    </w:p>
    <w:p>
      <w:pPr>
        <w:pStyle w:val="1009"/>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lang w:val="en-US"/>
        </w:rPr>
      </w:r>
      <w:r>
        <w:rPr>
          <w:highlight w:val="none"/>
        </w:rPr>
      </w:r>
      <w:r/>
    </w:p>
    <w:p>
      <w:pPr>
        <w:pStyle w:val="932"/>
        <w:rPr>
          <w:rFonts w:hint="eastAsia" w:ascii="黑体" w:eastAsia="黑体"/>
          <w:color w:val="000000"/>
          <w:sz w:val="32"/>
          <w:szCs w:val="32"/>
          <w:highlight w:val="none"/>
        </w:rPr>
      </w:pPr>
      <w:r>
        <w:rPr>
          <w:rFonts w:hint="eastAsia" w:ascii="黑体" w:eastAsia="黑体"/>
          <w:color w:val="000000"/>
          <w:sz w:val="32"/>
          <w:szCs w:val="32"/>
          <w:highlight w:val="none"/>
        </w:rPr>
      </w:r>
      <w:r>
        <w:rPr>
          <w:highlight w:val="none"/>
        </w:rPr>
      </w:r>
      <w:r/>
    </w:p>
    <w:p>
      <w:pPr>
        <w:pStyle w:val="1009"/>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lang w:val="en-US"/>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jc w:val="center"/>
        <w:spacing w:line="360" w:lineRule="auto"/>
        <w:rPr>
          <w:rFonts w:hint="eastAsia" w:ascii="黑体" w:eastAsia="黑体"/>
          <w:color w:val="000000"/>
          <w:sz w:val="32"/>
          <w:szCs w:val="32"/>
          <w:highlight w:val="none"/>
        </w:rPr>
        <w:outlineLvl w:val="0"/>
      </w:pPr>
      <w:r>
        <w:rPr>
          <w:rFonts w:hint="eastAsia" w:ascii="黑体" w:eastAsia="黑体"/>
          <w:color w:val="000000"/>
          <w:sz w:val="32"/>
          <w:szCs w:val="32"/>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六、投标分项报价表</w:t>
      </w:r>
      <w:r>
        <w:rPr>
          <w:highlight w:val="none"/>
        </w:rPr>
      </w:r>
      <w:r/>
    </w:p>
    <w:p>
      <w:pPr>
        <w:pStyle w:val="932"/>
        <w:jc w:val="center"/>
        <w:spacing w:line="480" w:lineRule="auto"/>
        <w:rPr>
          <w:rFonts w:hint="eastAsia" w:ascii="微软雅黑" w:hAnsi="微软雅黑" w:eastAsia="微软雅黑" w:cs="微软雅黑"/>
          <w:color w:val="000000"/>
          <w:sz w:val="32"/>
          <w:szCs w:val="32"/>
          <w:highlight w:val="none"/>
        </w:rPr>
        <w:outlineLvl w:val="0"/>
      </w:pPr>
      <w:r>
        <w:rPr>
          <w:rFonts w:hint="eastAsia" w:ascii="微软雅黑" w:hAnsi="微软雅黑" w:eastAsia="微软雅黑" w:cs="微软雅黑"/>
          <w:color w:val="000000"/>
          <w:sz w:val="32"/>
          <w:szCs w:val="32"/>
          <w:highlight w:val="none"/>
        </w:rPr>
        <w:t xml:space="preserve">投标分项报价表</w:t>
      </w:r>
      <w:r>
        <w:rPr>
          <w:highlight w:val="none"/>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544"/>
        </w:trPr>
        <w:tc>
          <w:tcPr>
            <w:tcW w:w="581" w:type="dxa"/>
            <w:vAlign w:val="center"/>
            <w:vMerge w:val="restart"/>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2017"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60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151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1845" w:type="dxa"/>
            <w:vAlign w:val="center"/>
            <w:textDirection w:val="lrTb"/>
            <w:noWrap w:val="false"/>
          </w:tcPr>
          <w:p>
            <w:pPr>
              <w:pStyle w:val="932"/>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r>
      <w:tr>
        <w:trPr>
          <w:cantSplit/>
          <w:trHeight w:val="294"/>
        </w:trPr>
        <w:tc>
          <w:tcPr>
            <w:tcW w:w="581" w:type="dxa"/>
            <w:vAlign w:val="center"/>
            <w:vMerge w:val="continue"/>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17"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highlight w:val="none"/>
              </w:rPr>
            </w:r>
            <w:r/>
          </w:p>
        </w:tc>
        <w:tc>
          <w:tcPr>
            <w:tcW w:w="160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highlight w:val="none"/>
              </w:rPr>
            </w:r>
            <w:r/>
          </w:p>
        </w:tc>
        <w:tc>
          <w:tcPr>
            <w:tcW w:w="1515" w:type="dxa"/>
            <w:vAlign w:val="center"/>
            <w:textDirection w:val="lrTb"/>
            <w:noWrap w:val="false"/>
          </w:tcPr>
          <w:p>
            <w:pPr>
              <w:pStyle w:val="932"/>
              <w:jc w:val="center"/>
              <w:spacing w:line="0" w:lineRule="atLeast"/>
              <w:rPr>
                <w:color w:val="000000"/>
                <w:highlight w:val="none"/>
              </w:rPr>
            </w:pPr>
            <w:r>
              <w:rPr>
                <w:rFonts w:hint="eastAsia" w:ascii="宋体" w:hAnsi="宋体"/>
                <w:color w:val="000000"/>
                <w:sz w:val="24"/>
                <w:szCs w:val="24"/>
                <w:highlight w:val="none"/>
              </w:rPr>
              <w:t xml:space="preserve">单价</w:t>
            </w:r>
            <w:r>
              <w:rPr>
                <w:highlight w:val="none"/>
              </w:rPr>
            </w:r>
            <w:r/>
          </w:p>
        </w:tc>
        <w:tc>
          <w:tcPr>
            <w:tcW w:w="184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highlight w:val="none"/>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2017"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60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1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84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2017"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60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1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84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2017"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60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1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84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017" w:type="dxa"/>
            <w:vAlign w:val="center"/>
            <w:textDirection w:val="lrTb"/>
            <w:noWrap w:val="false"/>
          </w:tcPr>
          <w:p>
            <w:pPr>
              <w:pStyle w:val="932"/>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投标总价（元）</w:t>
            </w:r>
            <w:r>
              <w:rPr>
                <w:highlight w:val="none"/>
              </w:rPr>
            </w:r>
            <w:r/>
          </w:p>
        </w:tc>
        <w:tc>
          <w:tcPr>
            <w:gridSpan w:val="5"/>
            <w:tcW w:w="6945"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95"/>
        <w:jc w:val="both"/>
        <w:spacing w:before="0" w:beforeAutospacing="0" w:after="0" w:afterAutospacing="0"/>
        <w:rPr>
          <w:color w:val="000000"/>
          <w:highlight w:val="none"/>
        </w:rPr>
      </w:pPr>
      <w:r>
        <w:rPr>
          <w:color w:val="000000"/>
          <w:highlight w:val="none"/>
        </w:rPr>
      </w:r>
      <w:r>
        <w:rPr>
          <w:highlight w:val="none"/>
        </w:rPr>
      </w:r>
      <w:r/>
    </w:p>
    <w:p>
      <w:pPr>
        <w:pStyle w:val="932"/>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highlight w:val="none"/>
        </w:rPr>
      </w:r>
      <w:r/>
    </w:p>
    <w:p>
      <w:pPr>
        <w:pStyle w:val="932"/>
        <w:spacing w:line="360" w:lineRule="auto"/>
        <w:rPr>
          <w:rFonts w:ascii="宋体" w:hAnsi="宋体"/>
          <w:color w:val="000000"/>
          <w:sz w:val="24"/>
          <w:highlight w:val="none"/>
        </w:rPr>
      </w:pPr>
      <w:r>
        <w:rPr>
          <w:rFonts w:ascii="宋体" w:hAnsi="宋体"/>
          <w:color w:val="000000"/>
          <w:sz w:val="24"/>
          <w:highlight w:val="none"/>
        </w:rPr>
      </w:r>
      <w:r>
        <w:rPr>
          <w:highlight w:val="none"/>
        </w:rPr>
      </w:r>
      <w:r/>
    </w:p>
    <w:p>
      <w:pPr>
        <w:pStyle w:val="995"/>
        <w:ind w:firstLine="480"/>
        <w:jc w:val="both"/>
        <w:spacing w:before="0" w:beforeAutospacing="0" w:after="0" w:afterAutospacing="0" w:line="360" w:lineRule="auto"/>
        <w:rPr>
          <w:color w:val="000000"/>
          <w:highlight w:val="none"/>
        </w:rPr>
      </w:pPr>
      <w:r>
        <w:rPr>
          <w:color w:val="000000"/>
          <w:highlight w:val="none"/>
        </w:rPr>
        <w:t xml:space="preserve">备注： </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3.供应商所报产品须与“第四章-项目清单”中的产品一一对应，如有缺项、漏项或者超出单价上限的，视为无效投标。</w:t>
      </w:r>
      <w:r>
        <w:rPr>
          <w:rFonts w:hint="eastAsia"/>
          <w:color w:val="000000"/>
          <w:highlight w:val="none"/>
        </w:rPr>
        <w:t xml:space="preserve">“项目清单”中分项仅为一项的，此表无需提供。</w:t>
      </w:r>
      <w:r>
        <w:rPr>
          <w:highlight w:val="none"/>
        </w:rPr>
      </w:r>
      <w:r/>
    </w:p>
    <w:p>
      <w:pPr>
        <w:pStyle w:val="995"/>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highlight w:val="none"/>
        </w:rPr>
      </w:r>
      <w:r/>
    </w:p>
    <w:p>
      <w:pPr>
        <w:pStyle w:val="932"/>
        <w:jc w:val="center"/>
        <w:spacing w:line="360" w:lineRule="auto"/>
        <w:rPr>
          <w:rFonts w:hint="eastAsia" w:ascii="黑体" w:eastAsia="黑体"/>
          <w:color w:val="000000"/>
          <w:sz w:val="32"/>
          <w:szCs w:val="32"/>
          <w:highlight w:val="none"/>
        </w:rPr>
        <w:outlineLvl w:val="0"/>
      </w:pPr>
      <w:r>
        <w:rPr>
          <w:rFonts w:hint="eastAsia" w:ascii="黑体" w:eastAsia="黑体"/>
          <w:color w:val="000000"/>
          <w:sz w:val="32"/>
          <w:szCs w:val="32"/>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highlight w:val="none"/>
        </w:rPr>
      </w:r>
      <w:r/>
    </w:p>
    <w:p>
      <w:pPr>
        <w:pStyle w:val="1009"/>
        <w:rPr>
          <w:rFonts w:hint="eastAsia" w:ascii="黑体" w:hAnsi="黑体" w:eastAsia="黑体" w:cs="Times New Roman"/>
          <w:color w:val="000000"/>
          <w:sz w:val="32"/>
          <w:szCs w:val="32"/>
          <w:highlight w:val="none"/>
        </w:rPr>
      </w:pPr>
      <w:r>
        <w:rPr>
          <w:rFonts w:hint="eastAsia" w:ascii="黑体" w:hAnsi="黑体" w:eastAsia="黑体" w:cs="Times New Roman"/>
          <w:color w:val="000000"/>
          <w:sz w:val="32"/>
          <w:szCs w:val="32"/>
          <w:highlight w:val="none"/>
          <w:lang w:val="en-US"/>
        </w:rPr>
      </w:r>
      <w:r>
        <w:rPr>
          <w:highlight w:val="none"/>
        </w:rPr>
      </w:r>
      <w:r/>
    </w:p>
    <w:p>
      <w:pPr>
        <w:pStyle w:val="932"/>
        <w:rPr>
          <w:rFonts w:hint="eastAsia"/>
          <w:color w:val="000000"/>
          <w:highlight w:val="none"/>
        </w:rPr>
      </w:pPr>
      <w:r>
        <w:rPr>
          <w:rFonts w:hint="eastAsia"/>
          <w:color w:val="000000"/>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七</w:t>
      </w:r>
      <w:bookmarkEnd w:id="42"/>
      <w:r>
        <w:rPr>
          <w:highlight w:val="none"/>
        </w:rPr>
      </w:r>
      <w:bookmarkEnd w:id="43"/>
      <w:r>
        <w:rPr>
          <w:highlight w:val="none"/>
        </w:rPr>
      </w:r>
      <w:bookmarkEnd w:id="217"/>
      <w:r>
        <w:rPr>
          <w:rFonts w:hint="eastAsia" w:ascii="黑体" w:hAnsi="黑体" w:eastAsia="黑体"/>
          <w:iCs/>
          <w:color w:val="000000"/>
          <w:sz w:val="32"/>
          <w:szCs w:val="32"/>
          <w:highlight w:val="none"/>
        </w:rPr>
        <w:t xml:space="preserve">、技术要求响应及偏离表</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技术要求响应及偏离表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2925"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2832"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3370" w:type="dxa"/>
            <w:vAlign w:val="center"/>
            <w:textDirection w:val="lrTb"/>
            <w:noWrap w:val="false"/>
          </w:tcPr>
          <w:p>
            <w:pPr>
              <w:pStyle w:val="932"/>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925" w:type="dxa"/>
            <w:vAlign w:val="top"/>
            <w:textDirection w:val="lrTb"/>
            <w:noWrap w:val="false"/>
          </w:tcPr>
          <w:p>
            <w:pPr>
              <w:pStyle w:val="932"/>
              <w:jc w:val="center"/>
              <w:rPr>
                <w:color w:val="000000"/>
                <w:highlight w:val="none"/>
              </w:rPr>
            </w:pPr>
            <w:r>
              <w:rPr>
                <w:color w:val="000000"/>
                <w:highlight w:val="none"/>
              </w:rPr>
            </w:r>
            <w:r>
              <w:rPr>
                <w:highlight w:val="none"/>
              </w:rPr>
            </w:r>
            <w:r/>
          </w:p>
          <w:p>
            <w:pPr>
              <w:pStyle w:val="1001"/>
              <w:rPr>
                <w:rFonts w:hint="eastAsia"/>
                <w:color w:val="000000"/>
                <w:highlight w:val="none"/>
              </w:rPr>
            </w:pPr>
            <w:r>
              <w:rPr>
                <w:rFonts w:hint="eastAsia"/>
                <w:color w:val="000000"/>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95"/>
        <w:jc w:val="both"/>
        <w:spacing w:before="0" w:beforeAutospacing="0" w:after="0" w:afterAutospacing="0"/>
        <w:rPr>
          <w:color w:val="000000"/>
          <w:highlight w:val="none"/>
        </w:rPr>
      </w:pPr>
      <w:r>
        <w:rPr>
          <w:color w:val="000000"/>
          <w:highlight w:val="none"/>
        </w:rPr>
      </w:r>
      <w:r>
        <w:rPr>
          <w:highlight w:val="none"/>
        </w:rPr>
      </w:r>
      <w:r/>
    </w:p>
    <w:p>
      <w:pPr>
        <w:pStyle w:val="932"/>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highlight w:val="none"/>
        </w:rPr>
      </w:r>
      <w:r/>
    </w:p>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95"/>
        <w:ind w:firstLine="480"/>
        <w:jc w:val="both"/>
        <w:spacing w:before="0" w:beforeAutospacing="0" w:after="0" w:afterAutospacing="0" w:line="360" w:lineRule="auto"/>
        <w:rPr>
          <w:color w:val="000000"/>
          <w:highlight w:val="none"/>
        </w:rPr>
      </w:pPr>
      <w:r>
        <w:rPr>
          <w:color w:val="000000"/>
          <w:highlight w:val="none"/>
        </w:rPr>
        <w:t xml:space="preserve">备注： </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2.技术要求中的实质性要求或打“▲”要求，中标供应商投标时应按招标文件要求和投标文件响应内容向采购人提供相应证明材料核验。</w:t>
      </w:r>
      <w:r>
        <w:rPr>
          <w:rFonts w:hint="eastAsia"/>
          <w:color w:val="000000"/>
          <w:highlight w:val="none"/>
        </w:rPr>
        <w:t xml:space="preserve">中标供应商未按招标文件要求和投标文件响应内容提供相应证明材料或者提供的证明材料不符合招标文件要求的，视为提供虚假材料谋取中标，采购人将取消其中标资格。</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highlight w:val="none"/>
        </w:rPr>
      </w:r>
      <w:r/>
    </w:p>
    <w:p>
      <w:pPr>
        <w:pStyle w:val="932"/>
        <w:rPr>
          <w:rFonts w:hint="eastAsia" w:ascii="黑体" w:hAnsi="黑体" w:eastAsia="黑体"/>
          <w:iCs/>
          <w:color w:val="000000"/>
          <w:sz w:val="32"/>
          <w:szCs w:val="32"/>
          <w:highlight w:val="none"/>
        </w:rPr>
      </w:pPr>
      <w:r>
        <w:rPr>
          <w:highlight w:val="none"/>
        </w:rPr>
      </w:r>
      <w:bookmarkStart w:id="221" w:name="_Hlt26955054"/>
      <w:r>
        <w:rPr>
          <w:highlight w:val="none"/>
        </w:rPr>
      </w:r>
      <w:bookmarkEnd w:id="221"/>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商务要求响应及偏离表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32"/>
              <w:jc w:val="center"/>
              <w:rPr>
                <w:rFonts w:hint="eastAsia" w:ascii="宋体" w:hAnsi="宋体"/>
                <w:color w:val="000000"/>
                <w:sz w:val="24"/>
                <w:szCs w:val="24"/>
                <w:highlight w:val="none"/>
              </w:rPr>
            </w:pPr>
            <w:r>
              <w:rPr>
                <w:highlight w:val="none"/>
              </w:rPr>
            </w:r>
            <w:bookmarkStart w:id="222" w:name="_Hlt24879081"/>
            <w:r>
              <w:rPr>
                <w:highlight w:val="none"/>
              </w:rPr>
            </w:r>
            <w:bookmarkEnd w:id="222"/>
            <w:r>
              <w:rPr>
                <w:highlight w:val="none"/>
              </w:rPr>
            </w:r>
            <w:bookmarkStart w:id="223" w:name="_Hlt26580838"/>
            <w:r>
              <w:rPr>
                <w:highlight w:val="none"/>
              </w:rPr>
            </w:r>
            <w:bookmarkEnd w:id="223"/>
            <w:r>
              <w:rPr>
                <w:highlight w:val="none"/>
              </w:rPr>
            </w:r>
            <w:bookmarkStart w:id="224" w:name="_Hlt26671372"/>
            <w:r>
              <w:rPr>
                <w:highlight w:val="none"/>
              </w:rPr>
            </w:r>
            <w:bookmarkEnd w:id="224"/>
            <w:r>
              <w:rPr>
                <w:highlight w:val="none"/>
              </w:rPr>
            </w:r>
            <w:bookmarkStart w:id="225" w:name="_Hlt26671343"/>
            <w:r>
              <w:rPr>
                <w:highlight w:val="none"/>
              </w:rPr>
            </w:r>
            <w:bookmarkEnd w:id="225"/>
            <w:r>
              <w:rPr>
                <w:highlight w:val="none"/>
              </w:rPr>
            </w:r>
            <w:bookmarkStart w:id="226" w:name="_Hlt26782999"/>
            <w:r>
              <w:rPr>
                <w:highlight w:val="none"/>
              </w:rPr>
            </w:r>
            <w:bookmarkEnd w:id="226"/>
            <w:r>
              <w:rPr>
                <w:highlight w:val="none"/>
              </w:rPr>
            </w:r>
            <w:bookmarkStart w:id="227" w:name="_Hlt26955064"/>
            <w:r>
              <w:rPr>
                <w:highlight w:val="none"/>
              </w:rPr>
            </w:r>
            <w:bookmarkEnd w:id="227"/>
            <w:r>
              <w:rPr>
                <w:highlight w:val="none"/>
              </w:rPr>
            </w:r>
            <w:bookmarkStart w:id="228" w:name="_Hlt26955056"/>
            <w:r>
              <w:rPr>
                <w:highlight w:val="none"/>
              </w:rPr>
            </w:r>
            <w:bookmarkEnd w:id="228"/>
            <w:r>
              <w:rPr>
                <w:highlight w:val="none"/>
              </w:rPr>
            </w:r>
            <w:bookmarkStart w:id="229" w:name="_Hlt26609391"/>
            <w:r>
              <w:rPr>
                <w:highlight w:val="none"/>
              </w:rPr>
            </w:r>
            <w:bookmarkEnd w:id="229"/>
            <w:r>
              <w:rPr>
                <w:rFonts w:hint="eastAsia" w:ascii="宋体" w:hAnsi="宋体"/>
                <w:color w:val="000000"/>
                <w:sz w:val="24"/>
                <w:szCs w:val="24"/>
                <w:highlight w:val="none"/>
              </w:rPr>
              <w:t xml:space="preserve">序号</w:t>
            </w:r>
            <w:r>
              <w:rPr>
                <w:highlight w:val="none"/>
              </w:rPr>
            </w:r>
            <w:r/>
          </w:p>
        </w:tc>
        <w:tc>
          <w:tcPr>
            <w:tcW w:w="2838"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2832"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3381" w:type="dxa"/>
            <w:vAlign w:val="center"/>
            <w:textDirection w:val="lrTb"/>
            <w:noWrap w:val="false"/>
          </w:tcPr>
          <w:p>
            <w:pPr>
              <w:pStyle w:val="932"/>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38" w:type="dxa"/>
            <w:vAlign w:val="top"/>
            <w:textDirection w:val="lrTb"/>
            <w:noWrap w:val="false"/>
          </w:tcPr>
          <w:p>
            <w:pPr>
              <w:pStyle w:val="932"/>
              <w:jc w:val="center"/>
              <w:rPr>
                <w:color w:val="000000"/>
                <w:highlight w:val="none"/>
              </w:rPr>
            </w:pPr>
            <w:r>
              <w:rPr>
                <w:color w:val="000000"/>
                <w:highlight w:val="none"/>
              </w:rPr>
            </w:r>
            <w:r>
              <w:rPr>
                <w:highlight w:val="none"/>
              </w:rPr>
            </w:r>
            <w:r/>
          </w:p>
          <w:p>
            <w:pPr>
              <w:pStyle w:val="1001"/>
              <w:rPr>
                <w:rFonts w:hint="eastAsia"/>
                <w:color w:val="000000"/>
                <w:highlight w:val="none"/>
              </w:rPr>
            </w:pPr>
            <w:r>
              <w:rPr>
                <w:rFonts w:hint="eastAsia"/>
                <w:color w:val="000000"/>
                <w:highlight w:val="none"/>
              </w:rPr>
            </w:r>
            <w:r>
              <w:rPr>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95"/>
        <w:jc w:val="both"/>
        <w:spacing w:before="0" w:beforeAutospacing="0" w:after="0" w:afterAutospacing="0"/>
        <w:rPr>
          <w:color w:val="000000"/>
          <w:highlight w:val="none"/>
        </w:rPr>
      </w:pPr>
      <w:r>
        <w:rPr>
          <w:color w:val="000000"/>
          <w:highlight w:val="none"/>
        </w:rPr>
      </w:r>
      <w:r>
        <w:rPr>
          <w:highlight w:val="none"/>
        </w:rPr>
      </w:r>
      <w:r/>
    </w:p>
    <w:p>
      <w:pPr>
        <w:pStyle w:val="932"/>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highlight w:val="none"/>
        </w:rPr>
      </w:r>
      <w:r/>
    </w:p>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highlight w:val="none"/>
        </w:rPr>
      </w:r>
      <w:r/>
    </w:p>
    <w:p>
      <w:pPr>
        <w:pStyle w:val="995"/>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highlight w:val="none"/>
        </w:rPr>
      </w:r>
      <w:r/>
    </w:p>
    <w:p>
      <w:pPr>
        <w:pStyle w:val="932"/>
        <w:rPr>
          <w:color w:val="000000"/>
          <w:highlight w:val="none"/>
        </w:rPr>
      </w:pPr>
      <w:r>
        <w:rPr>
          <w:color w:val="000000"/>
          <w:highlight w:val="none"/>
        </w:rPr>
      </w:r>
      <w:r>
        <w:rPr>
          <w:highlight w:val="none"/>
        </w:rPr>
      </w:r>
      <w:r/>
    </w:p>
    <w:p>
      <w:pPr>
        <w:pStyle w:val="932"/>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100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3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1009"/>
        <w:rPr>
          <w:rFonts w:hint="eastAsia"/>
          <w:color w:val="000000"/>
          <w:highlight w:val="none"/>
        </w:rPr>
      </w:pPr>
      <w:r>
        <w:rPr>
          <w:rFonts w:hint="eastAsia"/>
          <w:color w:val="000000"/>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rPr>
          <w:highlight w:val="none"/>
        </w:rPr>
      </w:r>
      <w:r/>
    </w:p>
    <w:p>
      <w:pPr>
        <w:pStyle w:val="932"/>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中小企业声明函（服务）</w:t>
      </w:r>
      <w:r>
        <w:rPr>
          <w:highlight w:val="none"/>
        </w:rPr>
      </w:r>
      <w:r/>
    </w:p>
    <w:p>
      <w:pPr>
        <w:pStyle w:val="93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highlight w:val="none"/>
        </w:rPr>
      </w:r>
      <w:r/>
    </w:p>
    <w:p>
      <w:pPr>
        <w:pStyle w:val="932"/>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highlight w:val="none"/>
        </w:rPr>
      </w:r>
      <w:r/>
    </w:p>
    <w:p>
      <w:pPr>
        <w:pStyle w:val="932"/>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highlight w:val="none"/>
        </w:rPr>
      </w:r>
      <w:r/>
    </w:p>
    <w:p>
      <w:pPr>
        <w:pStyle w:val="932"/>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p>
      <w:pPr>
        <w:pStyle w:val="93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3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pStyle w:val="100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spacing w:line="360" w:lineRule="auto"/>
        <w:rPr>
          <w:rFonts w:hint="eastAsia"/>
          <w:color w:val="000000"/>
          <w:highlight w:val="none"/>
        </w:rPr>
      </w:pPr>
      <w:r>
        <w:rPr>
          <w:rFonts w:hint="eastAsia"/>
          <w:color w:val="000000"/>
          <w:highlight w:val="none"/>
        </w:rPr>
      </w:r>
      <w:r>
        <w:rPr>
          <w:highlight w:val="none"/>
        </w:rPr>
      </w:r>
      <w:r/>
    </w:p>
    <w:p>
      <w:pPr>
        <w:pStyle w:val="932"/>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highlight w:val="none"/>
        </w:rPr>
      </w:r>
      <w:r/>
    </w:p>
    <w:p>
      <w:pPr>
        <w:pStyle w:val="932"/>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highlight w:val="none"/>
        </w:rPr>
      </w:r>
      <w:r/>
    </w:p>
    <w:p>
      <w:pPr>
        <w:pStyle w:val="932"/>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highlight w:val="none"/>
        </w:rPr>
      </w:r>
      <w:r/>
    </w:p>
    <w:p>
      <w:pPr>
        <w:pStyle w:val="932"/>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rPr>
          <w:highlight w:val="none"/>
        </w:rPr>
      </w:r>
      <w:r/>
    </w:p>
    <w:p>
      <w:pPr>
        <w:pStyle w:val="932"/>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残疾人福利性单位声明函</w:t>
      </w:r>
      <w:r>
        <w:rPr>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highlight w:val="none"/>
        </w:rPr>
      </w:r>
      <w:r/>
    </w:p>
    <w:p>
      <w:pPr>
        <w:pStyle w:val="100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spacing w:line="360" w:lineRule="auto"/>
        <w:rPr>
          <w:rFonts w:hint="eastAsia"/>
          <w:color w:val="000000"/>
          <w:highlight w:val="none"/>
        </w:rPr>
      </w:pPr>
      <w:r>
        <w:rPr>
          <w:rFonts w:hint="eastAsia"/>
          <w:color w:val="000000"/>
          <w:highlight w:val="none"/>
        </w:rPr>
      </w:r>
      <w:r>
        <w:rPr>
          <w:highlight w:val="none"/>
        </w:rPr>
      </w:r>
      <w:r/>
    </w:p>
    <w:p>
      <w:pPr>
        <w:pStyle w:val="932"/>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highlight w:val="none"/>
        </w:rPr>
      </w:r>
      <w:r/>
    </w:p>
    <w:p>
      <w:pPr>
        <w:pStyle w:val="932"/>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highlight w:val="none"/>
        </w:rPr>
      </w:r>
      <w:r/>
    </w:p>
    <w:p>
      <w:pPr>
        <w:pStyle w:val="932"/>
        <w:ind w:firstLine="480"/>
        <w:spacing w:line="480" w:lineRule="exact"/>
        <w:rPr>
          <w:rFonts w:ascii="宋体" w:hAnsi="宋体"/>
          <w:color w:val="000000"/>
          <w:sz w:val="24"/>
          <w:highlight w:val="none"/>
        </w:rPr>
      </w:pPr>
      <w:r>
        <w:rPr>
          <w:rFonts w:ascii="宋体" w:hAnsi="宋体"/>
          <w:color w:val="000000"/>
          <w:sz w:val="24"/>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32"/>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highlight w:val="none"/>
        </w:rPr>
      </w:r>
      <w:r/>
    </w:p>
    <w:p>
      <w:pPr>
        <w:pStyle w:val="932"/>
        <w:jc w:val="center"/>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质疑函范本</w:t>
      </w:r>
      <w:r>
        <w:rPr>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日  期：    </w:t>
      </w:r>
      <w:r>
        <w:rPr>
          <w:highlight w:val="none"/>
        </w:rPr>
      </w:r>
      <w:r/>
    </w:p>
    <w:p>
      <w:pPr>
        <w:pStyle w:val="932"/>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932"/>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932"/>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highlight w:val="none"/>
        </w:rPr>
      </w:r>
      <w:r/>
    </w:p>
    <w:p>
      <w:pPr>
        <w:pStyle w:val="932"/>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GWZT-EN">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83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8300" cy="301572"/>
                      </a:xfrm>
                      <a:prstGeom prst="rect">
                        <a:avLst/>
                      </a:prstGeom>
                      <a:noFill/>
                      <a:ln>
                        <a:noFill/>
                      </a:ln>
                    </wps:spPr>
                    <wps:txbx>
                      <w:txbxContent>
                        <w:p>
                          <w:pPr>
                            <w:pStyle w:val="980"/>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1pt;height:23.7pt;mso-wrap-distance-left:9.0pt;mso-wrap-distance-top:0.0pt;mso-wrap-distance-right:9.0pt;mso-wrap-distance-bottom:0.0pt;visibility:visible;" filled="f" stroked="f">
              <v:textbox inset="0,0,0,0">
                <w:txbxContent>
                  <w:p>
                    <w:pPr>
                      <w:pStyle w:val="980"/>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pPr>
                          <w:r>
                            <w:fldChar w:fldCharType="begin"/>
                          </w:r>
                          <w:r>
                            <w:instrText xml:space="preserve"> PAGE  \* MERGEFORMAT </w:instrText>
                          </w:r>
                          <w:r>
                            <w:fldChar w:fldCharType="separate"/>
                          </w:r>
                          <w:r>
                            <w:t xml:space="preserve">1</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pPr>
                    <w:r>
                      <w:fldChar w:fldCharType="begin"/>
                    </w:r>
                    <w:r>
                      <w:instrText xml:space="preserve"> PAGE  \* MERGEFORMAT </w:instrText>
                    </w:r>
                    <w:r>
                      <w:fldChar w:fldCharType="separate"/>
                    </w:r>
                    <w:r>
                      <w:t xml:space="preserve">1</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2"/>
        <w:ind w:left="425" w:hanging="425"/>
      </w:pPr>
    </w:lvl>
    <w:lvl w:ilvl="1">
      <w:start w:val="1"/>
      <w:numFmt w:val="decimal"/>
      <w:isLgl w:val="false"/>
      <w:suff w:val="nothing"/>
      <w:lvlText w:val="%1.%2."/>
      <w:lvlJc w:val="left"/>
      <w:pPr>
        <w:pStyle w:val="932"/>
        <w:ind w:left="567" w:hanging="567"/>
      </w:pPr>
    </w:lvl>
    <w:lvl w:ilvl="2">
      <w:start w:val="1"/>
      <w:numFmt w:val="decimal"/>
      <w:isLgl w:val="false"/>
      <w:suff w:val="tab"/>
      <w:lvlText w:val="%1.%2.%3."/>
      <w:lvlJc w:val="left"/>
      <w:pPr>
        <w:pStyle w:val="932"/>
        <w:ind w:left="709" w:hanging="709"/>
      </w:pPr>
    </w:lvl>
    <w:lvl w:ilvl="3">
      <w:start w:val="1"/>
      <w:numFmt w:val="decimal"/>
      <w:isLgl w:val="false"/>
      <w:suff w:val="tab"/>
      <w:lvlText w:val="%1.%2.%3.%4."/>
      <w:lvlJc w:val="left"/>
      <w:pPr>
        <w:pStyle w:val="932"/>
        <w:ind w:left="850" w:hanging="850"/>
      </w:pPr>
    </w:lvl>
    <w:lvl w:ilvl="4">
      <w:start w:val="1"/>
      <w:numFmt w:val="decimal"/>
      <w:isLgl w:val="false"/>
      <w:suff w:val="tab"/>
      <w:lvlText w:val="%1.%2.%3.%4.%5."/>
      <w:lvlJc w:val="left"/>
      <w:pPr>
        <w:pStyle w:val="932"/>
        <w:ind w:left="991" w:hanging="991"/>
      </w:pPr>
    </w:lvl>
    <w:lvl w:ilvl="5">
      <w:start w:val="1"/>
      <w:numFmt w:val="decimal"/>
      <w:isLgl w:val="false"/>
      <w:suff w:val="tab"/>
      <w:lvlText w:val="%1.%2.%3.%4.%5.%6."/>
      <w:lvlJc w:val="left"/>
      <w:pPr>
        <w:pStyle w:val="932"/>
        <w:ind w:left="1134" w:hanging="1134"/>
      </w:pPr>
    </w:lvl>
    <w:lvl w:ilvl="6">
      <w:start w:val="1"/>
      <w:numFmt w:val="decimal"/>
      <w:isLgl w:val="false"/>
      <w:suff w:val="tab"/>
      <w:lvlText w:val="%1.%2.%3.%4.%5.%6.%7."/>
      <w:lvlJc w:val="left"/>
      <w:pPr>
        <w:pStyle w:val="932"/>
        <w:ind w:left="1275" w:hanging="1275"/>
      </w:pPr>
    </w:lvl>
    <w:lvl w:ilvl="7">
      <w:start w:val="1"/>
      <w:numFmt w:val="decimal"/>
      <w:isLgl w:val="false"/>
      <w:suff w:val="tab"/>
      <w:lvlText w:val="%1.%2.%3.%4.%5.%6.%7.%8."/>
      <w:lvlJc w:val="left"/>
      <w:pPr>
        <w:pStyle w:val="932"/>
        <w:ind w:left="1418" w:hanging="1418"/>
      </w:pPr>
    </w:lvl>
    <w:lvl w:ilvl="8">
      <w:start w:val="1"/>
      <w:numFmt w:val="decimal"/>
      <w:isLgl w:val="false"/>
      <w:suff w:val="tab"/>
      <w:lvlText w:val="%1.%2.%3.%4.%5.%6.%7.%8.%9."/>
      <w:lvlJc w:val="left"/>
      <w:pPr>
        <w:pStyle w:val="932"/>
        <w:ind w:left="1558" w:hanging="1558"/>
      </w:pPr>
    </w:lvl>
  </w:abstractNum>
  <w:abstractNum w:abstractNumId="2">
    <w:multiLevelType w:val="hybridMultilevel"/>
    <w:lvl w:ilvl="0">
      <w:start w:val="1"/>
      <w:numFmt w:val="decimal"/>
      <w:isLgl w:val="false"/>
      <w:suff w:val="tab"/>
      <w:lvlText w:val="(%1)"/>
      <w:lvlJc w:val="left"/>
      <w:pPr>
        <w:pStyle w:val="93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5"/>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2"/>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sz w:val="21"/>
      <w:szCs w:val="21"/>
      <w:lang w:val="en-US" w:eastAsia="zh-CN" w:bidi="ar-SA"/>
    </w:rPr>
  </w:style>
  <w:style w:type="paragraph" w:styleId="933">
    <w:name w:val="标题 1"/>
    <w:basedOn w:val="932"/>
    <w:next w:val="932"/>
    <w:link w:val="944"/>
    <w:qFormat/>
    <w:pPr>
      <w:jc w:val="center"/>
      <w:keepNext/>
      <w:outlineLvl w:val="0"/>
    </w:pPr>
    <w:rPr>
      <w:rFonts w:ascii="楷体_GB2312" w:eastAsia="楷体_GB2312"/>
      <w:sz w:val="28"/>
      <w:szCs w:val="28"/>
    </w:rPr>
  </w:style>
  <w:style w:type="paragraph" w:styleId="934">
    <w:name w:val="标题 2"/>
    <w:basedOn w:val="932"/>
    <w:next w:val="932"/>
    <w:link w:val="945"/>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32"/>
    <w:link w:val="946"/>
    <w:qFormat/>
    <w:pPr>
      <w:keepLines/>
      <w:keepNext/>
      <w:spacing w:before="260" w:after="260" w:line="416" w:lineRule="auto"/>
      <w:outlineLvl w:val="2"/>
    </w:pPr>
    <w:rPr>
      <w:b/>
      <w:bCs/>
      <w:sz w:val="32"/>
      <w:szCs w:val="32"/>
    </w:rPr>
  </w:style>
  <w:style w:type="paragraph" w:styleId="936">
    <w:name w:val="标题 4"/>
    <w:basedOn w:val="932"/>
    <w:next w:val="948"/>
    <w:link w:val="947"/>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48"/>
    <w:link w:val="950"/>
    <w:qFormat/>
    <w:pPr>
      <w:keepNext/>
      <w:outlineLvl w:val="4"/>
    </w:pPr>
    <w:rPr>
      <w:rFonts w:ascii="宋体"/>
      <w:color w:val="000000"/>
      <w:sz w:val="28"/>
      <w:szCs w:val="28"/>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标题 7"/>
    <w:basedOn w:val="932"/>
    <w:next w:val="932"/>
    <w:link w:val="952"/>
    <w:qFormat/>
    <w:pPr>
      <w:numPr>
        <w:ilvl w:val="6"/>
        <w:numId w:val="1"/>
      </w:numPr>
      <w:keepLines/>
      <w:keepNext/>
      <w:spacing w:before="240" w:after="64" w:line="320" w:lineRule="auto"/>
      <w:outlineLvl w:val="6"/>
    </w:pPr>
    <w:rPr>
      <w:b/>
      <w:bCs/>
      <w:sz w:val="24"/>
      <w:szCs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character" w:styleId="944">
    <w:name w:val="标题 1 字符"/>
    <w:next w:val="944"/>
    <w:link w:val="933"/>
    <w:rPr>
      <w:rFonts w:ascii="楷体_GB2312" w:hAnsi="Times New Roman" w:eastAsia="楷体_GB2312" w:cs="Times New Roman"/>
      <w:sz w:val="28"/>
      <w:szCs w:val="28"/>
    </w:rPr>
  </w:style>
  <w:style w:type="character" w:styleId="945">
    <w:name w:val="标题 2 字符"/>
    <w:next w:val="945"/>
    <w:link w:val="934"/>
    <w:rPr>
      <w:rFonts w:ascii="Arial" w:hAnsi="Arial" w:eastAsia="幼圆" w:cs="Arial"/>
      <w:b/>
      <w:bCs/>
      <w:sz w:val="44"/>
      <w:szCs w:val="44"/>
    </w:rPr>
  </w:style>
  <w:style w:type="character" w:styleId="946">
    <w:name w:val="标题 3 字符"/>
    <w:next w:val="946"/>
    <w:link w:val="935"/>
    <w:rPr>
      <w:rFonts w:ascii="Times New Roman" w:hAnsi="Times New Roman" w:eastAsia="宋体" w:cs="Times New Roman"/>
      <w:b/>
      <w:bCs/>
      <w:sz w:val="32"/>
      <w:szCs w:val="32"/>
    </w:rPr>
  </w:style>
  <w:style w:type="character" w:styleId="947">
    <w:name w:val="标题 4 字符"/>
    <w:next w:val="947"/>
    <w:link w:val="936"/>
    <w:rPr>
      <w:rFonts w:ascii="Arial" w:hAnsi="Arial" w:eastAsia="黑体" w:cs="Arial"/>
      <w:b/>
      <w:bCs/>
      <w:sz w:val="28"/>
      <w:szCs w:val="28"/>
    </w:rPr>
  </w:style>
  <w:style w:type="paragraph" w:styleId="948">
    <w:name w:val="正文缩进"/>
    <w:basedOn w:val="932"/>
    <w:next w:val="948"/>
    <w:link w:val="949"/>
    <w:pPr>
      <w:ind w:firstLine="420"/>
    </w:pPr>
  </w:style>
  <w:style w:type="character" w:styleId="949">
    <w:name w:val="正文缩进 字符"/>
    <w:next w:val="949"/>
    <w:link w:val="948"/>
    <w:rPr>
      <w:rFonts w:ascii="Times New Roman" w:hAnsi="Times New Roman" w:eastAsia="宋体" w:cs="Times New Roman"/>
      <w:szCs w:val="21"/>
    </w:rPr>
  </w:style>
  <w:style w:type="character" w:styleId="950">
    <w:name w:val="标题 5 字符"/>
    <w:next w:val="950"/>
    <w:link w:val="937"/>
    <w:rPr>
      <w:rFonts w:ascii="宋体" w:hAnsi="Times New Roman" w:eastAsia="宋体" w:cs="Times New Roman"/>
      <w:color w:val="000000"/>
      <w:sz w:val="28"/>
      <w:szCs w:val="28"/>
    </w:rPr>
  </w:style>
  <w:style w:type="character" w:styleId="951">
    <w:name w:val="标题 6 字符"/>
    <w:next w:val="951"/>
    <w:link w:val="938"/>
    <w:rPr>
      <w:rFonts w:ascii="Arial" w:hAnsi="Arial" w:eastAsia="黑体" w:cs="Times New Roman"/>
      <w:b/>
      <w:bCs/>
      <w:sz w:val="24"/>
      <w:szCs w:val="24"/>
    </w:rPr>
  </w:style>
  <w:style w:type="character" w:styleId="952">
    <w:name w:val="标题 7 字符"/>
    <w:next w:val="952"/>
    <w:link w:val="939"/>
    <w:rPr>
      <w:rFonts w:ascii="Times New Roman" w:hAnsi="Times New Roman" w:eastAsia="宋体" w:cs="Times New Roman"/>
      <w:b/>
      <w:bCs/>
      <w:sz w:val="24"/>
      <w:szCs w:val="24"/>
    </w:rPr>
  </w:style>
  <w:style w:type="character" w:styleId="953">
    <w:name w:val="标题 8 字符"/>
    <w:next w:val="953"/>
    <w:link w:val="940"/>
    <w:rPr>
      <w:rFonts w:ascii="Arial" w:hAnsi="Arial" w:eastAsia="黑体" w:cs="Times New Roman"/>
      <w:sz w:val="24"/>
      <w:szCs w:val="24"/>
    </w:rPr>
  </w:style>
  <w:style w:type="character" w:styleId="954">
    <w:name w:val="标题 9 字符"/>
    <w:next w:val="954"/>
    <w:link w:val="941"/>
    <w:rPr>
      <w:rFonts w:ascii="Arial" w:hAnsi="Arial" w:eastAsia="黑体" w:cs="Times New Roman"/>
      <w:szCs w:val="21"/>
    </w:rPr>
  </w:style>
  <w:style w:type="paragraph" w:styleId="955">
    <w:name w:val="列表 3"/>
    <w:basedOn w:val="932"/>
    <w:next w:val="955"/>
    <w:link w:val="932"/>
    <w:pPr>
      <w:ind w:left="100" w:hanging="200"/>
    </w:pPr>
  </w:style>
  <w:style w:type="paragraph" w:styleId="956">
    <w:name w:val="目录 7"/>
    <w:basedOn w:val="932"/>
    <w:next w:val="932"/>
    <w:link w:val="932"/>
    <w:semiHidden/>
    <w:pPr>
      <w:ind w:left="1260"/>
      <w:jc w:val="left"/>
    </w:pPr>
  </w:style>
  <w:style w:type="paragraph" w:styleId="957">
    <w:name w:val="文档结构图"/>
    <w:basedOn w:val="932"/>
    <w:next w:val="957"/>
    <w:link w:val="958"/>
    <w:semiHidden/>
    <w:pPr>
      <w:shd w:val="clear" w:color="auto" w:fill="000080"/>
    </w:pPr>
  </w:style>
  <w:style w:type="character" w:styleId="958">
    <w:name w:val="文档结构图 字符"/>
    <w:next w:val="958"/>
    <w:link w:val="957"/>
    <w:semiHidden/>
    <w:rPr>
      <w:rFonts w:ascii="Times New Roman" w:hAnsi="Times New Roman" w:eastAsia="宋体" w:cs="Times New Roman"/>
      <w:szCs w:val="21"/>
      <w:shd w:val="clear" w:color="auto" w:fill="000080"/>
    </w:rPr>
  </w:style>
  <w:style w:type="paragraph" w:styleId="959">
    <w:name w:val="批注文字"/>
    <w:basedOn w:val="932"/>
    <w:next w:val="959"/>
    <w:link w:val="960"/>
    <w:semiHidden/>
    <w:pPr>
      <w:jc w:val="left"/>
    </w:pPr>
  </w:style>
  <w:style w:type="character" w:styleId="960">
    <w:name w:val="批注文字 字符"/>
    <w:next w:val="960"/>
    <w:link w:val="959"/>
    <w:semiHidden/>
    <w:rPr>
      <w:rFonts w:ascii="Times New Roman" w:hAnsi="Times New Roman" w:eastAsia="宋体" w:cs="Times New Roman"/>
      <w:szCs w:val="21"/>
    </w:rPr>
  </w:style>
  <w:style w:type="paragraph" w:styleId="961">
    <w:name w:val="正文文本 3"/>
    <w:basedOn w:val="932"/>
    <w:next w:val="961"/>
    <w:link w:val="962"/>
    <w:rPr>
      <w:rFonts w:ascii="仿宋_GB2312" w:hAnsi="Arial" w:eastAsia="仿宋_GB2312"/>
      <w:sz w:val="32"/>
      <w:szCs w:val="32"/>
    </w:rPr>
  </w:style>
  <w:style w:type="character" w:styleId="962">
    <w:name w:val="正文文本 3 字符"/>
    <w:next w:val="962"/>
    <w:link w:val="961"/>
    <w:rPr>
      <w:rFonts w:ascii="仿宋_GB2312" w:hAnsi="Arial" w:eastAsia="仿宋_GB2312" w:cs="Times New Roman"/>
      <w:sz w:val="32"/>
      <w:szCs w:val="32"/>
    </w:rPr>
  </w:style>
  <w:style w:type="paragraph" w:styleId="963">
    <w:name w:val="正文文本"/>
    <w:basedOn w:val="932"/>
    <w:next w:val="963"/>
    <w:link w:val="964"/>
    <w:rPr>
      <w:rFonts w:ascii="楷体_GB2312" w:hAnsi="Arial" w:eastAsia="楷体_GB2312"/>
      <w:sz w:val="28"/>
      <w:szCs w:val="28"/>
    </w:rPr>
  </w:style>
  <w:style w:type="character" w:styleId="964">
    <w:name w:val="正文文本 字符"/>
    <w:next w:val="964"/>
    <w:link w:val="963"/>
    <w:rPr>
      <w:rFonts w:ascii="楷体_GB2312" w:hAnsi="Arial" w:eastAsia="楷体_GB2312" w:cs="Times New Roman"/>
      <w:sz w:val="28"/>
      <w:szCs w:val="28"/>
    </w:rPr>
  </w:style>
  <w:style w:type="paragraph" w:styleId="965">
    <w:name w:val="正文文本缩进"/>
    <w:basedOn w:val="932"/>
    <w:next w:val="967"/>
    <w:link w:val="966"/>
    <w:pPr>
      <w:ind w:firstLine="645"/>
    </w:pPr>
    <w:rPr>
      <w:rFonts w:ascii="楷体_GB2312" w:eastAsia="楷体_GB2312"/>
      <w:sz w:val="32"/>
      <w:szCs w:val="32"/>
    </w:rPr>
  </w:style>
  <w:style w:type="character" w:styleId="966">
    <w:name w:val="正文文本缩进 字符"/>
    <w:next w:val="966"/>
    <w:link w:val="965"/>
    <w:rPr>
      <w:rFonts w:ascii="楷体_GB2312" w:hAnsi="Times New Roman" w:eastAsia="楷体_GB2312" w:cs="Times New Roman"/>
      <w:sz w:val="32"/>
      <w:szCs w:val="32"/>
    </w:rPr>
  </w:style>
  <w:style w:type="paragraph" w:styleId="967">
    <w:name w:val="寄信人地址"/>
    <w:basedOn w:val="932"/>
    <w:next w:val="967"/>
    <w:link w:val="932"/>
    <w:qFormat/>
    <w:rPr>
      <w:rFonts w:ascii="Arial" w:hAnsi="Arial" w:eastAsia="宋体" w:cs="宋体"/>
    </w:rPr>
  </w:style>
  <w:style w:type="paragraph" w:styleId="968">
    <w:name w:val="列表 2"/>
    <w:basedOn w:val="932"/>
    <w:next w:val="968"/>
    <w:link w:val="932"/>
    <w:pPr>
      <w:ind w:left="100" w:hanging="200"/>
    </w:pPr>
  </w:style>
  <w:style w:type="paragraph" w:styleId="969">
    <w:name w:val="目录 5"/>
    <w:basedOn w:val="932"/>
    <w:next w:val="932"/>
    <w:link w:val="932"/>
    <w:semiHidden/>
    <w:pPr>
      <w:ind w:left="840"/>
      <w:jc w:val="left"/>
    </w:pPr>
  </w:style>
  <w:style w:type="paragraph" w:styleId="970">
    <w:name w:val="目录 3"/>
    <w:basedOn w:val="932"/>
    <w:next w:val="932"/>
    <w:link w:val="932"/>
    <w:semiHidden/>
    <w:pPr>
      <w:ind w:left="420"/>
      <w:jc w:val="left"/>
    </w:pPr>
    <w:rPr>
      <w:i/>
      <w:iCs/>
      <w:szCs w:val="24"/>
    </w:rPr>
  </w:style>
  <w:style w:type="paragraph" w:styleId="971">
    <w:name w:val="纯文本"/>
    <w:basedOn w:val="932"/>
    <w:next w:val="971"/>
    <w:link w:val="972"/>
    <w:rPr>
      <w:rFonts w:ascii="宋体" w:hAnsi="Courier New" w:cs="Courier New"/>
    </w:rPr>
  </w:style>
  <w:style w:type="character" w:styleId="972">
    <w:name w:val="纯文本 字符"/>
    <w:next w:val="972"/>
    <w:link w:val="971"/>
    <w:rPr>
      <w:rFonts w:ascii="宋体" w:hAnsi="Courier New" w:eastAsia="宋体" w:cs="Courier New"/>
      <w:szCs w:val="21"/>
    </w:rPr>
  </w:style>
  <w:style w:type="paragraph" w:styleId="973">
    <w:name w:val="目录 8"/>
    <w:basedOn w:val="932"/>
    <w:next w:val="932"/>
    <w:link w:val="932"/>
    <w:semiHidden/>
    <w:pPr>
      <w:ind w:left="1470"/>
      <w:jc w:val="left"/>
    </w:pPr>
  </w:style>
  <w:style w:type="paragraph" w:styleId="974">
    <w:name w:val="日期"/>
    <w:basedOn w:val="932"/>
    <w:next w:val="932"/>
    <w:link w:val="975"/>
    <w:rPr>
      <w:sz w:val="24"/>
      <w:szCs w:val="24"/>
    </w:rPr>
  </w:style>
  <w:style w:type="character" w:styleId="975">
    <w:name w:val="日期 字符"/>
    <w:next w:val="975"/>
    <w:link w:val="974"/>
    <w:rPr>
      <w:rFonts w:ascii="Times New Roman" w:hAnsi="Times New Roman" w:eastAsia="宋体" w:cs="Times New Roman"/>
      <w:sz w:val="24"/>
      <w:szCs w:val="24"/>
    </w:rPr>
  </w:style>
  <w:style w:type="paragraph" w:styleId="976">
    <w:name w:val="正文文本缩进 2"/>
    <w:basedOn w:val="932"/>
    <w:next w:val="976"/>
    <w:link w:val="977"/>
    <w:pPr>
      <w:ind w:left="630" w:firstLine="645"/>
    </w:pPr>
    <w:rPr>
      <w:rFonts w:ascii="Arial" w:hAnsi="Arial" w:eastAsia="仿宋_GB2312" w:cs="Arial"/>
      <w:sz w:val="32"/>
      <w:szCs w:val="32"/>
    </w:rPr>
  </w:style>
  <w:style w:type="character" w:styleId="977">
    <w:name w:val="正文文本缩进 2 字符"/>
    <w:next w:val="977"/>
    <w:link w:val="976"/>
    <w:rPr>
      <w:rFonts w:ascii="Arial" w:hAnsi="Arial" w:eastAsia="仿宋_GB2312" w:cs="Arial"/>
      <w:sz w:val="32"/>
      <w:szCs w:val="32"/>
    </w:rPr>
  </w:style>
  <w:style w:type="paragraph" w:styleId="978">
    <w:name w:val="批注框文本"/>
    <w:basedOn w:val="932"/>
    <w:next w:val="978"/>
    <w:link w:val="979"/>
    <w:semiHidden/>
    <w:rPr>
      <w:sz w:val="18"/>
      <w:szCs w:val="18"/>
    </w:rPr>
  </w:style>
  <w:style w:type="character" w:styleId="979">
    <w:name w:val="批注框文本 字符"/>
    <w:next w:val="979"/>
    <w:link w:val="978"/>
    <w:semiHidden/>
    <w:rPr>
      <w:rFonts w:ascii="Times New Roman" w:hAnsi="Times New Roman" w:eastAsia="宋体" w:cs="Times New Roman"/>
      <w:sz w:val="18"/>
      <w:szCs w:val="18"/>
    </w:rPr>
  </w:style>
  <w:style w:type="paragraph" w:styleId="980">
    <w:name w:val="页脚"/>
    <w:basedOn w:val="932"/>
    <w:next w:val="980"/>
    <w:link w:val="981"/>
    <w:pPr>
      <w:jc w:val="left"/>
      <w:tabs>
        <w:tab w:val="center" w:pos="4153" w:leader="none"/>
        <w:tab w:val="right" w:pos="8306" w:leader="none"/>
      </w:tabs>
    </w:pPr>
    <w:rPr>
      <w:sz w:val="18"/>
      <w:szCs w:val="18"/>
    </w:rPr>
  </w:style>
  <w:style w:type="character" w:styleId="981">
    <w:name w:val="页脚 字符"/>
    <w:next w:val="981"/>
    <w:link w:val="980"/>
    <w:rPr>
      <w:rFonts w:ascii="Times New Roman" w:hAnsi="Times New Roman" w:eastAsia="宋体" w:cs="Times New Roman"/>
      <w:sz w:val="18"/>
      <w:szCs w:val="18"/>
    </w:rPr>
  </w:style>
  <w:style w:type="paragraph" w:styleId="982">
    <w:name w:val="页眉"/>
    <w:basedOn w:val="932"/>
    <w:next w:val="982"/>
    <w:link w:val="983"/>
    <w:pPr>
      <w:jc w:val="center"/>
      <w:tabs>
        <w:tab w:val="center" w:pos="4153" w:leader="none"/>
        <w:tab w:val="right" w:pos="8306" w:leader="none"/>
      </w:tabs>
      <w:pBdr>
        <w:bottom w:val="single" w:color="000000" w:sz="6" w:space="1"/>
      </w:pBdr>
    </w:pPr>
    <w:rPr>
      <w:sz w:val="18"/>
      <w:szCs w:val="18"/>
    </w:rPr>
  </w:style>
  <w:style w:type="character" w:styleId="983">
    <w:name w:val="页眉 字符"/>
    <w:next w:val="983"/>
    <w:link w:val="982"/>
    <w:rPr>
      <w:rFonts w:ascii="Times New Roman" w:hAnsi="Times New Roman" w:eastAsia="宋体" w:cs="Times New Roman"/>
      <w:sz w:val="18"/>
      <w:szCs w:val="18"/>
    </w:rPr>
  </w:style>
  <w:style w:type="paragraph" w:styleId="984">
    <w:name w:val="目录 1"/>
    <w:basedOn w:val="932"/>
    <w:next w:val="932"/>
    <w:link w:val="932"/>
    <w:semiHidden/>
    <w:pPr>
      <w:jc w:val="left"/>
      <w:spacing w:before="120" w:after="120" w:line="400" w:lineRule="exact"/>
      <w:tabs>
        <w:tab w:val="right" w:pos="8720" w:leader="dot"/>
      </w:tabs>
    </w:pPr>
    <w:rPr>
      <w:rFonts w:ascii="宋体" w:hAnsi="宋体"/>
      <w:caps/>
      <w:sz w:val="24"/>
      <w:szCs w:val="24"/>
    </w:rPr>
  </w:style>
  <w:style w:type="paragraph" w:styleId="985">
    <w:name w:val="目录 4"/>
    <w:basedOn w:val="932"/>
    <w:next w:val="932"/>
    <w:link w:val="932"/>
    <w:semiHidden/>
    <w:pPr>
      <w:ind w:left="630"/>
      <w:jc w:val="left"/>
    </w:pPr>
  </w:style>
  <w:style w:type="paragraph" w:styleId="986">
    <w:name w:val="列表"/>
    <w:basedOn w:val="932"/>
    <w:next w:val="986"/>
    <w:link w:val="932"/>
    <w:pPr>
      <w:ind w:left="200" w:hanging="200"/>
    </w:pPr>
  </w:style>
  <w:style w:type="paragraph" w:styleId="987">
    <w:name w:val="目录 6"/>
    <w:basedOn w:val="932"/>
    <w:next w:val="932"/>
    <w:link w:val="932"/>
    <w:semiHidden/>
    <w:pPr>
      <w:ind w:left="1050"/>
      <w:jc w:val="left"/>
    </w:pPr>
  </w:style>
  <w:style w:type="paragraph" w:styleId="988">
    <w:name w:val="正文文本缩进 3"/>
    <w:basedOn w:val="932"/>
    <w:next w:val="988"/>
    <w:link w:val="989"/>
    <w:pPr>
      <w:ind w:left="645" w:firstLine="645"/>
    </w:pPr>
    <w:rPr>
      <w:rFonts w:ascii="Arial" w:hAnsi="Arial" w:eastAsia="仿宋_GB2312" w:cs="Arial"/>
      <w:color w:val="ffff00"/>
      <w:sz w:val="32"/>
      <w:szCs w:val="32"/>
    </w:rPr>
  </w:style>
  <w:style w:type="character" w:styleId="989">
    <w:name w:val="正文文本缩进 3 字符"/>
    <w:next w:val="989"/>
    <w:link w:val="988"/>
    <w:rPr>
      <w:rFonts w:ascii="Arial" w:hAnsi="Arial" w:eastAsia="仿宋_GB2312" w:cs="Arial"/>
      <w:color w:val="ffff00"/>
      <w:sz w:val="32"/>
      <w:szCs w:val="32"/>
    </w:rPr>
  </w:style>
  <w:style w:type="paragraph" w:styleId="990">
    <w:name w:val="图表目录"/>
    <w:basedOn w:val="932"/>
    <w:next w:val="932"/>
    <w:link w:val="932"/>
    <w:semiHidden/>
    <w:pPr>
      <w:ind w:left="840" w:hanging="420"/>
    </w:pPr>
  </w:style>
  <w:style w:type="paragraph" w:styleId="991">
    <w:name w:val="目录 2"/>
    <w:basedOn w:val="932"/>
    <w:next w:val="932"/>
    <w:link w:val="932"/>
    <w:semiHidden/>
    <w:pPr>
      <w:ind w:left="210"/>
      <w:jc w:val="left"/>
    </w:pPr>
    <w:rPr>
      <w:smallCaps/>
      <w:szCs w:val="24"/>
    </w:rPr>
  </w:style>
  <w:style w:type="paragraph" w:styleId="992">
    <w:name w:val="目录 9"/>
    <w:basedOn w:val="932"/>
    <w:next w:val="932"/>
    <w:link w:val="932"/>
    <w:semiHidden/>
    <w:pPr>
      <w:ind w:left="1680"/>
      <w:jc w:val="left"/>
    </w:pPr>
  </w:style>
  <w:style w:type="paragraph" w:styleId="993">
    <w:name w:val="正文文本 2"/>
    <w:basedOn w:val="932"/>
    <w:next w:val="993"/>
    <w:link w:val="994"/>
    <w:pPr>
      <w:jc w:val="center"/>
      <w:widowControl/>
    </w:pPr>
    <w:rPr>
      <w:rFonts w:ascii="楷体_GB2312" w:eastAsia="楷体_GB2312"/>
      <w:sz w:val="28"/>
      <w:szCs w:val="28"/>
    </w:rPr>
  </w:style>
  <w:style w:type="character" w:styleId="994">
    <w:name w:val="正文文本 2 字符"/>
    <w:next w:val="994"/>
    <w:link w:val="993"/>
    <w:rPr>
      <w:rFonts w:ascii="楷体_GB2312" w:hAnsi="Times New Roman" w:eastAsia="楷体_GB2312" w:cs="Times New Roman"/>
      <w:sz w:val="28"/>
      <w:szCs w:val="28"/>
    </w:rPr>
  </w:style>
  <w:style w:type="paragraph" w:styleId="995">
    <w:name w:val="普通(网站)"/>
    <w:basedOn w:val="932"/>
    <w:next w:val="995"/>
    <w:link w:val="932"/>
    <w:uiPriority w:val="99"/>
    <w:pPr>
      <w:jc w:val="left"/>
      <w:spacing w:before="100" w:beforeAutospacing="1" w:after="100" w:afterAutospacing="1"/>
      <w:widowControl/>
    </w:pPr>
    <w:rPr>
      <w:rFonts w:ascii="宋体" w:hAnsi="宋体" w:cs="宋体"/>
      <w:sz w:val="24"/>
      <w:szCs w:val="24"/>
    </w:rPr>
  </w:style>
  <w:style w:type="paragraph" w:styleId="996">
    <w:name w:val="索引 1"/>
    <w:basedOn w:val="932"/>
    <w:next w:val="932"/>
    <w:link w:val="932"/>
    <w:semiHidden/>
    <w:pPr>
      <w:spacing w:line="240" w:lineRule="atLeast"/>
    </w:pPr>
    <w:rPr>
      <w:b/>
      <w:bCs/>
    </w:rPr>
  </w:style>
  <w:style w:type="paragraph" w:styleId="997">
    <w:name w:val="批注主题"/>
    <w:basedOn w:val="959"/>
    <w:next w:val="959"/>
    <w:link w:val="998"/>
    <w:semiHidden/>
    <w:rPr>
      <w:b/>
      <w:bCs/>
    </w:rPr>
  </w:style>
  <w:style w:type="character" w:styleId="998">
    <w:name w:val="批注主题 字符"/>
    <w:next w:val="998"/>
    <w:link w:val="997"/>
    <w:semiHidden/>
    <w:rPr>
      <w:rFonts w:ascii="Times New Roman" w:hAnsi="Times New Roman" w:eastAsia="宋体" w:cs="Times New Roman"/>
      <w:b/>
      <w:bCs/>
      <w:szCs w:val="21"/>
    </w:rPr>
  </w:style>
  <w:style w:type="paragraph" w:styleId="999">
    <w:name w:val="正文首行缩进"/>
    <w:basedOn w:val="932"/>
    <w:next w:val="999"/>
    <w:link w:val="1000"/>
    <w:pPr>
      <w:ind w:firstLine="200"/>
      <w:spacing w:line="360" w:lineRule="auto"/>
    </w:pPr>
    <w:rPr>
      <w:rFonts w:ascii="仿宋_GB2312" w:eastAsia="仿宋_GB2312"/>
      <w:sz w:val="30"/>
      <w:szCs w:val="30"/>
    </w:rPr>
  </w:style>
  <w:style w:type="character" w:styleId="1000">
    <w:name w:val="正文文本首行缩进 字符"/>
    <w:next w:val="1000"/>
    <w:link w:val="999"/>
    <w:rPr>
      <w:rFonts w:ascii="仿宋_GB2312" w:hAnsi="Times New Roman" w:eastAsia="仿宋_GB2312" w:cs="Times New Roman"/>
      <w:sz w:val="30"/>
      <w:szCs w:val="30"/>
    </w:rPr>
  </w:style>
  <w:style w:type="paragraph" w:styleId="1001">
    <w:name w:val="正文首行缩进 2"/>
    <w:basedOn w:val="965"/>
    <w:next w:val="932"/>
    <w:link w:val="1002"/>
    <w:pPr>
      <w:ind w:firstLine="420"/>
      <w:spacing w:line="360" w:lineRule="auto"/>
    </w:pPr>
    <w:rPr>
      <w:rFonts w:ascii="宋体" w:hAnsi="宋体" w:eastAsia="宋体"/>
      <w:sz w:val="21"/>
      <w:szCs w:val="20"/>
    </w:rPr>
  </w:style>
  <w:style w:type="character" w:styleId="1002">
    <w:name w:val="正文文本首行缩进 2 字符"/>
    <w:next w:val="1002"/>
    <w:link w:val="1001"/>
    <w:rPr>
      <w:rFonts w:ascii="宋体" w:hAnsi="宋体" w:eastAsia="宋体" w:cs="Times New Roman"/>
      <w:sz w:val="32"/>
      <w:szCs w:val="20"/>
    </w:rPr>
  </w:style>
  <w:style w:type="table" w:styleId="1003">
    <w:name w:val="网格型"/>
    <w:basedOn w:val="943"/>
    <w:next w:val="1003"/>
    <w:link w:val="932"/>
    <w:pPr>
      <w:jc w:val="both"/>
      <w:widowControl w:val="off"/>
    </w:pPr>
    <w:rPr>
      <w:rFonts w:ascii="Times New Roman" w:hAnsi="Times New Roman" w:eastAsia="宋体" w:cs="Times New Roman"/>
      <w:sz w:val="20"/>
      <w:szCs w:val="20"/>
    </w:rPr>
    <w:tblPr/>
  </w:style>
  <w:style w:type="character" w:styleId="1004">
    <w:name w:val="要点"/>
    <w:next w:val="1004"/>
    <w:link w:val="932"/>
    <w:qFormat/>
    <w:rPr>
      <w:b/>
      <w:bCs/>
    </w:rPr>
  </w:style>
  <w:style w:type="character" w:styleId="1005">
    <w:name w:val="页码"/>
    <w:next w:val="1005"/>
    <w:link w:val="932"/>
  </w:style>
  <w:style w:type="character" w:styleId="1006">
    <w:name w:val="已访问的超链接"/>
    <w:next w:val="1006"/>
    <w:link w:val="932"/>
    <w:rPr>
      <w:color w:val="800080"/>
      <w:u w:val="single"/>
    </w:rPr>
  </w:style>
  <w:style w:type="character" w:styleId="1007">
    <w:name w:val="超链接"/>
    <w:next w:val="1007"/>
    <w:link w:val="932"/>
    <w:rPr>
      <w:color w:val="0000ff"/>
      <w:u w:val="single"/>
    </w:rPr>
  </w:style>
  <w:style w:type="character" w:styleId="1008">
    <w:name w:val="批注引用"/>
    <w:next w:val="1008"/>
    <w:link w:val="932"/>
    <w:semiHidden/>
    <w:rPr>
      <w:sz w:val="21"/>
      <w:szCs w:val="21"/>
    </w:rPr>
  </w:style>
  <w:style w:type="paragraph" w:styleId="1009">
    <w:name w:val="索引 41"/>
    <w:basedOn w:val="932"/>
    <w:next w:val="932"/>
    <w:link w:val="932"/>
    <w:semiHidden/>
    <w:qFormat/>
    <w:pPr>
      <w:ind w:left="1260"/>
    </w:pPr>
    <w:rPr>
      <w:rFonts w:ascii="Calibri" w:hAnsi="Calibri" w:eastAsia="Calibri" w:cs="宋体"/>
      <w:sz w:val="20"/>
      <w:lang w:val="zh-CN"/>
    </w:rPr>
  </w:style>
  <w:style w:type="paragraph" w:styleId="1010">
    <w:name w:val="标题 41"/>
    <w:basedOn w:val="932"/>
    <w:next w:val="1011"/>
    <w:link w:val="932"/>
    <w:qFormat/>
    <w:pPr>
      <w:keepLines/>
      <w:keepNext/>
      <w:spacing w:before="280" w:after="290" w:line="376" w:lineRule="auto"/>
      <w:outlineLvl w:val="3"/>
    </w:pPr>
    <w:rPr>
      <w:rFonts w:ascii="Arial" w:hAnsi="Arial" w:eastAsia="黑体" w:cs="Arial"/>
      <w:b/>
      <w:bCs/>
      <w:sz w:val="28"/>
      <w:szCs w:val="28"/>
    </w:rPr>
  </w:style>
  <w:style w:type="paragraph" w:styleId="1011">
    <w:name w:val="正文缩进1"/>
    <w:basedOn w:val="932"/>
    <w:next w:val="1011"/>
    <w:link w:val="932"/>
    <w:qFormat/>
    <w:pPr>
      <w:ind w:firstLine="420"/>
    </w:pPr>
  </w:style>
  <w:style w:type="paragraph" w:styleId="1012">
    <w:name w:val="正文文本12"/>
    <w:basedOn w:val="932"/>
    <w:next w:val="1012"/>
    <w:link w:val="932"/>
    <w:uiPriority w:val="1"/>
    <w:qFormat/>
    <w:pPr>
      <w:ind w:left="120"/>
    </w:pPr>
    <w:rPr>
      <w:rFonts w:ascii="宋体" w:hAnsi="宋体" w:eastAsia="宋体" w:cs="宋体"/>
      <w:sz w:val="21"/>
      <w:szCs w:val="21"/>
      <w:lang w:val="zh-CN" w:eastAsia="zh-CN" w:bidi="zh-CN"/>
    </w:rPr>
  </w:style>
  <w:style w:type="character" w:styleId="1013">
    <w:name w:val="font5 Char"/>
    <w:next w:val="1013"/>
    <w:link w:val="932"/>
    <w:rPr>
      <w:rFonts w:ascii="宋体" w:hAnsi="宋体" w:eastAsia="宋体"/>
      <w:sz w:val="28"/>
      <w:szCs w:val="28"/>
      <w:lang w:val="en-US" w:eastAsia="zh-CN" w:bidi="ar-SA"/>
    </w:rPr>
  </w:style>
  <w:style w:type="character" w:styleId="1014">
    <w:name w:val="二级目录 Char"/>
    <w:next w:val="1014"/>
    <w:link w:val="1015"/>
    <w:rPr>
      <w:b/>
      <w:sz w:val="30"/>
      <w:szCs w:val="28"/>
    </w:rPr>
  </w:style>
  <w:style w:type="paragraph" w:styleId="1015">
    <w:name w:val="二级目录"/>
    <w:next w:val="932"/>
    <w:link w:val="1014"/>
    <w:pPr>
      <w:numPr>
        <w:ilvl w:val="0"/>
        <w:numId w:val="2"/>
      </w:numPr>
      <w:tabs>
        <w:tab w:val="left" w:pos="907" w:leader="none"/>
        <w:tab w:val="left" w:pos="1145" w:leader="none"/>
      </w:tabs>
      <w:outlineLvl w:val="1"/>
    </w:pPr>
    <w:rPr>
      <w:b/>
      <w:sz w:val="30"/>
      <w:szCs w:val="28"/>
      <w:lang w:val="en-US" w:eastAsia="zh-CN" w:bidi="ar-SA"/>
    </w:rPr>
  </w:style>
  <w:style w:type="character" w:styleId="1016">
    <w:name w:val="列出段落 Char,Bullet List Char,numbered Char,FooterText Char,List Paragraph1 Char,Paragraphe de liste1 Char"/>
    <w:next w:val="1016"/>
    <w:link w:val="1017"/>
    <w:rPr>
      <w:rFonts w:ascii="Calibri" w:hAnsi="Calibri"/>
      <w:sz w:val="24"/>
      <w:szCs w:val="24"/>
      <w:lang w:eastAsia="en-US" w:bidi="en-US"/>
    </w:rPr>
  </w:style>
  <w:style w:type="paragraph" w:styleId="1017">
    <w:name w:val="列出段落1"/>
    <w:basedOn w:val="932"/>
    <w:next w:val="1017"/>
    <w:link w:val="1016"/>
    <w:qFormat/>
    <w:pPr>
      <w:contextualSpacing/>
      <w:ind w:left="720"/>
      <w:jc w:val="left"/>
      <w:widowControl/>
    </w:pPr>
    <w:rPr>
      <w:rFonts w:ascii="Calibri" w:hAnsi="Calibri" w:eastAsia="宋体" w:cs="Times New Roman"/>
      <w:sz w:val="24"/>
      <w:szCs w:val="24"/>
      <w:lang w:eastAsia="en-US" w:bidi="en-US"/>
    </w:rPr>
  </w:style>
  <w:style w:type="paragraph" w:styleId="1018">
    <w:name w:val="Body Text(ch)"/>
    <w:basedOn w:val="932"/>
    <w:next w:val="963"/>
    <w:link w:val="932"/>
    <w:pPr>
      <w:spacing w:after="120"/>
    </w:pPr>
    <w:rPr>
      <w:rFonts w:ascii="宋体" w:hAnsi="Arial"/>
      <w:bCs/>
      <w:iCs/>
      <w:szCs w:val="24"/>
    </w:rPr>
  </w:style>
  <w:style w:type="paragraph" w:styleId="1019">
    <w:name w:val="xl27"/>
    <w:basedOn w:val="932"/>
    <w:next w:val="1019"/>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6"/>
    <w:basedOn w:val="932"/>
    <w:next w:val="1020"/>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name w:val="Char"/>
    <w:basedOn w:val="932"/>
    <w:next w:val="1021"/>
    <w:link w:val="932"/>
    <w:pPr>
      <w:ind w:firstLine="200"/>
      <w:tabs>
        <w:tab w:val="left" w:pos="360" w:leader="none"/>
      </w:tabs>
    </w:pPr>
    <w:rPr>
      <w:sz w:val="28"/>
      <w:szCs w:val="30"/>
    </w:rPr>
  </w:style>
  <w:style w:type="paragraph" w:styleId="1022">
    <w:name w:val=" Char"/>
    <w:basedOn w:val="957"/>
    <w:next w:val="1022"/>
    <w:link w:val="932"/>
    <w:rPr>
      <w:rFonts w:ascii="Tahoma" w:hAnsi="Tahoma"/>
      <w:sz w:val="24"/>
      <w:szCs w:val="24"/>
    </w:rPr>
  </w:style>
  <w:style w:type="paragraph" w:styleId="1023">
    <w:name w:val="普通正文"/>
    <w:basedOn w:val="932"/>
    <w:next w:val="1023"/>
    <w:link w:val="932"/>
    <w:pPr>
      <w:ind w:firstLine="480"/>
      <w:jc w:val="left"/>
      <w:spacing w:before="120" w:after="120" w:line="360" w:lineRule="auto"/>
    </w:pPr>
    <w:rPr>
      <w:rFonts w:ascii="Arial" w:hAnsi="Arial"/>
      <w:sz w:val="24"/>
      <w:szCs w:val="24"/>
    </w:rPr>
  </w:style>
  <w:style w:type="paragraph" w:styleId="1024">
    <w:name w:val="table_lines"/>
    <w:basedOn w:val="932"/>
    <w:next w:val="1024"/>
    <w:link w:val="932"/>
    <w:pPr>
      <w:jc w:val="left"/>
      <w:widowControl/>
    </w:pPr>
    <w:rPr>
      <w:sz w:val="20"/>
      <w:szCs w:val="20"/>
      <w:lang w:val="de-DE" w:eastAsia="de-DE"/>
    </w:rPr>
  </w:style>
  <w:style w:type="paragraph" w:styleId="1025">
    <w:name w:val="附录1"/>
    <w:next w:val="1025"/>
    <w:link w:val="932"/>
    <w:pPr>
      <w:numPr>
        <w:ilvl w:val="0"/>
        <w:numId w:val="2"/>
      </w:numPr>
      <w:spacing w:before="240" w:line="600" w:lineRule="atLeast"/>
      <w:tabs>
        <w:tab w:val="left" w:pos="907" w:leader="none"/>
      </w:tabs>
    </w:pPr>
    <w:rPr>
      <w:b/>
      <w:i/>
      <w:sz w:val="28"/>
      <w:lang w:val="en-US" w:eastAsia="zh-CN" w:bidi="ar-SA"/>
    </w:rPr>
  </w:style>
  <w:style w:type="paragraph" w:styleId="1026">
    <w:name w:val="font7"/>
    <w:basedOn w:val="932"/>
    <w:next w:val="1026"/>
    <w:link w:val="932"/>
    <w:pPr>
      <w:jc w:val="left"/>
      <w:spacing w:before="100" w:beforeAutospacing="1" w:after="100" w:afterAutospacing="1"/>
      <w:widowControl/>
    </w:pPr>
    <w:rPr>
      <w:rFonts w:hint="eastAsia" w:ascii="宋体" w:hAnsi="宋体"/>
      <w:sz w:val="18"/>
      <w:szCs w:val="18"/>
    </w:rPr>
  </w:style>
  <w:style w:type="paragraph" w:styleId="1027">
    <w:name w:val=" Char Char Char Char"/>
    <w:basedOn w:val="957"/>
    <w:next w:val="1027"/>
    <w:link w:val="932"/>
    <w:pPr>
      <w:spacing w:line="360" w:lineRule="auto"/>
    </w:pPr>
    <w:rPr>
      <w:rFonts w:ascii="Tahoma" w:hAnsi="Tahoma"/>
      <w:sz w:val="24"/>
      <w:szCs w:val="24"/>
    </w:rPr>
  </w:style>
  <w:style w:type="paragraph" w:styleId="1028">
    <w:name w:val="列表段落"/>
    <w:basedOn w:val="932"/>
    <w:next w:val="1028"/>
    <w:link w:val="932"/>
    <w:qFormat/>
    <w:pPr>
      <w:contextualSpacing/>
      <w:ind w:left="720"/>
      <w:jc w:val="left"/>
      <w:widowControl/>
    </w:pPr>
    <w:rPr>
      <w:rFonts w:ascii="Calibri" w:hAnsi="Calibri"/>
      <w:sz w:val="24"/>
      <w:szCs w:val="24"/>
      <w:lang w:eastAsia="en-US" w:bidi="en-US"/>
    </w:rPr>
  </w:style>
  <w:style w:type="paragraph" w:styleId="1029">
    <w:name w:val="4"/>
    <w:basedOn w:val="932"/>
    <w:next w:val="988"/>
    <w:link w:val="932"/>
    <w:pPr>
      <w:ind w:firstLine="420"/>
      <w:spacing w:line="360" w:lineRule="auto"/>
    </w:pPr>
    <w:rPr>
      <w:color w:val="ff0000"/>
      <w:sz w:val="24"/>
      <w:szCs w:val="24"/>
    </w:rPr>
  </w:style>
  <w:style w:type="paragraph" w:styleId="1030">
    <w:name w:val="普通 (Web)"/>
    <w:basedOn w:val="932"/>
    <w:next w:val="1030"/>
    <w:link w:val="932"/>
    <w:pPr>
      <w:jc w:val="left"/>
      <w:spacing w:before="100" w:beforeAutospacing="1" w:after="100" w:afterAutospacing="1"/>
      <w:widowControl/>
    </w:pPr>
    <w:rPr>
      <w:rFonts w:ascii="宋体" w:hAnsi="宋体"/>
      <w:sz w:val="24"/>
      <w:szCs w:val="24"/>
    </w:rPr>
  </w:style>
  <w:style w:type="paragraph" w:styleId="1031">
    <w:name w:val=" Char Char Char Char Char Char Char Char Char Char"/>
    <w:basedOn w:val="932"/>
    <w:next w:val="1031"/>
    <w:link w:val="932"/>
    <w:pPr>
      <w:spacing w:line="360" w:lineRule="auto"/>
    </w:pPr>
    <w:rPr>
      <w:sz w:val="24"/>
      <w:szCs w:val="20"/>
    </w:rPr>
  </w:style>
  <w:style w:type="paragraph" w:styleId="1032">
    <w:name w:val="样式1"/>
    <w:basedOn w:val="932"/>
    <w:next w:val="1032"/>
    <w:link w:val="932"/>
    <w:pPr>
      <w:numPr>
        <w:ilvl w:val="0"/>
        <w:numId w:val="3"/>
      </w:numPr>
      <w:tabs>
        <w:tab w:val="left" w:pos="709" w:leader="none"/>
      </w:tabs>
    </w:pPr>
    <w:rPr>
      <w:rFonts w:ascii="宋体" w:hAnsi="宋体"/>
    </w:rPr>
  </w:style>
  <w:style w:type="paragraph" w:styleId="1033">
    <w:name w:val="font6"/>
    <w:basedOn w:val="932"/>
    <w:next w:val="1033"/>
    <w:link w:val="932"/>
    <w:pPr>
      <w:jc w:val="left"/>
      <w:spacing w:before="100" w:beforeAutospacing="1" w:after="100" w:afterAutospacing="1"/>
      <w:widowControl/>
    </w:pPr>
    <w:rPr>
      <w:rFonts w:hint="eastAsia" w:ascii="宋体" w:hAnsi="宋体"/>
      <w:sz w:val="28"/>
      <w:szCs w:val="28"/>
      <w:u w:val="single"/>
    </w:rPr>
  </w:style>
  <w:style w:type="paragraph" w:styleId="1034">
    <w:name w:val="xl25"/>
    <w:basedOn w:val="932"/>
    <w:next w:val="1034"/>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32"/>
    <w:next w:val="932"/>
    <w:link w:val="93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name w:val="标题3"/>
    <w:basedOn w:val="932"/>
    <w:next w:val="932"/>
    <w:link w:val="932"/>
    <w:pPr>
      <w:ind w:firstLine="624"/>
      <w:spacing w:line="590" w:lineRule="atLeast"/>
    </w:pPr>
    <w:rPr>
      <w:rFonts w:ascii="方正黑体_GBK" w:eastAsia="方正黑体_GBK"/>
      <w:sz w:val="32"/>
      <w:szCs w:val="32"/>
    </w:rPr>
  </w:style>
  <w:style w:type="paragraph" w:styleId="1037">
    <w:name w:val="xl24"/>
    <w:basedOn w:val="932"/>
    <w:next w:val="1037"/>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name w:val="xl29"/>
    <w:basedOn w:val="932"/>
    <w:next w:val="1038"/>
    <w:link w:val="93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name w:val="Char Char Char Char Char Char Char Char"/>
    <w:basedOn w:val="932"/>
    <w:next w:val="1039"/>
    <w:link w:val="932"/>
    <w:pPr>
      <w:jc w:val="left"/>
      <w:spacing w:after="160" w:line="240" w:lineRule="exact"/>
      <w:widowControl/>
    </w:pPr>
    <w:rPr>
      <w:rFonts w:ascii="Verdana" w:hAnsi="Verdana"/>
      <w:sz w:val="20"/>
      <w:szCs w:val="20"/>
      <w:lang w:eastAsia="en-US"/>
    </w:rPr>
  </w:style>
  <w:style w:type="paragraph" w:styleId="1040">
    <w:name w:val="xl28"/>
    <w:basedOn w:val="932"/>
    <w:next w:val="1040"/>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name w:val=" Char Char Char Char Char Char Char Char"/>
    <w:basedOn w:val="932"/>
    <w:next w:val="1041"/>
    <w:link w:val="932"/>
    <w:pPr>
      <w:jc w:val="left"/>
      <w:spacing w:after="160" w:line="240" w:lineRule="exact"/>
      <w:widowControl/>
    </w:pPr>
    <w:rPr>
      <w:rFonts w:ascii="Verdana" w:hAnsi="Verdana"/>
      <w:sz w:val="20"/>
      <w:szCs w:val="20"/>
      <w:lang w:eastAsia="en-US"/>
    </w:rPr>
  </w:style>
  <w:style w:type="paragraph" w:styleId="1042">
    <w:name w:val="xl30"/>
    <w:basedOn w:val="932"/>
    <w:next w:val="1042"/>
    <w:link w:val="932"/>
    <w:pPr>
      <w:jc w:val="center"/>
      <w:spacing w:before="100" w:beforeAutospacing="1" w:after="100" w:afterAutospacing="1"/>
      <w:widowControl/>
    </w:pPr>
    <w:rPr>
      <w:rFonts w:ascii="宋体" w:hAnsi="宋体"/>
      <w:b/>
      <w:bCs/>
      <w:sz w:val="36"/>
      <w:szCs w:val="36"/>
    </w:rPr>
  </w:style>
  <w:style w:type="paragraph" w:styleId="1043">
    <w:name w:val="Char Char Char Char"/>
    <w:basedOn w:val="957"/>
    <w:next w:val="1043"/>
    <w:link w:val="932"/>
    <w:pPr>
      <w:spacing w:line="360" w:lineRule="auto"/>
    </w:pPr>
    <w:rPr>
      <w:rFonts w:ascii="Tahoma" w:hAnsi="Tahoma"/>
      <w:sz w:val="24"/>
      <w:szCs w:val="24"/>
    </w:rPr>
  </w:style>
  <w:style w:type="paragraph" w:styleId="1044">
    <w:name w:val="table_1stline"/>
    <w:basedOn w:val="932"/>
    <w:next w:val="1044"/>
    <w:link w:val="932"/>
    <w:pPr>
      <w:jc w:val="left"/>
      <w:spacing w:before="120"/>
      <w:widowControl/>
    </w:pPr>
    <w:rPr>
      <w:bCs/>
      <w:sz w:val="20"/>
      <w:szCs w:val="20"/>
      <w:lang w:val="de-DE" w:eastAsia="de-DE"/>
    </w:rPr>
  </w:style>
  <w:style w:type="paragraph" w:styleId="1045">
    <w:name w:val="font5"/>
    <w:basedOn w:val="932"/>
    <w:next w:val="1045"/>
    <w:link w:val="932"/>
    <w:pPr>
      <w:jc w:val="left"/>
      <w:spacing w:before="100" w:beforeAutospacing="1" w:after="100" w:afterAutospacing="1"/>
      <w:widowControl/>
    </w:pPr>
    <w:rPr>
      <w:rFonts w:hint="eastAsia" w:ascii="宋体" w:hAnsi="宋体"/>
      <w:sz w:val="28"/>
      <w:szCs w:val="28"/>
    </w:rPr>
  </w:style>
  <w:style w:type="paragraph" w:styleId="1046">
    <w:name w:val="标题1"/>
    <w:basedOn w:val="932"/>
    <w:next w:val="932"/>
    <w:link w:val="93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name w:val="修订"/>
    <w:next w:val="1047"/>
    <w:link w:val="932"/>
    <w:uiPriority w:val="99"/>
    <w:semiHidden/>
    <w:rPr>
      <w:sz w:val="21"/>
      <w:szCs w:val="21"/>
      <w:lang w:val="en-US" w:eastAsia="zh-CN" w:bidi="ar-SA"/>
    </w:rPr>
  </w:style>
  <w:style w:type="paragraph" w:styleId="1048">
    <w:name w:val="无间隔"/>
    <w:next w:val="1048"/>
    <w:link w:val="932"/>
    <w:uiPriority w:val="99"/>
    <w:qFormat/>
    <w:pPr>
      <w:jc w:val="both"/>
      <w:widowControl w:val="off"/>
    </w:pPr>
    <w:rPr>
      <w:sz w:val="21"/>
      <w:szCs w:val="21"/>
      <w:lang w:val="en-US" w:eastAsia="zh-CN" w:bidi="ar-SA"/>
    </w:rPr>
  </w:style>
  <w:style w:type="paragraph" w:styleId="1049">
    <w:name w:val="正文文本 211"/>
    <w:basedOn w:val="932"/>
    <w:next w:val="1049"/>
    <w:link w:val="932"/>
    <w:uiPriority w:val="99"/>
    <w:qFormat/>
    <w:pPr>
      <w:jc w:val="center"/>
    </w:pPr>
    <w:rPr>
      <w:b/>
      <w:bCs/>
      <w:sz w:val="20"/>
      <w:szCs w:val="20"/>
    </w:rPr>
  </w:style>
  <w:style w:type="table" w:styleId="1050">
    <w:name w:val="Table Normal"/>
    <w:next w:val="1050"/>
    <w:link w:val="932"/>
    <w:qFormat/>
    <w:rPr>
      <w:lang w:val="en-US" w:eastAsia="zh-CN" w:bidi="ar-SA"/>
    </w:rPr>
    <w:tblPr/>
  </w:style>
  <w:style w:type="paragraph" w:styleId="1051">
    <w:name w:val="正文文本1"/>
    <w:basedOn w:val="932"/>
    <w:next w:val="932"/>
    <w:link w:val="932"/>
    <w:semiHidden/>
    <w:qFormat/>
    <w:rPr>
      <w:rFonts w:ascii="Arial" w:hAnsi="Arial" w:eastAsia="Arial" w:cs="Arial"/>
      <w:sz w:val="21"/>
      <w:szCs w:val="21"/>
      <w:lang w:val="en-US" w:eastAsia="en-US" w:bidi="ar-SA"/>
    </w:rPr>
  </w:style>
  <w:style w:type="paragraph" w:styleId="1052">
    <w:name w:val="纯文本1"/>
    <w:basedOn w:val="932"/>
    <w:next w:val="1052"/>
    <w:link w:val="932"/>
    <w:qFormat/>
    <w:rPr>
      <w:rFonts w:ascii="宋体" w:hAnsi="Courier New" w:cs="Courier New"/>
    </w:rPr>
  </w:style>
  <w:style w:type="table" w:styleId="1053">
    <w:name w:val="网格型1"/>
    <w:basedOn w:val="1054"/>
    <w:next w:val="1053"/>
    <w:link w:val="932"/>
    <w:qFormat/>
    <w:pPr>
      <w:jc w:val="both"/>
      <w:widowControl w:val="off"/>
    </w:pPr>
    <w:tblPr/>
  </w:style>
  <w:style w:type="table" w:styleId="1054">
    <w:name w:val="普通表格1"/>
    <w:next w:val="1054"/>
    <w:link w:val="932"/>
    <w:uiPriority w:val="99"/>
    <w:unhideWhenUsed/>
    <w:qFormat/>
    <w:rPr>
      <w:lang w:val="en-US" w:eastAsia="zh-CN" w:bidi="ar-SA"/>
    </w:rPr>
    <w:tblPr/>
  </w:style>
  <w:style w:type="character" w:styleId="1055">
    <w:name w:val="font121"/>
    <w:next w:val="1055"/>
    <w:link w:val="932"/>
    <w:qFormat/>
    <w:rPr>
      <w:rFonts w:hint="eastAsia" w:ascii="宋体" w:hAnsi="宋体" w:eastAsia="宋体" w:cs="宋体"/>
      <w:color w:val="000000"/>
      <w:sz w:val="18"/>
      <w:szCs w:val="18"/>
      <w:u w:val="none"/>
    </w:rPr>
  </w:style>
  <w:style w:type="character" w:styleId="1056">
    <w:name w:val="font21"/>
    <w:next w:val="1056"/>
    <w:link w:val="932"/>
    <w:qFormat/>
    <w:rPr>
      <w:rFonts w:hint="eastAsia" w:ascii="宋体" w:hAnsi="宋体" w:eastAsia="宋体" w:cs="宋体"/>
      <w:color w:val="000000"/>
      <w:sz w:val="18"/>
      <w:szCs w:val="18"/>
      <w:u w:val="none"/>
    </w:rPr>
  </w:style>
  <w:style w:type="character" w:styleId="1057">
    <w:name w:val="font51"/>
    <w:next w:val="1057"/>
    <w:link w:val="932"/>
    <w:qFormat/>
    <w:rPr>
      <w:rFonts w:ascii="Times New Roman" w:hAnsi="Times New Roman" w:cs="Times New Roman"/>
      <w:color w:val="000000"/>
      <w:sz w:val="24"/>
      <w:szCs w:val="24"/>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8</cp:revision>
  <dcterms:created xsi:type="dcterms:W3CDTF">2025-07-04T06:10:00Z</dcterms:created>
  <dcterms:modified xsi:type="dcterms:W3CDTF">2025-08-05T02:26:59Z</dcterms:modified>
</cp:coreProperties>
</file>