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r>
      <w:r/>
    </w:p>
    <w:p>
      <w:pPr>
        <w:jc w:val="right"/>
        <w:spacing w:line="360" w:lineRule="auto"/>
        <w:rPr>
          <w:rFonts w:hint="eastAsia" w:ascii="宋体" w:hAnsi="宋体" w:eastAsia="宋体" w:cs="宋体"/>
          <w:color w:val="auto"/>
          <w:sz w:val="28"/>
          <w:szCs w:val="20"/>
          <w:highlight w:val="none"/>
        </w:rPr>
      </w:pPr>
      <w:r>
        <w:rPr>
          <w:rFonts w:hint="eastAsia" w:ascii="宋体" w:hAnsi="宋体" w:eastAsia="宋体" w:cs="宋体"/>
          <w:color w:val="auto"/>
          <w:sz w:val="28"/>
          <w:szCs w:val="20"/>
          <w:highlight w:val="none"/>
        </w:rPr>
        <w:t xml:space="preserve">编号：JSZC-321003-JSOM-G2024-0001</w:t>
      </w:r>
      <w:r/>
    </w:p>
    <w:p>
      <w:pPr>
        <w:jc w:val="right"/>
        <w:spacing w:line="360" w:lineRule="auto"/>
        <w:rPr>
          <w:rFonts w:hint="default" w:ascii="宋体" w:hAnsi="宋体" w:eastAsia="宋体" w:cs="宋体"/>
          <w:color w:val="auto"/>
          <w:sz w:val="28"/>
          <w:szCs w:val="20"/>
          <w:highlight w:val="none"/>
          <w:lang w:val="en-US" w:eastAsia="zh-CN"/>
        </w:rPr>
      </w:pPr>
      <w:r>
        <w:rPr>
          <w:rFonts w:hint="default" w:ascii="宋体" w:hAnsi="宋体" w:eastAsia="宋体" w:cs="宋体"/>
          <w:color w:val="auto"/>
          <w:sz w:val="28"/>
          <w:szCs w:val="20"/>
          <w:highlight w:val="none"/>
          <w:lang w:val="en-US" w:eastAsia="zh-CN"/>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扬州市邗江生态环境局噪声自动监测站建设项目</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公开招标文件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eastAsia="宋体" w:cs="宋体"/>
          <w:color w:val="auto"/>
          <w:sz w:val="36"/>
          <w:highlight w:val="none"/>
          <w:lang w:eastAsia="zh-CN"/>
        </w:rPr>
        <mc:AlternateContent>
          <mc:Choice Requires="wpg">
            <w:drawing>
              <wp:inline xmlns:wp="http://schemas.openxmlformats.org/drawingml/2006/wordprocessingDrawing" distT="0" distB="0" distL="0" distR="0">
                <wp:extent cx="5278120" cy="3612515"/>
                <wp:effectExtent l="0" t="0" r="17780" b="6985"/>
                <wp:docPr id="1" name="图片 1" descr="t017ff5ded5ca72aa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017ff5ded5ca72aa56"/>
                        <pic:cNvPicPr>
                          <a:picLocks noChangeAspect="1"/>
                        </pic:cNvPicPr>
                        <pic:nvPr/>
                      </pic:nvPicPr>
                      <pic:blipFill>
                        <a:blip r:embed="rId12"/>
                        <a:stretch/>
                      </pic:blipFill>
                      <pic:spPr bwMode="auto">
                        <a:xfrm>
                          <a:off x="0" y="0"/>
                          <a:ext cx="5278120" cy="36125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6pt;height:284.4pt;mso-wrap-distance-left:0.0pt;mso-wrap-distance-top:0.0pt;mso-wrap-distance-right:0.0pt;mso-wrap-distance-bottom:0.0pt;" stroked="false">
                <v:path textboxrect="0,0,0,0"/>
                <v:imagedata r:id="rId12" o:title=""/>
              </v:shape>
            </w:pict>
          </mc:Fallback>
        </mc:AlternateConten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7"/>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highlight w:val="none"/>
          <w:lang w:eastAsia="zh-CN"/>
        </w:rPr>
      </w:pPr>
      <w:r>
        <w:rPr>
          <w:rFonts w:hint="eastAsia" w:ascii="宋体" w:hAnsi="宋体" w:cs="宋体"/>
          <w:color w:val="auto"/>
          <w:sz w:val="36"/>
          <w:highlight w:val="none"/>
          <w:lang w:eastAsia="zh-CN"/>
        </w:rPr>
        <w:t xml:space="preserve">江苏欧密迦项目管理咨询有限公司</w:t>
      </w:r>
      <w:r/>
    </w:p>
    <w:p>
      <w:pPr>
        <w:jc w:val="center"/>
        <w:spacing w:line="360" w:lineRule="auto"/>
        <w:rPr>
          <w:rFonts w:hint="eastAsia" w:ascii="宋体" w:hAnsi="宋体" w:eastAsia="宋体" w:cs="宋体"/>
          <w:b/>
          <w:bCs/>
          <w:color w:val="auto"/>
          <w:sz w:val="44"/>
          <w:szCs w:val="32"/>
          <w:highlight w:val="none"/>
        </w:rPr>
      </w:pPr>
      <w:r>
        <w:rPr>
          <w:rFonts w:hint="eastAsia" w:ascii="宋体" w:hAnsi="宋体" w:cs="宋体"/>
          <w:color w:val="auto"/>
          <w:sz w:val="36"/>
          <w:highlight w:val="none"/>
          <w:lang w:eastAsia="zh-CN"/>
        </w:rPr>
        <w:t xml:space="preserve">202</w:t>
      </w:r>
      <w:r>
        <w:rPr>
          <w:rFonts w:hint="eastAsia" w:ascii="宋体" w:hAnsi="宋体" w:cs="宋体"/>
          <w:color w:val="auto"/>
          <w:sz w:val="36"/>
          <w:highlight w:val="none"/>
          <w:lang w:val="en-US" w:eastAsia="zh-CN"/>
        </w:rPr>
        <w:t xml:space="preserve">4</w:t>
      </w:r>
      <w:r>
        <w:rPr>
          <w:rFonts w:hint="eastAsia" w:ascii="宋体" w:hAnsi="宋体" w:cs="宋体"/>
          <w:color w:val="auto"/>
          <w:sz w:val="36"/>
          <w:highlight w:val="none"/>
          <w:lang w:eastAsia="zh-CN"/>
        </w:rPr>
        <w:t xml:space="preserve">年</w:t>
      </w:r>
      <w:r>
        <w:rPr>
          <w:rFonts w:hint="eastAsia" w:ascii="宋体" w:hAnsi="宋体" w:cs="宋体"/>
          <w:color w:val="auto"/>
          <w:sz w:val="36"/>
          <w:highlight w:val="none"/>
          <w:lang w:val="en-US" w:eastAsia="zh-CN"/>
        </w:rPr>
        <w:t xml:space="preserve">9</w:t>
      </w:r>
      <w:r>
        <w:rPr>
          <w:rFonts w:hint="eastAsia" w:ascii="宋体" w:hAnsi="宋体" w:cs="宋体"/>
          <w:color w:val="auto"/>
          <w:sz w:val="36"/>
          <w:highlight w:val="none"/>
          <w:lang w:eastAsia="zh-CN"/>
        </w:rPr>
        <w:t xml:space="preserve">月20</w:t>
      </w:r>
      <w:r>
        <w:rPr>
          <w:rFonts w:hint="eastAsia" w:ascii="宋体" w:hAnsi="宋体" w:cs="宋体"/>
          <w:color w:val="auto"/>
          <w:sz w:val="36"/>
          <w:highlight w:val="none"/>
          <w:lang w:eastAsia="zh-CN"/>
        </w:rPr>
        <w:t xml:space="preserve">日</w:t>
      </w:r>
      <w:r>
        <w:rPr>
          <w:rFonts w:hint="eastAsia" w:ascii="宋体" w:hAnsi="宋体" w:eastAsia="宋体" w:cs="宋体"/>
          <w:color w:val="auto"/>
          <w:sz w:val="36"/>
          <w:highlight w:val="none"/>
        </w:rPr>
        <w:br w:type="page" w:clear="all"/>
      </w:r>
      <w:r/>
    </w:p>
    <w:p>
      <w:pPr>
        <w:jc w:val="center"/>
        <w:spacing w:line="360" w:lineRule="auto"/>
        <w:rPr>
          <w:rFonts w:hint="eastAsia" w:ascii="宋体" w:hAnsi="宋体" w:eastAsia="宋体" w:cs="宋体"/>
          <w:b/>
          <w:bCs/>
          <w:color w:val="auto"/>
          <w:sz w:val="44"/>
          <w:szCs w:val="32"/>
          <w:highlight w:val="none"/>
        </w:rPr>
      </w:pPr>
      <w:r>
        <w:rPr>
          <w:rFonts w:hint="eastAsia" w:ascii="宋体" w:hAnsi="宋体" w:eastAsia="宋体" w:cs="宋体"/>
          <w:b/>
          <w:bCs/>
          <w:color w:val="auto"/>
          <w:sz w:val="44"/>
          <w:szCs w:val="32"/>
          <w:highlight w:val="none"/>
        </w:rPr>
        <w:t xml:space="preserve">目 录</w:t>
      </w:r>
      <w:r/>
    </w:p>
    <w:p>
      <w:pPr>
        <w:jc w:val="both"/>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12"/>
        <w:spacing w:line="600" w:lineRule="auto"/>
        <w:tabs>
          <w:tab w:val="right" w:pos="8306" w:leader="dot"/>
        </w:tabs>
        <w:rPr>
          <w:rFonts w:hint="eastAsia" w:ascii="宋体" w:hAnsi="宋体" w:eastAsia="宋体" w:cs="宋体"/>
          <w:color w:val="auto"/>
          <w:sz w:val="24"/>
          <w:szCs w:val="24"/>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"1-3" \f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4"/>
          <w:szCs w:val="24"/>
          <w:highlight w:val="none"/>
        </w:rPr>
        <w:t xml:space="preserve">第一章 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_Toc30333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fldChar w:fldCharType="end"/>
      </w:r>
      <w:r/>
    </w:p>
    <w:p>
      <w:pPr>
        <w:pStyle w:val="712"/>
        <w:spacing w:line="600" w:lineRule="auto"/>
        <w:tabs>
          <w:tab w:val="right" w:pos="830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_Toc16328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fldChar w:fldCharType="end"/>
      </w:r>
      <w:r/>
    </w:p>
    <w:p>
      <w:pPr>
        <w:pStyle w:val="712"/>
        <w:spacing w:line="600" w:lineRule="auto"/>
        <w:tabs>
          <w:tab w:val="right" w:pos="830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17</w:t>
      </w:r>
      <w:r>
        <w:rPr>
          <w:rFonts w:hint="eastAsia" w:ascii="宋体" w:hAnsi="宋体" w:eastAsia="宋体" w:cs="宋体"/>
          <w:color w:val="auto"/>
          <w:sz w:val="24"/>
          <w:szCs w:val="24"/>
          <w:highlight w:val="none"/>
        </w:rPr>
        <w:fldChar w:fldCharType="end"/>
      </w:r>
      <w:r/>
    </w:p>
    <w:p>
      <w:pPr>
        <w:pStyle w:val="712"/>
        <w:spacing w:line="600" w:lineRule="auto"/>
        <w:tabs>
          <w:tab w:val="right" w:pos="830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_Toc27903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rPr>
        <w:fldChar w:fldCharType="end"/>
      </w:r>
      <w:r/>
    </w:p>
    <w:p>
      <w:pPr>
        <w:pStyle w:val="712"/>
        <w:spacing w:line="600" w:lineRule="auto"/>
        <w:tabs>
          <w:tab w:val="right" w:pos="8306" w:leader="dot"/>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第五章 评标方法及评标标准</w:t>
      </w:r>
      <w:r>
        <w:rPr>
          <w:rFonts w:hint="eastAsia" w:ascii="宋体" w:hAnsi="宋体" w:eastAsia="宋体" w:cs="宋体"/>
          <w:color w:val="auto"/>
          <w:sz w:val="24"/>
          <w:szCs w:val="24"/>
          <w:highlight w:val="none"/>
        </w:rPr>
        <w:tab/>
      </w:r>
      <w:r>
        <w:rPr>
          <w:rFonts w:hint="eastAsia" w:ascii="宋体" w:hAnsi="宋体" w:cs="宋体"/>
          <w:color w:val="auto"/>
          <w:sz w:val="24"/>
          <w:szCs w:val="24"/>
          <w:highlight w:val="none"/>
          <w:lang w:val="en-US" w:eastAsia="zh-CN"/>
        </w:rPr>
        <w:t xml:space="preserve">33</w:t>
      </w:r>
      <w:r/>
    </w:p>
    <w:p>
      <w:pPr>
        <w:pStyle w:val="712"/>
        <w:spacing w:line="600" w:lineRule="auto"/>
        <w:tabs>
          <w:tab w:val="right" w:pos="8306" w:leader="dot"/>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_Toc21170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35</w:t>
      </w:r>
      <w:r>
        <w:rPr>
          <w:rFonts w:hint="eastAsia" w:ascii="宋体" w:hAnsi="宋体" w:eastAsia="宋体" w:cs="宋体"/>
          <w:color w:val="auto"/>
          <w:sz w:val="24"/>
          <w:szCs w:val="24"/>
          <w:highlight w:val="none"/>
        </w:rPr>
        <w:fldChar w:fldCharType="end"/>
      </w:r>
      <w:r/>
    </w:p>
    <w:p>
      <w:pPr>
        <w:spacing w:line="600" w:lineRule="auto"/>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8"/>
          <w:highlight w:val="none"/>
        </w:rPr>
        <w:br w:type="page" w:clear="all"/>
      </w:r>
      <w:r/>
    </w:p>
    <w:p>
      <w:pPr>
        <w:pStyle w:val="685"/>
        <w:jc w:val="center"/>
        <w:spacing w:line="360" w:lineRule="auto"/>
        <w:rPr>
          <w:rFonts w:hint="eastAsia" w:ascii="宋体" w:hAnsi="宋体" w:eastAsia="宋体" w:cs="宋体"/>
          <w:color w:val="auto"/>
          <w:szCs w:val="36"/>
          <w:highlight w:val="none"/>
        </w:rPr>
      </w:pPr>
      <w:r/>
      <w:bookmarkStart w:id="0" w:name="_Toc55204177"/>
      <w:r/>
      <w:bookmarkStart w:id="1" w:name="_Toc30333"/>
      <w:r>
        <w:rPr>
          <w:rFonts w:hint="eastAsia" w:ascii="宋体" w:hAnsi="宋体" w:eastAsia="宋体" w:cs="宋体"/>
          <w:color w:val="auto"/>
          <w:szCs w:val="36"/>
          <w:highlight w:val="none"/>
        </w:rPr>
        <w:t xml:space="preserve">第一章 招标公告</w:t>
      </w:r>
      <w:bookmarkEnd w:id="0"/>
      <w:r/>
      <w:bookmarkEnd w:id="1"/>
      <w:r/>
      <w:r/>
    </w:p>
    <w:p>
      <w:pPr>
        <w:ind w:firstLine="420"/>
        <w:spacing w:line="360" w:lineRule="auto"/>
        <w:tabs>
          <w:tab w:val="left" w:pos="266" w:leader="none"/>
        </w:tabs>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受扬州市邗江生态环境局的委托，</w:t>
      </w:r>
      <w:r>
        <w:rPr>
          <w:rFonts w:hint="eastAsia" w:ascii="宋体" w:hAnsi="宋体" w:cs="宋体"/>
          <w:color w:val="auto"/>
          <w:highlight w:val="none"/>
          <w:lang w:eastAsia="zh-CN"/>
        </w:rPr>
        <w:t xml:space="preserve">江苏欧密迦项目管理咨询有限公司</w:t>
      </w:r>
      <w:r>
        <w:rPr>
          <w:rFonts w:hint="eastAsia" w:ascii="宋体" w:hAnsi="宋体" w:eastAsia="宋体" w:cs="宋体"/>
          <w:color w:val="auto"/>
          <w:highlight w:val="none"/>
        </w:rPr>
        <w:t xml:space="preserve">就</w:t>
      </w:r>
      <w:r>
        <w:rPr>
          <w:rFonts w:hint="eastAsia" w:ascii="宋体" w:hAnsi="宋体" w:cs="宋体"/>
          <w:color w:val="auto"/>
          <w:highlight w:val="none"/>
          <w:lang w:eastAsia="zh-CN"/>
        </w:rPr>
        <w:t xml:space="preserve">扬州市邗江生态环境局噪声自动监测站建设项目</w:t>
      </w:r>
      <w:r>
        <w:rPr>
          <w:rFonts w:hint="eastAsia" w:ascii="宋体" w:hAnsi="宋体" w:eastAsia="宋体" w:cs="宋体"/>
          <w:color w:val="auto"/>
          <w:highlight w:val="none"/>
        </w:rPr>
        <w:t xml:space="preserve">进行公开招标采购，欢迎符合条件的</w:t>
      </w:r>
      <w:bookmarkStart w:id="80" w:name="_GoBack"/>
      <w:r>
        <w:rPr>
          <w:rFonts w:hint="eastAsia" w:ascii="宋体" w:hAnsi="宋体" w:eastAsia="宋体" w:cs="宋体"/>
          <w:color w:val="auto"/>
          <w:highlight w:val="none"/>
        </w:rPr>
        <w:t xml:space="preserve">供应商</w:t>
      </w:r>
      <w:bookmarkEnd w:id="80"/>
      <w:r>
        <w:rPr>
          <w:rFonts w:hint="eastAsia" w:ascii="宋体" w:hAnsi="宋体" w:eastAsia="宋体" w:cs="宋体"/>
          <w:color w:val="auto"/>
          <w:highlight w:val="none"/>
        </w:rPr>
        <w:t xml:space="preserve">投标。</w:t>
      </w:r>
      <w:r/>
    </w:p>
    <w:p>
      <w:pPr>
        <w:ind w:firstLine="422"/>
        <w:spacing w:line="360" w:lineRule="auto"/>
        <w:rPr>
          <w:rFonts w:hint="eastAsia" w:ascii="宋体" w:hAnsi="宋体"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highlight w:val="none"/>
        </w:rPr>
        <w:t xml:space="preserve">项目概况</w:t>
      </w:r>
      <w:r/>
    </w:p>
    <w:p>
      <w:pPr>
        <w:ind w:firstLine="420"/>
        <w:spacing w:line="360" w:lineRule="auto"/>
        <w:rPr>
          <w:rFonts w:hint="eastAsia" w:ascii="宋体" w:hAnsi="宋体"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highlight w:val="none"/>
          <w:u w:val="single"/>
        </w:rPr>
        <w:t xml:space="preserve"> </w:t>
      </w:r>
      <w:r>
        <w:rPr>
          <w:rFonts w:hint="eastAsia" w:ascii="宋体" w:hAnsi="宋体" w:cs="宋体"/>
          <w:color w:val="auto"/>
          <w:highlight w:val="none"/>
          <w:u w:val="single"/>
          <w:lang w:eastAsia="zh-CN"/>
        </w:rPr>
        <w:t xml:space="preserve">扬州市邗江生态环境局噪声自动监测站建设项目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招标项目的潜在投标人可在</w:t>
      </w:r>
      <w:r>
        <w:rPr>
          <w:rFonts w:hint="eastAsia" w:ascii="宋体" w:hAnsi="宋体" w:cs="宋体"/>
          <w:color w:val="auto"/>
          <w:highlight w:val="none"/>
          <w:u w:val="single"/>
          <w:lang w:eastAsia="zh-CN"/>
        </w:rPr>
        <w:t xml:space="preserve">“扬州市政府采购网”、“江苏省政府采购网”和“中国政府采购网”</w:t>
      </w:r>
      <w:r>
        <w:rPr>
          <w:rFonts w:hint="eastAsia" w:ascii="宋体" w:hAnsi="宋体" w:eastAsia="宋体" w:cs="宋体"/>
          <w:color w:val="auto"/>
          <w:highlight w:val="none"/>
          <w:u w:val="none"/>
        </w:rPr>
        <w:t xml:space="preserve">自行免费下载</w:t>
      </w:r>
      <w:r>
        <w:rPr>
          <w:rFonts w:hint="eastAsia" w:ascii="宋体" w:hAnsi="宋体" w:eastAsia="宋体" w:cs="宋体"/>
          <w:color w:val="auto"/>
          <w:highlight w:val="none"/>
        </w:rPr>
        <w:t xml:space="preserve">招标文件，并于</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lang w:eastAsia="zh-CN"/>
        </w:rPr>
        <w:t xml:space="preserve">月12</w:t>
      </w:r>
      <w:r>
        <w:rPr>
          <w:rFonts w:hint="eastAsia" w:ascii="宋体" w:hAnsi="宋体" w:cs="宋体"/>
          <w:color w:val="auto"/>
          <w:highlight w:val="none"/>
          <w:u w:val="single"/>
          <w:lang w:eastAsia="zh-CN"/>
        </w:rPr>
        <w:t xml:space="preserve">日</w:t>
      </w:r>
      <w:r>
        <w:rPr>
          <w:rFonts w:hint="eastAsia" w:ascii="宋体" w:hAnsi="宋体" w:cs="宋体"/>
          <w:color w:val="auto"/>
          <w:highlight w:val="none"/>
          <w:u w:val="single"/>
          <w:lang w:val="en-US" w:eastAsia="zh-CN"/>
        </w:rPr>
        <w:t xml:space="preserve">09时00</w:t>
      </w:r>
      <w:r>
        <w:rPr>
          <w:rFonts w:hint="eastAsia" w:ascii="宋体" w:hAnsi="宋体" w:cs="宋体"/>
          <w:color w:val="auto"/>
          <w:highlight w:val="none"/>
          <w:u w:val="single"/>
          <w:lang w:eastAsia="zh-CN"/>
        </w:rPr>
        <w:t xml:space="preserve">分</w:t>
      </w:r>
      <w:r>
        <w:rPr>
          <w:rFonts w:hint="eastAsia" w:ascii="宋体" w:hAnsi="宋体" w:cs="宋体"/>
          <w:color w:val="auto"/>
          <w:highlight w:val="none"/>
          <w:u w:val="none"/>
          <w:lang w:eastAsia="zh-CN"/>
        </w:rPr>
        <w:t xml:space="preserve">（</w:t>
      </w:r>
      <w:r>
        <w:rPr>
          <w:rFonts w:hint="eastAsia" w:ascii="宋体" w:hAnsi="宋体" w:eastAsia="宋体" w:cs="宋体"/>
          <w:bCs/>
          <w:color w:val="auto"/>
          <w:highlight w:val="none"/>
        </w:rPr>
        <w:t xml:space="preserve">北京时间）前递交投标文件</w:t>
      </w:r>
      <w:r>
        <w:rPr>
          <w:rFonts w:hint="eastAsia" w:ascii="宋体" w:hAnsi="宋体" w:eastAsia="宋体" w:cs="宋体"/>
          <w:color w:val="auto"/>
          <w:highlight w:val="none"/>
        </w:rPr>
        <w:t xml:space="preserve">。</w:t>
      </w:r>
      <w:r/>
    </w:p>
    <w:p>
      <w:pPr>
        <w:spacing w:line="360" w:lineRule="auto"/>
        <w:tabs>
          <w:tab w:val="left" w:pos="266" w:leader="none"/>
        </w:tabs>
        <w:rPr>
          <w:rFonts w:hint="eastAsia" w:ascii="宋体" w:hAnsi="宋体" w:eastAsia="宋体" w:cs="宋体"/>
          <w:b/>
          <w:bCs/>
          <w:color w:val="auto"/>
          <w:highlight w:val="none"/>
        </w:rPr>
      </w:pPr>
      <w:r/>
      <w:bookmarkStart w:id="2" w:name="_Toc28359002"/>
      <w:r/>
      <w:bookmarkStart w:id="3" w:name="_Toc35393790"/>
      <w:r/>
      <w:bookmarkStart w:id="4" w:name="_Toc28359079"/>
      <w:r/>
      <w:bookmarkStart w:id="5" w:name="_Toc35393621"/>
      <w:r/>
      <w:bookmarkStart w:id="6" w:name="_Toc38985263"/>
      <w:r/>
      <w:bookmarkStart w:id="7" w:name="_Hlk24379207"/>
      <w:r>
        <w:rPr>
          <w:rFonts w:hint="eastAsia" w:ascii="宋体" w:hAnsi="宋体" w:eastAsia="宋体" w:cs="宋体"/>
          <w:b/>
          <w:bCs/>
          <w:color w:val="auto"/>
          <w:highlight w:val="none"/>
        </w:rPr>
        <w:t xml:space="preserve">一、项目基本情况</w:t>
      </w:r>
      <w:bookmarkEnd w:id="2"/>
      <w:r/>
      <w:bookmarkEnd w:id="3"/>
      <w:r/>
      <w:bookmarkEnd w:id="4"/>
      <w:r/>
      <w:bookmarkEnd w:id="5"/>
      <w:r/>
      <w:bookmarkEnd w:id="6"/>
      <w:r/>
      <w:r/>
    </w:p>
    <w:p>
      <w:pPr>
        <w:ind w:firstLine="420"/>
        <w:spacing w:line="360" w:lineRule="auto"/>
        <w:rPr>
          <w:rFonts w:hint="default" w:ascii="宋体" w:hAnsi="宋体" w:eastAsia="宋体" w:cs="宋体"/>
          <w:color w:val="auto"/>
          <w:szCs w:val="21"/>
          <w:highlight w:val="yellow"/>
          <w:lang w:val="en-US" w:eastAsia="zh-CN"/>
        </w:rPr>
      </w:pPr>
      <w:r>
        <w:rPr>
          <w:rFonts w:hint="eastAsia" w:ascii="宋体" w:hAnsi="宋体" w:eastAsia="宋体" w:cs="宋体"/>
          <w:color w:val="auto"/>
          <w:highlight w:val="none"/>
        </w:rPr>
        <w:t xml:space="preserve">1.项目编号：JSZC-321003-JSOM-G2024-0001</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2.项目名称：</w:t>
      </w:r>
      <w:bookmarkEnd w:id="7"/>
      <w:r>
        <w:rPr>
          <w:rFonts w:hint="eastAsia" w:ascii="宋体" w:hAnsi="宋体" w:cs="宋体"/>
          <w:color w:val="auto"/>
          <w:highlight w:val="none"/>
          <w:lang w:eastAsia="zh-CN"/>
        </w:rPr>
        <w:t xml:space="preserve">扬州市邗江生态环境局噪声自动监测站建设项目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3.预算金额：</w:t>
      </w:r>
      <w:r>
        <w:rPr>
          <w:rFonts w:hint="eastAsia" w:ascii="宋体" w:hAnsi="宋体" w:cs="宋体"/>
          <w:color w:val="auto"/>
          <w:highlight w:val="none"/>
          <w:lang w:val="en-US" w:eastAsia="zh-CN"/>
        </w:rPr>
        <w:t xml:space="preserve">70</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4.本项目设置最高限价：</w:t>
      </w:r>
      <w:r>
        <w:rPr>
          <w:rFonts w:hint="eastAsia" w:ascii="宋体" w:hAnsi="宋体" w:cs="宋体"/>
          <w:color w:val="auto"/>
          <w:highlight w:val="none"/>
          <w:lang w:val="en-US" w:eastAsia="zh-CN"/>
        </w:rPr>
        <w:t xml:space="preserve">70</w:t>
      </w:r>
      <w:r>
        <w:rPr>
          <w:rFonts w:hint="eastAsia" w:ascii="宋体" w:hAnsi="宋体" w:eastAsia="宋体" w:cs="宋体"/>
          <w:color w:val="auto"/>
          <w:highlight w:val="none"/>
        </w:rPr>
        <w:t xml:space="preserve">万元</w:t>
      </w:r>
      <w:r/>
    </w:p>
    <w:p>
      <w:pPr>
        <w:ind w:firstLine="420"/>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5.采购需求：见招标文件第四章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6.合同履行期限：签订合同后</w:t>
      </w:r>
      <w:r>
        <w:rPr>
          <w:rFonts w:hint="eastAsia" w:ascii="宋体" w:hAnsi="宋体" w:cs="宋体"/>
          <w:color w:val="auto"/>
          <w:highlight w:val="none"/>
          <w:lang w:val="en-US" w:eastAsia="zh-CN"/>
        </w:rPr>
        <w:t xml:space="preserve">30</w:t>
      </w:r>
      <w:r>
        <w:rPr>
          <w:rFonts w:hint="eastAsia" w:ascii="宋体" w:hAnsi="宋体" w:eastAsia="宋体" w:cs="宋体"/>
          <w:color w:val="auto"/>
          <w:highlight w:val="none"/>
        </w:rPr>
        <w:t xml:space="preserve">个日历天内</w:t>
      </w:r>
      <w:r>
        <w:rPr>
          <w:rFonts w:hint="eastAsia" w:ascii="宋体" w:hAnsi="宋体" w:eastAsia="宋体" w:cs="宋体"/>
          <w:color w:val="auto"/>
          <w:sz w:val="21"/>
          <w:highlight w:val="none"/>
        </w:rPr>
        <w:t xml:space="preserve">货到验收合格</w:t>
      </w:r>
      <w:r>
        <w:rPr>
          <w:rFonts w:hint="eastAsia" w:ascii="宋体" w:hAnsi="宋体" w:eastAsia="宋体" w:cs="宋体"/>
          <w:color w:val="auto"/>
          <w:highlight w:val="none"/>
        </w:rPr>
        <w:t xml:space="preserve">并交付使用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7.本项目不接受联合体投标。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8.本项目不接受进口产品投标。</w:t>
      </w:r>
      <w:r/>
    </w:p>
    <w:p>
      <w:pPr>
        <w:spacing w:line="360" w:lineRule="auto"/>
        <w:tabs>
          <w:tab w:val="left" w:pos="266" w:leader="none"/>
        </w:tabs>
        <w:rPr>
          <w:rFonts w:hint="eastAsia" w:ascii="宋体" w:hAnsi="宋体" w:eastAsia="宋体" w:cs="宋体"/>
          <w:b/>
          <w:bCs/>
          <w:color w:val="auto"/>
          <w:highlight w:val="none"/>
        </w:rPr>
      </w:pPr>
      <w:r/>
      <w:bookmarkStart w:id="8" w:name="_Toc35393622"/>
      <w:r/>
      <w:bookmarkStart w:id="9" w:name="_Toc28359080"/>
      <w:r/>
      <w:bookmarkStart w:id="10" w:name="_Toc35393791"/>
      <w:r/>
      <w:bookmarkStart w:id="11" w:name="_Toc38985264"/>
      <w:r/>
      <w:bookmarkStart w:id="12" w:name="_Toc28359003"/>
      <w:r>
        <w:rPr>
          <w:rFonts w:hint="eastAsia" w:ascii="宋体" w:hAnsi="宋体" w:eastAsia="宋体" w:cs="宋体"/>
          <w:b/>
          <w:bCs/>
          <w:color w:val="auto"/>
          <w:highlight w:val="none"/>
        </w:rPr>
        <w:t xml:space="preserve">二、申请人的资格要求：</w:t>
      </w:r>
      <w:bookmarkEnd w:id="8"/>
      <w:r/>
      <w:bookmarkEnd w:id="9"/>
      <w:r/>
      <w:bookmarkEnd w:id="10"/>
      <w:r/>
      <w:bookmarkEnd w:id="11"/>
      <w:r/>
      <w:bookmarkEnd w:id="12"/>
      <w:r/>
      <w:r/>
    </w:p>
    <w:p>
      <w:pPr>
        <w:ind w:firstLine="420"/>
        <w:spacing w:line="360" w:lineRule="auto"/>
        <w:rPr>
          <w:rFonts w:hint="eastAsia" w:ascii="宋体" w:hAnsi="宋体" w:eastAsia="宋体" w:cs="宋体"/>
          <w:color w:val="auto"/>
          <w:szCs w:val="21"/>
          <w:highlight w:val="none"/>
        </w:rPr>
      </w:pPr>
      <w:r/>
      <w:bookmarkStart w:id="13" w:name="_Toc38985265"/>
      <w:r/>
      <w:bookmarkStart w:id="14" w:name="_Toc35393792"/>
      <w:r/>
      <w:bookmarkStart w:id="15" w:name="_Toc28359004"/>
      <w:r/>
      <w:bookmarkStart w:id="16" w:name="_Toc35393623"/>
      <w:r/>
      <w:bookmarkStart w:id="17" w:name="_Toc28359081"/>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1.2 依法缴纳职工社会保障资金的证明材料</w:t>
      </w:r>
      <w:r>
        <w:rPr>
          <w:rFonts w:hint="eastAsia" w:ascii="宋体" w:hAnsi="宋体" w:eastAsia="宋体" w:cs="宋体"/>
          <w:b/>
          <w:bCs/>
          <w:i/>
          <w:iCs/>
          <w:color w:val="auto"/>
          <w:szCs w:val="21"/>
          <w:highlight w:val="none"/>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宋体" w:hAnsi="宋体" w:eastAsia="宋体" w:cs="宋体"/>
          <w:b/>
          <w:bCs/>
          <w:i/>
          <w:iCs/>
          <w:color w:val="auto"/>
          <w:highlight w:val="none"/>
          <w:u w:val="single"/>
        </w:rPr>
      </w:pPr>
      <w:r>
        <w:rPr>
          <w:rFonts w:hint="eastAsia" w:ascii="宋体" w:hAnsi="宋体" w:eastAsia="宋体" w:cs="宋体"/>
          <w:i/>
          <w:iCs/>
          <w:color w:val="auto"/>
          <w:szCs w:val="21"/>
          <w:highlight w:val="none"/>
          <w:u w:val="single"/>
        </w:rPr>
        <w:t xml:space="preserve">1.3 投标人近三个月内任意一份依法纳税的缴款凭证</w:t>
      </w:r>
      <w:r>
        <w:rPr>
          <w:rFonts w:hint="eastAsia" w:ascii="宋体" w:hAnsi="宋体" w:eastAsia="宋体" w:cs="宋体"/>
          <w:b/>
          <w:bCs/>
          <w:i/>
          <w:iCs/>
          <w:color w:val="auto"/>
          <w:szCs w:val="21"/>
          <w:highlight w:val="none"/>
          <w:u w:val="single"/>
        </w:rPr>
        <w:t xml:space="preserve">（投标人依法享受缓缴、免缴的提供证明材料）</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1.4 上一年度的财务报告情况（</w:t>
      </w:r>
      <w:r>
        <w:rPr>
          <w:rFonts w:hint="eastAsia" w:ascii="宋体" w:hAnsi="宋体" w:eastAsia="宋体" w:cs="宋体"/>
          <w:b/>
          <w:bCs/>
          <w:i/>
          <w:iCs/>
          <w:color w:val="auto"/>
          <w:szCs w:val="21"/>
          <w:highlight w:val="none"/>
          <w:u w:val="single"/>
        </w:rPr>
        <w:t xml:space="preserve">成立不满一年不需提供）</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1.5 具备履行合同所必需的设备和专业技术能力的证明材料</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hint="eastAsia" w:ascii="宋体" w:hAnsi="宋体" w:eastAsia="宋体" w:cs="宋体"/>
          <w:b/>
          <w:bCs/>
          <w:i/>
          <w:iCs/>
          <w:color w:val="auto"/>
          <w:szCs w:val="21"/>
          <w:highlight w:val="none"/>
          <w:u w:val="single"/>
        </w:rPr>
      </w:pPr>
      <w:r>
        <w:rPr>
          <w:rFonts w:hint="eastAsia" w:ascii="宋体" w:hAnsi="宋体" w:eastAsia="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1.7未被“信用中国”网站（www.creditchina.gov.cn）、“中国政府采购网"(www.ccgp.gov.cn)列入失信被执行人、重大税收违法案件当事人名单、政府采购严重违法失信行为记录名单（提供网站截图）</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1.8供应商信用承诺函</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2.落实政府采购政策需满足的资格要求：</w:t>
      </w:r>
      <w:r>
        <w:rPr>
          <w:rFonts w:hint="eastAsia" w:ascii="宋体" w:hAnsi="宋体" w:cs="宋体"/>
          <w:color w:val="auto"/>
          <w:highlight w:val="none"/>
          <w:lang w:val="en-US" w:eastAsia="zh-CN"/>
        </w:rPr>
        <w:t xml:space="preserve">无</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ascii="宋体" w:hAnsi="宋体" w:cs="宋体"/>
          <w:color w:val="auto"/>
          <w:highlight w:val="none"/>
          <w:lang w:val="en-US" w:eastAsia="zh-CN"/>
        </w:rPr>
        <w:t xml:space="preserve">无</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三、获取招标文件</w:t>
      </w:r>
      <w:bookmarkEnd w:id="13"/>
      <w:r/>
      <w:bookmarkEnd w:id="14"/>
      <w:r/>
      <w:bookmarkEnd w:id="15"/>
      <w:r/>
      <w:bookmarkEnd w:id="16"/>
      <w:r/>
      <w:bookmarkEnd w:id="17"/>
      <w:r/>
      <w:r/>
    </w:p>
    <w:p>
      <w:pPr>
        <w:ind w:firstLine="540"/>
        <w:spacing w:line="360" w:lineRule="auto"/>
        <w:rPr>
          <w:rFonts w:hint="eastAsia" w:ascii="宋体" w:hAnsi="宋体" w:eastAsia="宋体" w:cs="宋体"/>
          <w:color w:val="auto"/>
          <w:highlight w:val="none"/>
        </w:rPr>
      </w:pPr>
      <w:r/>
      <w:bookmarkStart w:id="18" w:name="_Toc28359005"/>
      <w:r/>
      <w:bookmarkStart w:id="19" w:name="_Toc28359082"/>
      <w:r/>
      <w:bookmarkStart w:id="20" w:name="_Toc35393793"/>
      <w:r/>
      <w:bookmarkStart w:id="21" w:name="_Toc35393624"/>
      <w:r/>
      <w:bookmarkStart w:id="22" w:name="_Toc38985266"/>
      <w:r>
        <w:rPr>
          <w:rFonts w:hint="eastAsia" w:ascii="宋体" w:hAnsi="宋体"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highlight w:val="none"/>
        </w:rPr>
        <w:t xml:space="preserve">2.获取方式：</w:t>
      </w:r>
      <w:r>
        <w:rPr>
          <w:rFonts w:hint="eastAsia" w:ascii="宋体" w:hAnsi="宋体" w:eastAsia="宋体" w:cs="宋体"/>
          <w:b/>
          <w:bCs/>
          <w:color w:val="auto"/>
          <w:szCs w:val="21"/>
          <w:highlight w:val="none"/>
        </w:rPr>
        <w:t xml:space="preserve">本项目采用网上注册登记方式。</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3.潜在供应商访问政府采购管理交易系统（苏采云）的网络地址和方法：</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54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四、提交投标文件</w:t>
      </w:r>
      <w:bookmarkEnd w:id="18"/>
      <w:r/>
      <w:bookmarkEnd w:id="19"/>
      <w:r>
        <w:rPr>
          <w:rFonts w:hint="eastAsia" w:ascii="宋体" w:hAnsi="宋体" w:eastAsia="宋体" w:cs="宋体"/>
          <w:b/>
          <w:bCs/>
          <w:color w:val="auto"/>
          <w:highlight w:val="none"/>
        </w:rPr>
        <w:t xml:space="preserve">截止时间、开标时间和地点</w:t>
      </w:r>
      <w:bookmarkEnd w:id="20"/>
      <w:r/>
      <w:bookmarkEnd w:id="21"/>
      <w:r/>
      <w:bookmarkEnd w:id="22"/>
      <w:r/>
      <w:r/>
    </w:p>
    <w:p>
      <w:pPr>
        <w:ind w:firstLine="420"/>
        <w:spacing w:line="360" w:lineRule="auto"/>
        <w:rPr>
          <w:rFonts w:hint="eastAsia" w:ascii="宋体" w:hAnsi="宋体" w:eastAsia="宋体" w:cs="宋体"/>
          <w:bCs/>
          <w:color w:val="auto"/>
          <w:szCs w:val="21"/>
          <w:highlight w:val="none"/>
          <w:u w:val="single"/>
        </w:rPr>
      </w:pPr>
      <w:r>
        <w:rPr>
          <w:rFonts w:hint="eastAsia" w:ascii="宋体" w:hAnsi="宋体" w:eastAsia="宋体" w:cs="宋体"/>
          <w:color w:val="auto"/>
          <w:highlight w:val="none"/>
        </w:rPr>
        <w:t xml:space="preserve">1.时间：</w:t>
      </w:r>
      <w:r>
        <w:rPr>
          <w:rFonts w:hint="eastAsia" w:ascii="宋体" w:hAnsi="宋体" w:cs="宋体"/>
          <w:color w:val="auto"/>
          <w:highlight w:val="none"/>
          <w:u w:val="single"/>
          <w:lang w:eastAsia="zh-CN"/>
        </w:rPr>
        <w:t xml:space="preserve">202</w:t>
      </w:r>
      <w:r>
        <w:rPr>
          <w:rFonts w:hint="eastAsia" w:ascii="宋体" w:hAnsi="宋体" w:cs="宋体"/>
          <w:color w:val="auto"/>
          <w:highlight w:val="none"/>
          <w:u w:val="single"/>
          <w:lang w:val="en-US" w:eastAsia="zh-CN"/>
        </w:rPr>
        <w:t xml:space="preserve">4</w:t>
      </w:r>
      <w:r>
        <w:rPr>
          <w:rFonts w:hint="eastAsia" w:ascii="宋体" w:hAnsi="宋体" w:cs="宋体"/>
          <w:color w:val="auto"/>
          <w:highlight w:val="none"/>
          <w:u w:val="single"/>
          <w:lang w:eastAsia="zh-CN"/>
        </w:rPr>
        <w:t xml:space="preserve">年</w:t>
      </w:r>
      <w:r>
        <w:rPr>
          <w:rFonts w:hint="eastAsia" w:ascii="宋体" w:hAnsi="宋体" w:cs="宋体"/>
          <w:color w:val="auto"/>
          <w:highlight w:val="none"/>
          <w:u w:val="single"/>
          <w:lang w:val="en-US" w:eastAsia="zh-CN"/>
        </w:rPr>
        <w:t xml:space="preserve">10</w:t>
      </w:r>
      <w:r>
        <w:rPr>
          <w:rFonts w:hint="eastAsia" w:ascii="宋体" w:hAnsi="宋体" w:cs="宋体"/>
          <w:color w:val="auto"/>
          <w:highlight w:val="none"/>
          <w:u w:val="single"/>
          <w:lang w:eastAsia="zh-CN"/>
        </w:rPr>
        <w:t xml:space="preserve">月12</w:t>
      </w:r>
      <w:r>
        <w:rPr>
          <w:rFonts w:hint="eastAsia" w:ascii="宋体" w:hAnsi="宋体" w:cs="宋体"/>
          <w:color w:val="auto"/>
          <w:highlight w:val="none"/>
          <w:u w:val="single"/>
          <w:lang w:eastAsia="zh-CN"/>
        </w:rPr>
        <w:t xml:space="preserve">日</w:t>
      </w:r>
      <w:r>
        <w:rPr>
          <w:rFonts w:hint="eastAsia" w:ascii="宋体" w:hAnsi="宋体" w:cs="宋体"/>
          <w:color w:val="auto"/>
          <w:highlight w:val="none"/>
          <w:u w:val="single"/>
          <w:lang w:val="en-US" w:eastAsia="zh-CN"/>
        </w:rPr>
        <w:t xml:space="preserve">09时00</w:t>
      </w:r>
      <w:r>
        <w:rPr>
          <w:rFonts w:hint="eastAsia" w:ascii="宋体" w:hAnsi="宋体" w:cs="宋体"/>
          <w:color w:val="auto"/>
          <w:highlight w:val="none"/>
          <w:u w:val="single"/>
          <w:lang w:eastAsia="zh-CN"/>
        </w:rPr>
        <w:t xml:space="preserve">分</w:t>
      </w:r>
      <w:r>
        <w:rPr>
          <w:rFonts w:hint="eastAsia" w:ascii="宋体" w:hAnsi="宋体" w:eastAsia="宋体" w:cs="宋体"/>
          <w:bCs/>
          <w:color w:val="auto"/>
          <w:highlight w:val="none"/>
        </w:rPr>
        <w:t xml:space="preserve">（北京时间）</w:t>
      </w:r>
      <w:r/>
    </w:p>
    <w:p>
      <w:pPr>
        <w:ind w:firstLine="420"/>
        <w:spacing w:line="360" w:lineRule="auto"/>
        <w:rPr>
          <w:rFonts w:hint="eastAsia" w:ascii="宋体" w:hAnsi="宋体" w:eastAsia="宋体" w:cs="宋体"/>
          <w:bCs/>
          <w:color w:val="auto"/>
          <w:highlight w:val="none"/>
          <w:u w:val="single"/>
        </w:rPr>
      </w:pPr>
      <w:r>
        <w:rPr>
          <w:rFonts w:hint="eastAsia" w:ascii="宋体" w:hAnsi="宋体" w:eastAsia="宋体" w:cs="宋体"/>
          <w:color w:val="auto"/>
          <w:highlight w:val="none"/>
        </w:rPr>
        <w:t xml:space="preserve">2.开标地点：</w:t>
      </w:r>
      <w:r>
        <w:rPr>
          <w:rFonts w:hint="eastAsia" w:ascii="宋体" w:hAnsi="宋体" w:eastAsia="宋体" w:cs="宋体"/>
          <w:b/>
          <w:color w:val="auto"/>
          <w:szCs w:val="21"/>
          <w:highlight w:val="none"/>
        </w:rPr>
        <w:t xml:space="preserve">“苏采云”系统（网址：http://jszfcg.jsczt.cn/）“开标大厅”</w:t>
      </w:r>
      <w:r/>
    </w:p>
    <w:p>
      <w:pPr>
        <w:spacing w:line="360" w:lineRule="auto"/>
        <w:tabs>
          <w:tab w:val="left" w:pos="266" w:leader="none"/>
        </w:tabs>
        <w:rPr>
          <w:rFonts w:hint="eastAsia" w:ascii="宋体" w:hAnsi="宋体" w:eastAsia="宋体" w:cs="宋体"/>
          <w:b/>
          <w:bCs/>
          <w:color w:val="auto"/>
          <w:highlight w:val="none"/>
        </w:rPr>
      </w:pPr>
      <w:r/>
      <w:bookmarkStart w:id="23" w:name="_Toc35393794"/>
      <w:r/>
      <w:bookmarkStart w:id="24" w:name="_Toc35393625"/>
      <w:r/>
      <w:bookmarkStart w:id="25" w:name="_Toc38985267"/>
      <w:r/>
      <w:bookmarkStart w:id="26" w:name="_Toc28359007"/>
      <w:r/>
      <w:bookmarkStart w:id="27" w:name="_Toc28359084"/>
      <w:r>
        <w:rPr>
          <w:rFonts w:hint="eastAsia" w:ascii="宋体" w:hAnsi="宋体" w:eastAsia="宋体" w:cs="宋体"/>
          <w:b/>
          <w:bCs/>
          <w:color w:val="auto"/>
          <w:highlight w:val="none"/>
        </w:rPr>
        <w:t xml:space="preserve">五、公告期限</w:t>
      </w:r>
      <w:bookmarkEnd w:id="23"/>
      <w:r/>
      <w:bookmarkEnd w:id="24"/>
      <w:r/>
      <w:bookmarkEnd w:id="25"/>
      <w:r/>
      <w:bookmarkEnd w:id="26"/>
      <w:r/>
      <w:bookmarkEnd w:id="27"/>
      <w:r/>
      <w:r/>
    </w:p>
    <w:p>
      <w:pPr>
        <w:ind w:firstLine="420"/>
        <w:spacing w:line="360" w:lineRule="auto"/>
        <w:rPr>
          <w:rFonts w:hint="eastAsia" w:ascii="宋体" w:hAnsi="宋体" w:eastAsia="宋体" w:cs="宋体"/>
          <w:color w:val="auto"/>
          <w:highlight w:val="none"/>
        </w:rPr>
      </w:pPr>
      <w:r/>
      <w:bookmarkStart w:id="28" w:name="_Toc35393626"/>
      <w:r/>
      <w:bookmarkStart w:id="29" w:name="_Toc38985268"/>
      <w:r/>
      <w:bookmarkStart w:id="30" w:name="_Toc35393795"/>
      <w:r>
        <w:rPr>
          <w:rFonts w:hint="eastAsia" w:ascii="宋体" w:hAnsi="宋体" w:eastAsia="宋体" w:cs="宋体"/>
          <w:color w:val="auto"/>
          <w:highlight w:val="none"/>
        </w:rPr>
        <w:t xml:space="preserve">招标公告及招标文件公告期限为自本公告发布之日起5个工作日。</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六、其他补充事宜</w:t>
      </w:r>
      <w:bookmarkEnd w:id="28"/>
      <w:r/>
      <w:bookmarkEnd w:id="29"/>
      <w:r/>
      <w:bookmarkEnd w:id="30"/>
      <w:r/>
      <w:r/>
    </w:p>
    <w:p>
      <w:pPr>
        <w:ind w:firstLine="525"/>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无</w:t>
      </w:r>
      <w:r/>
    </w:p>
    <w:p>
      <w:pPr>
        <w:spacing w:line="360" w:lineRule="auto"/>
        <w:tabs>
          <w:tab w:val="left" w:pos="266" w:leader="none"/>
        </w:tabs>
        <w:rPr>
          <w:rFonts w:hint="eastAsia" w:ascii="宋体" w:hAnsi="宋体" w:eastAsia="宋体" w:cs="宋体"/>
          <w:b/>
          <w:bCs/>
          <w:color w:val="auto"/>
          <w:highlight w:val="none"/>
        </w:rPr>
      </w:pPr>
      <w:r/>
      <w:bookmarkStart w:id="31" w:name="_Toc38985269"/>
      <w:r/>
      <w:bookmarkStart w:id="32" w:name="_Toc28359085"/>
      <w:r/>
      <w:bookmarkStart w:id="33" w:name="_Toc28359008"/>
      <w:r/>
      <w:bookmarkStart w:id="34" w:name="_Toc35393627"/>
      <w:r/>
      <w:bookmarkStart w:id="35" w:name="_Toc35393796"/>
      <w:r>
        <w:rPr>
          <w:rFonts w:hint="eastAsia" w:ascii="宋体" w:hAnsi="宋体"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spacing w:line="360" w:lineRule="auto"/>
        <w:widowControl/>
        <w:rPr>
          <w:rFonts w:hint="eastAsia" w:ascii="宋体" w:hAnsi="宋体" w:eastAsia="宋体" w:cs="宋体"/>
          <w:color w:val="auto"/>
          <w:szCs w:val="21"/>
          <w:highlight w:val="none"/>
        </w:rPr>
      </w:pPr>
      <w:r/>
      <w:bookmarkStart w:id="36" w:name="_Toc28359086"/>
      <w:r/>
      <w:bookmarkStart w:id="37" w:name="_Toc28359009"/>
      <w:r/>
      <w:bookmarkStart w:id="38" w:name="_Toc28359010"/>
      <w:r/>
      <w:bookmarkStart w:id="39" w:name="_Toc28359087"/>
      <w:r>
        <w:rPr>
          <w:rFonts w:hint="eastAsia" w:ascii="宋体" w:hAnsi="宋体" w:eastAsia="宋体" w:cs="宋体"/>
          <w:color w:val="auto"/>
          <w:highlight w:val="none"/>
        </w:rPr>
        <w:t xml:space="preserve">1.采购人信息</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称：扬州市邗江生态环境局</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址：扬州市邗江区兴城西路205号</w:t>
      </w:r>
      <w:r/>
    </w:p>
    <w:p>
      <w:pPr>
        <w:ind w:firstLine="420"/>
        <w:jc w:val="left"/>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联系人：陈</w:t>
      </w:r>
      <w:r>
        <w:rPr>
          <w:rFonts w:hint="eastAsia" w:ascii="宋体" w:hAnsi="宋体" w:cs="宋体"/>
          <w:color w:val="auto"/>
          <w:highlight w:val="none"/>
          <w:lang w:val="en-US" w:eastAsia="zh-CN"/>
        </w:rPr>
        <w:t xml:space="preserve">主任</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联系方式：0514-80996036</w:t>
      </w:r>
      <w:r/>
    </w:p>
    <w:p>
      <w:pPr>
        <w:ind w:firstLine="42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2.代理机构信息</w:t>
      </w:r>
      <w:bookmarkEnd w:id="36"/>
      <w:r/>
      <w:bookmarkEnd w:id="37"/>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w:t>
      </w:r>
      <w:r>
        <w:rPr>
          <w:rFonts w:hint="eastAsia" w:ascii="宋体" w:hAnsi="宋体" w:cs="宋体"/>
          <w:color w:val="auto"/>
          <w:szCs w:val="21"/>
          <w:highlight w:val="none"/>
          <w:lang w:eastAsia="zh-CN"/>
        </w:rPr>
        <w:t xml:space="preserve">江苏欧密迦项目管理咨询有限公司</w:t>
      </w:r>
      <w:r/>
    </w:p>
    <w:p>
      <w:pPr>
        <w:ind w:firstLine="420"/>
        <w:spacing w:line="360" w:lineRule="auto"/>
        <w:rPr>
          <w:rFonts w:hint="eastAsia" w:ascii="宋体" w:hAnsi="宋体" w:cs="宋体"/>
          <w:bCs/>
          <w:color w:val="auto"/>
          <w:szCs w:val="21"/>
          <w:highlight w:val="yellow"/>
          <w:lang w:val="en-US" w:eastAsia="zh-CN"/>
        </w:rPr>
      </w:pPr>
      <w:r>
        <w:rPr>
          <w:rFonts w:hint="eastAsia" w:ascii="宋体" w:hAnsi="宋体" w:eastAsia="宋体" w:cs="宋体"/>
          <w:color w:val="auto"/>
          <w:highlight w:val="none"/>
        </w:rPr>
        <w:t xml:space="preserve">地　址：</w:t>
      </w:r>
      <w:r>
        <w:rPr>
          <w:rFonts w:hint="eastAsia" w:ascii="宋体" w:hAnsi="宋体" w:eastAsia="宋体" w:cs="宋体"/>
          <w:bCs/>
          <w:color w:val="auto"/>
          <w:szCs w:val="21"/>
          <w:highlight w:val="none"/>
        </w:rPr>
        <w:t xml:space="preserve">扬州市邗江区</w:t>
      </w:r>
      <w:r>
        <w:rPr>
          <w:rFonts w:hint="eastAsia" w:ascii="宋体" w:hAnsi="宋体" w:cs="宋体"/>
          <w:bCs/>
          <w:color w:val="auto"/>
          <w:szCs w:val="21"/>
          <w:highlight w:val="none"/>
          <w:lang w:val="en-US" w:eastAsia="zh-CN"/>
        </w:rPr>
        <w:t xml:space="preserve">四望亭路旺庭公馆399号3幢509</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联系人：</w:t>
      </w:r>
      <w:r>
        <w:rPr>
          <w:rFonts w:hint="eastAsia" w:ascii="宋体" w:hAnsi="宋体" w:cs="宋体"/>
          <w:color w:val="auto"/>
          <w:szCs w:val="21"/>
          <w:highlight w:val="none"/>
          <w:lang w:val="en-US" w:eastAsia="zh-CN"/>
        </w:rPr>
        <w:t xml:space="preserve">李经理</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highlight w:val="none"/>
        </w:rPr>
        <w:t xml:space="preserve">联系方式：</w:t>
      </w:r>
      <w:r>
        <w:rPr>
          <w:rFonts w:hint="eastAsia" w:ascii="宋体" w:hAnsi="宋体" w:cs="宋体"/>
          <w:color w:val="auto"/>
          <w:szCs w:val="21"/>
          <w:highlight w:val="none"/>
          <w:lang w:val="en-US" w:eastAsia="zh-CN"/>
        </w:rPr>
        <w:t xml:space="preserve">13013712369</w:t>
      </w:r>
      <w:r/>
    </w:p>
    <w:p>
      <w:pPr>
        <w:spacing w:line="360" w:lineRule="auto"/>
        <w:tabs>
          <w:tab w:val="left" w:pos="266"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38"/>
      <w:r/>
      <w:bookmarkEnd w:id="39"/>
      <w:r/>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九、其他</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3.潜在投标人对招标文件项目需求部分的询问、质疑请向采购人提出，由采购人负责答复。</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4.</w:t>
      </w:r>
      <w:r>
        <w:rPr>
          <w:rFonts w:hint="eastAsia" w:ascii="宋体" w:hAnsi="宋体" w:eastAsia="宋体" w:cs="宋体"/>
          <w:color w:val="auto"/>
          <w:highlight w:val="none"/>
        </w:rPr>
        <w:t xml:space="preserve">本次招标不收取投标保证金。</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5.</w:t>
      </w:r>
      <w:r>
        <w:rPr>
          <w:rFonts w:hint="eastAsia" w:ascii="宋体" w:hAnsi="宋体" w:eastAsia="宋体" w:cs="宋体"/>
          <w:bCs/>
          <w:color w:val="auto"/>
          <w:highlight w:val="none"/>
        </w:rPr>
        <w:t xml:space="preserve">有关本次招标的事项若存在变动或修改，敬请及时关注</w:t>
      </w:r>
      <w:r>
        <w:rPr>
          <w:rFonts w:hint="eastAsia" w:ascii="宋体" w:hAnsi="宋体"/>
          <w:bCs/>
          <w:szCs w:val="21"/>
        </w:rPr>
        <w:t xml:space="preserve">“扬州市政府采购网”、“江苏省政府采购网”和“中国政府采购网”</w:t>
      </w:r>
      <w:r>
        <w:rPr>
          <w:rFonts w:hint="eastAsia" w:ascii="宋体" w:hAnsi="宋体" w:eastAsia="宋体" w:cs="宋体"/>
          <w:bCs/>
          <w:color w:val="auto"/>
          <w:highlight w:val="none"/>
        </w:rPr>
        <w:t xml:space="preserve">发布的信息。</w:t>
      </w:r>
      <w:r/>
    </w:p>
    <w:p>
      <w:pPr>
        <w:ind w:firstLine="422"/>
        <w:spacing w:line="360" w:lineRule="auto"/>
        <w:rPr>
          <w:rFonts w:hint="eastAsia" w:ascii="宋体" w:hAnsi="宋体" w:eastAsia="宋体" w:cs="宋体"/>
          <w:b/>
          <w:i/>
          <w:iCs/>
          <w:color w:val="auto"/>
          <w:highlight w:val="none"/>
          <w:u w:val="single"/>
        </w:rPr>
      </w:pPr>
      <w:r>
        <w:rPr>
          <w:rFonts w:hint="eastAsia" w:ascii="宋体" w:hAnsi="宋体" w:eastAsia="宋体" w:cs="宋体"/>
          <w:b/>
          <w:i/>
          <w:iCs/>
          <w:color w:val="auto"/>
          <w:highlight w:val="none"/>
          <w:u w:val="single"/>
        </w:rPr>
        <w:t xml:space="preserve">6.本项目招标文件中所有斜体下划线部分为实质性条款，如不满足，则为无效投标。</w:t>
      </w:r>
      <w:r/>
    </w:p>
    <w:p>
      <w:pPr>
        <w:ind w:firstLine="422"/>
        <w:jc w:val="left"/>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7.严格执行政府采购关于支持</w:t>
      </w:r>
      <w:r>
        <w:rPr>
          <w:rFonts w:hint="eastAsia" w:ascii="宋体" w:hAnsi="宋体" w:eastAsia="宋体" w:cs="宋体"/>
          <w:b/>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hint="eastAsia" w:ascii="宋体" w:hAnsi="宋体" w:eastAsia="宋体" w:cs="宋体"/>
          <w:color w:val="auto"/>
          <w:szCs w:val="36"/>
          <w:highlight w:val="none"/>
        </w:rPr>
      </w:pPr>
      <w:r>
        <w:rPr>
          <w:rFonts w:hint="eastAsia" w:ascii="宋体" w:hAnsi="宋体" w:eastAsia="宋体" w:cs="宋体"/>
          <w:b/>
          <w:color w:val="auto"/>
          <w:highlight w:val="none"/>
        </w:rPr>
        <w:t xml:space="preserve">8.供应商对于投标产品的包装应按照“财办库〔2020〕123号《关于印发《商品包装政府采购需求标准（试行）》、《快递包装政府采购需求标准（试行）》的通知》”执行。</w:t>
      </w:r>
      <w:bookmarkStart w:id="40" w:name="_Toc16328"/>
      <w:r/>
      <w:r/>
    </w:p>
    <w:p>
      <w:pPr>
        <w:jc w:val="center"/>
        <w:rPr>
          <w:rFonts w:hint="eastAsia"/>
          <w:b/>
          <w:bCs/>
          <w:sz w:val="44"/>
          <w:szCs w:val="44"/>
        </w:rPr>
      </w:pPr>
      <w:r>
        <w:rPr>
          <w:rFonts w:hint="eastAsia"/>
          <w:b/>
          <w:bCs/>
          <w:sz w:val="44"/>
          <w:szCs w:val="44"/>
        </w:rPr>
        <w:t xml:space="preserve">第二章 投标人须知</w:t>
      </w:r>
      <w:bookmarkEnd w:id="40"/>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1、招标方式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 本次招标采取公开招标方式，本招标文件仅适用于</w:t>
      </w:r>
      <w:r>
        <w:rPr>
          <w:rFonts w:hint="eastAsia" w:ascii="宋体" w:hAnsi="宋体" w:eastAsia="宋体" w:cs="宋体"/>
          <w:bCs/>
          <w:color w:val="auto"/>
          <w:szCs w:val="21"/>
          <w:highlight w:val="none"/>
          <w:lang w:eastAsia="zh-CN"/>
        </w:rPr>
        <w:t xml:space="preserve">JSZC-321003-JSOM-G2024-0001</w:t>
      </w:r>
      <w:r>
        <w:rPr>
          <w:rFonts w:hint="eastAsia" w:ascii="宋体" w:hAnsi="宋体" w:eastAsia="宋体" w:cs="宋体"/>
          <w:bCs/>
          <w:color w:val="auto"/>
          <w:szCs w:val="21"/>
          <w:highlight w:val="none"/>
        </w:rPr>
        <w:t xml:space="preserve">号项目。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2.2合格的投标人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 满足招标公告中供应商的资格条件要求的规定。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 满足本文件实质性条款的规定。</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3、适用法律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4、投标费用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4.2</w:t>
      </w:r>
      <w:r>
        <w:rPr>
          <w:rFonts w:hint="eastAsia" w:ascii="宋体" w:hAnsi="宋体" w:eastAsia="宋体" w:cs="宋体"/>
          <w:b/>
          <w:bCs/>
          <w:color w:val="auto"/>
          <w:highlight w:val="none"/>
        </w:rPr>
        <w:t xml:space="preserve">本次采购由中标人在领取中标通知书前</w:t>
      </w:r>
      <w:r>
        <w:rPr>
          <w:rFonts w:hint="eastAsia" w:ascii="宋体" w:hAnsi="宋体" w:eastAsia="宋体" w:cs="宋体"/>
          <w:b/>
          <w:bCs/>
          <w:color w:val="auto"/>
          <w:szCs w:val="21"/>
          <w:highlight w:val="none"/>
          <w:shd w:val="clear" w:color="auto" w:fill="ffffff"/>
        </w:rPr>
        <w:t xml:space="preserve">按</w:t>
      </w:r>
      <w:r>
        <w:rPr>
          <w:rFonts w:hint="eastAsia" w:ascii="宋体" w:hAnsi="宋体" w:cs="宋体"/>
          <w:b/>
          <w:bCs/>
          <w:szCs w:val="21"/>
          <w:highlight w:val="none"/>
        </w:rPr>
        <w:t xml:space="preserve">国家计委印发的《招标代理服务收费管理暂行办法》(计价格【2002】1980号文)</w:t>
      </w:r>
      <w:r>
        <w:rPr>
          <w:rFonts w:hint="eastAsia" w:ascii="宋体" w:hAnsi="宋体" w:cs="宋体"/>
          <w:b/>
          <w:bCs/>
          <w:szCs w:val="21"/>
          <w:highlight w:val="none"/>
          <w:lang w:val="en-US" w:eastAsia="zh-CN"/>
        </w:rPr>
        <w:t xml:space="preserve">服务</w:t>
      </w:r>
      <w:r>
        <w:rPr>
          <w:rFonts w:hint="eastAsia" w:ascii="宋体" w:hAnsi="宋体" w:cs="宋体"/>
          <w:b/>
          <w:bCs/>
          <w:szCs w:val="21"/>
          <w:highlight w:val="none"/>
        </w:rPr>
        <w:t xml:space="preserve">类标准</w:t>
      </w:r>
      <w:r>
        <w:rPr>
          <w:rFonts w:hint="eastAsia" w:ascii="宋体" w:hAnsi="宋体" w:eastAsia="宋体" w:cs="宋体"/>
          <w:b/>
          <w:bCs/>
          <w:color w:val="auto"/>
          <w:highlight w:val="none"/>
        </w:rPr>
        <w:t xml:space="preserve">一次性支付给招标代理机构，代理服务费 (不满叁仟元按叁仟元计取）。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代理服务费开户银行：</w:t>
      </w:r>
      <w:r>
        <w:rPr>
          <w:rFonts w:hint="eastAsia" w:ascii="宋体" w:hAnsi="宋体" w:cs="宋体"/>
          <w:b/>
          <w:color w:val="auto"/>
          <w:szCs w:val="21"/>
          <w:highlight w:val="none"/>
          <w:lang w:val="en-US" w:eastAsia="zh-CN"/>
        </w:rPr>
        <w:t xml:space="preserve">中国农业银行股份有限公司扬州扬子江支行</w:t>
      </w:r>
      <w:r/>
    </w:p>
    <w:p>
      <w:pPr>
        <w:ind w:firstLine="422"/>
        <w:spacing w:line="360" w:lineRule="auto"/>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开户名称：</w:t>
      </w:r>
      <w:r>
        <w:rPr>
          <w:rFonts w:hint="eastAsia" w:ascii="宋体" w:hAnsi="宋体" w:cs="宋体"/>
          <w:b/>
          <w:color w:val="auto"/>
          <w:szCs w:val="21"/>
          <w:highlight w:val="none"/>
          <w:lang w:val="en-US" w:eastAsia="zh-CN"/>
        </w:rPr>
        <w:t xml:space="preserve">江苏欧密迦项目管理咨询有限公司</w:t>
      </w:r>
      <w:r/>
    </w:p>
    <w:p>
      <w:pPr>
        <w:ind w:firstLine="422"/>
        <w:spacing w:line="360" w:lineRule="auto"/>
        <w:rPr>
          <w:rFonts w:hint="eastAsia"/>
          <w:highlight w:val="none"/>
        </w:rPr>
      </w:pPr>
      <w:r>
        <w:rPr>
          <w:rFonts w:hint="eastAsia" w:ascii="宋体" w:hAnsi="宋体" w:cs="宋体"/>
          <w:b/>
          <w:color w:val="auto"/>
          <w:szCs w:val="21"/>
          <w:highlight w:val="none"/>
        </w:rPr>
        <w:t xml:space="preserve">开户帐号：</w:t>
      </w:r>
      <w:r>
        <w:rPr>
          <w:rFonts w:hint="eastAsia" w:ascii="宋体" w:hAnsi="宋体" w:cs="宋体"/>
          <w:b/>
          <w:color w:val="auto"/>
          <w:szCs w:val="21"/>
          <w:highlight w:val="none"/>
          <w:lang w:val="en-US" w:eastAsia="zh-CN"/>
        </w:rPr>
        <w:t xml:space="preserve">10158001040222778</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4.3专家评审费按扬财购【2020】40 号文《关于进一步规范扬州市政府采购专家评审费标准的通知》执行。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5、招标文件的约束力</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6、招标文件构成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6.1 招标文件有以下部分组成：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（1）招标公告</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（2）投标人须知</w:t>
      </w:r>
      <w:r>
        <w:rPr>
          <w:rFonts w:hint="eastAsia" w:ascii="宋体" w:hAnsi="宋体" w:eastAsia="宋体" w:cs="宋体"/>
          <w:bCs/>
          <w:color w:val="auto"/>
          <w:szCs w:val="21"/>
          <w:highlight w:val="none"/>
        </w:rPr>
        <w:tab/>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（3）合同条款及格式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（4）项目需求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（5）评标方法与评标标准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（6）投标文件格式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7、招标文件的澄清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8、招标文件的修改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8.3招标文件的修改将在</w:t>
      </w:r>
      <w:r>
        <w:rPr>
          <w:rFonts w:hint="eastAsia" w:ascii="宋体" w:hAnsi="宋体"/>
          <w:bCs/>
          <w:szCs w:val="21"/>
        </w:rPr>
        <w:t xml:space="preserve">“扬州市政府采购网”、“江苏省政府采购网”和“中国政府采购网”</w:t>
      </w:r>
      <w:r>
        <w:rPr>
          <w:rFonts w:hint="eastAsia" w:ascii="宋体" w:hAnsi="宋体" w:eastAsia="宋体" w:cs="宋体"/>
          <w:bCs/>
          <w:color w:val="auto"/>
          <w:szCs w:val="21"/>
          <w:highlight w:val="none"/>
        </w:rPr>
        <w:t xml:space="preserve">公布，补充文件将作为招标文件的组成部分，并对投标人具有约束力。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9、投标文件的语言、度量衡单位、货币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9.3投标人应使用人民币报价。</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10、投标文件构成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10.1投标文件由以下部分组成</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（1）资格审查响应对照表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（2）符合性审查响应对照表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（3）非实质性响应对照表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（4）开标一览表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（5）分项报价表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（6）技术参数响应及偏离表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（7）商务条款响应及偏离表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11、证明投标人资格及符合招标文件规定的文件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11.3投标人除必须具有履行合同所需提供的产品或服务的能力外，还必须具备相应的财务、技术方面的能力。</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11.4投标人应提交根据合同要求提供的证明服务质量合格以及符合招标文件规定的证明文件。</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11.5证明投标人所提供服务与招标文件的要求相一致的文件可以是手册、图纸、文字资料和数据。</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12、投标配置与分项报价表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12.2 标的物</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12.3有关费用处理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12.4其它费用处理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12.5投标货币</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13.2 提供参加本项目类似案例简介；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13.3 培训计划；</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13.5 投标人认为需要的其他技术文件或说明。</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14、服务承诺及售后服务机构、人员的情况介绍</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14.1投标人的服务承诺应按不低于招标文件中商务要求的标准。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15、投标函和开标一览表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16、投标有效期</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eastAsia="宋体" w:cs="宋体"/>
          <w:b/>
          <w:color w:val="auto"/>
          <w:szCs w:val="21"/>
          <w:highlight w:val="none"/>
        </w:rPr>
      </w:pPr>
      <w:r/>
      <w:bookmarkStart w:id="41" w:name="_Toc513029225"/>
      <w:r/>
      <w:bookmarkStart w:id="42" w:name="_Toc462564084"/>
      <w:r/>
      <w:bookmarkStart w:id="43" w:name="_Toc16938541"/>
      <w:r/>
      <w:bookmarkStart w:id="44" w:name="_Toc20823297"/>
      <w:r>
        <w:rPr>
          <w:rFonts w:hint="eastAsia" w:ascii="宋体" w:hAnsi="宋体" w:eastAsia="宋体" w:cs="宋体"/>
          <w:b/>
          <w:color w:val="auto"/>
          <w:szCs w:val="21"/>
          <w:highlight w:val="none"/>
        </w:rPr>
        <w:t xml:space="preserve">17、投标文件</w:t>
      </w:r>
      <w:bookmarkEnd w:id="41"/>
      <w:r/>
      <w:bookmarkEnd w:id="42"/>
      <w:r/>
      <w:bookmarkEnd w:id="43"/>
      <w:r/>
      <w:bookmarkEnd w:id="44"/>
      <w:r>
        <w:rPr>
          <w:rFonts w:hint="eastAsia" w:ascii="宋体" w:hAnsi="宋体" w:eastAsia="宋体" w:cs="宋体"/>
          <w:b/>
          <w:color w:val="auto"/>
          <w:szCs w:val="21"/>
          <w:highlight w:val="none"/>
        </w:rPr>
        <w:t xml:space="preserve">的递交</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17.1 电子投标文件的递交投标人应当按照《操作手册》规定，在投标截止时间前制作并上传电子投标文件。</w:t>
      </w:r>
      <w:bookmarkStart w:id="45" w:name="_Toc20823298"/>
      <w:r/>
      <w:bookmarkStart w:id="46" w:name="_Toc16938542"/>
      <w:r/>
      <w:bookmarkStart w:id="47" w:name="_Toc513029226"/>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17.2</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17.3投标人应对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17.4投标人应当对招标文件提出的要求和条件作出实质性响应，并在电子投标系统逐条应答。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17.7各投标人应在规定时间内凭CA证书进行网上解密。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18、投标截止日期</w:t>
      </w:r>
      <w:bookmarkEnd w:id="45"/>
      <w:r/>
      <w:bookmarkEnd w:id="46"/>
      <w:r/>
      <w:bookmarkEnd w:id="47"/>
      <w:r/>
      <w:r/>
    </w:p>
    <w:p>
      <w:pPr>
        <w:ind w:firstLine="420"/>
        <w:spacing w:line="360" w:lineRule="auto"/>
        <w:rPr>
          <w:rFonts w:hint="eastAsia" w:ascii="宋体" w:hAnsi="宋体" w:eastAsia="宋体" w:cs="宋体"/>
          <w:bCs/>
          <w:i/>
          <w:iCs/>
          <w:color w:val="auto"/>
          <w:szCs w:val="21"/>
          <w:highlight w:val="none"/>
          <w:u w:val="single"/>
        </w:rPr>
      </w:pPr>
      <w:r>
        <w:rPr>
          <w:rFonts w:hint="eastAsia" w:ascii="宋体" w:hAnsi="宋体" w:eastAsia="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eastAsia="宋体" w:cs="宋体"/>
          <w:b/>
          <w:color w:val="auto"/>
          <w:szCs w:val="21"/>
          <w:highlight w:val="none"/>
        </w:rPr>
      </w:pPr>
      <w:r/>
      <w:bookmarkStart w:id="48" w:name="_Toc16938543"/>
      <w:r/>
      <w:bookmarkStart w:id="49" w:name="_Toc20823299"/>
      <w:r/>
      <w:bookmarkStart w:id="50" w:name="_Toc513029227"/>
      <w:r>
        <w:rPr>
          <w:rFonts w:hint="eastAsia" w:ascii="宋体" w:hAnsi="宋体" w:eastAsia="宋体" w:cs="宋体"/>
          <w:b/>
          <w:color w:val="auto"/>
          <w:szCs w:val="21"/>
          <w:highlight w:val="none"/>
        </w:rPr>
        <w:t xml:space="preserve">19、投标文件</w:t>
      </w:r>
      <w:bookmarkEnd w:id="48"/>
      <w:r/>
      <w:bookmarkEnd w:id="49"/>
      <w:r/>
      <w:bookmarkEnd w:id="50"/>
      <w:r>
        <w:rPr>
          <w:rFonts w:hint="eastAsia" w:ascii="宋体" w:hAnsi="宋体" w:eastAsia="宋体" w:cs="宋体"/>
          <w:b/>
          <w:color w:val="auto"/>
          <w:szCs w:val="21"/>
          <w:highlight w:val="none"/>
        </w:rPr>
        <w:t xml:space="preserve">的拒收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eastAsia="宋体" w:cs="宋体"/>
          <w:b/>
          <w:color w:val="auto"/>
          <w:szCs w:val="21"/>
          <w:highlight w:val="none"/>
        </w:rPr>
      </w:pPr>
      <w:r/>
      <w:bookmarkStart w:id="51" w:name="_Toc20823300"/>
      <w:r/>
      <w:bookmarkStart w:id="52" w:name="_Toc16938544"/>
      <w:r/>
      <w:bookmarkStart w:id="53" w:name="_Toc513029228"/>
      <w:r>
        <w:rPr>
          <w:rFonts w:hint="eastAsia" w:ascii="宋体" w:hAnsi="宋体" w:eastAsia="宋体" w:cs="宋体"/>
          <w:b/>
          <w:color w:val="auto"/>
          <w:szCs w:val="21"/>
          <w:highlight w:val="none"/>
        </w:rPr>
        <w:t xml:space="preserve">20、投标文件的撤回和修改</w:t>
      </w:r>
      <w:bookmarkEnd w:id="51"/>
      <w:r/>
      <w:bookmarkEnd w:id="52"/>
      <w:r/>
      <w:bookmarkEnd w:id="53"/>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 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20.1.1 电子投标文件的撤回</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20.2 投标文件的修改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21、开标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w:t>
      </w:r>
      <w:r>
        <w:rPr>
          <w:rFonts w:hint="eastAsia" w:ascii="宋体" w:hAnsi="宋体" w:eastAsia="宋体" w:cs="宋体"/>
          <w:b/>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22、评标委员会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22.1 开标后，代理机构将立即组织评标委员会（以下简称评委会）进行评标。</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22.2 评委会由采购人代表和有关技术、经济等方面的专家组成，且人员构成符合政府采购有关规定。</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22.3评委会独立工作，负责评审所有投标文件并确定中标候选人。</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23、评标过程的保密与公正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24、投标的澄清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    24.3 接到评委会澄清要求的投标人如未按规定做出澄清，其风险由投标人自行承担。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25、对投标文件的初审</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25.1投标文件初审分为资格审查和符合性审查。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26、无效投标、废标及投标人不足三家的处理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26.1无效投标条款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 投标人未成功解密电子投标文件的。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26.1.3投标人在报价时采用选择性报价的。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26.1.4投标人不具备招标文件中规定资格要求的。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26.1.6未通过符合性审查的。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26.1.7不符合招标文件中规定的其他实质性要求和条件的（</w:t>
      </w:r>
      <w:r>
        <w:rPr>
          <w:rFonts w:hint="eastAsia" w:ascii="宋体" w:hAnsi="宋体" w:eastAsia="宋体" w:cs="宋体"/>
          <w:bCs/>
          <w:i/>
          <w:iCs/>
          <w:color w:val="auto"/>
          <w:szCs w:val="21"/>
          <w:highlight w:val="none"/>
          <w:u w:val="single"/>
        </w:rPr>
        <w:t xml:space="preserve">本招标文件中斜体且有下划线部分为实质性要求和条件</w:t>
      </w:r>
      <w:r>
        <w:rPr>
          <w:rFonts w:hint="eastAsia" w:ascii="宋体" w:hAnsi="宋体" w:eastAsia="宋体" w:cs="宋体"/>
          <w:bCs/>
          <w:color w:val="auto"/>
          <w:szCs w:val="21"/>
          <w:highlight w:val="none"/>
        </w:rPr>
        <w:t xml:space="preserve">）。</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26.1.9  投标文件含有采购人不能接受的附加条件的。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26.1.12 投标文件未按照招标文件要求加盖电子签章。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26.1.13其他法律、法规及本招标文件规定的属无效投标的情形。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26.2废标条款：</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26.2.1符合专业条件的供应商或者对招标文件作实质响应的供应商不足三家的。26.2.2出现影响采购公正的违法、违规行为的。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26.2.3因重大变故，采购任务取消的。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27、确定中标单位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27.3代理机构将在</w:t>
      </w:r>
      <w:r>
        <w:rPr>
          <w:rFonts w:hint="eastAsia" w:ascii="宋体" w:hAnsi="宋体"/>
          <w:bCs/>
          <w:szCs w:val="21"/>
        </w:rPr>
        <w:t xml:space="preserve">“扬州市政府采购网”、“江苏省政府采购网”和“中国政府采购网”</w:t>
      </w:r>
      <w:r>
        <w:rPr>
          <w:rFonts w:hint="eastAsia" w:ascii="宋体" w:hAnsi="宋体" w:eastAsia="宋体" w:cs="宋体"/>
          <w:bCs/>
          <w:color w:val="auto"/>
          <w:szCs w:val="21"/>
          <w:highlight w:val="none"/>
        </w:rPr>
        <w:t xml:space="preserve">发布中标公告，公告期限为1个工作日。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27.4.1提供虚假材料谋取中标的；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27.4.5与采购人或者其他投标人恶意串通的；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27.4.6采取不正当手段诋毁、排挤其他供应商的；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27.4.7不符合法律、法规的规定的。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27.5.1不同投标人的投标文件由同一单位或者个人编制。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27.5.2不同投标人委托同一单位或者个人办理投标事宜。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27.5.3 不同投标人的投标文件载明的项目管理成员或者联系人员为同一人。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27.5.4不同投标人的投标文件异常一致或者投标报价呈规律性差异。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27.5.5不同投标人的投标文件相互混装。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28、质疑处理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28.2.2对采购过程提出质疑的，为各采购程序环节结束之日起7个工作日内提出。</w:t>
      </w:r>
      <w:r>
        <w:rPr>
          <w:rFonts w:hint="eastAsia" w:ascii="宋体" w:hAnsi="宋体" w:eastAsia="宋体" w:cs="宋体"/>
          <w:bCs/>
          <w:color w:val="auto"/>
          <w:szCs w:val="21"/>
          <w:highlight w:val="none"/>
        </w:rPr>
        <w:br/>
      </w:r>
      <w:r>
        <w:rPr>
          <w:rFonts w:hint="eastAsia" w:ascii="宋体" w:hAnsi="宋体" w:eastAsia="宋体" w:cs="宋体"/>
          <w:bCs/>
          <w:color w:val="auto"/>
          <w:szCs w:val="21"/>
          <w:highlight w:val="none"/>
        </w:rPr>
        <w:t xml:space="preserve">    28.2.3对中标结果提出质疑的，为中标结果公告期限届满之日起7个工作日内提出。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28.5 代理机构及采购人只接收以纸质原件形式送达的质疑。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 以下情形的质疑不予受理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28.8.2 超出政府采购法定期限的质疑。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29、中标通知书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30、 签订合同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30.l中标人应在中标通知书发出之日起十五日内，按照招标文件确定的事项与采购人签订政府采购合同。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30.3 合同在“政府采购管理交易系统（苏采云）”中签订，签订合同后，</w:t>
      </w:r>
      <w:r>
        <w:rPr>
          <w:rFonts w:hint="eastAsia" w:ascii="宋体" w:hAnsi="宋体" w:eastAsia="宋体" w:cs="宋体"/>
          <w:bCs/>
          <w:i/>
          <w:iCs/>
          <w:color w:val="auto"/>
          <w:szCs w:val="21"/>
          <w:highlight w:val="none"/>
          <w:u w:val="single"/>
        </w:rPr>
        <w:t xml:space="preserve">中标人不得将货物或服务及其他服务进行转包</w:t>
      </w:r>
      <w:r>
        <w:rPr>
          <w:rFonts w:hint="eastAsia" w:ascii="宋体" w:hAnsi="宋体"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31、电子投标文件要求</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31.1</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color w:val="auto"/>
          <w:szCs w:val="21"/>
          <w:highlight w:val="none"/>
        </w:rPr>
        <w:t xml:space="preserve">相关要求是本招标文件的组成部分。</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31.2投标人应对 CA 证书妥善保管，如被他人盗用投标，因此带来的结果均由投标人自行承担。</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31.3投标人应当对招标文件提出的要求和条件作出实质性响应，并在电子投标系统逐条应答。</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提交投标文件的截止时间（投标截止时间）</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32.2各投标人应在规定时间内凭CA证书进行网上解密。</w:t>
      </w:r>
      <w:r/>
    </w:p>
    <w:p>
      <w:pPr>
        <w:ind w:firstLine="422"/>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highlight w:val="none"/>
        </w:rPr>
        <w:t xml:space="preserve">33、其他</w:t>
      </w:r>
      <w:r>
        <w:rPr>
          <w:rFonts w:hint="eastAsia" w:ascii="宋体" w:hAnsi="宋体" w:eastAsia="宋体" w:cs="宋体"/>
          <w:color w:val="auto"/>
          <w:highlight w:val="none"/>
        </w:rPr>
        <w:br/>
      </w:r>
      <w:r>
        <w:rPr>
          <w:rFonts w:hint="eastAsia" w:ascii="宋体" w:hAnsi="宋体" w:eastAsia="宋体" w:cs="宋体"/>
          <w:color w:val="auto"/>
          <w:highlight w:val="none"/>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pStyle w:val="685"/>
        <w:jc w:val="center"/>
        <w:spacing w:line="360" w:lineRule="auto"/>
        <w:rPr>
          <w:rFonts w:hint="eastAsia" w:ascii="宋体" w:hAnsi="宋体" w:eastAsia="宋体" w:cs="宋体"/>
          <w:color w:val="auto"/>
          <w:szCs w:val="36"/>
          <w:highlight w:val="none"/>
        </w:rPr>
      </w:pPr>
      <w:r/>
      <w:bookmarkStart w:id="54" w:name="_Toc1"/>
      <w:r/>
      <w:bookmarkStart w:id="55" w:name="_Toc55204179"/>
      <w:r/>
      <w:bookmarkStart w:id="56" w:name="_Hlk69392822"/>
      <w:r>
        <w:rPr>
          <w:rFonts w:hint="eastAsia" w:ascii="宋体" w:hAnsi="宋体" w:eastAsia="宋体" w:cs="宋体"/>
          <w:color w:val="auto"/>
          <w:szCs w:val="36"/>
          <w:highlight w:val="none"/>
        </w:rPr>
        <w:t xml:space="preserve">第三章 合同条款及格式</w:t>
      </w:r>
      <w:bookmarkEnd w:id="54"/>
      <w:r/>
      <w:bookmarkEnd w:id="55"/>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705"/>
        <w:ind w:firstLine="422"/>
        <w:jc w:val="center"/>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扬州市邗江生态环境局噪声自动监测站建设项目</w:t>
      </w:r>
      <w:r>
        <w:rPr>
          <w:rFonts w:hint="eastAsia" w:ascii="宋体" w:hAnsi="宋体" w:eastAsia="宋体" w:cs="宋体"/>
          <w:color w:val="auto"/>
          <w:sz w:val="21"/>
          <w:highlight w:val="none"/>
        </w:rPr>
        <w:t xml:space="preserve">               </w:t>
      </w:r>
      <w:r/>
    </w:p>
    <w:p>
      <w:pPr>
        <w:pStyle w:val="705"/>
        <w:ind w:firstLine="420"/>
        <w:spacing w:before="120" w:after="120"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项目编号：</w:t>
      </w:r>
      <w:r>
        <w:rPr>
          <w:rFonts w:hint="eastAsia" w:ascii="宋体" w:hAnsi="宋体" w:eastAsia="宋体" w:cs="宋体"/>
          <w:color w:val="auto"/>
          <w:sz w:val="21"/>
          <w:highlight w:val="none"/>
          <w:lang w:eastAsia="zh-CN"/>
        </w:rPr>
        <w:t xml:space="preserve">JSZC-321003-JSOM-G2024-0001</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甲方：（买方）扬州市邗江生态环境局</w:t>
      </w:r>
      <w:r/>
    </w:p>
    <w:p>
      <w:pPr>
        <w:pStyle w:val="705"/>
        <w:ind w:firstLine="420"/>
        <w:spacing w:before="120" w:after="120"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乙方：（卖方）</w:t>
      </w:r>
      <w:r>
        <w:rPr>
          <w:rFonts w:hint="eastAsia" w:hAnsi="宋体" w:cs="宋体"/>
          <w:color w:val="auto"/>
          <w:sz w:val="21"/>
          <w:highlight w:val="none"/>
          <w:u w:val="single"/>
          <w:lang w:val="en-US" w:eastAsia="zh-CN"/>
        </w:rPr>
        <w:t xml:space="preserve">                            </w:t>
      </w:r>
      <w:r/>
    </w:p>
    <w:p>
      <w:pPr>
        <w:pStyle w:val="705"/>
        <w:ind w:firstLine="420"/>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见证方：</w:t>
      </w:r>
      <w:r>
        <w:rPr>
          <w:rFonts w:hint="eastAsia" w:hAnsi="宋体" w:cs="宋体"/>
          <w:color w:val="auto"/>
          <w:sz w:val="21"/>
          <w:highlight w:val="none"/>
          <w:lang w:eastAsia="zh-CN"/>
        </w:rPr>
        <w:t xml:space="preserve">江苏欧密迦项目管理咨询有限公司</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w:t>
      </w:r>
      <w:r>
        <w:rPr>
          <w:rFonts w:hint="eastAsia" w:hAnsi="宋体" w:cs="宋体"/>
          <w:color w:val="auto"/>
          <w:sz w:val="21"/>
          <w:highlight w:val="none"/>
          <w:lang w:eastAsia="zh-CN"/>
        </w:rPr>
        <w:t xml:space="preserve">江苏欧密迦项目管理咨询有限公司</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2.1本合同金额为（大写）：___________________圆（_______________元）人民币。</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6.3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6.4 履约保证金收取：无</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7.1本合同范围的货物及服务，应由乙方直接供应，不得转让他人供应；</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hAnsi="宋体" w:cs="宋体"/>
          <w:color w:val="auto"/>
          <w:sz w:val="21"/>
          <w:highlight w:val="none"/>
          <w:u w:val="single"/>
          <w:lang w:val="en-US" w:eastAsia="zh-CN"/>
        </w:rPr>
        <w:t xml:space="preserve">1</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年。（自交货验收合格之日起计含免费运维</w:t>
      </w:r>
      <w:r>
        <w:rPr>
          <w:rFonts w:hint="eastAsia" w:hAnsi="宋体" w:cs="宋体"/>
          <w:color w:val="auto"/>
          <w:sz w:val="21"/>
          <w:highlight w:val="none"/>
          <w:lang w:val="en-US" w:eastAsia="zh-CN"/>
        </w:rPr>
        <w:t xml:space="preserve">1</w:t>
      </w:r>
      <w:r>
        <w:rPr>
          <w:rFonts w:hint="eastAsia" w:ascii="宋体" w:hAnsi="宋体" w:eastAsia="宋体" w:cs="宋体"/>
          <w:color w:val="auto"/>
          <w:sz w:val="21"/>
          <w:highlight w:val="none"/>
        </w:rPr>
        <w:t xml:space="preserve">年）</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pStyle w:val="705"/>
        <w:ind w:firstLine="420"/>
        <w:spacing w:before="120" w:after="120"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9.1 交付期：</w:t>
      </w:r>
      <w:r>
        <w:rPr>
          <w:rFonts w:hint="eastAsia" w:hAnsi="宋体" w:cs="宋体"/>
          <w:color w:val="auto"/>
          <w:sz w:val="21"/>
          <w:highlight w:val="none"/>
          <w:u w:val="single"/>
          <w:lang w:val="en-US" w:eastAsia="zh-CN"/>
        </w:rPr>
        <w:t xml:space="preserve">          </w:t>
      </w:r>
      <w:r/>
    </w:p>
    <w:p>
      <w:pPr>
        <w:pStyle w:val="705"/>
        <w:ind w:firstLine="420"/>
        <w:spacing w:before="120" w:after="120"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9.2 交付方式：</w:t>
      </w:r>
      <w:r>
        <w:rPr>
          <w:rFonts w:hint="eastAsia" w:hAnsi="宋体" w:cs="宋体"/>
          <w:color w:val="auto"/>
          <w:sz w:val="21"/>
          <w:highlight w:val="none"/>
          <w:u w:val="single"/>
          <w:lang w:val="en-US" w:eastAsia="zh-CN"/>
        </w:rPr>
        <w:t xml:space="preserve">         </w:t>
      </w:r>
      <w:r/>
    </w:p>
    <w:p>
      <w:pPr>
        <w:pStyle w:val="705"/>
        <w:ind w:firstLine="420"/>
        <w:spacing w:before="120" w:after="120" w:line="360" w:lineRule="auto"/>
        <w:rPr>
          <w:rFonts w:hint="default" w:ascii="宋体" w:hAnsi="宋体" w:eastAsia="宋体" w:cs="宋体"/>
          <w:color w:val="auto"/>
          <w:sz w:val="21"/>
          <w:highlight w:val="none"/>
          <w:lang w:val="en-US" w:eastAsia="zh-CN"/>
        </w:rPr>
      </w:pPr>
      <w:r>
        <w:rPr>
          <w:rFonts w:hint="eastAsia" w:ascii="宋体" w:hAnsi="宋体" w:eastAsia="宋体" w:cs="宋体"/>
          <w:color w:val="auto"/>
          <w:sz w:val="21"/>
          <w:highlight w:val="none"/>
        </w:rPr>
        <w:t xml:space="preserve">9.3 交付地点：</w:t>
      </w:r>
      <w:r>
        <w:rPr>
          <w:rFonts w:hint="eastAsia" w:hAnsi="宋体" w:cs="宋体"/>
          <w:color w:val="auto"/>
          <w:sz w:val="21"/>
          <w:highlight w:val="none"/>
          <w:u w:val="single"/>
          <w:lang w:val="en-US" w:eastAsia="zh-CN"/>
        </w:rPr>
        <w:t xml:space="preserve">          </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10.3 甲方付款方式：</w:t>
      </w:r>
      <w:r/>
    </w:p>
    <w:p>
      <w:pPr>
        <w:pStyle w:val="705"/>
        <w:ind w:firstLine="420"/>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合同签订，甲方自收到发票之日起10个工作日内，支付乙方合同总价30%的预付款；</w:t>
      </w:r>
      <w:r/>
    </w:p>
    <w:p>
      <w:pPr>
        <w:pStyle w:val="705"/>
        <w:ind w:firstLine="420"/>
        <w:spacing w:before="120" w:after="120"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项目开始试运行(货到验收合格)甲方自收到发票后15天内，支付乙方合同总价的  60%；运维满一年后，甲方自收到发票后15天内，支付乙方合同总价的10 %（不计息）。</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如在使用过程中发生质量问题，乙方在接到甲方通知后在______小时内到达甲方现场。</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12.5上述的货物及服务免费保修期为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年，因人为因素出现的故障不在免费保修范围内。超过保修期的机器设备，终生维修，维修时只收部件成本费。</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13.4 对技术复杂的货物及服务，甲方可请国家认可的专业检测机构参与初步验收及最终验收，并由其出具质量检测报告。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13.5 验收时乙方必须在现场，验收完毕后作出验收结果报告；验收费用由甲乙双方协商解决。</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14.3乙方在货物及服务发运手续办理完毕后24小时内或交付到甲方48小时前通知甲方，以准备接受交付。</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05"/>
        <w:ind w:firstLine="422"/>
        <w:spacing w:before="120" w:after="120" w:line="360" w:lineRule="auto"/>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合同经双方法定代表人签章并加盖单位公章，并经</w:t>
      </w:r>
      <w:r>
        <w:rPr>
          <w:rFonts w:hint="eastAsia" w:hAnsi="宋体" w:cs="宋体"/>
          <w:color w:val="auto"/>
          <w:sz w:val="21"/>
          <w:highlight w:val="none"/>
          <w:lang w:eastAsia="zh-CN"/>
        </w:rPr>
        <w:t xml:space="preserve">江苏欧密迦项目管理咨询有限公司</w:t>
      </w:r>
      <w:r>
        <w:rPr>
          <w:rFonts w:hint="eastAsia" w:ascii="宋体" w:hAnsi="宋体" w:eastAsia="宋体" w:cs="宋体"/>
          <w:color w:val="auto"/>
          <w:sz w:val="21"/>
          <w:highlight w:val="none"/>
        </w:rPr>
        <w:t xml:space="preserve">见证盖章后生效。</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19.2本合同未尽事宜，遵照《民法典》有关条文执行。</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本合同正本一式四份，具有同等法律效力，甲方、乙方、见证方及财政监管部门（扬州市邗江区财政局政府采购管理处）各执一份。  </w:t>
      </w:r>
      <w:r/>
    </w:p>
    <w:tbl>
      <w:tblPr>
        <w:tblStyle w:val="695"/>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甲方：扬州市邗江生态环境局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tc>
      </w:tr>
    </w:tbl>
    <w:p>
      <w:pPr>
        <w:pStyle w:val="705"/>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05"/>
        <w:spacing w:before="120" w:after="120" w:line="360" w:lineRule="auto"/>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  见证方：</w:t>
      </w:r>
      <w:r>
        <w:rPr>
          <w:rFonts w:hint="eastAsia" w:hAnsi="宋体" w:cs="宋体"/>
          <w:color w:val="auto"/>
          <w:sz w:val="21"/>
          <w:highlight w:val="none"/>
          <w:lang w:eastAsia="zh-CN"/>
        </w:rPr>
        <w:t xml:space="preserve">江苏欧密迦项目管理咨询有限公司</w:t>
      </w:r>
      <w:r/>
    </w:p>
    <w:p>
      <w:pPr>
        <w:pStyle w:val="705"/>
        <w:ind w:firstLine="21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项目经办人：</w:t>
      </w:r>
      <w:r/>
    </w:p>
    <w:p>
      <w:pPr>
        <w:pStyle w:val="705"/>
        <w:ind w:firstLine="21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56"/>
      <w:r/>
      <w:r/>
    </w:p>
    <w:p>
      <w:pPr>
        <w:pStyle w:val="685"/>
        <w:numPr>
          <w:ilvl w:val="0"/>
          <w:numId w:val="0"/>
        </w:numPr>
        <w:jc w:val="center"/>
        <w:spacing w:line="360" w:lineRule="auto"/>
        <w:rPr>
          <w:rFonts w:hint="eastAsia" w:ascii="宋体" w:hAnsi="宋体" w:eastAsia="宋体" w:cs="宋体"/>
          <w:color w:val="auto"/>
          <w:highlight w:val="none"/>
        </w:rPr>
      </w:pPr>
      <w:r/>
      <w:bookmarkStart w:id="57" w:name="_Toc27903"/>
      <w:r>
        <w:rPr>
          <w:rFonts w:hint="eastAsia" w:ascii="宋体" w:hAnsi="宋体" w:eastAsia="宋体" w:cs="宋体"/>
          <w:b/>
          <w:bCs/>
          <w:color w:val="auto"/>
          <w:sz w:val="44"/>
          <w:szCs w:val="44"/>
          <w:highlight w:val="none"/>
          <w:lang w:val="en-US" w:eastAsia="zh-CN" w:bidi="ar-SA"/>
        </w:rPr>
        <w:t xml:space="preserve">第四章</w:t>
      </w:r>
      <w:r>
        <w:rPr>
          <w:rFonts w:hint="eastAsia" w:ascii="宋体" w:hAnsi="宋体" w:eastAsia="宋体" w:cs="宋体"/>
          <w:color w:val="auto"/>
          <w:highlight w:val="none"/>
        </w:rPr>
        <w:t xml:space="preserve">项目需求</w:t>
      </w:r>
      <w:bookmarkEnd w:id="57"/>
      <w:r/>
      <w:r/>
    </w:p>
    <w:p>
      <w:pPr>
        <w:numPr>
          <w:ilvl w:val="0"/>
          <w:numId w:val="0"/>
        </w:numPr>
        <w:ind w:firstLine="422"/>
        <w:spacing w:line="420" w:lineRule="exact"/>
        <w:rPr>
          <w:rFonts w:hint="eastAsia" w:ascii="宋体" w:hAnsi="宋体" w:eastAsia="宋体" w:cs="宋体"/>
          <w:b/>
          <w:color w:val="auto"/>
          <w:szCs w:val="21"/>
          <w:highlight w:val="none"/>
        </w:rPr>
      </w:pPr>
      <w:r/>
      <w:bookmarkStart w:id="58" w:name="_Toc13642116"/>
      <w:r>
        <w:rPr>
          <w:rFonts w:hint="eastAsia" w:ascii="宋体" w:hAnsi="宋体" w:eastAsia="宋体" w:cs="宋体"/>
          <w:b/>
          <w:color w:val="auto"/>
          <w:sz w:val="21"/>
          <w:szCs w:val="21"/>
          <w:lang w:val="en-US" w:eastAsia="zh-CN" w:bidi="ar-SA"/>
        </w:rPr>
        <w:t xml:space="preserve">一、</w:t>
      </w:r>
      <w:r>
        <w:rPr>
          <w:rFonts w:hint="eastAsia" w:ascii="宋体" w:hAnsi="宋体" w:eastAsia="宋体" w:cs="宋体"/>
          <w:b/>
          <w:color w:val="auto"/>
          <w:szCs w:val="21"/>
          <w:highlight w:val="none"/>
        </w:rPr>
        <w:t xml:space="preserve">项目简介</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进一步完善扬州市邗江区声环境监测网络，客观全面评价邗江区声环境质量状况及变化趋势，拟开展邗江区功能区声环境自动监测系统建设，建成4个声环境监测点位建设噪声自动监测站，并与省市平台联网上传，配合完成扬州市声功能区建设任务，为国家2025年声功能区达标考核准备。</w:t>
      </w:r>
      <w:r/>
    </w:p>
    <w:p>
      <w:pPr>
        <w:numPr>
          <w:ilvl w:val="0"/>
          <w:numId w:val="0"/>
        </w:numPr>
        <w:ind w:firstLine="422"/>
        <w:spacing w:line="420" w:lineRule="exact"/>
        <w:rPr>
          <w:rFonts w:hint="eastAsia" w:ascii="宋体" w:hAnsi="宋体" w:eastAsia="宋体" w:cs="宋体"/>
          <w:b/>
          <w:color w:val="auto"/>
          <w:szCs w:val="21"/>
          <w:highlight w:val="none"/>
        </w:rPr>
      </w:pPr>
      <w:r>
        <w:rPr>
          <w:rFonts w:hint="eastAsia" w:ascii="宋体" w:hAnsi="宋体" w:eastAsia="宋体" w:cs="宋体"/>
          <w:b/>
          <w:color w:val="auto"/>
          <w:sz w:val="21"/>
          <w:szCs w:val="21"/>
          <w:lang w:val="en-US" w:eastAsia="zh-CN" w:bidi="ar-SA"/>
        </w:rPr>
        <w:t xml:space="preserve">二、</w:t>
      </w:r>
      <w:r>
        <w:rPr>
          <w:rFonts w:hint="eastAsia" w:ascii="宋体" w:hAnsi="宋体" w:eastAsia="宋体" w:cs="宋体"/>
          <w:b/>
          <w:color w:val="auto"/>
          <w:szCs w:val="21"/>
          <w:highlight w:val="none"/>
        </w:rPr>
        <w:t xml:space="preserve">项目清单：</w:t>
      </w:r>
      <w:bookmarkEnd w:id="58"/>
      <w:r/>
      <w:r/>
    </w:p>
    <w:p>
      <w:pPr>
        <w:numPr>
          <w:ilvl w:val="0"/>
          <w:numId w:val="0"/>
        </w:numPr>
        <w:ind w:firstLine="632"/>
        <w:jc w:val="center"/>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采购清单</w:t>
      </w:r>
      <w:r/>
    </w:p>
    <w:tbl>
      <w:tblPr>
        <w:tblStyle w:val="695"/>
        <w:tblW w:w="82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6"/>
        <w:gridCol w:w="2720"/>
        <w:gridCol w:w="1684"/>
        <w:gridCol w:w="3045"/>
      </w:tblGrid>
      <w:tr>
        <w:trPr>
          <w:trHeight w:val="567"/>
        </w:trPr>
        <w:tc>
          <w:tcPr>
            <w:shd w:val="clear" w:color="auto" w:fill="auto"/>
            <w:tcW w:w="836" w:type="dxa"/>
            <w:vAlign w:val="center"/>
            <w:textDirection w:val="lrTb"/>
            <w:noWrap w:val="false"/>
          </w:tcPr>
          <w:p>
            <w:pPr>
              <w:jc w:val="center"/>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序号</w:t>
            </w:r>
            <w:r/>
          </w:p>
        </w:tc>
        <w:tc>
          <w:tcPr>
            <w:shd w:val="clear" w:color="auto" w:fill="auto"/>
            <w:tcW w:w="2720" w:type="dxa"/>
            <w:vAlign w:val="center"/>
            <w:textDirection w:val="lrTb"/>
            <w:noWrap w:val="false"/>
          </w:tcPr>
          <w:p>
            <w:pPr>
              <w:jc w:val="center"/>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货物名称</w:t>
            </w:r>
            <w:r/>
          </w:p>
        </w:tc>
        <w:tc>
          <w:tcPr>
            <w:shd w:val="clear" w:color="auto" w:fill="auto"/>
            <w:tcW w:w="1684" w:type="dxa"/>
            <w:vAlign w:val="center"/>
            <w:textDirection w:val="lrTb"/>
            <w:noWrap w:val="false"/>
          </w:tcPr>
          <w:p>
            <w:pPr>
              <w:jc w:val="center"/>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数量单位</w:t>
            </w:r>
            <w:r/>
          </w:p>
        </w:tc>
        <w:tc>
          <w:tcPr>
            <w:shd w:val="clear" w:color="auto" w:fill="auto"/>
            <w:tcW w:w="3045" w:type="dxa"/>
            <w:vAlign w:val="center"/>
            <w:textDirection w:val="lrTb"/>
            <w:noWrap w:val="false"/>
          </w:tcPr>
          <w:p>
            <w:pPr>
              <w:jc w:val="center"/>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备注</w:t>
            </w:r>
            <w:r/>
          </w:p>
        </w:tc>
      </w:tr>
      <w:tr>
        <w:trPr>
          <w:trHeight w:val="567"/>
        </w:trPr>
        <w:tc>
          <w:tcPr>
            <w:shd w:val="clear" w:color="auto" w:fill="auto"/>
            <w:tcW w:w="8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auto"/>
            <w:tcW w:w="272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环境噪声自动监测站</w:t>
            </w:r>
            <w:r/>
          </w:p>
        </w:tc>
        <w:tc>
          <w:tcPr>
            <w:shd w:val="clear" w:color="auto" w:fill="auto"/>
            <w:tcW w:w="16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4套</w:t>
            </w:r>
            <w:r/>
          </w:p>
        </w:tc>
        <w:tc>
          <w:tcPr>
            <w:shd w:val="clear" w:color="auto" w:fill="auto"/>
            <w:tcW w:w="30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核心产品</w:t>
            </w:r>
            <w:r/>
          </w:p>
        </w:tc>
      </w:tr>
      <w:tr>
        <w:trPr>
          <w:trHeight w:val="567"/>
        </w:trPr>
        <w:tc>
          <w:tcPr>
            <w:shd w:val="clear" w:color="auto" w:fill="auto"/>
            <w:tcW w:w="8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auto"/>
            <w:tcW w:w="272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气象自动监测仪</w:t>
            </w:r>
            <w:r/>
          </w:p>
        </w:tc>
        <w:tc>
          <w:tcPr>
            <w:shd w:val="clear" w:color="auto" w:fill="auto"/>
            <w:tcW w:w="16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4套</w:t>
            </w:r>
            <w:r/>
          </w:p>
        </w:tc>
        <w:tc>
          <w:tcPr>
            <w:shd w:val="clear" w:color="auto" w:fill="auto"/>
            <w:tcW w:w="30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trHeight w:val="567"/>
        </w:trPr>
        <w:tc>
          <w:tcPr>
            <w:shd w:val="clear" w:color="auto" w:fill="auto"/>
            <w:tcW w:w="8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auto"/>
            <w:tcW w:w="272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手持式比对声级计（含标准声源）</w:t>
            </w:r>
            <w:r/>
          </w:p>
        </w:tc>
        <w:tc>
          <w:tcPr>
            <w:shd w:val="clear" w:color="auto" w:fill="auto"/>
            <w:tcW w:w="16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1套</w:t>
            </w:r>
            <w:r/>
          </w:p>
        </w:tc>
        <w:tc>
          <w:tcPr>
            <w:shd w:val="clear" w:color="auto" w:fill="auto"/>
            <w:tcW w:w="30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r>
        <w:trPr>
          <w:trHeight w:val="567"/>
        </w:trPr>
        <w:tc>
          <w:tcPr>
            <w:shd w:val="clear" w:color="auto" w:fill="auto"/>
            <w:tcW w:w="83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auto"/>
            <w:tcW w:w="272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运行维护技术服务</w:t>
            </w:r>
            <w:r/>
          </w:p>
        </w:tc>
        <w:tc>
          <w:tcPr>
            <w:shd w:val="clear" w:color="auto" w:fill="auto"/>
            <w:tcW w:w="16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1年</w:t>
            </w:r>
            <w:r/>
          </w:p>
        </w:tc>
        <w:tc>
          <w:tcPr>
            <w:shd w:val="clear" w:color="auto" w:fill="auto"/>
            <w:tcW w:w="304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r>
    </w:tbl>
    <w:p>
      <w:pPr>
        <w:pStyle w:val="686"/>
        <w:numPr>
          <w:ilvl w:val="0"/>
          <w:numId w:val="0"/>
        </w:numPr>
        <w:ind w:left="440" w:hanging="440"/>
        <w:jc w:val="left"/>
        <w:spacing w:before="0" w:after="0" w:line="360" w:lineRule="auto"/>
        <w:rPr>
          <w:rFonts w:ascii="宋体" w:hAnsi="宋体" w:eastAsia="宋体"/>
          <w:sz w:val="28"/>
          <w:szCs w:val="28"/>
        </w:rPr>
      </w:pPr>
      <w:r>
        <w:rPr>
          <w:rFonts w:hint="eastAsia" w:ascii="宋体" w:hAnsi="宋体" w:eastAsia="宋体" w:cstheme="majorBidi"/>
          <w:b/>
          <w:bCs/>
          <w:sz w:val="28"/>
          <w:szCs w:val="28"/>
          <w:lang w:val="en-US" w:eastAsia="zh-CN" w:bidi="ar-SA"/>
          <w14:ligatures w14:val="standardContextual"/>
        </w:rPr>
        <w:t xml:space="preserve">(二)</w:t>
      </w:r>
      <w:r>
        <w:rPr>
          <w:rFonts w:hint="eastAsia" w:ascii="宋体" w:hAnsi="宋体" w:eastAsia="宋体"/>
          <w:sz w:val="28"/>
          <w:szCs w:val="28"/>
        </w:rPr>
        <w:t xml:space="preserve">技术要求</w:t>
      </w:r>
      <w:r/>
    </w:p>
    <w:p>
      <w:pPr>
        <w:pStyle w:val="705"/>
        <w:ind w:firstLine="420"/>
        <w:spacing w:before="120" w:after="120" w:line="360" w:lineRule="auto"/>
        <w:rPr>
          <w:rFonts w:hint="eastAsia" w:ascii="宋体" w:hAnsi="宋体" w:eastAsia="宋体" w:cs="宋体"/>
          <w:i/>
          <w:iCs/>
          <w:color w:val="auto"/>
          <w:sz w:val="21"/>
          <w:highlight w:val="none"/>
          <w:u w:val="single"/>
        </w:rPr>
      </w:pPr>
      <w:r>
        <w:rPr>
          <w:rFonts w:hint="eastAsia" w:ascii="宋体" w:hAnsi="宋体" w:eastAsia="宋体" w:cs="宋体"/>
          <w:i/>
          <w:iCs/>
          <w:color w:val="auto"/>
          <w:sz w:val="21"/>
          <w:highlight w:val="none"/>
          <w:u w:val="single"/>
        </w:rPr>
        <w:t xml:space="preserve">本章技术规格项中如要求提供说明书、检定报告或检测测试报告等证明材料的，相关材料中的设备型号需与投标产品型号一致，否则视同无效证明。</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声环境功能区自动监测站项目建设应满足《环境噪声监测技术规范城市声环境常规监测》（HJ640-2012）、《功能区声环境质量自动监测技术规范》（HJ906-2017）、《环境噪声自动监测系统技术要求》（HJ907-2017）和《功能区声环境质量自动监测能力建设技术要求》（总站物字（2023）13号）等文件要求。</w:t>
      </w:r>
      <w:r/>
    </w:p>
    <w:p>
      <w:pPr>
        <w:pStyle w:val="687"/>
        <w:numPr>
          <w:ilvl w:val="0"/>
          <w:numId w:val="2"/>
        </w:numPr>
        <w:spacing w:before="0" w:after="0" w:line="360" w:lineRule="auto"/>
        <w:rPr>
          <w:rFonts w:ascii="宋体" w:hAnsi="宋体" w:eastAsia="宋体"/>
          <w:sz w:val="24"/>
          <w:szCs w:val="24"/>
        </w:rPr>
      </w:pPr>
      <w:r>
        <w:rPr>
          <w:rFonts w:hint="eastAsia" w:ascii="宋体" w:hAnsi="宋体" w:eastAsia="宋体"/>
          <w:sz w:val="24"/>
          <w:szCs w:val="24"/>
        </w:rPr>
        <w:t xml:space="preserve">环境噪声自动监测站</w:t>
      </w:r>
      <w:r/>
    </w:p>
    <w:p>
      <w:pPr>
        <w:contextualSpacing/>
        <w:ind w:firstLine="482"/>
        <w:spacing w:line="360" w:lineRule="auto"/>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1.1总体要求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1.1.1.环境噪声自动监测站应符合市场监督管理部门的计量器具要求，仪器本身上应标有仪器名称、型号、生产单位、出厂编号、制造日期、准确度等级和制造商等；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▲1.1.2.环境</w:t>
      </w:r>
      <w:r>
        <w:rPr>
          <w:rFonts w:hint="eastAsia" w:ascii="宋体" w:hAnsi="宋体" w:eastAsia="宋体" w:cs="宋体"/>
          <w:color w:val="auto"/>
          <w:sz w:val="21"/>
          <w:highlight w:val="none"/>
          <w:lang w:val="zh-CN"/>
        </w:rPr>
        <w:t xml:space="preserve">噪声自动监测</w:t>
      </w:r>
      <w:r>
        <w:rPr>
          <w:rFonts w:hint="eastAsia" w:ascii="宋体" w:hAnsi="宋体" w:eastAsia="宋体" w:cs="宋体"/>
          <w:color w:val="auto"/>
          <w:sz w:val="21"/>
          <w:highlight w:val="none"/>
        </w:rPr>
        <w:t xml:space="preserve">仪应满足《功能区声环境质量自动监测能力建设技术要求》（总站物字（2023）13号）仪器设备选型中相关要求，所提供仪器设备名称型号应该在《环境噪声自动监测仪适用性检测合格名录》内（提供投标产品生态环境部环境监测仪器质量监督检测中心出具的检测报告和列入环境噪声自动监测仪适用性检测合格名录依据）；</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rPr>
        <w:t xml:space="preserve">▲1.1.3.环境</w:t>
      </w:r>
      <w:r>
        <w:rPr>
          <w:rFonts w:hint="eastAsia" w:ascii="宋体" w:hAnsi="宋体" w:eastAsia="宋体" w:cs="宋体"/>
          <w:color w:val="auto"/>
          <w:sz w:val="21"/>
          <w:highlight w:val="none"/>
          <w:lang w:val="zh-CN"/>
        </w:rPr>
        <w:t xml:space="preserve">噪声自动监测</w:t>
      </w:r>
      <w:r>
        <w:rPr>
          <w:rFonts w:hint="eastAsia" w:ascii="宋体" w:hAnsi="宋体" w:eastAsia="宋体" w:cs="宋体"/>
          <w:color w:val="auto"/>
          <w:sz w:val="21"/>
          <w:highlight w:val="none"/>
        </w:rPr>
        <w:t xml:space="preserve">仪</w:t>
      </w:r>
      <w:r>
        <w:rPr>
          <w:rFonts w:hint="eastAsia" w:ascii="宋体" w:hAnsi="宋体" w:eastAsia="宋体" w:cs="宋体"/>
          <w:color w:val="auto"/>
          <w:sz w:val="21"/>
          <w:highlight w:val="none"/>
          <w:lang w:val="zh-CN"/>
        </w:rPr>
        <w:t xml:space="preserve">应整体通过型式评价试验，取得整机型式评价证书</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型式评价报告中样机照片须包含风罩、传声器、主机、线缆、电源等</w:t>
      </w:r>
      <w:r>
        <w:rPr>
          <w:rFonts w:hint="eastAsia" w:ascii="宋体" w:hAnsi="宋体" w:eastAsia="宋体" w:cs="宋体"/>
          <w:color w:val="auto"/>
          <w:sz w:val="21"/>
          <w:highlight w:val="none"/>
        </w:rPr>
        <w:t xml:space="preserve">）（提供投标产品的计量器具型式批准证书和计量器具型式评价报告</w:t>
      </w:r>
      <w:r>
        <w:rPr>
          <w:rFonts w:hint="eastAsia" w:ascii="宋体" w:hAnsi="宋体" w:eastAsia="宋体" w:cs="宋体"/>
          <w:color w:val="auto"/>
          <w:sz w:val="21"/>
          <w:highlight w:val="none"/>
          <w:lang w:val="zh-CN"/>
        </w:rPr>
        <w:t xml:space="preserve">）；</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rPr>
        <w:t xml:space="preserve">1.1.4.计量要求：环境</w:t>
      </w:r>
      <w:r>
        <w:rPr>
          <w:rFonts w:hint="eastAsia" w:ascii="宋体" w:hAnsi="宋体" w:eastAsia="宋体" w:cs="宋体"/>
          <w:color w:val="auto"/>
          <w:sz w:val="21"/>
          <w:highlight w:val="none"/>
          <w:lang w:val="zh-CN"/>
        </w:rPr>
        <w:t xml:space="preserve">噪声自动监测</w:t>
      </w:r>
      <w:r>
        <w:rPr>
          <w:rFonts w:hint="eastAsia" w:ascii="宋体" w:hAnsi="宋体" w:eastAsia="宋体" w:cs="宋体"/>
          <w:color w:val="auto"/>
          <w:sz w:val="21"/>
          <w:highlight w:val="none"/>
        </w:rPr>
        <w:t xml:space="preserve">仪</w:t>
      </w:r>
      <w:r>
        <w:rPr>
          <w:rFonts w:hint="eastAsia" w:ascii="宋体" w:hAnsi="宋体" w:eastAsia="宋体" w:cs="宋体"/>
          <w:color w:val="auto"/>
          <w:sz w:val="21"/>
          <w:highlight w:val="none"/>
          <w:lang w:val="zh-CN"/>
        </w:rPr>
        <w:t xml:space="preserve">应符合《环境噪声自动监测仪检定规程》（JJG1095-2014）1级；</w:t>
      </w:r>
      <w:r>
        <w:rPr>
          <w:rFonts w:hint="eastAsia" w:ascii="宋体" w:hAnsi="宋体" w:eastAsia="宋体" w:cs="宋体"/>
          <w:color w:val="auto"/>
          <w:sz w:val="21"/>
          <w:highlight w:val="none"/>
        </w:rPr>
        <w:t xml:space="preserve">（提供省级及以上机构提供的检定证书）</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1.2环境噪声自动监测站环境条件要求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环境噪声自动监测仪在以下环境条件中应能正常工作：</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1.2.1．环境温度：-30-50℃</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1.2.2．环境相对湿度：0-100%（不凝结）；</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1.2.3.环境压力：70-100kPa。</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1.2.4.户外传声器具有防风防雨设计，</w:t>
      </w:r>
      <w:r>
        <w:rPr>
          <w:rFonts w:hint="eastAsia" w:ascii="宋体" w:hAnsi="宋体" w:eastAsia="宋体" w:cs="宋体"/>
          <w:color w:val="auto"/>
          <w:sz w:val="21"/>
          <w:highlight w:val="none"/>
          <w:lang w:val="zh-CN"/>
        </w:rPr>
        <w:t xml:space="preserve">户外风罩的声衰减在风速10米/秒时应</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3</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lang w:val="zh-CN"/>
        </w:rPr>
        <w:t xml:space="preserve">dB</w:t>
      </w:r>
      <w:r>
        <w:rPr>
          <w:rFonts w:hint="eastAsia" w:ascii="宋体" w:hAnsi="宋体" w:eastAsia="宋体" w:cs="宋体"/>
          <w:color w:val="auto"/>
          <w:sz w:val="21"/>
          <w:highlight w:val="none"/>
        </w:rPr>
        <w:t xml:space="preserve">（提供省级或以上法定计量检测机构出具的检测或测试报告）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val="zh-CN"/>
        </w:rPr>
        <w:t xml:space="preserve">在风速大于30米/秒时风罩不应明显变形和损坏</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1.3</w:t>
      </w:r>
      <w:r>
        <w:rPr>
          <w:rFonts w:hint="eastAsia" w:ascii="宋体" w:hAnsi="宋体" w:eastAsia="宋体" w:cs="宋体"/>
          <w:color w:val="auto"/>
          <w:sz w:val="21"/>
          <w:highlight w:val="none"/>
          <w:lang w:val="zh-CN"/>
        </w:rPr>
        <w:t xml:space="preserve"> 环境噪声自动监测站稳定性要求</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1.3.1</w:t>
      </w:r>
      <w:r>
        <w:rPr>
          <w:rFonts w:hint="eastAsia" w:ascii="宋体" w:hAnsi="宋体" w:eastAsia="宋体" w:cs="宋体"/>
          <w:color w:val="auto"/>
          <w:sz w:val="21"/>
          <w:highlight w:val="none"/>
          <w:lang w:val="zh-CN"/>
        </w:rPr>
        <w:t xml:space="preserve">在室外连续运行至少 30d，数据采集率 DAR 应大于95%； </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1.3.2</w:t>
      </w:r>
      <w:r>
        <w:rPr>
          <w:rFonts w:hint="eastAsia" w:ascii="宋体" w:hAnsi="宋体" w:eastAsia="宋体" w:cs="宋体"/>
          <w:color w:val="auto"/>
          <w:sz w:val="21"/>
          <w:highlight w:val="none"/>
          <w:lang w:val="zh-CN"/>
        </w:rPr>
        <w:t xml:space="preserve">在相对湿度为 0-100%范围内，噪声监测子站在-30-50℃的温度范围内工作时，在任何气温上显示的声级偏离23℃参考气温时显示的声级差值加上 0.3dB 的测量不确定度后不应超过±0.8dB； </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1.3.3</w:t>
      </w:r>
      <w:r>
        <w:rPr>
          <w:rFonts w:hint="eastAsia" w:ascii="宋体" w:hAnsi="宋体" w:eastAsia="宋体" w:cs="宋体"/>
          <w:color w:val="auto"/>
          <w:sz w:val="21"/>
          <w:highlight w:val="none"/>
          <w:lang w:val="zh-CN"/>
        </w:rPr>
        <w:t xml:space="preserve">在温度为-30-50℃范围内，噪声监测子站在0-100%的相对湿度范围内工作时，在任何相对湿度上显示的声级偏离50%参考相对湿度的声级差值，再加上0.3dB 的测量扩展不确定度后不应超过±0.8dB；</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1.3.4</w:t>
      </w:r>
      <w:r>
        <w:rPr>
          <w:rFonts w:hint="eastAsia" w:ascii="宋体" w:hAnsi="宋体" w:eastAsia="宋体" w:cs="宋体"/>
          <w:color w:val="auto"/>
          <w:sz w:val="21"/>
          <w:highlight w:val="none"/>
        </w:rPr>
        <w:t xml:space="preserve">. 环境</w:t>
      </w:r>
      <w:r>
        <w:rPr>
          <w:rFonts w:hint="eastAsia" w:ascii="宋体" w:hAnsi="宋体" w:eastAsia="宋体" w:cs="宋体"/>
          <w:color w:val="auto"/>
          <w:sz w:val="21"/>
          <w:highlight w:val="none"/>
          <w:lang w:val="zh-CN"/>
        </w:rPr>
        <w:t xml:space="preserve">噪声自动监测</w:t>
      </w:r>
      <w:r>
        <w:rPr>
          <w:rFonts w:hint="eastAsia" w:ascii="宋体" w:hAnsi="宋体" w:eastAsia="宋体" w:cs="宋体"/>
          <w:color w:val="auto"/>
          <w:sz w:val="21"/>
          <w:highlight w:val="none"/>
        </w:rPr>
        <w:t xml:space="preserve">仪电源管理部分符合JJF 1681-2017《声级计型式评价大纲》中规定的Y类（公共电源供电）声级计要求。（提供投标产品的计量器具型式批准证书和计量器具型式评价报告复印件加盖公章）</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rPr>
        <w:t xml:space="preserve">环境噪声自动监测站技术指标要求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.1</w:t>
      </w:r>
      <w:r>
        <w:rPr>
          <w:rFonts w:hint="eastAsia" w:ascii="宋体" w:hAnsi="宋体" w:eastAsia="宋体" w:cs="宋体"/>
          <w:color w:val="auto"/>
          <w:sz w:val="21"/>
          <w:highlight w:val="none"/>
        </w:rPr>
        <w:t xml:space="preserve">专业户外噪声自动监测设计，非手持式声级计加工控机或数采仪组合产品</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符合标准：GB/T3785.1-2010/IEC61672-1：2013声级计1级，GB/T3241-2010/IEC61260-1：2014滤波器1级</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频率范围：10Hz-20kHz</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平坦频率响应：滤波器频率范围内的相对衰减，应符合对于1级滤波器在参考频率处的相对衰减在±0.3dB以内。（提供投标产品省级或以上计量机构出具的带CMA检测报告复印件加盖公章）；</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.5</w:t>
      </w:r>
      <w:r>
        <w:rPr>
          <w:rFonts w:hint="eastAsia" w:ascii="宋体" w:hAnsi="宋体" w:eastAsia="宋体" w:cs="宋体"/>
          <w:color w:val="auto"/>
          <w:sz w:val="21"/>
          <w:highlight w:val="none"/>
        </w:rPr>
        <w:t xml:space="preserve">.传声器灵敏度：在250Hz的声压灵敏度应≥30mV/Pa</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.6</w:t>
      </w:r>
      <w:r>
        <w:rPr>
          <w:rFonts w:hint="eastAsia" w:ascii="宋体" w:hAnsi="宋体" w:eastAsia="宋体" w:cs="宋体"/>
          <w:color w:val="auto"/>
          <w:sz w:val="21"/>
          <w:highlight w:val="none"/>
        </w:rPr>
        <w:t xml:space="preserve">指向性响应：支持0°和90°入射</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.7</w:t>
      </w:r>
      <w:r>
        <w:rPr>
          <w:rFonts w:hint="eastAsia" w:ascii="宋体" w:hAnsi="宋体" w:eastAsia="宋体" w:cs="宋体"/>
          <w:color w:val="auto"/>
          <w:sz w:val="21"/>
          <w:highlight w:val="none"/>
        </w:rPr>
        <w:t xml:space="preserve">本底噪声级别：≤20dB（A）</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.8</w:t>
      </w:r>
      <w:r>
        <w:rPr>
          <w:rFonts w:hint="eastAsia" w:ascii="宋体" w:hAnsi="宋体" w:eastAsia="宋体" w:cs="宋体"/>
          <w:color w:val="auto"/>
          <w:sz w:val="21"/>
          <w:highlight w:val="none"/>
        </w:rPr>
        <w:t xml:space="preserve">测量下限：≤30dB（A），测量上限：≥140dB（A）（提供投标产品生态环境部环境监测仪器质量监督检测中心出具的检测报告）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w:t>
      </w:r>
      <w:r>
        <w:rPr>
          <w:rFonts w:hint="eastAsia" w:hAnsi="宋体" w:cs="宋体"/>
          <w:color w:val="auto"/>
          <w:sz w:val="21"/>
          <w:highlight w:val="none"/>
          <w:lang w:val="en-US" w:eastAsia="zh-CN"/>
        </w:rPr>
        <w:t xml:space="preserve">4</w:t>
      </w:r>
      <w:r>
        <w:rPr>
          <w:rFonts w:hint="eastAsia" w:ascii="宋体" w:hAnsi="宋体" w:eastAsia="宋体" w:cs="宋体"/>
          <w:color w:val="auto"/>
          <w:sz w:val="21"/>
          <w:highlight w:val="none"/>
          <w:lang w:val="en-US" w:eastAsia="zh-CN"/>
        </w:rPr>
        <w:t xml:space="preserve">.9</w:t>
      </w:r>
      <w:r>
        <w:rPr>
          <w:rFonts w:hint="eastAsia" w:ascii="宋体" w:hAnsi="宋体" w:eastAsia="宋体" w:cs="宋体"/>
          <w:color w:val="auto"/>
          <w:sz w:val="21"/>
          <w:highlight w:val="none"/>
        </w:rPr>
        <w:t xml:space="preserve"> 级线性：输入信号级以1dB变化时，偏差应不超过±0.2dB（提供投标产品</w:t>
      </w:r>
      <w:r>
        <w:rPr>
          <w:rFonts w:hint="eastAsia" w:ascii="宋体" w:hAnsi="宋体" w:eastAsia="宋体" w:cs="宋体"/>
          <w:color w:val="auto"/>
          <w:sz w:val="21"/>
          <w:highlight w:val="none"/>
          <w:lang w:val="zh-CN"/>
        </w:rPr>
        <w:t xml:space="preserve">省级或以上法定计量部门</w:t>
      </w:r>
      <w:r>
        <w:rPr>
          <w:rFonts w:hint="eastAsia" w:ascii="宋体" w:hAnsi="宋体" w:eastAsia="宋体" w:cs="宋体"/>
          <w:color w:val="auto"/>
          <w:sz w:val="21"/>
          <w:highlight w:val="none"/>
        </w:rPr>
        <w:t xml:space="preserve">的带CMA的检测报告）</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1.5</w:t>
      </w:r>
      <w:r>
        <w:rPr>
          <w:rFonts w:hint="eastAsia" w:hAnsi="宋体" w:cs="宋体"/>
          <w:color w:val="auto"/>
          <w:sz w:val="21"/>
          <w:highlight w:val="none"/>
          <w:lang w:val="en-US" w:eastAsia="zh-CN"/>
        </w:rPr>
        <w:t xml:space="preserve"> </w:t>
      </w:r>
      <w:r>
        <w:rPr>
          <w:rFonts w:hint="eastAsia" w:ascii="宋体" w:hAnsi="宋体" w:eastAsia="宋体" w:cs="宋体"/>
          <w:color w:val="auto"/>
          <w:sz w:val="21"/>
          <w:highlight w:val="none"/>
        </w:rPr>
        <w:t xml:space="preserve">计权方式</w:t>
      </w:r>
      <w:r>
        <w:rPr>
          <w:rFonts w:hint="eastAsia" w:ascii="宋体" w:hAnsi="宋体" w:eastAsia="宋体" w:cs="宋体"/>
          <w:color w:val="auto"/>
          <w:sz w:val="21"/>
          <w:highlight w:val="none"/>
          <w:lang w:val="zh-CN"/>
        </w:rPr>
        <w:t xml:space="preserve">频率计权：A、C、Z（可并行）；可软件远程切换设置</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时间计权：</w:t>
      </w:r>
      <w:r>
        <w:rPr>
          <w:rFonts w:hint="eastAsia" w:ascii="宋体" w:hAnsi="宋体" w:eastAsia="宋体" w:cs="宋体"/>
          <w:color w:val="auto"/>
          <w:sz w:val="21"/>
          <w:highlight w:val="none"/>
        </w:rPr>
        <w:t xml:space="preserve">F、S、I</w:t>
      </w:r>
      <w:r>
        <w:rPr>
          <w:rFonts w:hint="eastAsia" w:ascii="宋体" w:hAnsi="宋体" w:eastAsia="宋体" w:cs="宋体"/>
          <w:color w:val="auto"/>
          <w:sz w:val="21"/>
          <w:highlight w:val="none"/>
          <w:lang w:val="zh-CN"/>
        </w:rPr>
        <w:t xml:space="preserve">（可并行）；可软件远程切换设置</w:t>
      </w:r>
      <w:r>
        <w:rPr>
          <w:rFonts w:hint="eastAsia" w:ascii="宋体" w:hAnsi="宋体" w:eastAsia="宋体" w:cs="宋体"/>
          <w:color w:val="auto"/>
          <w:sz w:val="21"/>
          <w:highlight w:val="none"/>
        </w:rPr>
        <w:t xml:space="preserve">；</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1.5.</w:t>
      </w:r>
      <w:r>
        <w:rPr>
          <w:rFonts w:hint="eastAsia" w:hAnsi="宋体" w:cs="宋体"/>
          <w:color w:val="auto"/>
          <w:sz w:val="21"/>
          <w:highlight w:val="none"/>
          <w:lang w:val="en-US" w:eastAsia="zh-CN"/>
        </w:rPr>
        <w:t xml:space="preserve">1 </w:t>
      </w:r>
      <w:r>
        <w:rPr>
          <w:rFonts w:hint="eastAsia" w:ascii="宋体" w:hAnsi="宋体" w:eastAsia="宋体" w:cs="宋体"/>
          <w:color w:val="auto"/>
          <w:sz w:val="21"/>
          <w:highlight w:val="none"/>
          <w:lang w:val="zh-CN"/>
        </w:rPr>
        <w:t xml:space="preserve">测量参数</w:t>
      </w:r>
      <w:r>
        <w:rPr>
          <w:rFonts w:hint="eastAsia" w:ascii="宋体" w:hAnsi="宋体" w:eastAsia="宋体" w:cs="宋体"/>
          <w:color w:val="auto"/>
          <w:sz w:val="21"/>
          <w:highlight w:val="none"/>
        </w:rPr>
        <w:t xml:space="preserve">：Lxyp</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Lxeq，T</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Lxeq，t</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Lxmax</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Lxmin</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LxN</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SD</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SEL</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Ld</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Ln</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Ldn</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Ldmax</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Ldmin</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Lnmax</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Lnmin（</w:t>
      </w:r>
      <w:r>
        <w:rPr>
          <w:rFonts w:hint="eastAsia" w:ascii="宋体" w:hAnsi="宋体" w:eastAsia="宋体" w:cs="宋体"/>
          <w:color w:val="auto"/>
          <w:sz w:val="21"/>
          <w:highlight w:val="none"/>
          <w:lang w:val="zh-CN"/>
        </w:rPr>
        <w:t xml:space="preserve">注</w:t>
      </w:r>
      <w:r>
        <w:rPr>
          <w:rFonts w:hint="eastAsia" w:ascii="宋体" w:hAnsi="宋体" w:eastAsia="宋体" w:cs="宋体"/>
          <w:color w:val="auto"/>
          <w:sz w:val="21"/>
          <w:highlight w:val="none"/>
        </w:rPr>
        <w:t xml:space="preserve">：x</w:t>
      </w:r>
      <w:r>
        <w:rPr>
          <w:rFonts w:hint="eastAsia" w:ascii="宋体" w:hAnsi="宋体" w:eastAsia="宋体" w:cs="宋体"/>
          <w:color w:val="auto"/>
          <w:sz w:val="21"/>
          <w:highlight w:val="none"/>
          <w:lang w:val="zh-CN"/>
        </w:rPr>
        <w:t xml:space="preserve">为</w:t>
      </w:r>
      <w:r>
        <w:rPr>
          <w:rFonts w:hint="eastAsia" w:ascii="宋体" w:hAnsi="宋体" w:eastAsia="宋体" w:cs="宋体"/>
          <w:color w:val="auto"/>
          <w:sz w:val="21"/>
          <w:highlight w:val="none"/>
        </w:rPr>
        <w:t xml:space="preserve">A，C，Z；y</w:t>
      </w:r>
      <w:r>
        <w:rPr>
          <w:rFonts w:hint="eastAsia" w:ascii="宋体" w:hAnsi="宋体" w:eastAsia="宋体" w:cs="宋体"/>
          <w:color w:val="auto"/>
          <w:sz w:val="21"/>
          <w:highlight w:val="none"/>
          <w:lang w:val="zh-CN"/>
        </w:rPr>
        <w:t xml:space="preserve">为</w:t>
      </w:r>
      <w:r>
        <w:rPr>
          <w:rFonts w:hint="eastAsia" w:ascii="宋体" w:hAnsi="宋体" w:eastAsia="宋体" w:cs="宋体"/>
          <w:color w:val="auto"/>
          <w:sz w:val="21"/>
          <w:highlight w:val="none"/>
        </w:rPr>
        <w:t xml:space="preserve">F，S，I；N</w:t>
      </w:r>
      <w:r>
        <w:rPr>
          <w:rFonts w:hint="eastAsia" w:ascii="宋体" w:hAnsi="宋体" w:eastAsia="宋体" w:cs="宋体"/>
          <w:color w:val="auto"/>
          <w:sz w:val="21"/>
          <w:highlight w:val="none"/>
          <w:lang w:val="zh-CN"/>
        </w:rPr>
        <w:t xml:space="preserve">为</w:t>
      </w:r>
      <w:r>
        <w:rPr>
          <w:rFonts w:hint="eastAsia" w:ascii="宋体" w:hAnsi="宋体" w:eastAsia="宋体" w:cs="宋体"/>
          <w:color w:val="auto"/>
          <w:sz w:val="21"/>
          <w:highlight w:val="none"/>
        </w:rPr>
        <w:t xml:space="preserve">5，10，50，90，95）</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1.5.2</w:t>
      </w:r>
      <w:r>
        <w:rPr>
          <w:rFonts w:hint="eastAsia" w:hAnsi="宋体" w:cs="宋体"/>
          <w:color w:val="auto"/>
          <w:sz w:val="21"/>
          <w:highlight w:val="none"/>
          <w:lang w:val="en-US" w:eastAsia="zh-CN"/>
        </w:rPr>
        <w:t xml:space="preserve">  </w:t>
      </w:r>
      <w:r>
        <w:rPr>
          <w:rFonts w:hint="eastAsia" w:ascii="宋体" w:hAnsi="宋体" w:eastAsia="宋体" w:cs="宋体"/>
          <w:color w:val="auto"/>
          <w:sz w:val="21"/>
          <w:highlight w:val="none"/>
          <w:lang w:val="zh-CN"/>
        </w:rPr>
        <w:t xml:space="preserve">1/1频谱分析功能</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倍频程滤波器：16Hz、31.5Hz、63Hz、125Hz、250Hz、500Hz、1kHz、2kHz、4kHz、8kHz、16kHz。</w:t>
      </w:r>
      <w:r/>
    </w:p>
    <w:p>
      <w:pPr>
        <w:pStyle w:val="705"/>
        <w:ind w:firstLine="420"/>
        <w:spacing w:before="120" w:after="120" w:line="360" w:lineRule="auto"/>
        <w:rPr>
          <w:rFonts w:hint="eastAsia" w:ascii="宋体" w:hAnsi="宋体" w:eastAsia="宋体" w:cs="宋体"/>
          <w:color w:val="auto"/>
          <w:sz w:val="21"/>
          <w:highlight w:val="none"/>
          <w:lang w:val="zh-CN"/>
        </w:rPr>
      </w:pPr>
      <w:r>
        <w:rPr>
          <w:rFonts w:hint="eastAsia" w:ascii="宋体" w:hAnsi="宋体" w:eastAsia="宋体" w:cs="宋体"/>
          <w:color w:val="auto"/>
          <w:sz w:val="21"/>
          <w:highlight w:val="none"/>
          <w:lang w:val="en-US" w:eastAsia="zh-CN"/>
        </w:rPr>
        <w:t xml:space="preserve">1.5.3</w:t>
      </w:r>
      <w:r>
        <w:rPr>
          <w:rFonts w:hint="eastAsia" w:hAnsi="宋体" w:cs="宋体"/>
          <w:color w:val="auto"/>
          <w:sz w:val="21"/>
          <w:highlight w:val="none"/>
          <w:lang w:val="en-US" w:eastAsia="zh-CN"/>
        </w:rPr>
        <w:t xml:space="preserve">  </w:t>
      </w:r>
      <w:r>
        <w:rPr>
          <w:rFonts w:hint="eastAsia" w:ascii="宋体" w:hAnsi="宋体" w:eastAsia="宋体" w:cs="宋体"/>
          <w:color w:val="auto"/>
          <w:sz w:val="21"/>
          <w:highlight w:val="none"/>
          <w:lang w:val="zh-CN"/>
        </w:rPr>
        <w:t xml:space="preserve">1/3频谱分析功能</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1/3倍频程滤波器：16Hz、20Hz、25Hz、31.5Hz、40Hz、50Hz、63Hz、80Hz、100Hz、125Hz、160Hz、200Hz、250Hz、315Hz、400Hz、500Hz、630Hz、800Hz、1kHz、1.25kHz、1.6kHz、2kHz、2.5kHz、3.15kHz、4kHz、5kHz、6.3kHz、8kHz、10kHz、12.5kHz、16kHz、20kHz，滤波器输出信号的和符合接国标-1.8~+0.8dB接受限的要求（提供省级或以上法定计量部门出具的检定或评价报告</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1.5.4</w:t>
      </w:r>
      <w:r>
        <w:rPr>
          <w:rFonts w:hint="eastAsia" w:ascii="宋体" w:hAnsi="宋体" w:eastAsia="宋体" w:cs="宋体"/>
          <w:color w:val="auto"/>
          <w:sz w:val="21"/>
          <w:highlight w:val="none"/>
        </w:rPr>
        <w:t xml:space="preserve">模拟或数字输出：在模拟输出端连接一个不储存电能的无源阻抗或者短路，对任何测试的影响不应大于 0.2 dB。（提供</w:t>
      </w:r>
      <w:r>
        <w:rPr>
          <w:rFonts w:hint="eastAsia" w:ascii="宋体" w:hAnsi="宋体" w:eastAsia="宋体" w:cs="宋体"/>
          <w:color w:val="auto"/>
          <w:sz w:val="21"/>
          <w:highlight w:val="none"/>
          <w:lang w:val="zh-CN"/>
        </w:rPr>
        <w:t xml:space="preserve">省级或以上法定计量部门出具</w:t>
      </w:r>
      <w:r>
        <w:rPr>
          <w:rFonts w:hint="eastAsia" w:ascii="宋体" w:hAnsi="宋体" w:eastAsia="宋体" w:cs="宋体"/>
          <w:color w:val="auto"/>
          <w:sz w:val="21"/>
          <w:highlight w:val="none"/>
        </w:rPr>
        <w:t xml:space="preserve">的带CMA的检测报告）。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5.数据记录器：可记录摘要结果和频谱数据，记录步长为1秒，所选参数的时间历史，记录步长低至100毫秒</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.6. 数据安全：噪声自动监测站经过安全功能检测、渗透测试检测，无安全漏洞（提供所标产品经权威的第三方检测机构出具的检测报告复印件加盖公章）；</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.7. </w:t>
      </w:r>
      <w:r>
        <w:rPr>
          <w:rFonts w:hint="eastAsia" w:ascii="宋体" w:hAnsi="宋体" w:eastAsia="宋体" w:cs="宋体"/>
          <w:color w:val="auto"/>
          <w:sz w:val="21"/>
          <w:highlight w:val="none"/>
          <w:lang w:val="zh-CN"/>
        </w:rPr>
        <w:t xml:space="preserve">系统应具有远程自检功能，自检超过±0.5dB时自动提示；自检时应包括传声器、前置级、噪声监测子站主机，且自检结果应与声校准器校准偏差不超过±0.2dB。（提供省级或以上法定计量部门出具的检定或评价报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.8.具有对超出某一限值的声音的触发录音功能及远程回放功能，录音格式采用无压缩WAV格式，触发限值和录音时间可自定义设置；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.9 噪声自动监测站具备主声源、多声源识别方法及标记删除功能（提供主、多声源识别删除软件著作权证书或专利证书复印件加盖公章）；</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w:t>
      </w:r>
      <w:r>
        <w:rPr>
          <w:rFonts w:hint="eastAsia" w:hAnsi="宋体" w:cs="宋体"/>
          <w:color w:val="auto"/>
          <w:sz w:val="21"/>
          <w:highlight w:val="none"/>
          <w:lang w:val="en-US" w:eastAsia="zh-CN"/>
        </w:rPr>
        <w:t xml:space="preserve">1</w:t>
      </w:r>
      <w:r>
        <w:rPr>
          <w:rFonts w:hint="eastAsia" w:ascii="宋体" w:hAnsi="宋体" w:eastAsia="宋体" w:cs="宋体"/>
          <w:color w:val="auto"/>
          <w:sz w:val="21"/>
          <w:highlight w:val="none"/>
        </w:rPr>
        <w:t xml:space="preserve">0.内置北斗定位模块，可进行仪器定位、时间同步、跟踪防盗报警。</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w:t>
      </w:r>
      <w:r>
        <w:rPr>
          <w:rFonts w:hint="eastAsia" w:hAnsi="宋体" w:cs="宋体"/>
          <w:color w:val="auto"/>
          <w:sz w:val="21"/>
          <w:highlight w:val="none"/>
          <w:lang w:val="en-US" w:eastAsia="zh-CN"/>
        </w:rPr>
        <w:t xml:space="preserve">1</w:t>
      </w:r>
      <w:r>
        <w:rPr>
          <w:rFonts w:hint="eastAsia" w:ascii="宋体" w:hAnsi="宋体" w:eastAsia="宋体" w:cs="宋体"/>
          <w:color w:val="auto"/>
          <w:sz w:val="21"/>
          <w:highlight w:val="none"/>
        </w:rPr>
        <w:t xml:space="preserve">1.噪声监测子站数据月平均采集率不低于95%，在通讯发生临时故障时不影响数据采集及存储，故障恢复后自动补传延误数据；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1.5</w:t>
      </w:r>
      <w:r>
        <w:rPr>
          <w:rFonts w:hint="eastAsia" w:ascii="宋体" w:hAnsi="宋体" w:eastAsia="宋体" w:cs="宋体"/>
          <w:color w:val="auto"/>
          <w:sz w:val="21"/>
          <w:highlight w:val="none"/>
        </w:rPr>
        <w:t xml:space="preserve">.</w:t>
      </w:r>
      <w:r>
        <w:rPr>
          <w:rFonts w:hint="eastAsia" w:hAnsi="宋体" w:cs="宋体"/>
          <w:color w:val="auto"/>
          <w:sz w:val="21"/>
          <w:highlight w:val="none"/>
          <w:lang w:val="en-US" w:eastAsia="zh-CN"/>
        </w:rPr>
        <w:t xml:space="preserve">1</w:t>
      </w:r>
      <w:r>
        <w:rPr>
          <w:rFonts w:hint="eastAsia" w:ascii="宋体" w:hAnsi="宋体" w:eastAsia="宋体" w:cs="宋体"/>
          <w:color w:val="auto"/>
          <w:sz w:val="21"/>
          <w:highlight w:val="none"/>
        </w:rPr>
        <w:t xml:space="preserve">2噪声监测子站核心部件中声级计和传声器部分需与噪声监测子站为同一生产制造商（提供投标产品生态环境部环境监测仪器质量监督检测中心出具的检测报告</w:t>
      </w: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w:t>
      </w:r>
      <w:r>
        <w:rPr>
          <w:rFonts w:hint="eastAsia" w:ascii="宋体" w:hAnsi="宋体" w:eastAsia="宋体" w:cs="宋体"/>
          <w:color w:val="auto"/>
          <w:sz w:val="21"/>
          <w:highlight w:val="none"/>
        </w:rPr>
        <w:t xml:space="preserve">通信单元</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w:t>
      </w:r>
      <w:r>
        <w:rPr>
          <w:rFonts w:hint="eastAsia" w:ascii="宋体" w:hAnsi="宋体" w:eastAsia="宋体" w:cs="宋体"/>
          <w:color w:val="auto"/>
          <w:sz w:val="21"/>
          <w:highlight w:val="none"/>
        </w:rPr>
        <w:t xml:space="preserve">.1.应能实时传输噪声自动监测原始数据和录音数据；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w:t>
      </w:r>
      <w:r>
        <w:rPr>
          <w:rFonts w:hint="eastAsia" w:ascii="宋体" w:hAnsi="宋体" w:eastAsia="宋体" w:cs="宋体"/>
          <w:color w:val="auto"/>
          <w:sz w:val="21"/>
          <w:highlight w:val="none"/>
        </w:rPr>
        <w:t xml:space="preserve">.2.数据传输模式、传输流程、传输格式等应满足HJ660的有关规定；</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1.6</w:t>
      </w:r>
      <w:r>
        <w:rPr>
          <w:rFonts w:hint="eastAsia" w:ascii="宋体" w:hAnsi="宋体" w:eastAsia="宋体" w:cs="宋体"/>
          <w:color w:val="auto"/>
          <w:sz w:val="21"/>
          <w:highlight w:val="none"/>
        </w:rPr>
        <w:t xml:space="preserve">.3.应支持无线传输和有线传输两种通信功能，支持蓝牙、4G、5G、WIFI、USB、网口、串口等传输方式。</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1.7</w:t>
      </w:r>
      <w:r>
        <w:rPr>
          <w:rFonts w:hint="eastAsia" w:ascii="宋体" w:hAnsi="宋体" w:eastAsia="宋体" w:cs="宋体"/>
          <w:color w:val="auto"/>
          <w:sz w:val="21"/>
          <w:highlight w:val="none"/>
        </w:rPr>
        <w:t xml:space="preserve">视频监控单元</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视频监控单元对监测点环境进行实时监控，支持噪声超标事件图像抓拍并上传至噪声监控系统软件平台服务器和区生态环境局综合安防管理平台以及招标方要求接入监控平台，主要技术指标要求如下：</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支持最大2560×1440@30fps高清画面输出；</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支持smart265高效压缩算法，可较大节省存储空间；</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支持4倍光学变倍，16倍数字变倍；</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采用高效红外阵列，低功耗，照射距离最高不低于50米；</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支持三码流技术，每路码流可独立配置分辨率及帧率；</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支持区域入侵侦测、越界侦测、移动侦测等智能侦测功能；</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支持断网续传功能保证录像不丢失，配合SmartNVR实现事件录像的二次智能检索、分析和浓缩播放；</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支持音频输入和音频输出分开输出；</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内置报警输入和报警输出分开输出，支持报警联动功能；</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支持不低于256GB的MicroSD/MicroSDHC/MicroSDXC卡存储；</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防雷、防浪涌、防突波；</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IP66防护等级防护认证：IP66</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网络硬盘录像机1台，含6T视频存储硬盘1块。</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1.8</w:t>
      </w:r>
      <w:r>
        <w:rPr>
          <w:rFonts w:hint="eastAsia" w:ascii="宋体" w:hAnsi="宋体" w:eastAsia="宋体" w:cs="宋体"/>
          <w:color w:val="auto"/>
          <w:sz w:val="21"/>
          <w:highlight w:val="none"/>
        </w:rPr>
        <w:t xml:space="preserve">供电及安全</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1.8</w:t>
      </w:r>
      <w:r>
        <w:rPr>
          <w:rFonts w:hint="eastAsia" w:ascii="宋体" w:hAnsi="宋体" w:eastAsia="宋体" w:cs="宋体"/>
          <w:color w:val="auto"/>
          <w:sz w:val="21"/>
          <w:highlight w:val="none"/>
        </w:rPr>
        <w:t xml:space="preserve">.1.子站内置蓄电池，同时支持市电、蓄电池供电方式，能够提供太阳能供电；</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1.8</w:t>
      </w:r>
      <w:r>
        <w:rPr>
          <w:rFonts w:hint="eastAsia" w:ascii="宋体" w:hAnsi="宋体" w:eastAsia="宋体" w:cs="宋体"/>
          <w:color w:val="auto"/>
          <w:sz w:val="21"/>
          <w:highlight w:val="none"/>
        </w:rPr>
        <w:t xml:space="preserve">.2.蓄电池具备充放电保护功能，容量保证噪声监测子站（含气象参数仪器）正常工作48小时以上；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1.8</w:t>
      </w:r>
      <w:r>
        <w:rPr>
          <w:rFonts w:hint="eastAsia" w:ascii="宋体" w:hAnsi="宋体" w:eastAsia="宋体" w:cs="宋体"/>
          <w:color w:val="auto"/>
          <w:sz w:val="21"/>
          <w:highlight w:val="none"/>
        </w:rPr>
        <w:t xml:space="preserve">.3.具有漏电保护装置，保护导体端子和有保护连接的可触及零部件间的阻抗≤0.05Ω。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1.8</w:t>
      </w:r>
      <w:r>
        <w:rPr>
          <w:rFonts w:hint="eastAsia" w:ascii="宋体" w:hAnsi="宋体" w:eastAsia="宋体" w:cs="宋体"/>
          <w:color w:val="auto"/>
          <w:sz w:val="21"/>
          <w:highlight w:val="none"/>
        </w:rPr>
        <w:t xml:space="preserve">.4.可靠性：电力和通讯出现的临时故障不影响数据采集，通讯恢复后可自动上传数据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声源识别模块</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.1.噪声监测子站具备声纹图谱数据的收集，采用人工智能技术手段，可自动识别自然环境的典型声源；（提供噪声声纹收集软件著作权证书或专利证书）；</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.2.声源识别系统中应自动识别自然环境的典型声源，至少包含雨风雷声、鸟叫、虫鸣、蛙鸣的声音识别能力；</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1.9</w:t>
      </w:r>
      <w:r>
        <w:rPr>
          <w:rFonts w:hint="eastAsia" w:ascii="宋体" w:hAnsi="宋体" w:eastAsia="宋体" w:cs="宋体"/>
          <w:color w:val="auto"/>
          <w:sz w:val="21"/>
          <w:highlight w:val="none"/>
        </w:rPr>
        <w:t xml:space="preserve">.3.声源识别系统需充分考虑地理环境多样性、生物属性差异，具备扩展和自适应能力。</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2.1</w:t>
      </w:r>
      <w:r>
        <w:rPr>
          <w:rFonts w:hint="eastAsia" w:ascii="宋体" w:hAnsi="宋体" w:eastAsia="宋体" w:cs="宋体"/>
          <w:color w:val="auto"/>
          <w:sz w:val="21"/>
          <w:highlight w:val="none"/>
        </w:rPr>
        <w:t xml:space="preserve">其他</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2.1</w:t>
      </w:r>
      <w:r>
        <w:rPr>
          <w:rFonts w:hint="eastAsia" w:ascii="宋体" w:hAnsi="宋体" w:eastAsia="宋体" w:cs="宋体"/>
          <w:color w:val="auto"/>
          <w:sz w:val="21"/>
          <w:highlight w:val="none"/>
        </w:rPr>
        <w:t xml:space="preserve">.1.安装架杆：固定站落地式架杆，</w:t>
      </w:r>
      <w:r>
        <w:rPr>
          <w:rFonts w:hint="eastAsia" w:ascii="宋体" w:hAnsi="宋体" w:eastAsia="宋体" w:cs="宋体"/>
          <w:color w:val="auto"/>
          <w:sz w:val="21"/>
          <w:highlight w:val="none"/>
          <w:lang w:val="zh-CN"/>
        </w:rPr>
        <w:t xml:space="preserve">传声器距离反射面</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2m，安装高度</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zh-CN"/>
        </w:rPr>
        <w:t xml:space="preserve">4m</w:t>
      </w:r>
      <w:r>
        <w:rPr>
          <w:rFonts w:hint="eastAsia" w:ascii="宋体" w:hAnsi="宋体" w:eastAsia="宋体" w:cs="宋体"/>
          <w:color w:val="auto"/>
          <w:sz w:val="21"/>
          <w:highlight w:val="none"/>
        </w:rPr>
        <w:t xml:space="preserve">，架杆和支架有方便检修和校准的设计，</w:t>
      </w:r>
      <w:r>
        <w:rPr>
          <w:rFonts w:hint="eastAsia" w:ascii="宋体" w:hAnsi="宋体" w:eastAsia="宋体" w:cs="宋体"/>
          <w:color w:val="auto"/>
          <w:sz w:val="21"/>
          <w:highlight w:val="none"/>
          <w:lang w:val="zh-CN"/>
        </w:rPr>
        <w:t xml:space="preserve">架杆和</w:t>
      </w:r>
      <w:r>
        <w:rPr>
          <w:rFonts w:hint="eastAsia" w:ascii="宋体" w:hAnsi="宋体" w:eastAsia="宋体" w:cs="宋体"/>
          <w:color w:val="auto"/>
          <w:sz w:val="21"/>
          <w:highlight w:val="none"/>
        </w:rPr>
        <w:t xml:space="preserve">箱体均</w:t>
      </w:r>
      <w:r>
        <w:rPr>
          <w:rFonts w:hint="eastAsia" w:ascii="宋体" w:hAnsi="宋体" w:eastAsia="宋体" w:cs="宋体"/>
          <w:color w:val="auto"/>
          <w:sz w:val="21"/>
          <w:highlight w:val="none"/>
          <w:lang w:val="zh-CN"/>
        </w:rPr>
        <w:t xml:space="preserve">为</w:t>
      </w:r>
      <w:r>
        <w:rPr>
          <w:rFonts w:hint="eastAsia" w:ascii="宋体" w:hAnsi="宋体" w:eastAsia="宋体" w:cs="宋体"/>
          <w:color w:val="auto"/>
          <w:sz w:val="21"/>
          <w:highlight w:val="none"/>
        </w:rPr>
        <w:t xml:space="preserve">304不锈钢材质</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2.2</w:t>
      </w:r>
      <w:r>
        <w:rPr>
          <w:rFonts w:hint="eastAsia" w:ascii="宋体" w:hAnsi="宋体" w:eastAsia="宋体" w:cs="宋体"/>
          <w:color w:val="auto"/>
          <w:sz w:val="21"/>
          <w:highlight w:val="none"/>
        </w:rPr>
        <w:t xml:space="preserve">.2.使用寿命：≥8年</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2.3</w:t>
      </w:r>
      <w:r>
        <w:rPr>
          <w:rFonts w:hint="eastAsia" w:ascii="宋体" w:hAnsi="宋体" w:eastAsia="宋体" w:cs="宋体"/>
          <w:color w:val="auto"/>
          <w:sz w:val="21"/>
          <w:highlight w:val="none"/>
        </w:rPr>
        <w:t xml:space="preserve">气象自动监测仪技术要求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2.3</w:t>
      </w:r>
      <w:r>
        <w:rPr>
          <w:rFonts w:hint="eastAsia" w:ascii="宋体" w:hAnsi="宋体" w:eastAsia="宋体" w:cs="宋体"/>
          <w:color w:val="auto"/>
          <w:sz w:val="21"/>
          <w:highlight w:val="none"/>
        </w:rPr>
        <w:t xml:space="preserve">.1.用途：采用一体化气象参数传感器，同时测量风速、风向、温度、湿度、大气压、降水六个气象参数。</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2.3</w:t>
      </w:r>
      <w:r>
        <w:rPr>
          <w:rFonts w:hint="eastAsia" w:ascii="宋体" w:hAnsi="宋体" w:eastAsia="宋体" w:cs="宋体"/>
          <w:color w:val="auto"/>
          <w:sz w:val="21"/>
          <w:highlight w:val="none"/>
        </w:rPr>
        <w:t xml:space="preserve">.2.风速：测量范围：0～60米/秒；精确度不低于±3%；</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2.3</w:t>
      </w:r>
      <w:r>
        <w:rPr>
          <w:rFonts w:hint="eastAsia" w:ascii="宋体" w:hAnsi="宋体" w:eastAsia="宋体" w:cs="宋体"/>
          <w:color w:val="auto"/>
          <w:sz w:val="21"/>
          <w:highlight w:val="none"/>
        </w:rPr>
        <w:t xml:space="preserve">.3.风向：测量范围：0～360°；精确度不低于±3°；</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2.3</w:t>
      </w:r>
      <w:r>
        <w:rPr>
          <w:rFonts w:hint="eastAsia" w:ascii="宋体" w:hAnsi="宋体" w:eastAsia="宋体" w:cs="宋体"/>
          <w:color w:val="auto"/>
          <w:sz w:val="21"/>
          <w:highlight w:val="none"/>
        </w:rPr>
        <w:t xml:space="preserve">.4.温度：测量范围：-40～80℃；精度不低于±0.3℃；</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2.3</w:t>
      </w:r>
      <w:r>
        <w:rPr>
          <w:rFonts w:hint="eastAsia" w:ascii="宋体" w:hAnsi="宋体" w:eastAsia="宋体" w:cs="宋体"/>
          <w:color w:val="auto"/>
          <w:sz w:val="21"/>
          <w:highlight w:val="none"/>
        </w:rPr>
        <w:t xml:space="preserve">.5.湿度：测量范围：0～100%RH；准确度不低于±3%RH；</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.6.大气压：测量范围：750~1000hPa；准确度不低于±0.5hPa；</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.7.降雨量：测量范围：0～500mm；准确度不低于±4%；</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rPr>
        <w:t xml:space="preserve">.8.安装方式：与噪声子站共杆安装，用于分析气象因素对噪声监测数据的影响</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手持式比对声级计（含标准声源）</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.1.符合标准：GB/T3785.1-2023/IEC61672-1：20131级，GB/T23716-2009、GB/T10071-1988、JGJ/T170-2009</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.2.传声器和前置级组合灵敏度级：不高于-35dB；振动传感器灵敏度不低于400mV/g；</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lang w:val="zh-CN"/>
        </w:rPr>
        <w:t xml:space="preserve">▲</w:t>
      </w: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.3.测量范围：118dB（A）-144dB（A）（</w:t>
      </w:r>
      <w:r>
        <w:rPr>
          <w:rFonts w:hint="eastAsia" w:ascii="宋体" w:hAnsi="宋体" w:eastAsia="宋体" w:cs="宋体"/>
          <w:color w:val="auto"/>
          <w:sz w:val="21"/>
          <w:highlight w:val="none"/>
          <w:lang w:val="zh-CN"/>
        </w:rPr>
        <w:t xml:space="preserve">提供投标产品的型式评价证书和型式评价报告复印件</w:t>
      </w:r>
      <w:r>
        <w:rPr>
          <w:rFonts w:hint="eastAsia" w:ascii="宋体" w:hAnsi="宋体" w:eastAsia="宋体" w:cs="宋体"/>
          <w:color w:val="auto"/>
          <w:sz w:val="21"/>
          <w:highlight w:val="none"/>
        </w:rPr>
        <w:t xml:space="preserve">）；</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.4.频率范围：噪声10Hz-20kHz；振动1Hz-80Hz</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.5.噪声统计分析指标：Lxyi、Lxyp、Lxeq，T、Lxmax、Lxmin、LxN、SD、SEL。噪声24h模式分析指标：Lxyi、Lxyp、Lxeq，T、Lxmax、Lxmin、LxN、SD、SEL、Ld、Ln、Ldn等。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.6.振动测量指标：ap/Wx/Wz/Wm/Wk计权下的VLmax、VLmin、VLeq，T、5个Ln（n可以从1到99之间设定）和SD</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.7.统计分析范围和精度：ap/Wx/Wz/Wm：1Hz～80Hz（±1dB）；Wk：1Hz-80Hz（±1dB）/0.5Hz-125Hz（±2dB）</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8.切换功能：主机支持噪声和振动传感器智能切换；提供所投产品分别安装噪声与振动传感器测量时的照片。</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.9.主机重量：≤500g。</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rPr>
          <w:rFonts w:hint="eastAsia" w:ascii="宋体" w:hAnsi="宋体" w:eastAsia="宋体" w:cs="宋体"/>
          <w:color w:val="auto"/>
          <w:sz w:val="21"/>
          <w:highlight w:val="none"/>
          <w:lang w:val="en-US" w:eastAsia="zh-CN"/>
        </w:rPr>
        <w:t xml:space="preserve">4</w:t>
      </w:r>
      <w:r>
        <w:rPr>
          <w:rFonts w:hint="eastAsia" w:ascii="宋体" w:hAnsi="宋体" w:eastAsia="宋体" w:cs="宋体"/>
          <w:color w:val="auto"/>
          <w:sz w:val="21"/>
          <w:highlight w:val="none"/>
        </w:rPr>
        <w:t xml:space="preserve">.10.配置：主机1台（包含统计分析功能、噪声1/1OCT分析功能）、打印机1台和标准声源1个。</w:t>
      </w:r>
      <w:r/>
    </w:p>
    <w:p>
      <w:pPr>
        <w:pStyle w:val="687"/>
        <w:numPr>
          <w:ilvl w:val="0"/>
          <w:numId w:val="2"/>
        </w:numPr>
        <w:spacing w:before="0" w:after="0" w:line="360" w:lineRule="auto"/>
        <w:rPr>
          <w:rFonts w:ascii="宋体" w:hAnsi="宋体" w:eastAsia="宋体"/>
          <w:sz w:val="24"/>
          <w:szCs w:val="24"/>
        </w:rPr>
      </w:pPr>
      <w:r>
        <w:rPr>
          <w:rFonts w:hint="eastAsia" w:ascii="宋体" w:hAnsi="宋体" w:eastAsia="宋体"/>
          <w:sz w:val="24"/>
          <w:szCs w:val="24"/>
        </w:rPr>
        <w:t xml:space="preserve">运行维护服务技术要求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声环境功能区自动监测站日常运行质量保证与质量控制是保障其正常稳定运行、持续提供有质量保证监测数据的必要手段，当系统不能满足技术指标而失控时，应及时采取纠正措施。</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噪声监测子站和校准仪器应定期检定合格，并在有效使用期限内使用。校准仪器应符合GB/T15173对1级仪器的要求。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每日定时进行噪声监测子站远程自检，仪器自检值与自检基准值偏差不应大于0.5dB，若偏差大于0.5dB则应报警，及时查明原因，自检情况应及时记录。</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定期（至少每月一次）进行噪声监测子站现场声校准，将声校准器套在测试传声器上，开启声校准器3秒后，读取声学测量仪器示值。仪器示值与声校准器的声压级偏差不应大于0.5dB，否则监测数据应添加标记并检修仪器，且应视情况增加现场声校准频次。应记录每次现场声校准情况。声校准数据应上传监控系统。</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有效数据采集率：除外部停电或其他不可抗拒的原因外，年总采集率达到95％以上。</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噪声监测子站检定期间，应使用备用监测仪器开展监测，监测数据参与监控系统数据统计。</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噪声监测子站检定期间，应具备备用监测仪器开展监测。</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4.1一般要求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4.1.1对各点的仪器设备建立档案，包括点位信息（站点编号、地址、海拔、经纬度等）、设备信息（仪器型号、编号、运行时间、IP地址等）、仪器故障检修更换记录等。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4.1.2台风、暴雪、沙尘等特殊天气下应提前做好防护工作，必要时可断电，卸下传声器，检查机箱密闭性。强对流天气后，宜增加现场巡检维护。</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4.1.3检查维护应由具备第三方机构颁发的噪声监测及治理相关技术培训合格证书的专业人员进行。检查维护后应做好记录，记录内容包括维护人的姓名、维护时间、各站点状态、站点各部件状态、故障处置信息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4.1.4保证有足够的备件及备用仪器。根据实际需要进行增购，以不断调整和补充。</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4.2日常检查</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4.2.1应每天定时远程自检。</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4.2.2每日检查各监测站点的数据传输情况是否正常。若发现某站点数据传输异常，应立即查明原因并排除故障。短时无法解决数据传输问题时，应及时从站点终端处人工备份数据。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4.2.3每日通过远程监控系统检查各站点运行状况是否正常。</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4.2.4每日应对各站点的时钟和日历设置进行检查，若发现时钟和日历错误应及时调整。</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4.2.5每日应对各站点噪声事件的录音进行回放，备注主要噪声源。</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4.2.6每日应检查数据是否异常，如：数据极高或极低、持续不变或与前几日平均值相差较大等。出现异常值时，均不得擅自删除，应先检查数据异常原因，再根据原因判断数据是否有效。</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4.2.7日常检查情况应每日记录。</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4.3定期巡检及维护</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4.3.1应定期（至少每月一次）进行声校准。</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4.3.2检查站点支架、机箱外观是否完好。检查传声器、延长电缆、避雷设施等外部设备是否被损坏，是否附有异物。</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4.3.3对噪声自动监测站点机箱内、外进行清洁。</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4.3.4检查仪器及系统的工作状态参数是否正常，电源、风扇、通讯设备和辅助设施等是否稳定，如需更换，现场需用备件替代，检查维护要求见表1。</w:t>
      </w:r>
      <w:r/>
    </w:p>
    <w:p>
      <w:pPr>
        <w:contextualSpacing/>
        <w:ind w:firstLine="482"/>
        <w:jc w:val="center"/>
        <w:spacing w:line="360" w:lineRule="auto"/>
        <w:rPr>
          <w:rFonts w:ascii="宋体" w:hAnsi="宋体" w:eastAsia="宋体" w:cs="宋体"/>
          <w:b/>
          <w:bCs/>
          <w:sz w:val="24"/>
          <w:szCs w:val="24"/>
          <w14:ligatures w14:val="none"/>
        </w:rPr>
      </w:pPr>
      <w:r>
        <w:rPr>
          <w:rFonts w:hint="eastAsia" w:ascii="宋体" w:hAnsi="宋体" w:eastAsia="宋体" w:cs="宋体"/>
          <w:b/>
          <w:bCs/>
          <w:sz w:val="24"/>
          <w:szCs w:val="24"/>
          <w14:ligatures w14:val="none"/>
        </w:rPr>
        <w:t xml:space="preserve">表1各设备检查维护要求</w:t>
      </w:r>
      <w:r/>
    </w:p>
    <w:tbl>
      <w:tblPr>
        <w:tblStyle w:val="888"/>
        <w:tblW w:w="8380" w:type="dxa"/>
        <w:jc w:val="center"/>
        <w:tblLayout w:type="fixed"/>
        <w:tblCellMar>
          <w:left w:w="0" w:type="dxa"/>
          <w:top w:w="0" w:type="dxa"/>
          <w:right w:w="0" w:type="dxa"/>
          <w:bottom w:w="0" w:type="dxa"/>
        </w:tblCellMar>
        <w:tblLook w:val="04A0" w:firstRow="1" w:lastRow="0" w:firstColumn="1" w:lastColumn="0" w:noHBand="0" w:noVBand="1"/>
      </w:tblPr>
      <w:tblGrid>
        <w:gridCol w:w="1882"/>
        <w:gridCol w:w="2129"/>
        <w:gridCol w:w="4369"/>
      </w:tblGrid>
      <w:tr>
        <w:trPr>
          <w:jc w:val="center"/>
          <w:trHeight w:val="454"/>
        </w:trPr>
        <w:tc>
          <w:tcPr>
            <w:tcBorders>
              <w:top w:val="single" w:color="000000" w:sz="6" w:space="0"/>
              <w:left w:val="single" w:color="000000" w:sz="6" w:space="0"/>
              <w:bottom w:val="single" w:color="000000" w:sz="4" w:space="0"/>
              <w:right w:val="single" w:color="000000" w:sz="6" w:space="0"/>
            </w:tcBorders>
            <w:tcW w:w="1882" w:type="dxa"/>
            <w:vAlign w:val="center"/>
            <w:textDirection w:val="lrTb"/>
            <w:noWrap w:val="false"/>
          </w:tcPr>
          <w:p>
            <w:pPr>
              <w:jc w:val="center"/>
              <w:rPr>
                <w:rFonts w:ascii="宋体" w:hAnsi="宋体" w:eastAsia="宋体" w:cs="宋体"/>
                <w:b/>
                <w:bCs/>
                <w:sz w:val="21"/>
                <w:szCs w:val="21"/>
                <w:lang w:eastAsia="en-US"/>
                <w14:ligatures w14:val="none"/>
              </w:rPr>
            </w:pPr>
            <w:r>
              <w:rPr>
                <w:rFonts w:hint="eastAsia" w:ascii="宋体" w:hAnsi="宋体" w:eastAsia="宋体" w:cs="宋体"/>
                <w:b/>
                <w:bCs/>
                <w:sz w:val="21"/>
                <w:szCs w:val="21"/>
                <w:lang w:eastAsia="en-US"/>
                <w14:ligatures w14:val="none"/>
              </w:rPr>
              <w:t xml:space="preserve">设备名称</w:t>
            </w:r>
            <w:r/>
          </w:p>
        </w:tc>
        <w:tc>
          <w:tcPr>
            <w:tcBorders>
              <w:top w:val="single" w:color="000000" w:sz="6" w:space="0"/>
              <w:left w:val="single" w:color="000000" w:sz="6" w:space="0"/>
              <w:bottom w:val="single" w:color="000000" w:sz="4" w:space="0"/>
              <w:right w:val="single" w:color="000000" w:sz="6" w:space="0"/>
            </w:tcBorders>
            <w:tcW w:w="2129" w:type="dxa"/>
            <w:vAlign w:val="center"/>
            <w:textDirection w:val="lrTb"/>
            <w:noWrap w:val="false"/>
          </w:tcPr>
          <w:p>
            <w:pPr>
              <w:jc w:val="center"/>
              <w:rPr>
                <w:rFonts w:ascii="宋体" w:hAnsi="宋体" w:eastAsia="宋体" w:cs="宋体"/>
                <w:b/>
                <w:bCs/>
                <w:sz w:val="21"/>
                <w:szCs w:val="21"/>
                <w:lang w:eastAsia="en-US"/>
                <w14:ligatures w14:val="none"/>
              </w:rPr>
            </w:pPr>
            <w:r>
              <w:rPr>
                <w:rFonts w:hint="eastAsia" w:ascii="宋体" w:hAnsi="宋体" w:eastAsia="宋体" w:cs="宋体"/>
                <w:b/>
                <w:bCs/>
                <w:sz w:val="21"/>
                <w:szCs w:val="21"/>
                <w:lang w:eastAsia="en-US"/>
                <w14:ligatures w14:val="none"/>
              </w:rPr>
              <w:t xml:space="preserve">维护对象</w:t>
            </w:r>
            <w:r/>
          </w:p>
        </w:tc>
        <w:tc>
          <w:tcPr>
            <w:tcBorders>
              <w:top w:val="single" w:color="000000" w:sz="6" w:space="0"/>
              <w:left w:val="single" w:color="000000" w:sz="6" w:space="0"/>
              <w:bottom w:val="single" w:color="000000" w:sz="4" w:space="0"/>
              <w:right w:val="single" w:color="000000" w:sz="6" w:space="0"/>
            </w:tcBorders>
            <w:tcW w:w="4369" w:type="dxa"/>
            <w:vAlign w:val="center"/>
            <w:textDirection w:val="lrTb"/>
            <w:noWrap w:val="false"/>
          </w:tcPr>
          <w:p>
            <w:pPr>
              <w:jc w:val="center"/>
              <w:rPr>
                <w:rFonts w:ascii="宋体" w:hAnsi="宋体" w:eastAsia="宋体" w:cs="宋体"/>
                <w:b/>
                <w:bCs/>
                <w:sz w:val="21"/>
                <w:szCs w:val="21"/>
                <w:lang w:eastAsia="en-US"/>
                <w14:ligatures w14:val="none"/>
              </w:rPr>
            </w:pPr>
            <w:r>
              <w:rPr>
                <w:rFonts w:hint="eastAsia" w:ascii="宋体" w:hAnsi="宋体" w:eastAsia="宋体" w:cs="宋体"/>
                <w:b/>
                <w:bCs/>
                <w:sz w:val="21"/>
                <w:szCs w:val="21"/>
                <w:lang w:eastAsia="en-US"/>
                <w14:ligatures w14:val="none"/>
              </w:rPr>
              <w:t xml:space="preserve">检查维护内容</w:t>
            </w:r>
            <w:r/>
          </w:p>
        </w:tc>
      </w:tr>
      <w:tr>
        <w:trPr>
          <w:jc w:val="center"/>
          <w:trHeight w:val="454"/>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传声器</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传声器</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zh-CN"/>
                <w14:ligatures w14:val="none"/>
              </w:rPr>
            </w:pPr>
            <w:r>
              <w:rPr>
                <w:rFonts w:hint="eastAsia" w:ascii="宋体" w:hAnsi="宋体" w:eastAsia="宋体" w:cs="宋体"/>
                <w:sz w:val="21"/>
                <w:szCs w:val="21"/>
                <w:lang w:eastAsia="zh-CN"/>
                <w14:ligatures w14:val="none"/>
              </w:rPr>
              <w:t xml:space="preserve">外观是否变形、破损，进行声校准</w:t>
            </w:r>
            <w:r/>
          </w:p>
        </w:tc>
      </w:tr>
      <w:tr>
        <w:trPr>
          <w:jc w:val="center"/>
          <w:trHeight w:val="454"/>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zh-CN"/>
                <w14:ligatures w14:val="none"/>
              </w:rPr>
            </w:pPr>
            <w:r>
              <w:rPr>
                <w:rFonts w:ascii="宋体" w:hAnsi="宋体" w:eastAsia="宋体" w:cs="宋体"/>
                <w:sz w:val="21"/>
                <w:szCs w:val="21"/>
                <w:lang w:eastAsia="zh-CN"/>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防风罩</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zh-CN"/>
                <w14:ligatures w14:val="none"/>
              </w:rPr>
            </w:pPr>
            <w:r>
              <w:rPr>
                <w:rFonts w:hint="eastAsia" w:ascii="宋体" w:hAnsi="宋体" w:eastAsia="宋体" w:cs="宋体"/>
                <w:sz w:val="21"/>
                <w:szCs w:val="21"/>
                <w:lang w:eastAsia="zh-CN"/>
                <w14:ligatures w14:val="none"/>
              </w:rPr>
              <w:t xml:space="preserve">视风化和清洁情况更换</w:t>
            </w:r>
            <w:r/>
          </w:p>
        </w:tc>
      </w:tr>
      <w:tr>
        <w:trPr>
          <w:jc w:val="center"/>
          <w:trHeight w:val="454"/>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噪声分析仪</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所有电参数</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检查是否正常</w:t>
            </w:r>
            <w:r/>
          </w:p>
        </w:tc>
      </w:tr>
      <w:tr>
        <w:trPr>
          <w:jc w:val="center"/>
          <w:trHeight w:val="454"/>
        </w:trPr>
        <w:tc>
          <w:tcPr>
            <w:tcBorders>
              <w:left w:val="single" w:color="000000" w:sz="6"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en-US"/>
                <w14:ligatures w14:val="none"/>
              </w:rPr>
            </w:pPr>
            <w:r>
              <w:rPr>
                <w:rFonts w:ascii="宋体" w:hAnsi="宋体" w:eastAsia="宋体" w:cs="宋体"/>
                <w:sz w:val="21"/>
                <w:szCs w:val="21"/>
                <w:lang w:eastAsia="en-US"/>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空开</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检查有无跳闸</w:t>
            </w:r>
            <w:r/>
          </w:p>
        </w:tc>
      </w:tr>
      <w:tr>
        <w:trPr>
          <w:jc w:val="center"/>
          <w:trHeight w:val="454"/>
        </w:trPr>
        <w:tc>
          <w:tcPr>
            <w:tcBorders>
              <w:left w:val="single" w:color="000000" w:sz="6" w:space="0"/>
              <w:bottom w:val="single" w:color="000000" w:sz="4"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en-US"/>
                <w14:ligatures w14:val="none"/>
              </w:rPr>
            </w:pPr>
            <w:r>
              <w:rPr>
                <w:rFonts w:ascii="宋体" w:hAnsi="宋体" w:eastAsia="宋体" w:cs="宋体"/>
                <w:sz w:val="21"/>
                <w:szCs w:val="21"/>
                <w:lang w:eastAsia="en-US"/>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网络设备</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zh-CN"/>
                <w14:ligatures w14:val="none"/>
              </w:rPr>
            </w:pPr>
            <w:r>
              <w:rPr>
                <w:rFonts w:hint="eastAsia" w:ascii="宋体" w:hAnsi="宋体" w:eastAsia="宋体" w:cs="宋体"/>
                <w:sz w:val="21"/>
                <w:szCs w:val="21"/>
                <w:lang w:eastAsia="zh-CN"/>
                <w14:ligatures w14:val="none"/>
              </w:rPr>
              <w:t xml:space="preserve">检查路由器工作状态、通讯数据传输是否正常</w:t>
            </w:r>
            <w:r/>
          </w:p>
        </w:tc>
      </w:tr>
      <w:tr>
        <w:trPr>
          <w:jc w:val="center"/>
          <w:trHeight w:val="454"/>
        </w:trPr>
        <w:tc>
          <w:tcPr>
            <w:tcBorders>
              <w:top w:val="single" w:color="000000" w:sz="4" w:space="0"/>
              <w:left w:val="single" w:color="000000" w:sz="6" w:space="0"/>
              <w:right w:val="single" w:color="000000" w:sz="6" w:space="0"/>
            </w:tcBorders>
            <w:tcW w:w="1882" w:type="dxa"/>
            <w:vAlign w:val="center"/>
            <w:vMerge w:val="restart"/>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辅助设备</w:t>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供电电源</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是否正常运行</w:t>
            </w:r>
            <w:r/>
          </w:p>
        </w:tc>
      </w:tr>
      <w:tr>
        <w:trPr>
          <w:jc w:val="center"/>
          <w:trHeight w:val="454"/>
        </w:trPr>
        <w:tc>
          <w:tcPr>
            <w:tcBorders>
              <w:left w:val="single" w:color="000000" w:sz="6"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en-US"/>
                <w14:ligatures w14:val="none"/>
              </w:rPr>
            </w:pPr>
            <w:r>
              <w:rPr>
                <w:rFonts w:ascii="宋体" w:hAnsi="宋体" w:eastAsia="宋体" w:cs="宋体"/>
                <w:sz w:val="21"/>
                <w:szCs w:val="21"/>
                <w:lang w:eastAsia="en-US"/>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蓄电池</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zh-CN"/>
                <w14:ligatures w14:val="none"/>
              </w:rPr>
            </w:pPr>
            <w:r>
              <w:rPr>
                <w:rFonts w:hint="eastAsia" w:ascii="宋体" w:hAnsi="宋体" w:eastAsia="宋体" w:cs="宋体"/>
                <w:sz w:val="21"/>
                <w:szCs w:val="21"/>
                <w:lang w:eastAsia="zh-CN"/>
                <w14:ligatures w14:val="none"/>
              </w:rPr>
              <w:t xml:space="preserve">电压是否稳定、是否欠压、漏液</w:t>
            </w:r>
            <w:r/>
          </w:p>
        </w:tc>
      </w:tr>
      <w:tr>
        <w:trPr>
          <w:jc w:val="center"/>
          <w:trHeight w:val="454"/>
        </w:trPr>
        <w:tc>
          <w:tcPr>
            <w:tcBorders>
              <w:left w:val="single" w:color="000000" w:sz="6"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zh-CN"/>
                <w14:ligatures w14:val="none"/>
              </w:rPr>
            </w:pPr>
            <w:r>
              <w:rPr>
                <w:rFonts w:ascii="宋体" w:hAnsi="宋体" w:eastAsia="宋体" w:cs="宋体"/>
                <w:sz w:val="21"/>
                <w:szCs w:val="21"/>
                <w:lang w:eastAsia="zh-CN"/>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气象仪</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zh-CN"/>
                <w14:ligatures w14:val="none"/>
              </w:rPr>
            </w:pPr>
            <w:r>
              <w:rPr>
                <w:rFonts w:hint="eastAsia" w:ascii="宋体" w:hAnsi="宋体" w:eastAsia="宋体" w:cs="宋体"/>
                <w:sz w:val="21"/>
                <w:szCs w:val="21"/>
                <w:lang w:eastAsia="zh-CN"/>
                <w14:ligatures w14:val="none"/>
              </w:rPr>
              <w:t xml:space="preserve">是否清洁、无变形、无破损</w:t>
            </w:r>
            <w:r/>
          </w:p>
        </w:tc>
      </w:tr>
      <w:tr>
        <w:trPr>
          <w:jc w:val="center"/>
          <w:trHeight w:val="454"/>
        </w:trPr>
        <w:tc>
          <w:tcPr>
            <w:tcBorders>
              <w:left w:val="single" w:color="000000" w:sz="6"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zh-CN"/>
                <w14:ligatures w14:val="none"/>
              </w:rPr>
            </w:pPr>
            <w:r>
              <w:rPr>
                <w:rFonts w:ascii="宋体" w:hAnsi="宋体" w:eastAsia="宋体" w:cs="宋体"/>
                <w:sz w:val="21"/>
                <w:szCs w:val="21"/>
                <w:lang w:eastAsia="zh-CN"/>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车流量监测仪</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车流量是否准确</w:t>
            </w:r>
            <w:r/>
          </w:p>
        </w:tc>
      </w:tr>
      <w:tr>
        <w:trPr>
          <w:jc w:val="center"/>
          <w:trHeight w:val="454"/>
        </w:trPr>
        <w:tc>
          <w:tcPr>
            <w:tcBorders>
              <w:left w:val="single" w:color="000000" w:sz="6"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en-US"/>
                <w14:ligatures w14:val="none"/>
              </w:rPr>
            </w:pPr>
            <w:r>
              <w:rPr>
                <w:rFonts w:ascii="宋体" w:hAnsi="宋体" w:eastAsia="宋体" w:cs="宋体"/>
                <w:sz w:val="21"/>
                <w:szCs w:val="21"/>
                <w:lang w:eastAsia="en-US"/>
                <w14:ligatures w14:val="none"/>
              </w:rPr>
            </w:r>
            <w:r/>
          </w:p>
        </w:tc>
        <w:tc>
          <w:tcPr>
            <w:tcBorders>
              <w:top w:val="single" w:color="000000" w:sz="4" w:space="0"/>
              <w:left w:val="single" w:color="000000" w:sz="6" w:space="0"/>
              <w:bottom w:val="single" w:color="000000"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视频监控</w:t>
            </w:r>
            <w:r/>
          </w:p>
        </w:tc>
        <w:tc>
          <w:tcPr>
            <w:tcBorders>
              <w:top w:val="single" w:color="000000" w:sz="4" w:space="0"/>
              <w:left w:val="single" w:color="000000" w:sz="6" w:space="0"/>
              <w:bottom w:val="single" w:color="000000"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是否正常运行</w:t>
            </w:r>
            <w:r/>
          </w:p>
        </w:tc>
      </w:tr>
      <w:tr>
        <w:trPr>
          <w:jc w:val="center"/>
          <w:trHeight w:val="454"/>
        </w:trPr>
        <w:tc>
          <w:tcPr>
            <w:tcBorders>
              <w:left w:val="single" w:color="000000" w:sz="6" w:space="0"/>
              <w:bottom w:val="single" w:color="auto" w:sz="4" w:space="0"/>
              <w:right w:val="single" w:color="000000" w:sz="6" w:space="0"/>
            </w:tcBorders>
            <w:tcW w:w="1882" w:type="dxa"/>
            <w:vAlign w:val="center"/>
            <w:vMerge w:val="continue"/>
            <w:textDirection w:val="lrTb"/>
            <w:noWrap w:val="false"/>
          </w:tcPr>
          <w:p>
            <w:pPr>
              <w:contextualSpacing/>
              <w:jc w:val="center"/>
              <w:rPr>
                <w:rFonts w:ascii="宋体" w:hAnsi="宋体" w:eastAsia="宋体" w:cs="宋体"/>
                <w:sz w:val="21"/>
                <w:szCs w:val="21"/>
                <w:lang w:eastAsia="en-US"/>
                <w14:ligatures w14:val="none"/>
              </w:rPr>
            </w:pPr>
            <w:r>
              <w:rPr>
                <w:rFonts w:ascii="宋体" w:hAnsi="宋体" w:eastAsia="宋体" w:cs="宋体"/>
                <w:sz w:val="21"/>
                <w:szCs w:val="21"/>
                <w:lang w:eastAsia="en-US"/>
                <w14:ligatures w14:val="none"/>
              </w:rPr>
            </w:r>
            <w:r/>
          </w:p>
        </w:tc>
        <w:tc>
          <w:tcPr>
            <w:tcBorders>
              <w:top w:val="single" w:color="000000" w:sz="4" w:space="0"/>
              <w:left w:val="single" w:color="000000" w:sz="6" w:space="0"/>
              <w:bottom w:val="single" w:color="auto" w:sz="4" w:space="0"/>
              <w:right w:val="single" w:color="000000" w:sz="6" w:space="0"/>
            </w:tcBorders>
            <w:tcW w:w="212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声源追踪仪</w:t>
            </w:r>
            <w:r/>
          </w:p>
        </w:tc>
        <w:tc>
          <w:tcPr>
            <w:tcBorders>
              <w:top w:val="single" w:color="000000" w:sz="4" w:space="0"/>
              <w:left w:val="single" w:color="000000" w:sz="6" w:space="0"/>
              <w:bottom w:val="single" w:color="auto" w:sz="4" w:space="0"/>
              <w:right w:val="single" w:color="000000" w:sz="6" w:space="0"/>
            </w:tcBorders>
            <w:tcW w:w="4369" w:type="dxa"/>
            <w:vAlign w:val="center"/>
            <w:textDirection w:val="lrTb"/>
            <w:noWrap w:val="false"/>
          </w:tcPr>
          <w:p>
            <w:pPr>
              <w:contextualSpacing/>
              <w:jc w:val="center"/>
              <w:rPr>
                <w:rFonts w:ascii="宋体" w:hAnsi="宋体" w:eastAsia="宋体" w:cs="宋体"/>
                <w:sz w:val="21"/>
                <w:szCs w:val="21"/>
                <w:lang w:eastAsia="en-US"/>
                <w14:ligatures w14:val="none"/>
              </w:rPr>
            </w:pPr>
            <w:r>
              <w:rPr>
                <w:rFonts w:hint="eastAsia" w:ascii="宋体" w:hAnsi="宋体" w:eastAsia="宋体" w:cs="宋体"/>
                <w:sz w:val="21"/>
                <w:szCs w:val="21"/>
                <w:lang w:eastAsia="en-US"/>
                <w14:ligatures w14:val="none"/>
              </w:rPr>
              <w:t xml:space="preserve">是否正常运行</w:t>
            </w:r>
            <w:r/>
          </w:p>
        </w:tc>
      </w:tr>
    </w:tbl>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4.3.5检查仪器的各连接线是否可靠，包括电源连接线、通信设备连接线、传声器连接线等。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4.3.6采用手持式风速仪，对气象单元自动监测的风速值进行核对。</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4.3.7做好巡检维护记录。有问题应及时处理，保证系统能安全运行。</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4.3.8备份上周功能区声环境质量自动监测的原始数据，包括气象、车流量等相关数据。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4.4年度维护</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4.4.1盘点备件库存，提出当年仪器备品耗材的购置计划，确保噪声自动监测系统正常运行。</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4.4.2按照仪器使用和维修手册规定的要求，根据配件的使用状态，及时更换监测仪器中的风罩、路由器等配件。</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4.4.3视老化程度对机箱、支架等外部件进行保养，如：更换零件、喷涂防锈漆等，保证站点安全、稳固。</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4.4.4对电路板、电线、各种接头的老化程度进行检测，发现问题和安全隐患及时更换。</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4.4.5对服务器、系统软件等进行全面检查，检查运行情况、安全漏洞、占用资源情况、剩余储存空间、是否感染病毒等，必要时应对软硬件进行升级。</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4.4.6对维护及更换配件情况进行记录。</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4.4.7存档原始监测数据。</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4.5运维报告定期提交每个监测子站的运营维护报告：每月维护结束后5日内提交运维记录报表；每年度维护结束后10日内提交年度维护报告，年度装订成册备案。定期提供投保材料。</w:t>
      </w:r>
      <w:r/>
    </w:p>
    <w:p>
      <w:pPr>
        <w:pStyle w:val="686"/>
        <w:numPr>
          <w:ilvl w:val="0"/>
          <w:numId w:val="0"/>
        </w:numPr>
        <w:ind w:left="440" w:hanging="440"/>
        <w:jc w:val="left"/>
        <w:spacing w:before="0" w:after="0" w:line="360" w:lineRule="auto"/>
        <w:rPr>
          <w:rFonts w:hint="eastAsia" w:ascii="宋体" w:hAnsi="宋体" w:eastAsia="宋体"/>
          <w:sz w:val="28"/>
          <w:szCs w:val="28"/>
        </w:rPr>
      </w:pPr>
      <w:r>
        <w:rPr>
          <w:rFonts w:hint="eastAsia" w:ascii="宋体" w:hAnsi="宋体" w:eastAsia="宋体"/>
          <w:sz w:val="28"/>
          <w:szCs w:val="28"/>
          <w:lang w:val="en-US" w:eastAsia="zh-CN"/>
        </w:rPr>
        <w:t xml:space="preserve">(三)</w:t>
      </w:r>
      <w:r>
        <w:rPr>
          <w:rFonts w:hint="eastAsia" w:ascii="宋体" w:hAnsi="宋体" w:eastAsia="宋体"/>
          <w:sz w:val="28"/>
          <w:szCs w:val="28"/>
        </w:rPr>
        <w:t xml:space="preserve">服务要求</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所有货物（包括零部件）须为全新的、未使用过的原装正品。提交货物（含相关服务）的技术参数和配置应与招标文件的要求及其投标文件的技术要求（如果被评委会接受的话）相一致。若招标文件及投标文件中无相应说明，则以国家有关部门最新颁布的相应标准及规范为准。</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2、签订合同前采购人有权要求中标人提供投标主要产品的样机进行主要技术指标和功能核查，如发现与招标文件或投标文件响应不符的，将做为虚假响应纳入失信黑名单和政府采购黑名单。</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3、交货要求：</w:t>
      </w:r>
      <w:r/>
    </w:p>
    <w:p>
      <w:pPr>
        <w:pStyle w:val="705"/>
        <w:ind w:firstLine="420"/>
        <w:spacing w:before="120" w:after="120"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3.1交货期：合同签订之日起60个日历日内完成。</w:t>
      </w:r>
      <w:r/>
    </w:p>
    <w:p>
      <w:pPr>
        <w:pStyle w:val="705"/>
        <w:ind w:firstLine="420"/>
        <w:spacing w:before="120" w:after="120"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3.2交货地点：送至采购单位指定地点。</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4、技术支持</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4.1中标人应向采购人提供全方位及时而有效的技术支持和服务。</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4.2中标人负责供货、运输并安装调试完毕。</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4.3中标人在项目实施过程中，进场单位和人员的资质、资格符合国家、省、市有关规定。施工期间中标人所发生的或中标人施工场地内发生的或中标人原因造成的安全事故，均应由中标人负责按有关规定处理善后事宜，并承担给采购人造成的损失。</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5、试运行：试运行按照《功能区声环境质量自动监测能力建设技术要求》（总站物字（2023）13号）相关要求执行。</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6、质保及售后服务：</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6.1中标人所投所有货物提供1年的免费质保服务，自验收合格之日起计算。所有质保费用均已包含在投标总报价中。免费质保期满后，应提供优先的有偿售后服务及按不高于投标文件中主要配件、易损件清单所报价格供应原厂零配件等。</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6.2中标单位须在苏州大市范围内设有技术服务及维修中心，提供长期技术支持和维修服务，负责解答用户在货物使用中遇到的问题，及时提出解决问题的建议和操作方法。</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6.3售后服务响应时间：如货物出现质量问题，中标人须立即响应，电话响应无法解决，中标人必须在接报修电话4小时内到达现场检修。对于普通故障，修复时间不超过24小时；如不能解决的，中标人需在24小时内免费提供备品备件供采购人使用。免费质保期内如货物出现质量问题，中标人负责免费修复，对于无法修复的情况，中标人负责免费更换。</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7、培训：</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7.1中标人应对采购人的操作人员提供现场培训。</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7.2现场培训能够根据采购人需要，合理安排，使采购人能够全面掌握设备的工作原理，熟练独立操作设备，并能够对设备进行日常维护与保养，简单故障诊断与排除。</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7.3培训费用包含在总投标价中。</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8、验收：</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产品配置必须原厂出厂时全部自带，所有设备外包装箱不得自行拆封，包装箱上所有标签等不得涂改或撕毁，否则采购单位有权拒绝验收；所有货物交货完毕，采购方及采购方指定部门对成交单位提供的产品验收，验收不符合采购要求的，采购方有权终止合同。相关损失由成交单位自行承担。投标报价时应充分考虑该费用，采购单位不再另行支付。</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8.2项目验收前投标人应提供制造厂家出具的产品合格证书、装箱清单等，完税证明及商检证明（如有）等材料；提供有关货物的保养修理所需的各种随机工具及全部有关技术文件、操作使用说明书、质保书、保修证明、维护手册及技术性指导资料以及根据中国相关法律规定制造、销售报价货物（包括主要部件和材料）所必备的各种证书（如产品质量检验报告、适用性检测报告等）等文件和应由中标人提供的必要文件汇集成册交付采购人。</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8.3验收标准：按谈判响应文件及《功能区声环境质量自动监测技术规范》（HJ906-2017）、《环境噪声自动监测系统技术要求》（HJ907-2017）和《功能区声环境质量自动监测能力建设技术要求》（总站物字（2023）13号）。验收内容至少包括数量、外观、质量、性能。所有产品应符合规定的性能，无瑕疵和缺陷，必须为合格品。同时有明确的制造厂商。</w:t>
      </w:r>
      <w:r/>
    </w:p>
    <w:p>
      <w:pPr>
        <w:pStyle w:val="705"/>
        <w:ind w:firstLine="420"/>
        <w:spacing w:before="120" w:after="12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8.4验收期限：提交试运行申请之日起十天内组织测试，测试结果汇总调试情况形成验收报告后10个工作日内由采购人组织验收。</w:t>
      </w:r>
      <w:r/>
    </w:p>
    <w:p>
      <w:pPr>
        <w:numPr>
          <w:ilvl w:val="0"/>
          <w:numId w:val="0"/>
        </w:numPr>
        <w:contextualSpacing/>
        <w:jc w:val="both"/>
        <w:spacing w:line="360" w:lineRule="auto"/>
        <w:widowControl w:val="off"/>
        <w:rPr>
          <w:rFonts w:hint="eastAsia" w:ascii="宋体" w:hAnsi="宋体" w:eastAsia="宋体" w:cs="宋体"/>
          <w:sz w:val="24"/>
          <w:szCs w:val="24"/>
          <w14:ligatures w14:val="none"/>
        </w:rPr>
      </w:pPr>
      <w:r>
        <w:rPr>
          <w:rFonts w:hint="eastAsia" w:ascii="宋体" w:hAnsi="宋体" w:eastAsia="宋体" w:cs="宋体"/>
          <w:color w:val="auto"/>
          <w:sz w:val="21"/>
          <w:highlight w:val="none"/>
        </w:rPr>
        <w:t xml:space="preserve">知识产权：成交单位应保证甲方免除且成交单位承担由于甲方在其本国使用时而引起第三方提出的侵犯专利权、商标权或工业设计权的起诉、行动、行政程序索赔、请求等以及甲方为此而产生的损失和损害、费用和支出（包括律师费）。</w:t>
      </w:r>
      <w:r/>
    </w:p>
    <w:p>
      <w:pPr>
        <w:numPr>
          <w:ilvl w:val="0"/>
          <w:numId w:val="0"/>
        </w:numPr>
        <w:contextualSpacing/>
        <w:jc w:val="both"/>
        <w:spacing w:line="360" w:lineRule="auto"/>
        <w:widowControl w:val="off"/>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pStyle w:val="685"/>
        <w:jc w:val="center"/>
        <w:spacing w:line="360" w:lineRule="auto"/>
        <w:rPr>
          <w:rFonts w:hint="eastAsia" w:ascii="宋体" w:hAnsi="宋体" w:eastAsia="宋体" w:cs="宋体"/>
          <w:color w:val="auto"/>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r/>
    </w:p>
    <w:p>
      <w:pPr>
        <w:pStyle w:val="68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评标方法及评标标准</w:t>
      </w:r>
      <w:r/>
    </w:p>
    <w:p>
      <w:pPr>
        <w:pStyle w:val="878"/>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pStyle w:val="878"/>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878"/>
        <w:ind w:firstLine="422"/>
        <w:rPr>
          <w:rFonts w:hint="eastAsia" w:ascii="宋体" w:hAnsi="宋体" w:eastAsia="宋体" w:cs="宋体"/>
          <w:color w:val="auto"/>
          <w:highlight w:val="none"/>
        </w:rPr>
      </w:pP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、评标标准</w:t>
      </w:r>
      <w:r/>
    </w:p>
    <w:tbl>
      <w:tblPr>
        <w:tblStyle w:val="695"/>
        <w:tblW w:w="558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065"/>
        <w:gridCol w:w="1268"/>
        <w:gridCol w:w="6510"/>
      </w:tblGrid>
      <w:tr>
        <w:trPr>
          <w:trHeight w:val="454"/>
        </w:trPr>
        <w:tc>
          <w:tcPr>
            <w:tcW w:w="675" w:type="dxa"/>
            <w:vAlign w:val="center"/>
            <w:textDirection w:val="lrTb"/>
            <w:noWrap/>
          </w:tcPr>
          <w:p>
            <w:pPr>
              <w:ind w:left="-116" w:right="-100"/>
              <w:jc w:val="center"/>
              <w:spacing w:line="360" w:lineRule="auto"/>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序号</w:t>
            </w:r>
            <w:r/>
          </w:p>
        </w:tc>
        <w:tc>
          <w:tcPr>
            <w:gridSpan w:val="2"/>
            <w:tcW w:w="2333" w:type="dxa"/>
            <w:vAlign w:val="center"/>
            <w:textDirection w:val="lrTb"/>
            <w:noWrap/>
          </w:tcPr>
          <w:p>
            <w:pPr>
              <w:ind w:left="-116" w:right="-100"/>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t xml:space="preserve">评审项目</w:t>
            </w:r>
            <w:r/>
          </w:p>
        </w:tc>
        <w:tc>
          <w:tcPr>
            <w:tcW w:w="6510" w:type="dxa"/>
            <w:vAlign w:val="center"/>
            <w:textDirection w:val="lrTb"/>
            <w:noWrap/>
          </w:tcPr>
          <w:p>
            <w:pPr>
              <w:jc w:val="center"/>
              <w:spacing w:line="360" w:lineRule="auto"/>
              <w:rPr>
                <w:rFonts w:ascii="宋体" w:hAnsi="宋体" w:eastAsia="宋体" w:cs="宋体"/>
                <w:b/>
                <w:bCs/>
                <w:color w:val="000000"/>
                <w:sz w:val="21"/>
                <w:szCs w:val="21"/>
                <w:lang w:val="zh-CN"/>
              </w:rPr>
            </w:pPr>
            <w:r>
              <w:rPr>
                <w:rFonts w:ascii="宋体" w:hAnsi="宋体" w:eastAsia="宋体" w:cs="宋体"/>
                <w:b/>
                <w:bCs/>
                <w:color w:val="000000"/>
                <w:sz w:val="21"/>
                <w:szCs w:val="21"/>
                <w:lang w:val="zh-CN"/>
              </w:rPr>
              <w:t xml:space="preserve">评分标准</w:t>
            </w:r>
            <w:r/>
          </w:p>
        </w:tc>
      </w:tr>
      <w:tr>
        <w:trPr>
          <w:trHeight w:val="454"/>
        </w:trPr>
        <w:tc>
          <w:tcPr>
            <w:tcW w:w="675" w:type="dxa"/>
            <w:vAlign w:val="center"/>
            <w:textDirection w:val="lrTb"/>
            <w:noWrap/>
          </w:tcPr>
          <w:p>
            <w:pPr>
              <w:ind w:left="1040" w:right="-100" w:hanging="1156"/>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p>
        </w:tc>
        <w:tc>
          <w:tcPr>
            <w:gridSpan w:val="2"/>
            <w:tcW w:w="2333" w:type="dxa"/>
            <w:vAlign w:val="center"/>
            <w:textDirection w:val="lrTb"/>
            <w:noWrap/>
          </w:tcPr>
          <w:p>
            <w:pPr>
              <w:ind w:left="1040" w:right="-100" w:hanging="1156"/>
              <w:jc w:val="center"/>
              <w:spacing w:line="360" w:lineRule="auto"/>
              <w:tabs>
                <w:tab w:val="left" w:pos="6480" w:leader="none"/>
              </w:tabs>
              <w:rPr>
                <w:rFonts w:ascii="宋体" w:hAnsi="宋体" w:eastAsia="宋体" w:cs="宋体"/>
                <w:color w:val="000000"/>
                <w:sz w:val="21"/>
                <w:szCs w:val="21"/>
                <w:lang w:val="zh-CN"/>
              </w:rPr>
            </w:pPr>
            <w:r>
              <w:rPr>
                <w:rFonts w:ascii="宋体" w:hAnsi="宋体" w:eastAsia="宋体" w:cs="宋体"/>
                <w:color w:val="000000"/>
                <w:sz w:val="21"/>
                <w:szCs w:val="21"/>
                <w:lang w:val="zh-CN"/>
              </w:rPr>
              <w:t xml:space="preserve">投标报价</w:t>
            </w:r>
            <w:r/>
          </w:p>
          <w:p>
            <w:pPr>
              <w:ind w:left="1040" w:right="-100" w:hanging="1156"/>
              <w:jc w:val="center"/>
              <w:spacing w:line="360" w:lineRule="auto"/>
              <w:tabs>
                <w:tab w:val="left" w:pos="6480" w:leader="none"/>
              </w:tabs>
              <w:rPr>
                <w:rFonts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lang w:val="en-US" w:eastAsia="zh-CN"/>
              </w:rPr>
              <w:t xml:space="preserve">30分</w:t>
            </w:r>
            <w:r>
              <w:rPr>
                <w:rFonts w:hint="eastAsia" w:ascii="宋体" w:hAnsi="宋体" w:eastAsia="宋体" w:cs="宋体"/>
                <w:color w:val="000000"/>
                <w:sz w:val="21"/>
                <w:szCs w:val="21"/>
                <w:lang w:val="zh-CN"/>
              </w:rPr>
              <w:t xml:space="preserve">）</w:t>
            </w:r>
            <w:r/>
          </w:p>
        </w:tc>
        <w:tc>
          <w:tcPr>
            <w:tcW w:w="6510" w:type="dxa"/>
            <w:vAlign w:val="center"/>
            <w:textDirection w:val="lrTb"/>
            <w:noWrap/>
          </w:tcPr>
          <w:p>
            <w:pPr>
              <w:spacing w:line="360" w:lineRule="auto"/>
              <w:rPr>
                <w:rFonts w:ascii="宋体" w:hAnsi="宋体" w:eastAsia="宋体" w:cs="Times New Roman"/>
                <w:sz w:val="21"/>
                <w:szCs w:val="21"/>
                <w:lang w:val="zh-CN"/>
                <w14:ligatures w14:val="none"/>
              </w:rPr>
            </w:pPr>
            <w:r>
              <w:rPr>
                <w:rFonts w:hint="eastAsia" w:ascii="宋体" w:hAnsi="宋体" w:eastAsia="宋体" w:cs="仿宋"/>
                <w:sz w:val="21"/>
                <w:szCs w:val="21"/>
                <w:lang w:val="zh-CN"/>
                <w14:ligatures w14:val="none"/>
              </w:rPr>
              <w:t xml:space="preserve">满足招标文件要求且投标价格（或者最终价格）最低的投标报价为评标基准价，其价格分为满分。</w:t>
            </w:r>
            <w:r/>
          </w:p>
          <w:p>
            <w:pPr>
              <w:spacing w:line="360" w:lineRule="auto"/>
              <w:rPr>
                <w:rFonts w:hint="eastAsia" w:ascii="宋体" w:hAnsi="宋体" w:eastAsia="宋体" w:cs="仿宋"/>
                <w:sz w:val="21"/>
                <w:szCs w:val="21"/>
                <w:u w:val="single"/>
                <w:lang w:eastAsia="zh-CN"/>
                <w14:ligatures w14:val="none"/>
              </w:rPr>
            </w:pPr>
            <w:r>
              <w:rPr>
                <w:rFonts w:hint="eastAsia" w:ascii="宋体" w:hAnsi="宋体" w:eastAsia="宋体" w:cs="仿宋"/>
                <w:sz w:val="21"/>
                <w:szCs w:val="21"/>
                <w:lang w:val="zh-CN"/>
                <w14:ligatures w14:val="none"/>
              </w:rPr>
              <w:t xml:space="preserve">其它报价得分＝评标基准价</w:t>
            </w:r>
            <w:r>
              <w:rPr>
                <w:rFonts w:hint="eastAsia" w:ascii="宋体" w:hAnsi="宋体" w:eastAsia="宋体" w:cs="仿宋"/>
                <w:sz w:val="21"/>
                <w:szCs w:val="21"/>
                <w14:ligatures w14:val="none"/>
              </w:rPr>
              <w:t xml:space="preserve">÷</w:t>
            </w:r>
            <w:r>
              <w:rPr>
                <w:rFonts w:hint="eastAsia" w:ascii="宋体" w:hAnsi="宋体" w:eastAsia="宋体" w:cs="仿宋"/>
                <w:sz w:val="21"/>
                <w:szCs w:val="21"/>
                <w:lang w:val="zh-CN"/>
                <w14:ligatures w14:val="none"/>
              </w:rPr>
              <w:t xml:space="preserve">（投标报价或者最终价格）×</w:t>
            </w:r>
            <w:r>
              <w:rPr>
                <w:rFonts w:hint="eastAsia" w:ascii="宋体" w:hAnsi="宋体" w:eastAsia="宋体" w:cs="仿宋"/>
                <w:sz w:val="21"/>
                <w:szCs w:val="21"/>
                <w:u w:val="none"/>
                <w14:ligatures w14:val="none"/>
              </w:rPr>
              <w:t xml:space="preserve">30</w:t>
            </w:r>
            <w:r>
              <w:rPr>
                <w:rFonts w:hint="eastAsia" w:ascii="宋体" w:hAnsi="宋体" w:eastAsia="宋体" w:cs="仿宋"/>
                <w:sz w:val="21"/>
                <w:szCs w:val="21"/>
                <w:u w:val="none"/>
                <w:lang w:eastAsia="zh-CN"/>
                <w14:ligatures w14:val="none"/>
              </w:rPr>
              <w:t xml:space="preserve">（</w:t>
            </w:r>
            <w:r>
              <w:rPr>
                <w:rFonts w:hint="eastAsia" w:ascii="宋体" w:hAnsi="宋体" w:eastAsia="宋体" w:cs="仿宋"/>
                <w:sz w:val="21"/>
                <w:szCs w:val="21"/>
                <w:u w:val="none"/>
                <w:lang w:val="en-US" w:eastAsia="zh-CN"/>
                <w14:ligatures w14:val="none"/>
              </w:rPr>
              <w:t xml:space="preserve">小数点保留两位</w:t>
            </w:r>
            <w:r>
              <w:rPr>
                <w:rFonts w:hint="eastAsia" w:ascii="宋体" w:hAnsi="宋体" w:eastAsia="宋体" w:cs="仿宋"/>
                <w:sz w:val="21"/>
                <w:szCs w:val="21"/>
                <w:u w:val="none"/>
                <w:lang w:eastAsia="zh-CN"/>
                <w14:ligatures w14:val="none"/>
              </w:rPr>
              <w:t xml:space="preserve">）</w:t>
            </w:r>
            <w:r/>
          </w:p>
          <w:p>
            <w:pPr>
              <w:spacing w:line="360" w:lineRule="auto"/>
              <w:rPr>
                <w:rFonts w:ascii="宋体" w:hAnsi="宋体" w:eastAsia="宋体" w:cs="仿宋"/>
                <w:b/>
                <w:color w:val="000000"/>
                <w:sz w:val="21"/>
                <w:szCs w:val="21"/>
              </w:rPr>
            </w:pPr>
            <w:r>
              <w:rPr>
                <w:rFonts w:ascii="宋体" w:hAnsi="宋体" w:eastAsia="宋体" w:cs="仿宋"/>
                <w:color w:val="000000"/>
                <w:sz w:val="21"/>
                <w:szCs w:val="21"/>
                <w:lang w:val="zh-CN"/>
              </w:rPr>
              <w:t xml:space="preserve">超出采购预算价的投标报价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trHeight w:val="454"/>
        </w:trPr>
        <w:tc>
          <w:tcPr>
            <w:tcW w:w="675" w:type="dxa"/>
            <w:vAlign w:val="center"/>
            <w:vMerge w:val="restart"/>
            <w:textDirection w:val="lrTb"/>
            <w:noWrap/>
          </w:tcPr>
          <w:p>
            <w:pPr>
              <w:ind w:left="-116" w:right="-100"/>
              <w:jc w:val="center"/>
              <w:spacing w:line="360" w:lineRule="auto"/>
              <w:tabs>
                <w:tab w:val="left" w:pos="6480" w:leader="none"/>
              </w:tabs>
              <w:rPr>
                <w:rFonts w:hint="eastAsia" w:ascii="宋体" w:hAnsi="宋体" w:eastAsia="宋体" w:cs="仿宋"/>
                <w:color w:val="000000"/>
                <w:sz w:val="21"/>
                <w:szCs w:val="21"/>
                <w:lang w:val="en-US" w:eastAsia="zh-CN"/>
              </w:rPr>
            </w:pPr>
            <w:r>
              <w:rPr>
                <w:rFonts w:hint="eastAsia" w:ascii="宋体" w:hAnsi="宋体" w:eastAsia="宋体" w:cs="仿宋"/>
                <w:color w:val="000000"/>
                <w:sz w:val="21"/>
                <w:szCs w:val="21"/>
                <w:lang w:val="en-US" w:eastAsia="zh-CN"/>
              </w:rPr>
              <w:t xml:space="preserve">2</w:t>
            </w:r>
            <w:r/>
          </w:p>
        </w:tc>
        <w:tc>
          <w:tcPr>
            <w:tcW w:w="1065" w:type="dxa"/>
            <w:vAlign w:val="center"/>
            <w:vMerge w:val="restart"/>
            <w:textDirection w:val="lrTb"/>
            <w:noWrap/>
          </w:tcPr>
          <w:p>
            <w:pPr>
              <w:ind w:left="-116" w:right="-100"/>
              <w:jc w:val="center"/>
              <w:spacing w:line="360" w:lineRule="auto"/>
              <w:tabs>
                <w:tab w:val="left" w:pos="6480" w:leader="none"/>
              </w:tabs>
              <w:rPr>
                <w:rFonts w:hint="eastAsia" w:ascii="宋体" w:hAnsi="宋体" w:eastAsia="宋体" w:cs="仿宋"/>
                <w:color w:val="000000"/>
                <w:sz w:val="21"/>
                <w:szCs w:val="21"/>
                <w:lang w:val="en-US" w:eastAsia="zh-CN"/>
              </w:rPr>
            </w:pPr>
            <w:r>
              <w:rPr>
                <w:rFonts w:hint="eastAsia" w:ascii="宋体" w:hAnsi="宋体" w:eastAsia="宋体" w:cs="仿宋"/>
                <w:color w:val="000000"/>
                <w:sz w:val="21"/>
                <w:szCs w:val="21"/>
                <w:lang w:val="en-US" w:eastAsia="zh-CN"/>
              </w:rPr>
              <w:t xml:space="preserve">技术部分</w:t>
            </w:r>
            <w:r/>
          </w:p>
          <w:p>
            <w:pPr>
              <w:ind w:left="-116" w:right="-100"/>
              <w:jc w:val="center"/>
              <w:spacing w:line="360" w:lineRule="auto"/>
              <w:tabs>
                <w:tab w:val="left" w:pos="6480" w:leader="none"/>
              </w:tabs>
              <w:rPr>
                <w:rFonts w:hint="default" w:ascii="宋体" w:hAnsi="宋体" w:eastAsia="宋体" w:cs="仿宋"/>
                <w:color w:val="000000"/>
                <w:sz w:val="21"/>
                <w:szCs w:val="21"/>
                <w:lang w:val="en-US" w:eastAsia="zh-CN"/>
              </w:rPr>
            </w:pPr>
            <w:r>
              <w:rPr>
                <w:rFonts w:hint="eastAsia" w:ascii="宋体" w:hAnsi="宋体" w:eastAsia="宋体" w:cs="仿宋"/>
                <w:color w:val="000000"/>
                <w:sz w:val="21"/>
                <w:szCs w:val="21"/>
                <w:lang w:val="en-US" w:eastAsia="zh-CN"/>
              </w:rPr>
              <w:t xml:space="preserve">（45分）</w:t>
            </w:r>
            <w:r/>
          </w:p>
        </w:tc>
        <w:tc>
          <w:tcPr>
            <w:tcW w:w="1268" w:type="dxa"/>
            <w:vAlign w:val="center"/>
            <w:textDirection w:val="lrTb"/>
            <w:noWrap/>
          </w:tcPr>
          <w:p>
            <w:pPr>
              <w:ind w:left="-116" w:right="-100"/>
              <w:jc w:val="center"/>
              <w:spacing w:line="360" w:lineRule="auto"/>
              <w:tabs>
                <w:tab w:val="left" w:pos="6480" w:leader="none"/>
              </w:tabs>
              <w:rPr>
                <w:rFonts w:ascii="宋体" w:hAnsi="宋体" w:eastAsia="宋体" w:cs="仿宋"/>
                <w:color w:val="000000"/>
                <w:sz w:val="21"/>
                <w:szCs w:val="21"/>
                <w:lang w:val="zh-CN"/>
              </w:rPr>
            </w:pPr>
            <w:r>
              <w:rPr>
                <w:rFonts w:ascii="宋体" w:hAnsi="宋体" w:eastAsia="宋体" w:cs="仿宋"/>
                <w:color w:val="000000"/>
                <w:sz w:val="21"/>
                <w:szCs w:val="21"/>
                <w:lang w:val="zh-CN"/>
              </w:rPr>
              <w:t xml:space="preserve">技术参数响应</w:t>
            </w:r>
            <w:r/>
          </w:p>
          <w:p>
            <w:pPr>
              <w:ind w:left="-116" w:right="-100"/>
              <w:jc w:val="center"/>
              <w:spacing w:line="360" w:lineRule="auto"/>
              <w:tabs>
                <w:tab w:val="left" w:pos="6480" w:leader="none"/>
              </w:tabs>
              <w:rPr>
                <w:rFonts w:ascii="宋体" w:hAnsi="宋体" w:eastAsia="宋体" w:cs="仿宋"/>
                <w:color w:val="000000"/>
                <w:sz w:val="21"/>
                <w:szCs w:val="21"/>
                <w:lang w:val="zh-CN"/>
              </w:rPr>
            </w:pPr>
            <w:r>
              <w:rPr>
                <w:rFonts w:hint="eastAsia" w:ascii="宋体" w:hAnsi="宋体" w:eastAsia="宋体" w:cs="仿宋"/>
                <w:color w:val="000000"/>
                <w:sz w:val="21"/>
                <w:szCs w:val="21"/>
                <w:lang w:val="zh-CN"/>
              </w:rPr>
              <w:t xml:space="preserve">（</w:t>
            </w:r>
            <w:r>
              <w:rPr>
                <w:rFonts w:hint="eastAsia" w:ascii="宋体" w:hAnsi="宋体" w:eastAsia="宋体" w:cs="仿宋"/>
                <w:color w:val="000000"/>
                <w:sz w:val="21"/>
                <w:szCs w:val="21"/>
                <w:lang w:val="en-US" w:eastAsia="zh-CN"/>
              </w:rPr>
              <w:t xml:space="preserve">33分</w:t>
            </w:r>
            <w:r>
              <w:rPr>
                <w:rFonts w:hint="eastAsia" w:ascii="宋体" w:hAnsi="宋体" w:eastAsia="宋体" w:cs="仿宋"/>
                <w:color w:val="000000"/>
                <w:sz w:val="21"/>
                <w:szCs w:val="21"/>
                <w:lang w:val="zh-CN"/>
              </w:rPr>
              <w:t xml:space="preserve">）</w:t>
            </w:r>
            <w:r/>
          </w:p>
        </w:tc>
        <w:tc>
          <w:tcPr>
            <w:tcW w:w="6510" w:type="dxa"/>
            <w:vAlign w:val="center"/>
            <w:textDirection w:val="lrTb"/>
            <w:noWrap/>
          </w:tcPr>
          <w:p>
            <w:pPr>
              <w:ind w:right="-116"/>
              <w:spacing w:line="360" w:lineRule="auto"/>
              <w:rPr>
                <w:rFonts w:hint="default" w:ascii="宋体" w:hAnsi="宋体" w:eastAsia="宋体" w:cs="仿宋"/>
                <w:sz w:val="21"/>
                <w:szCs w:val="21"/>
                <w:lang w:val="en-US" w:eastAsia="zh-CN"/>
                <w14:ligatures w14:val="none"/>
              </w:rPr>
            </w:pPr>
            <w:r>
              <w:rPr>
                <w:rFonts w:hint="eastAsia" w:ascii="宋体" w:hAnsi="宋体" w:eastAsia="宋体" w:cs="仿宋"/>
                <w:sz w:val="21"/>
                <w:szCs w:val="21"/>
                <w:lang w:val="zh-CN"/>
                <w14:ligatures w14:val="none"/>
              </w:rPr>
              <w:t xml:space="preserve">所投产品技术指标、参数全部</w:t>
            </w:r>
            <w:r>
              <w:rPr>
                <w:rFonts w:hint="eastAsia" w:ascii="宋体" w:hAnsi="宋体" w:eastAsia="宋体" w:cs="仿宋"/>
                <w:sz w:val="21"/>
                <w:szCs w:val="21"/>
                <w:lang w:val="en-US" w:eastAsia="zh-CN"/>
                <w14:ligatures w14:val="none"/>
              </w:rPr>
              <w:t xml:space="preserve">响应或</w:t>
            </w:r>
            <w:r>
              <w:rPr>
                <w:rFonts w:hint="eastAsia" w:ascii="宋体" w:hAnsi="宋体" w:eastAsia="宋体" w:cs="仿宋"/>
                <w:sz w:val="21"/>
                <w:szCs w:val="21"/>
                <w:lang w:val="zh-CN"/>
                <w14:ligatures w14:val="none"/>
              </w:rPr>
              <w:t xml:space="preserve">满足招标</w:t>
            </w:r>
            <w:r>
              <w:rPr>
                <w:rFonts w:hint="eastAsia" w:ascii="宋体" w:hAnsi="宋体" w:eastAsia="宋体" w:cs="仿宋"/>
                <w:sz w:val="21"/>
                <w:szCs w:val="21"/>
                <w:lang w:val="en-US" w:eastAsia="zh-CN"/>
                <w14:ligatures w14:val="none"/>
              </w:rPr>
              <w:t xml:space="preserve">文件</w:t>
            </w:r>
            <w:r>
              <w:rPr>
                <w:rFonts w:hint="eastAsia" w:ascii="宋体" w:hAnsi="宋体" w:eastAsia="宋体" w:cs="仿宋"/>
                <w:sz w:val="21"/>
                <w:szCs w:val="21"/>
                <w:lang w:val="zh-CN"/>
                <w14:ligatures w14:val="none"/>
              </w:rPr>
              <w:t xml:space="preserve">技术要求的得</w:t>
            </w:r>
            <w:r>
              <w:rPr>
                <w:rFonts w:hint="eastAsia" w:ascii="宋体" w:hAnsi="宋体" w:eastAsia="宋体" w:cs="仿宋"/>
                <w:sz w:val="21"/>
                <w:szCs w:val="21"/>
                <w:lang w:val="en-US" w:eastAsia="zh-CN"/>
                <w14:ligatures w14:val="none"/>
              </w:rPr>
              <w:t xml:space="preserve">满分</w:t>
            </w:r>
            <w:r>
              <w:rPr>
                <w:rFonts w:hint="eastAsia" w:ascii="宋体" w:hAnsi="宋体" w:eastAsia="宋体" w:cs="仿宋"/>
                <w:sz w:val="21"/>
                <w:szCs w:val="21"/>
                <w14:ligatures w14:val="none"/>
              </w:rPr>
              <w:t xml:space="preserve">33</w:t>
            </w:r>
            <w:r>
              <w:rPr>
                <w:rFonts w:hint="eastAsia" w:ascii="宋体" w:hAnsi="宋体" w:eastAsia="宋体" w:cs="仿宋"/>
                <w:sz w:val="21"/>
                <w:szCs w:val="21"/>
                <w:lang w:val="zh-CN"/>
                <w14:ligatures w14:val="none"/>
              </w:rPr>
              <w:t xml:space="preserve">分，标“▲”项每有一处不满足或负偏离扣</w:t>
            </w:r>
            <w:r>
              <w:rPr>
                <w:rFonts w:ascii="宋体" w:hAnsi="宋体" w:eastAsia="宋体" w:cs="仿宋"/>
                <w:sz w:val="21"/>
                <w:szCs w:val="21"/>
                <w:lang w:val="zh-CN"/>
                <w14:ligatures w14:val="none"/>
              </w:rPr>
              <w:t xml:space="preserve">3</w:t>
            </w:r>
            <w:r>
              <w:rPr>
                <w:rFonts w:hint="eastAsia" w:ascii="宋体" w:hAnsi="宋体" w:eastAsia="宋体" w:cs="仿宋"/>
                <w:sz w:val="21"/>
                <w:szCs w:val="21"/>
                <w:lang w:val="zh-CN"/>
                <w14:ligatures w14:val="none"/>
              </w:rPr>
              <w:t xml:space="preserve">分，</w:t>
            </w:r>
            <w:r>
              <w:rPr>
                <w:rFonts w:hint="eastAsia" w:ascii="宋体" w:hAnsi="宋体" w:eastAsia="宋体" w:cs="仿宋"/>
                <w:sz w:val="21"/>
                <w:szCs w:val="21"/>
                <w:lang w:val="en-US" w:eastAsia="zh-CN"/>
                <w14:ligatures w14:val="none"/>
              </w:rPr>
              <w:t xml:space="preserve">其它技术指标不满足或负偏离的一项扣2分，扣完为止。</w:t>
            </w:r>
            <w:r/>
          </w:p>
          <w:p>
            <w:pPr>
              <w:spacing w:line="360" w:lineRule="auto"/>
              <w:rPr>
                <w:rFonts w:hint="default" w:ascii="宋体" w:hAnsi="宋体" w:eastAsia="宋体" w:cs="仿宋"/>
                <w:color w:val="000000"/>
                <w:sz w:val="21"/>
                <w:szCs w:val="21"/>
                <w:lang w:val="en-US" w:eastAsia="zh-CN"/>
              </w:rPr>
            </w:pPr>
            <w:r>
              <w:rPr>
                <w:rFonts w:hint="eastAsia" w:ascii="宋体" w:hAnsi="宋体" w:eastAsia="宋体" w:cs="仿宋"/>
                <w:color w:val="000000"/>
                <w:sz w:val="21"/>
                <w:szCs w:val="21"/>
                <w:lang w:val="en-US" w:eastAsia="zh-CN"/>
              </w:rPr>
              <w:t xml:space="preserve">注：招标文件中要求提供的证明材料的按招标文件的要求的证明材料提供情况进行评分，未要求提供证明材料的按技术偏离表响应。</w:t>
            </w:r>
            <w:r/>
          </w:p>
        </w:tc>
      </w:tr>
      <w:tr>
        <w:trPr>
          <w:trHeight w:val="454"/>
        </w:trPr>
        <w:tc>
          <w:tcPr>
            <w:tcW w:w="675" w:type="dxa"/>
            <w:vAlign w:val="center"/>
            <w:vMerge w:val="continue"/>
            <w:textDirection w:val="lrTb"/>
            <w:noWrap/>
          </w:tcPr>
          <w:p>
            <w:pPr>
              <w:ind w:left="-116" w:right="-100"/>
              <w:jc w:val="center"/>
              <w:spacing w:line="360" w:lineRule="auto"/>
              <w:rPr>
                <w:rFonts w:hint="eastAsia" w:ascii="宋体" w:hAnsi="宋体" w:eastAsia="宋体" w:cs="仿宋"/>
                <w:sz w:val="21"/>
                <w:szCs w:val="21"/>
                <w:lang w:eastAsia="zh-CN"/>
                <w14:ligatures w14:val="none"/>
              </w:rPr>
            </w:pPr>
            <w:r>
              <w:rPr>
                <w:rFonts w:hint="eastAsia" w:ascii="宋体" w:hAnsi="宋体" w:eastAsia="宋体" w:cs="仿宋"/>
                <w:sz w:val="21"/>
                <w:szCs w:val="21"/>
                <w:lang w:eastAsia="zh-CN"/>
                <w14:ligatures w14:val="none"/>
              </w:rPr>
            </w:r>
            <w:r/>
          </w:p>
        </w:tc>
        <w:tc>
          <w:tcPr>
            <w:tcW w:w="1065" w:type="dxa"/>
            <w:vAlign w:val="center"/>
            <w:vMerge w:val="continue"/>
            <w:textDirection w:val="lrTb"/>
            <w:noWrap/>
          </w:tcPr>
          <w:p>
            <w:pPr>
              <w:ind w:left="-116" w:right="-100"/>
              <w:jc w:val="center"/>
              <w:spacing w:line="360" w:lineRule="auto"/>
              <w:rPr>
                <w:rFonts w:hint="eastAsia" w:ascii="宋体" w:hAnsi="宋体" w:eastAsia="宋体" w:cs="仿宋"/>
                <w:sz w:val="21"/>
                <w:szCs w:val="21"/>
                <w:lang w:eastAsia="zh-CN"/>
                <w14:ligatures w14:val="none"/>
              </w:rPr>
            </w:pPr>
            <w:r>
              <w:rPr>
                <w:rFonts w:hint="eastAsia" w:ascii="宋体" w:hAnsi="宋体" w:eastAsia="宋体" w:cs="仿宋"/>
                <w:sz w:val="21"/>
                <w:szCs w:val="21"/>
                <w:lang w:eastAsia="zh-CN"/>
                <w14:ligatures w14:val="none"/>
              </w:rPr>
            </w:r>
            <w:r/>
          </w:p>
        </w:tc>
        <w:tc>
          <w:tcPr>
            <w:tcW w:w="1268" w:type="dxa"/>
            <w:vAlign w:val="center"/>
            <w:textDirection w:val="lrTb"/>
            <w:noWrap/>
          </w:tcPr>
          <w:p>
            <w:pPr>
              <w:ind w:left="-116" w:right="-100"/>
              <w:jc w:val="center"/>
              <w:spacing w:line="360" w:lineRule="auto"/>
              <w:rPr>
                <w:rFonts w:hint="eastAsia" w:ascii="宋体" w:hAnsi="宋体" w:eastAsia="宋体" w:cs="仿宋"/>
                <w:sz w:val="21"/>
                <w:szCs w:val="21"/>
                <w14:ligatures w14:val="none"/>
              </w:rPr>
            </w:pPr>
            <w:r>
              <w:rPr>
                <w:rFonts w:hint="eastAsia" w:ascii="宋体" w:hAnsi="宋体" w:eastAsia="宋体" w:cs="仿宋"/>
                <w:sz w:val="21"/>
                <w:szCs w:val="21"/>
                <w14:ligatures w14:val="none"/>
              </w:rPr>
              <w:t xml:space="preserve">项目实施方案</w:t>
            </w:r>
            <w:r/>
          </w:p>
          <w:p>
            <w:pPr>
              <w:ind w:left="-116" w:right="-100"/>
              <w:jc w:val="center"/>
              <w:spacing w:line="360" w:lineRule="auto"/>
              <w:rPr>
                <w:rFonts w:hint="eastAsia" w:ascii="宋体" w:hAnsi="宋体" w:eastAsia="宋体" w:cs="仿宋"/>
                <w:sz w:val="21"/>
                <w:szCs w:val="21"/>
                <w:lang w:eastAsia="zh-CN"/>
                <w14:ligatures w14:val="none"/>
              </w:rPr>
            </w:pPr>
            <w:r>
              <w:rPr>
                <w:rFonts w:hint="eastAsia" w:ascii="宋体" w:hAnsi="宋体" w:eastAsia="宋体" w:cs="仿宋"/>
                <w:sz w:val="21"/>
                <w:szCs w:val="21"/>
                <w:lang w:eastAsia="zh-CN"/>
                <w14:ligatures w14:val="none"/>
              </w:rPr>
              <w:t xml:space="preserve">（</w:t>
            </w:r>
            <w:r>
              <w:rPr>
                <w:rFonts w:hint="eastAsia" w:ascii="宋体" w:hAnsi="宋体" w:eastAsia="宋体" w:cs="仿宋"/>
                <w:sz w:val="21"/>
                <w:szCs w:val="21"/>
                <w:lang w:val="en-US" w:eastAsia="zh-CN"/>
                <w14:ligatures w14:val="none"/>
              </w:rPr>
              <w:t xml:space="preserve">6分</w:t>
            </w:r>
            <w:r>
              <w:rPr>
                <w:rFonts w:hint="eastAsia" w:ascii="宋体" w:hAnsi="宋体" w:eastAsia="宋体" w:cs="仿宋"/>
                <w:sz w:val="21"/>
                <w:szCs w:val="21"/>
                <w:lang w:eastAsia="zh-CN"/>
                <w14:ligatures w14:val="none"/>
              </w:rPr>
              <w:t xml:space="preserve">）</w:t>
            </w:r>
            <w:r/>
          </w:p>
        </w:tc>
        <w:tc>
          <w:tcPr>
            <w:tcW w:w="6510" w:type="dxa"/>
            <w:vAlign w:val="center"/>
            <w:textDirection w:val="lrTb"/>
            <w:noWrap/>
          </w:tcPr>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根据投标人</w:t>
            </w:r>
            <w:r>
              <w:rPr>
                <w:rFonts w:hint="eastAsia" w:ascii="宋体" w:hAnsi="宋体" w:eastAsia="宋体" w:cs="Times New Roman"/>
                <w:sz w:val="21"/>
                <w:szCs w:val="21"/>
                <w:lang w:val="en-US" w:eastAsia="zh-CN"/>
                <w14:ligatures w14:val="none"/>
              </w:rPr>
              <w:t xml:space="preserve">针对本项目采购需求制定实施方案，方案包括但不限于实施进度、仪器设备安装调试及验收方案、技术配置及质量保障等进</w:t>
            </w:r>
            <w:r>
              <w:rPr>
                <w:rFonts w:hint="eastAsia" w:ascii="宋体" w:hAnsi="宋体" w:eastAsia="宋体" w:cs="Times New Roman"/>
                <w:sz w:val="21"/>
                <w:szCs w:val="21"/>
                <w14:ligatures w14:val="none"/>
              </w:rPr>
              <w:t xml:space="preserve">行打分：</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1</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方案非常科学，完全符合相关标准和规范，得</w:t>
            </w:r>
            <w:r>
              <w:rPr>
                <w:rFonts w:hint="eastAsia" w:ascii="宋体" w:hAnsi="宋体" w:eastAsia="宋体" w:cs="Times New Roman"/>
                <w:sz w:val="21"/>
                <w:szCs w:val="21"/>
                <w:lang w:val="en-US" w:eastAsia="zh-CN"/>
                <w14:ligatures w14:val="none"/>
              </w:rPr>
              <w:t xml:space="preserve">6</w:t>
            </w:r>
            <w:r>
              <w:rPr>
                <w:rFonts w:hint="eastAsia" w:ascii="宋体" w:hAnsi="宋体" w:eastAsia="宋体" w:cs="Times New Roman"/>
                <w:sz w:val="21"/>
                <w:szCs w:val="21"/>
                <w14:ligatures w14:val="none"/>
              </w:rPr>
              <w:t xml:space="preserve">分；</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2</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方案大体合理，基本符合相关标准和规范，得</w:t>
            </w:r>
            <w:r>
              <w:rPr>
                <w:rFonts w:hint="eastAsia" w:ascii="宋体" w:hAnsi="宋体" w:eastAsia="宋体" w:cs="Times New Roman"/>
                <w:sz w:val="21"/>
                <w:szCs w:val="21"/>
                <w:lang w:val="en-US" w:eastAsia="zh-CN"/>
                <w14:ligatures w14:val="none"/>
              </w:rPr>
              <w:t xml:space="preserve">4</w:t>
            </w:r>
            <w:r>
              <w:rPr>
                <w:rFonts w:hint="eastAsia" w:ascii="宋体" w:hAnsi="宋体" w:eastAsia="宋体" w:cs="Times New Roman"/>
                <w:sz w:val="21"/>
                <w:szCs w:val="21"/>
                <w14:ligatures w14:val="none"/>
              </w:rPr>
              <w:t xml:space="preserve">分；</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3</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方案部分合理、部分符合相关标准和规范，得</w:t>
            </w:r>
            <w:r>
              <w:rPr>
                <w:rFonts w:hint="eastAsia" w:ascii="宋体" w:hAnsi="宋体" w:eastAsia="宋体" w:cs="Times New Roman"/>
                <w:sz w:val="21"/>
                <w:szCs w:val="21"/>
                <w:lang w:val="en-US" w:eastAsia="zh-CN"/>
                <w14:ligatures w14:val="none"/>
              </w:rPr>
              <w:t xml:space="preserve">2</w:t>
            </w:r>
            <w:r>
              <w:rPr>
                <w:rFonts w:hint="eastAsia" w:ascii="宋体" w:hAnsi="宋体" w:eastAsia="宋体" w:cs="Times New Roman"/>
                <w:sz w:val="21"/>
                <w:szCs w:val="21"/>
                <w14:ligatures w14:val="none"/>
              </w:rPr>
              <w:t xml:space="preserve">分；</w:t>
            </w:r>
            <w:r/>
          </w:p>
          <w:p>
            <w:pPr>
              <w:spacing w:line="360" w:lineRule="auto"/>
              <w:rPr>
                <w:rFonts w:ascii="宋体" w:hAnsi="宋体" w:eastAsia="宋体" w:cs="仿宋"/>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4</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方案不合理、不符合相关标准或规范或未提供方案的不得分。</w:t>
            </w:r>
            <w:r/>
          </w:p>
        </w:tc>
      </w:tr>
      <w:tr>
        <w:trPr>
          <w:trHeight w:val="454"/>
        </w:trPr>
        <w:tc>
          <w:tcPr>
            <w:tcW w:w="675" w:type="dxa"/>
            <w:vAlign w:val="center"/>
            <w:vMerge w:val="continue"/>
            <w:textDirection w:val="lrTb"/>
            <w:noWrap/>
          </w:tcPr>
          <w:p>
            <w:pPr>
              <w:ind w:left="-116" w:right="-100"/>
              <w:jc w:val="center"/>
              <w:spacing w:line="360" w:lineRule="auto"/>
              <w:rPr>
                <w:rFonts w:hint="eastAsia" w:ascii="宋体" w:hAnsi="宋体" w:eastAsia="宋体" w:cs="仿宋"/>
                <w:sz w:val="21"/>
                <w:szCs w:val="21"/>
                <w:lang w:eastAsia="zh-CN"/>
                <w14:ligatures w14:val="none"/>
              </w:rPr>
            </w:pPr>
            <w:r>
              <w:rPr>
                <w:rFonts w:hint="eastAsia" w:ascii="宋体" w:hAnsi="宋体" w:eastAsia="宋体" w:cs="仿宋"/>
                <w:sz w:val="21"/>
                <w:szCs w:val="21"/>
                <w:lang w:eastAsia="zh-CN"/>
                <w14:ligatures w14:val="none"/>
              </w:rPr>
            </w:r>
            <w:r/>
          </w:p>
        </w:tc>
        <w:tc>
          <w:tcPr>
            <w:tcW w:w="1065" w:type="dxa"/>
            <w:vAlign w:val="center"/>
            <w:vMerge w:val="continue"/>
            <w:textDirection w:val="lrTb"/>
            <w:noWrap/>
          </w:tcPr>
          <w:p>
            <w:pPr>
              <w:ind w:left="-116" w:right="-100"/>
              <w:jc w:val="center"/>
              <w:spacing w:line="360" w:lineRule="auto"/>
              <w:rPr>
                <w:rFonts w:hint="eastAsia" w:ascii="宋体" w:hAnsi="宋体" w:eastAsia="宋体" w:cs="仿宋"/>
                <w:sz w:val="21"/>
                <w:szCs w:val="21"/>
                <w:lang w:eastAsia="zh-CN"/>
                <w14:ligatures w14:val="none"/>
              </w:rPr>
            </w:pPr>
            <w:r>
              <w:rPr>
                <w:rFonts w:hint="eastAsia" w:ascii="宋体" w:hAnsi="宋体" w:eastAsia="宋体" w:cs="仿宋"/>
                <w:sz w:val="21"/>
                <w:szCs w:val="21"/>
                <w:lang w:eastAsia="zh-CN"/>
                <w14:ligatures w14:val="none"/>
              </w:rPr>
            </w:r>
            <w:r/>
          </w:p>
        </w:tc>
        <w:tc>
          <w:tcPr>
            <w:tcW w:w="1268" w:type="dxa"/>
            <w:vAlign w:val="center"/>
            <w:textDirection w:val="lrTb"/>
            <w:noWrap/>
          </w:tcPr>
          <w:p>
            <w:pPr>
              <w:ind w:left="-116" w:right="-100"/>
              <w:jc w:val="center"/>
              <w:spacing w:line="360" w:lineRule="auto"/>
              <w:rPr>
                <w:rFonts w:hint="eastAsia" w:ascii="宋体" w:hAnsi="宋体" w:eastAsia="宋体" w:cs="仿宋"/>
                <w:sz w:val="21"/>
                <w:szCs w:val="21"/>
                <w14:ligatures w14:val="none"/>
              </w:rPr>
            </w:pPr>
            <w:r>
              <w:rPr>
                <w:rFonts w:hint="eastAsia" w:ascii="宋体" w:hAnsi="宋体" w:eastAsia="宋体" w:cs="仿宋"/>
                <w:sz w:val="21"/>
                <w:szCs w:val="21"/>
                <w14:ligatures w14:val="none"/>
              </w:rPr>
              <w:t xml:space="preserve">运维方案</w:t>
            </w:r>
            <w:r/>
          </w:p>
          <w:p>
            <w:pPr>
              <w:ind w:left="-116" w:right="-100"/>
              <w:jc w:val="center"/>
              <w:spacing w:line="360" w:lineRule="auto"/>
              <w:rPr>
                <w:rFonts w:hint="eastAsia" w:ascii="宋体" w:hAnsi="宋体" w:eastAsia="宋体" w:cs="仿宋"/>
                <w:sz w:val="21"/>
                <w:szCs w:val="21"/>
                <w:lang w:eastAsia="zh-CN"/>
                <w14:ligatures w14:val="none"/>
              </w:rPr>
            </w:pPr>
            <w:r>
              <w:rPr>
                <w:rFonts w:hint="eastAsia" w:ascii="宋体" w:hAnsi="宋体" w:eastAsia="宋体" w:cs="仿宋"/>
                <w:sz w:val="21"/>
                <w:szCs w:val="21"/>
                <w:lang w:eastAsia="zh-CN"/>
                <w14:ligatures w14:val="none"/>
              </w:rPr>
              <w:t xml:space="preserve">（</w:t>
            </w:r>
            <w:r>
              <w:rPr>
                <w:rFonts w:hint="eastAsia" w:ascii="宋体" w:hAnsi="宋体" w:eastAsia="宋体" w:cs="仿宋"/>
                <w:sz w:val="21"/>
                <w:szCs w:val="21"/>
                <w:lang w:val="en-US" w:eastAsia="zh-CN"/>
                <w14:ligatures w14:val="none"/>
              </w:rPr>
              <w:t xml:space="preserve">6分</w:t>
            </w:r>
            <w:r>
              <w:rPr>
                <w:rFonts w:hint="eastAsia" w:ascii="宋体" w:hAnsi="宋体" w:eastAsia="宋体" w:cs="仿宋"/>
                <w:sz w:val="21"/>
                <w:szCs w:val="21"/>
                <w:lang w:eastAsia="zh-CN"/>
                <w14:ligatures w14:val="none"/>
              </w:rPr>
              <w:t xml:space="preserve">）</w:t>
            </w:r>
            <w:r/>
          </w:p>
        </w:tc>
        <w:tc>
          <w:tcPr>
            <w:tcW w:w="6510" w:type="dxa"/>
            <w:vAlign w:val="center"/>
            <w:textDirection w:val="lrTb"/>
            <w:noWrap/>
          </w:tcPr>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14:ligatures w14:val="none"/>
              </w:rPr>
              <w:t xml:space="preserve">根据投标人提供的投标人针对本项目运维实施方案进行打分，具体方案包括但不限于：服务总体内容是否全面、合理，是否具备良好的可操作性，服务内容是否完全满足，对项目实施现场和服务区域的熟悉程度，日常巡点、仪器维护、保养及质控的具体措施、频次、质量要求、记录格式、数据有效率等：</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1</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方案完全满足项目需求，能科学合理的开展工作的，得</w:t>
            </w:r>
            <w:r>
              <w:rPr>
                <w:rFonts w:hint="eastAsia" w:ascii="宋体" w:hAnsi="宋体" w:eastAsia="宋体" w:cs="Times New Roman"/>
                <w:sz w:val="21"/>
                <w:szCs w:val="21"/>
                <w:lang w:val="en-US" w:eastAsia="zh-CN"/>
                <w14:ligatures w14:val="none"/>
              </w:rPr>
              <w:t xml:space="preserve">6</w:t>
            </w:r>
            <w:r>
              <w:rPr>
                <w:rFonts w:hint="eastAsia" w:ascii="宋体" w:hAnsi="宋体" w:eastAsia="宋体" w:cs="Times New Roman"/>
                <w:sz w:val="21"/>
                <w:szCs w:val="21"/>
                <w14:ligatures w14:val="none"/>
              </w:rPr>
              <w:t xml:space="preserve">分；</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2</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方案基本合理、基本符合相关标准和规范，得</w:t>
            </w:r>
            <w:r>
              <w:rPr>
                <w:rFonts w:hint="eastAsia" w:ascii="宋体" w:hAnsi="宋体" w:eastAsia="宋体" w:cs="Times New Roman"/>
                <w:sz w:val="21"/>
                <w:szCs w:val="21"/>
                <w:lang w:val="en-US" w:eastAsia="zh-CN"/>
                <w14:ligatures w14:val="none"/>
              </w:rPr>
              <w:t xml:space="preserve">4</w:t>
            </w:r>
            <w:r>
              <w:rPr>
                <w:rFonts w:hint="eastAsia" w:ascii="宋体" w:hAnsi="宋体" w:eastAsia="宋体" w:cs="Times New Roman"/>
                <w:sz w:val="21"/>
                <w:szCs w:val="21"/>
                <w14:ligatures w14:val="none"/>
              </w:rPr>
              <w:t xml:space="preserve">分；</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3</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方案部分合理、部分符合相关标准和规范，得</w:t>
            </w:r>
            <w:r>
              <w:rPr>
                <w:rFonts w:hint="eastAsia" w:ascii="宋体" w:hAnsi="宋体" w:eastAsia="宋体" w:cs="Times New Roman"/>
                <w:sz w:val="21"/>
                <w:szCs w:val="21"/>
                <w:lang w:val="en-US" w:eastAsia="zh-CN"/>
                <w14:ligatures w14:val="none"/>
              </w:rPr>
              <w:t xml:space="preserve">2</w:t>
            </w:r>
            <w:r>
              <w:rPr>
                <w:rFonts w:hint="eastAsia" w:ascii="宋体" w:hAnsi="宋体" w:eastAsia="宋体" w:cs="Times New Roman"/>
                <w:sz w:val="21"/>
                <w:szCs w:val="21"/>
                <w14:ligatures w14:val="none"/>
              </w:rPr>
              <w:t xml:space="preserve">分；</w:t>
            </w:r>
            <w:r/>
          </w:p>
          <w:p>
            <w:pPr>
              <w:spacing w:line="360" w:lineRule="auto"/>
              <w:rPr>
                <w:rFonts w:ascii="宋体" w:hAnsi="宋体" w:eastAsia="宋体" w:cs="Times New Roman"/>
                <w:sz w:val="21"/>
                <w:szCs w:val="21"/>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4</w:t>
            </w: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14:ligatures w14:val="none"/>
              </w:rPr>
              <w:t xml:space="preserve">方案不合理、不符合相关标准或规范或未提供方案的不得分。</w:t>
            </w:r>
            <w:r/>
          </w:p>
        </w:tc>
      </w:tr>
      <w:tr>
        <w:trPr>
          <w:trHeight w:val="454"/>
        </w:trPr>
        <w:tc>
          <w:tcPr>
            <w:tcW w:w="675" w:type="dxa"/>
            <w:vAlign w:val="center"/>
            <w:vMerge w:val="restart"/>
            <w:textDirection w:val="lrTb"/>
            <w:noWrap/>
          </w:tcPr>
          <w:p>
            <w:pPr>
              <w:ind w:left="-116" w:right="-100"/>
              <w:jc w:val="center"/>
              <w:spacing w:line="360" w:lineRule="auto"/>
              <w:tabs>
                <w:tab w:val="left" w:pos="6480" w:leader="none"/>
              </w:tabs>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p>
        </w:tc>
        <w:tc>
          <w:tcPr>
            <w:tcW w:w="1065" w:type="dxa"/>
            <w:vAlign w:val="center"/>
            <w:vMerge w:val="restart"/>
            <w:textDirection w:val="lrTb"/>
            <w:noWrap/>
          </w:tcPr>
          <w:p>
            <w:pPr>
              <w:ind w:left="-116" w:right="-100"/>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商务部分</w:t>
            </w:r>
            <w:r/>
          </w:p>
          <w:p>
            <w:pPr>
              <w:ind w:left="-116" w:right="-100"/>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（25分）</w:t>
            </w:r>
            <w:r/>
          </w:p>
        </w:tc>
        <w:tc>
          <w:tcPr>
            <w:tcW w:w="1268" w:type="dxa"/>
            <w:vAlign w:val="center"/>
            <w:textDirection w:val="lrTb"/>
            <w:noWrap/>
          </w:tcPr>
          <w:p>
            <w:pPr>
              <w:ind w:left="-116" w:right="-100"/>
              <w:jc w:val="center"/>
              <w:spacing w:line="360" w:lineRule="auto"/>
              <w:tabs>
                <w:tab w:val="left" w:pos="6480" w:leader="none"/>
              </w:tabs>
              <w:rPr>
                <w:rFonts w:ascii="宋体" w:hAnsi="宋体" w:eastAsia="宋体" w:cs="宋体"/>
                <w:color w:val="000000"/>
                <w:sz w:val="21"/>
                <w:szCs w:val="21"/>
              </w:rPr>
            </w:pPr>
            <w:r>
              <w:rPr>
                <w:rFonts w:ascii="宋体" w:hAnsi="宋体" w:eastAsia="宋体" w:cs="宋体"/>
                <w:color w:val="000000"/>
                <w:sz w:val="21"/>
                <w:szCs w:val="21"/>
              </w:rPr>
              <w:t xml:space="preserve">专业能力</w:t>
            </w:r>
            <w:r/>
          </w:p>
          <w:p>
            <w:pPr>
              <w:ind w:left="-116" w:right="-100"/>
              <w:jc w:val="center"/>
              <w:spacing w:line="360" w:lineRule="auto"/>
              <w:tabs>
                <w:tab w:val="left" w:pos="6480" w:leader="none"/>
              </w:tabs>
              <w:rPr>
                <w:rFonts w:hint="eastAsia" w:ascii="宋体" w:hAnsi="宋体" w:eastAsia="宋体" w:cs="仿宋"/>
                <w:sz w:val="21"/>
                <w:szCs w:val="21"/>
                <w14:ligatures w14:val="none"/>
              </w:rPr>
            </w:pPr>
            <w:r>
              <w:rPr>
                <w:rFonts w:hint="eastAsia" w:ascii="宋体" w:hAnsi="宋体" w:eastAsia="宋体" w:cs="宋体"/>
                <w:color w:val="000000"/>
                <w:sz w:val="21"/>
                <w:szCs w:val="21"/>
                <w:lang w:eastAsia="zh-CN"/>
              </w:rPr>
              <w:t xml:space="preserve">（</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lang w:eastAsia="zh-CN"/>
              </w:rPr>
              <w:t xml:space="preserve">）</w:t>
            </w:r>
            <w:r/>
          </w:p>
        </w:tc>
        <w:tc>
          <w:tcPr>
            <w:tcW w:w="6510" w:type="dxa"/>
            <w:vAlign w:val="center"/>
            <w:textDirection w:val="lrTb"/>
            <w:noWrap/>
          </w:tcPr>
          <w:p>
            <w:pPr>
              <w:numPr>
                <w:ilvl w:val="0"/>
                <w:numId w:val="0"/>
              </w:numPr>
              <w:spacing w:line="360" w:lineRule="auto"/>
              <w:rPr>
                <w:rFonts w:hint="default" w:ascii="宋体" w:hAnsi="宋体" w:eastAsia="宋体" w:cs="仿宋"/>
                <w:color w:val="000000"/>
                <w:sz w:val="21"/>
                <w:szCs w:val="21"/>
                <w:lang w:val="en-US" w:eastAsia="zh-CN"/>
              </w:rPr>
            </w:pPr>
            <w:r>
              <w:rPr>
                <w:rFonts w:hint="eastAsia" w:ascii="宋体" w:hAnsi="宋体" w:eastAsia="宋体" w:cs="仿宋"/>
                <w:color w:val="000000"/>
                <w:sz w:val="21"/>
                <w:szCs w:val="21"/>
                <w:lang w:val="en-US" w:eastAsia="zh-CN" w:bidi="ar-SA"/>
                <w14:ligatures w14:val="standardContextual"/>
              </w:rPr>
              <w:t xml:space="preserve">（1）</w:t>
            </w:r>
            <w:r>
              <w:rPr>
                <w:rFonts w:ascii="宋体" w:hAnsi="宋体" w:eastAsia="宋体" w:cs="仿宋"/>
                <w:color w:val="000000"/>
                <w:sz w:val="21"/>
                <w:szCs w:val="21"/>
              </w:rPr>
              <w:t xml:space="preserve">投标人</w:t>
            </w:r>
            <w:r>
              <w:rPr>
                <w:rFonts w:hint="eastAsia" w:ascii="宋体" w:hAnsi="宋体" w:eastAsia="宋体" w:cs="仿宋"/>
                <w:color w:val="000000"/>
                <w:sz w:val="21"/>
                <w:szCs w:val="21"/>
              </w:rPr>
              <w:t xml:space="preserve">具有质量管理体系认证、环境管理体系认证、职业健康安全管理体系认证证书的</w:t>
            </w:r>
            <w:r>
              <w:rPr>
                <w:rFonts w:ascii="宋体" w:hAnsi="宋体" w:eastAsia="宋体" w:cs="仿宋"/>
                <w:color w:val="000000"/>
                <w:sz w:val="21"/>
                <w:szCs w:val="21"/>
              </w:rPr>
              <w:t xml:space="preserve">，每</w:t>
            </w:r>
            <w:r>
              <w:rPr>
                <w:rFonts w:hint="eastAsia" w:ascii="宋体" w:hAnsi="宋体" w:eastAsia="宋体" w:cs="仿宋"/>
                <w:color w:val="000000"/>
                <w:sz w:val="21"/>
                <w:szCs w:val="21"/>
                <w:lang w:val="en-US" w:eastAsia="zh-CN"/>
              </w:rPr>
              <w:t xml:space="preserve">提供一个得1分，此项满分3分。</w:t>
            </w:r>
            <w:r/>
          </w:p>
          <w:p>
            <w:pPr>
              <w:numPr>
                <w:ilvl w:val="0"/>
                <w:numId w:val="0"/>
              </w:numPr>
              <w:spacing w:line="360" w:lineRule="auto"/>
              <w:rPr>
                <w:rFonts w:hint="eastAsia" w:ascii="宋体" w:hAnsi="宋体" w:eastAsia="宋体" w:cs="仿宋"/>
                <w:color w:val="000000"/>
                <w:sz w:val="21"/>
                <w:szCs w:val="21"/>
              </w:rPr>
            </w:pPr>
            <w:r>
              <w:rPr>
                <w:rFonts w:hint="eastAsia" w:ascii="宋体" w:hAnsi="宋体" w:eastAsia="宋体" w:cs="仿宋"/>
                <w:color w:val="000000"/>
                <w:sz w:val="21"/>
                <w:szCs w:val="21"/>
              </w:rPr>
              <w:t xml:space="preserve">（2）</w:t>
            </w:r>
            <w:r>
              <w:rPr>
                <w:rFonts w:ascii="宋体" w:hAnsi="宋体" w:eastAsia="宋体" w:cs="仿宋"/>
                <w:color w:val="000000"/>
                <w:sz w:val="21"/>
                <w:szCs w:val="21"/>
              </w:rPr>
              <w:t xml:space="preserve">投标人具有</w:t>
            </w:r>
            <w:r>
              <w:rPr>
                <w:rFonts w:hint="eastAsia" w:ascii="宋体" w:hAnsi="宋体" w:cs="仿宋"/>
                <w:color w:val="000000"/>
                <w:sz w:val="21"/>
                <w:szCs w:val="21"/>
                <w:lang w:val="en-US" w:eastAsia="zh-CN"/>
              </w:rPr>
              <w:t xml:space="preserve">省级及以上</w:t>
            </w:r>
            <w:r>
              <w:rPr>
                <w:rFonts w:ascii="宋体" w:hAnsi="宋体" w:eastAsia="宋体" w:cs="仿宋"/>
                <w:color w:val="000000"/>
                <w:sz w:val="21"/>
                <w:szCs w:val="21"/>
              </w:rPr>
              <w:t xml:space="preserve">研发计划相关项目承接经验，提供“</w:t>
            </w:r>
            <w:r>
              <w:rPr>
                <w:rFonts w:hint="eastAsia" w:ascii="宋体" w:hAnsi="宋体" w:cs="仿宋"/>
                <w:color w:val="000000"/>
                <w:sz w:val="21"/>
                <w:szCs w:val="21"/>
                <w:lang w:val="en-US" w:eastAsia="zh-CN"/>
              </w:rPr>
              <w:t xml:space="preserve">省级及以上</w:t>
            </w:r>
            <w:r>
              <w:rPr>
                <w:rFonts w:ascii="宋体" w:hAnsi="宋体" w:eastAsia="宋体" w:cs="仿宋"/>
                <w:color w:val="000000"/>
                <w:sz w:val="21"/>
                <w:szCs w:val="21"/>
              </w:rPr>
              <w:t xml:space="preserve">重点研发计划项目”、生态环境部“重点专项项目”项目承接证明材料的，</w:t>
            </w:r>
            <w:r>
              <w:rPr>
                <w:rFonts w:hint="eastAsia" w:ascii="宋体" w:hAnsi="宋体" w:eastAsia="宋体" w:cs="仿宋"/>
                <w:color w:val="000000"/>
                <w:sz w:val="21"/>
                <w:szCs w:val="21"/>
                <w:lang w:val="en-US" w:eastAsia="zh-CN"/>
              </w:rPr>
              <w:t xml:space="preserve">每提供1个得1分，此项满分6分，</w:t>
            </w:r>
            <w:r>
              <w:rPr>
                <w:rFonts w:ascii="宋体" w:hAnsi="宋体" w:eastAsia="宋体" w:cs="仿宋"/>
                <w:color w:val="000000"/>
                <w:sz w:val="21"/>
                <w:szCs w:val="21"/>
              </w:rPr>
              <w:t xml:space="preserve">（</w:t>
            </w:r>
            <w:r>
              <w:rPr>
                <w:rFonts w:ascii="宋体" w:hAnsi="宋体" w:eastAsia="宋体" w:cs="仿宋"/>
                <w:b/>
                <w:bCs/>
                <w:color w:val="000000"/>
                <w:sz w:val="21"/>
                <w:szCs w:val="21"/>
              </w:rPr>
              <w:t xml:space="preserve">提供项目任务书予以</w:t>
            </w:r>
            <w:r>
              <w:rPr>
                <w:rFonts w:hint="eastAsia" w:ascii="宋体" w:hAnsi="宋体" w:eastAsia="宋体" w:cs="仿宋"/>
                <w:b/>
                <w:bCs/>
                <w:color w:val="000000"/>
                <w:sz w:val="21"/>
                <w:szCs w:val="21"/>
                <w:lang w:val="en-US" w:eastAsia="zh-CN"/>
              </w:rPr>
              <w:t xml:space="preserve">证明</w:t>
            </w:r>
            <w:r>
              <w:rPr>
                <w:rFonts w:ascii="宋体" w:hAnsi="宋体" w:eastAsia="宋体" w:cs="仿宋"/>
                <w:b/>
                <w:bCs/>
                <w:color w:val="000000"/>
                <w:sz w:val="21"/>
                <w:szCs w:val="21"/>
              </w:rPr>
              <w:t xml:space="preserve">，否则不</w:t>
            </w:r>
            <w:r>
              <w:rPr>
                <w:rFonts w:hint="eastAsia" w:ascii="宋体" w:hAnsi="宋体" w:eastAsia="宋体" w:cs="仿宋"/>
                <w:b/>
                <w:bCs/>
                <w:color w:val="000000"/>
                <w:sz w:val="21"/>
                <w:szCs w:val="21"/>
                <w:lang w:val="en-US" w:eastAsia="zh-CN"/>
              </w:rPr>
              <w:t xml:space="preserve">得分</w:t>
            </w:r>
            <w:r>
              <w:rPr>
                <w:rFonts w:ascii="宋体" w:hAnsi="宋体" w:eastAsia="宋体" w:cs="仿宋"/>
                <w:color w:val="000000"/>
                <w:sz w:val="21"/>
                <w:szCs w:val="21"/>
              </w:rPr>
              <w:t xml:space="preserve">）</w:t>
            </w:r>
            <w:r/>
          </w:p>
          <w:p>
            <w:pPr>
              <w:spacing w:line="360" w:lineRule="auto"/>
              <w:rPr>
                <w:rFonts w:ascii="宋体" w:hAnsi="宋体" w:eastAsia="宋体" w:cs="仿宋"/>
                <w:sz w:val="21"/>
                <w:szCs w:val="21"/>
                <w14:ligatures w14:val="none"/>
              </w:rPr>
            </w:pPr>
            <w:r>
              <w:rPr>
                <w:rFonts w:hint="eastAsia" w:ascii="宋体" w:hAnsi="宋体" w:eastAsia="宋体" w:cs="仿宋"/>
                <w:sz w:val="21"/>
                <w:szCs w:val="21"/>
                <w14:ligatures w14:val="none"/>
              </w:rPr>
              <w:t xml:space="preserve">（3）投标人或环境噪声自动监测站设备制造商</w:t>
            </w:r>
            <w:r>
              <w:rPr>
                <w:rFonts w:hint="eastAsia" w:ascii="宋体" w:hAnsi="宋体" w:eastAsia="宋体" w:cs="仿宋"/>
                <w:sz w:val="21"/>
                <w:szCs w:val="21"/>
                <w:lang w:val="en-US" w:eastAsia="zh-CN"/>
                <w14:ligatures w14:val="none"/>
              </w:rPr>
              <w:t xml:space="preserve">自</w:t>
            </w:r>
            <w:r>
              <w:rPr>
                <w:rFonts w:hint="eastAsia" w:ascii="宋体" w:hAnsi="宋体" w:eastAsia="宋体" w:cs="仿宋"/>
                <w:sz w:val="21"/>
                <w:szCs w:val="21"/>
                <w14:ligatures w14:val="none"/>
              </w:rPr>
              <w:t xml:space="preserve">2021年1月1日起获得过声学或噪声自动监测设备相关的发明专利</w:t>
            </w:r>
            <w:r>
              <w:rPr>
                <w:rFonts w:hint="eastAsia" w:ascii="宋体" w:hAnsi="宋体" w:eastAsia="宋体" w:cs="仿宋"/>
                <w:b/>
                <w:bCs/>
                <w:sz w:val="21"/>
                <w:szCs w:val="21"/>
                <w14:ligatures w14:val="none"/>
              </w:rPr>
              <w:t xml:space="preserve">（提供证书复印件</w:t>
            </w:r>
            <w:r>
              <w:rPr>
                <w:rFonts w:hint="eastAsia" w:ascii="宋体" w:hAnsi="宋体" w:eastAsia="宋体" w:cs="仿宋"/>
                <w:sz w:val="21"/>
                <w:szCs w:val="21"/>
                <w14:ligatures w14:val="none"/>
              </w:rPr>
              <w:t xml:space="preserve">），每提供1个得2分，最多得8分；</w:t>
            </w:r>
            <w:r/>
          </w:p>
          <w:p>
            <w:pPr>
              <w:jc w:val="both"/>
              <w:spacing w:line="360" w:lineRule="auto"/>
              <w:rPr>
                <w:rFonts w:hint="eastAsia" w:ascii="宋体" w:hAnsi="宋体" w:eastAsia="宋体" w:cs="Times New Roman"/>
                <w:sz w:val="21"/>
                <w:szCs w:val="21"/>
                <w:lang w:eastAsia="zh-CN"/>
                <w14:ligatures w14:val="none"/>
              </w:rPr>
            </w:pPr>
            <w:r>
              <w:rPr>
                <w:rFonts w:hint="eastAsia" w:ascii="宋体" w:hAnsi="宋体" w:cs="仿宋"/>
                <w:b/>
                <w:bCs/>
                <w:sz w:val="21"/>
                <w:szCs w:val="21"/>
                <w:lang w:eastAsia="zh-CN"/>
                <w14:ligatures w14:val="none"/>
              </w:rPr>
              <w:t xml:space="preserve">（</w:t>
            </w:r>
            <w:r>
              <w:rPr>
                <w:rFonts w:hint="eastAsia" w:ascii="宋体" w:hAnsi="宋体" w:eastAsia="宋体" w:cs="仿宋"/>
                <w:b/>
                <w:bCs/>
                <w:sz w:val="21"/>
                <w:szCs w:val="21"/>
                <w14:ligatures w14:val="none"/>
              </w:rPr>
              <w:t xml:space="preserve">以上</w:t>
            </w:r>
            <w:r>
              <w:rPr>
                <w:rFonts w:ascii="宋体" w:hAnsi="宋体" w:eastAsia="宋体" w:cs="仿宋"/>
                <w:b/>
                <w:bCs/>
                <w:sz w:val="21"/>
                <w:szCs w:val="21"/>
                <w14:ligatures w14:val="none"/>
              </w:rPr>
              <w:t xml:space="preserve">须提供相关证明材料扫描件并加盖公章</w:t>
            </w:r>
            <w:r>
              <w:rPr>
                <w:rFonts w:hint="eastAsia" w:ascii="宋体" w:hAnsi="宋体" w:eastAsia="宋体" w:cs="仿宋"/>
                <w:b/>
                <w:bCs/>
                <w:sz w:val="21"/>
                <w:szCs w:val="21"/>
                <w:lang w:eastAsia="zh-CN"/>
                <w14:ligatures w14:val="none"/>
              </w:rPr>
              <w:t xml:space="preserve">）</w:t>
            </w:r>
            <w:r/>
          </w:p>
        </w:tc>
      </w:tr>
      <w:tr>
        <w:trPr>
          <w:trHeight w:val="454"/>
        </w:trPr>
        <w:tc>
          <w:tcPr>
            <w:tcW w:w="675" w:type="dxa"/>
            <w:vAlign w:val="center"/>
            <w:vMerge w:val="continue"/>
            <w:textDirection w:val="lrTb"/>
            <w:noWrap/>
          </w:tcPr>
          <w:p>
            <w:pPr>
              <w:ind w:left="-116" w:right="-100"/>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065" w:type="dxa"/>
            <w:vAlign w:val="center"/>
            <w:vMerge w:val="continue"/>
            <w:textDirection w:val="lrTb"/>
            <w:noWrap/>
          </w:tcPr>
          <w:p>
            <w:pPr>
              <w:ind w:left="-116" w:right="-100"/>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tc>
        <w:tc>
          <w:tcPr>
            <w:tcW w:w="1268" w:type="dxa"/>
            <w:vAlign w:val="center"/>
            <w:textDirection w:val="lrTb"/>
            <w:noWrap/>
          </w:tcPr>
          <w:p>
            <w:pPr>
              <w:ind w:left="-116" w:right="-100"/>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诚信情况</w:t>
            </w:r>
            <w:r/>
          </w:p>
          <w:p>
            <w:pPr>
              <w:ind w:left="-116" w:right="-100"/>
              <w:jc w:val="center"/>
              <w:spacing w:line="360" w:lineRule="auto"/>
              <w:tabs>
                <w:tab w:val="left" w:pos="648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（2分）</w:t>
            </w:r>
            <w:r/>
          </w:p>
          <w:p>
            <w:pPr>
              <w:ind w:left="-116" w:right="-100"/>
              <w:jc w:val="both"/>
              <w:spacing w:line="360" w:lineRule="auto"/>
              <w:tabs>
                <w:tab w:val="left" w:pos="6480" w:leader="none"/>
              </w:tabs>
              <w:rPr>
                <w:rFonts w:hint="default" w:ascii="宋体" w:hAnsi="宋体" w:eastAsia="宋体" w:cs="宋体"/>
                <w:color w:val="000000"/>
                <w:sz w:val="21"/>
                <w:szCs w:val="21"/>
                <w:lang w:val="en-US" w:eastAsia="zh-CN"/>
              </w:rPr>
            </w:pPr>
            <w:r>
              <w:rPr>
                <w:rFonts w:hint="default" w:ascii="宋体" w:hAnsi="宋体" w:eastAsia="宋体" w:cs="宋体"/>
                <w:color w:val="000000"/>
                <w:sz w:val="21"/>
                <w:szCs w:val="21"/>
                <w:lang w:val="en-US" w:eastAsia="zh-CN"/>
              </w:rPr>
            </w:r>
            <w:r/>
          </w:p>
        </w:tc>
        <w:tc>
          <w:tcPr>
            <w:tcW w:w="6510" w:type="dxa"/>
            <w:vAlign w:val="center"/>
            <w:textDirection w:val="lrTb"/>
            <w:noWrap/>
          </w:tcPr>
          <w:p>
            <w:pPr>
              <w:spacing w:line="360" w:lineRule="auto"/>
              <w:rPr>
                <w:rFonts w:hint="eastAsia" w:ascii="宋体" w:hAnsi="宋体" w:eastAsia="宋体" w:cs="Times New Roman"/>
                <w:sz w:val="21"/>
                <w:szCs w:val="21"/>
                <w:lang w:val="en-US" w:eastAsia="zh-CN"/>
                <w14:ligatures w14:val="none"/>
              </w:rPr>
            </w:pPr>
            <w:r>
              <w:rPr>
                <w:rFonts w:hint="eastAsia" w:ascii="宋体" w:hAnsi="宋体" w:eastAsia="宋体" w:cs="Times New Roman"/>
                <w:sz w:val="21"/>
                <w:szCs w:val="21"/>
                <w:lang w:val="en-US" w:eastAsia="zh-CN"/>
                <w14:ligatures w14:val="none"/>
              </w:rPr>
              <w:t xml:space="preserve">投标人在噪声质量监测与运维服务工作过程中，无因数据弄虚作假受到国家环境部（现生态环境局）、中国环境监测总站的整改通知、通报、处罚等情况的得2分。</w:t>
            </w:r>
            <w:r/>
          </w:p>
          <w:p>
            <w:pPr>
              <w:spacing w:line="360" w:lineRule="auto"/>
              <w:rPr>
                <w:rFonts w:hint="default" w:ascii="宋体" w:hAnsi="宋体" w:eastAsia="宋体" w:cs="仿宋"/>
                <w:b/>
                <w:bCs/>
                <w:sz w:val="21"/>
                <w:szCs w:val="21"/>
                <w:lang w:val="en-US" w:eastAsia="zh-CN"/>
                <w14:ligatures w14:val="none"/>
              </w:rPr>
            </w:pPr>
            <w:r>
              <w:rPr>
                <w:rFonts w:hint="eastAsia" w:ascii="宋体" w:hAnsi="宋体" w:eastAsia="宋体" w:cs="Times New Roman"/>
                <w:sz w:val="21"/>
                <w:szCs w:val="21"/>
                <w:lang w:val="en-US" w:eastAsia="zh-CN"/>
                <w14:ligatures w14:val="none"/>
              </w:rPr>
              <w:t xml:space="preserve">注：投标人提供承诺书并加盖公章，如有弄虚作假情况，将视为无效投标，并报上级财政部门。</w:t>
            </w:r>
            <w:r/>
          </w:p>
        </w:tc>
      </w:tr>
      <w:tr>
        <w:trPr>
          <w:trHeight w:val="454"/>
        </w:trPr>
        <w:tc>
          <w:tcPr>
            <w:tcW w:w="675" w:type="dxa"/>
            <w:vAlign w:val="center"/>
            <w:vMerge w:val="continue"/>
            <w:textDirection w:val="lrTb"/>
            <w:noWrap/>
          </w:tcPr>
          <w:p>
            <w:pPr>
              <w:ind w:left="-116" w:right="-100"/>
              <w:jc w:val="center"/>
              <w:spacing w:line="360" w:lineRule="auto"/>
              <w:rPr>
                <w:rFonts w:hint="eastAsia" w:ascii="宋体" w:hAnsi="宋体" w:eastAsia="宋体" w:cs="Times New Roman"/>
                <w:sz w:val="21"/>
                <w:szCs w:val="21"/>
                <w:lang w:eastAsia="zh-CN"/>
                <w14:ligatures w14:val="none"/>
              </w:rPr>
            </w:pPr>
            <w:r>
              <w:rPr>
                <w:rFonts w:hint="eastAsia" w:ascii="宋体" w:hAnsi="宋体" w:eastAsia="宋体" w:cs="Times New Roman"/>
                <w:sz w:val="21"/>
                <w:szCs w:val="21"/>
                <w:lang w:eastAsia="zh-CN"/>
                <w14:ligatures w14:val="none"/>
              </w:rPr>
            </w:r>
            <w:r/>
          </w:p>
        </w:tc>
        <w:tc>
          <w:tcPr>
            <w:tcW w:w="1065" w:type="dxa"/>
            <w:vAlign w:val="center"/>
            <w:vMerge w:val="continue"/>
            <w:textDirection w:val="lrTb"/>
            <w:noWrap/>
          </w:tcPr>
          <w:p>
            <w:pPr>
              <w:ind w:left="-116" w:right="-100"/>
              <w:jc w:val="center"/>
              <w:spacing w:line="360" w:lineRule="auto"/>
              <w:rPr>
                <w:rFonts w:hint="default" w:ascii="宋体" w:hAnsi="宋体" w:eastAsia="宋体" w:cs="Times New Roman"/>
                <w:sz w:val="21"/>
                <w:szCs w:val="21"/>
                <w:lang w:val="en-US" w:eastAsia="zh-CN"/>
                <w14:ligatures w14:val="none"/>
              </w:rPr>
            </w:pPr>
            <w:r>
              <w:rPr>
                <w:rFonts w:hint="default" w:ascii="宋体" w:hAnsi="宋体" w:eastAsia="宋体" w:cs="Times New Roman"/>
                <w:sz w:val="21"/>
                <w:szCs w:val="21"/>
                <w:lang w:val="en-US" w:eastAsia="zh-CN"/>
                <w14:ligatures w14:val="none"/>
              </w:rPr>
            </w:r>
            <w:r/>
          </w:p>
        </w:tc>
        <w:tc>
          <w:tcPr>
            <w:tcW w:w="1268" w:type="dxa"/>
            <w:vAlign w:val="center"/>
            <w:textDirection w:val="lrTb"/>
            <w:noWrap/>
          </w:tcPr>
          <w:p>
            <w:pPr>
              <w:ind w:left="-116" w:right="-100"/>
              <w:jc w:val="center"/>
              <w:spacing w:line="360" w:lineRule="auto"/>
              <w:rPr>
                <w:rFonts w:ascii="宋体" w:hAnsi="宋体" w:eastAsia="宋体" w:cs="Times New Roman"/>
                <w:sz w:val="21"/>
                <w:szCs w:val="21"/>
                <w14:ligatures w14:val="none"/>
              </w:rPr>
            </w:pPr>
            <w:r>
              <w:rPr>
                <w:rFonts w:ascii="宋体" w:hAnsi="宋体" w:eastAsia="宋体" w:cs="Times New Roman"/>
                <w:sz w:val="21"/>
                <w:szCs w:val="21"/>
                <w14:ligatures w14:val="none"/>
              </w:rPr>
              <w:t xml:space="preserve">类似业绩</w:t>
            </w:r>
            <w:r/>
          </w:p>
          <w:p>
            <w:pPr>
              <w:ind w:left="-116" w:right="-100"/>
              <w:jc w:val="center"/>
              <w:spacing w:line="360" w:lineRule="auto"/>
              <w:rPr>
                <w:rFonts w:hint="eastAsia" w:ascii="宋体" w:hAnsi="宋体" w:eastAsia="宋体" w:cs="Times New Roman"/>
                <w:sz w:val="21"/>
                <w:szCs w:val="21"/>
                <w:lang w:eastAsia="zh-CN"/>
                <w14:ligatures w14:val="none"/>
              </w:rPr>
            </w:pPr>
            <w:r>
              <w:rPr>
                <w:rFonts w:hint="eastAsia" w:ascii="宋体" w:hAnsi="宋体" w:eastAsia="宋体" w:cs="Times New Roman"/>
                <w:sz w:val="21"/>
                <w:szCs w:val="21"/>
                <w:lang w:eastAsia="zh-CN"/>
                <w14:ligatures w14:val="none"/>
              </w:rPr>
              <w:t xml:space="preserve">（</w:t>
            </w:r>
            <w:r>
              <w:rPr>
                <w:rFonts w:hint="eastAsia" w:ascii="宋体" w:hAnsi="宋体" w:eastAsia="宋体" w:cs="Times New Roman"/>
                <w:sz w:val="21"/>
                <w:szCs w:val="21"/>
                <w:lang w:val="en-US" w:eastAsia="zh-CN"/>
                <w14:ligatures w14:val="none"/>
              </w:rPr>
              <w:t xml:space="preserve">6分</w:t>
            </w:r>
            <w:r>
              <w:rPr>
                <w:rFonts w:hint="eastAsia" w:ascii="宋体" w:hAnsi="宋体" w:eastAsia="宋体" w:cs="Times New Roman"/>
                <w:sz w:val="21"/>
                <w:szCs w:val="21"/>
                <w:lang w:eastAsia="zh-CN"/>
                <w14:ligatures w14:val="none"/>
              </w:rPr>
              <w:t xml:space="preserve">）</w:t>
            </w:r>
            <w:r/>
          </w:p>
        </w:tc>
        <w:tc>
          <w:tcPr>
            <w:tcW w:w="6510" w:type="dxa"/>
            <w:vAlign w:val="center"/>
            <w:textDirection w:val="lrTb"/>
            <w:noWrap/>
          </w:tcPr>
          <w:p>
            <w:pPr>
              <w:spacing w:line="360" w:lineRule="auto"/>
              <w:rPr>
                <w:rFonts w:ascii="宋体" w:hAnsi="宋体" w:eastAsia="宋体" w:cs="仿宋"/>
                <w:sz w:val="21"/>
                <w:szCs w:val="21"/>
                <w14:ligatures w14:val="none"/>
              </w:rPr>
            </w:pPr>
            <w:r>
              <w:rPr>
                <w:rFonts w:hint="eastAsia" w:ascii="宋体" w:hAnsi="宋体" w:eastAsia="宋体" w:cs="Times New Roman"/>
                <w:sz w:val="21"/>
                <w:szCs w:val="21"/>
                <w:lang w:val="en-US" w:eastAsia="zh-CN"/>
                <w14:ligatures w14:val="none"/>
              </w:rPr>
              <w:t xml:space="preserve">投标人自2021年1月1日以来，具有同类型项目业绩，</w:t>
            </w:r>
            <w:r>
              <w:rPr>
                <w:rFonts w:hint="eastAsia" w:ascii="宋体" w:hAnsi="宋体" w:eastAsia="宋体" w:cs="Times New Roman"/>
                <w:sz w:val="21"/>
                <w:szCs w:val="21"/>
                <w14:ligatures w14:val="none"/>
              </w:rPr>
              <w:t xml:space="preserve">每提供一份合格业绩（</w:t>
            </w:r>
            <w:r>
              <w:rPr>
                <w:rFonts w:hint="eastAsia" w:ascii="宋体" w:hAnsi="宋体" w:eastAsia="宋体" w:cs="Times New Roman"/>
                <w:sz w:val="21"/>
                <w:szCs w:val="21"/>
                <w:lang w:val="en-US" w:eastAsia="zh-CN"/>
                <w14:ligatures w14:val="none"/>
              </w:rPr>
              <w:t xml:space="preserve">提供</w:t>
            </w:r>
            <w:r>
              <w:rPr>
                <w:rFonts w:hint="eastAsia" w:ascii="宋体" w:hAnsi="宋体" w:eastAsia="宋体" w:cs="Times New Roman"/>
                <w:sz w:val="21"/>
                <w:szCs w:val="21"/>
                <w14:ligatures w14:val="none"/>
              </w:rPr>
              <w:t xml:space="preserve">中标通知书</w:t>
            </w:r>
            <w:r>
              <w:rPr>
                <w:rFonts w:hint="eastAsia" w:ascii="宋体" w:hAnsi="宋体" w:eastAsia="宋体" w:cs="Times New Roman"/>
                <w:sz w:val="21"/>
                <w:szCs w:val="21"/>
                <w:lang w:val="en-US" w:eastAsia="zh-CN"/>
                <w14:ligatures w14:val="none"/>
              </w:rPr>
              <w:t xml:space="preserve">及</w:t>
            </w:r>
            <w:r>
              <w:rPr>
                <w:rFonts w:hint="eastAsia" w:ascii="宋体" w:hAnsi="宋体" w:eastAsia="宋体" w:cs="Times New Roman"/>
                <w:sz w:val="21"/>
                <w:szCs w:val="21"/>
                <w14:ligatures w14:val="none"/>
              </w:rPr>
              <w:t xml:space="preserve">合同复印件）得</w:t>
            </w:r>
            <w:r>
              <w:rPr>
                <w:rFonts w:ascii="宋体" w:hAnsi="宋体" w:eastAsia="宋体" w:cs="Times New Roman"/>
                <w:sz w:val="21"/>
                <w:szCs w:val="21"/>
                <w14:ligatures w14:val="none"/>
              </w:rPr>
              <w:t xml:space="preserve">1</w:t>
            </w:r>
            <w:r>
              <w:rPr>
                <w:rFonts w:hint="eastAsia" w:ascii="宋体" w:hAnsi="宋体" w:eastAsia="宋体" w:cs="Times New Roman"/>
                <w:sz w:val="21"/>
                <w:szCs w:val="21"/>
                <w14:ligatures w14:val="none"/>
              </w:rPr>
              <w:t xml:space="preserve">分，最多得</w:t>
            </w:r>
            <w:r>
              <w:rPr>
                <w:rFonts w:hint="eastAsia" w:ascii="宋体" w:hAnsi="宋体" w:eastAsia="宋体" w:cs="Times New Roman"/>
                <w:sz w:val="21"/>
                <w:szCs w:val="21"/>
                <w:lang w:val="en-US" w:eastAsia="zh-CN"/>
                <w14:ligatures w14:val="none"/>
              </w:rPr>
              <w:t xml:space="preserve">6</w:t>
            </w:r>
            <w:r>
              <w:rPr>
                <w:rFonts w:hint="eastAsia" w:ascii="宋体" w:hAnsi="宋体" w:eastAsia="宋体" w:cs="Times New Roman"/>
                <w:sz w:val="21"/>
                <w:szCs w:val="21"/>
                <w14:ligatures w14:val="none"/>
              </w:rPr>
              <w:t xml:space="preserve">分。</w:t>
            </w:r>
            <w:r/>
          </w:p>
        </w:tc>
      </w:tr>
    </w:tbl>
    <w:p>
      <w:pPr>
        <w:pStyle w:val="68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bookmarkStart w:id="59" w:name="_Toc21170"/>
      <w:r/>
      <w:r/>
    </w:p>
    <w:p>
      <w:pPr>
        <w:pStyle w:val="877"/>
        <w:rPr>
          <w:rFonts w:hint="eastAsia" w:ascii="宋体" w:hAnsi="宋体" w:eastAsia="宋体" w:cs="宋体"/>
          <w:color w:val="auto"/>
          <w:sz w:val="44"/>
          <w:szCs w:val="44"/>
          <w:highlight w:val="none"/>
        </w:rPr>
      </w:pPr>
      <w:r>
        <w:rPr>
          <w:rFonts w:hint="eastAsia" w:ascii="宋体" w:hAnsi="宋体" w:eastAsia="宋体" w:cs="宋体"/>
          <w:color w:val="auto"/>
          <w:highlight w:val="none"/>
        </w:rPr>
        <w:br w:type="page" w:clear="all"/>
      </w:r>
      <w:r/>
    </w:p>
    <w:p>
      <w:pPr>
        <w:pStyle w:val="685"/>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第六章 投标文件格式</w:t>
      </w:r>
      <w:bookmarkEnd w:id="59"/>
      <w:r>
        <w:rPr>
          <w:rFonts w:hint="eastAsia" w:ascii="宋体" w:hAnsi="宋体" w:eastAsia="宋体" w:cs="宋体"/>
          <w:color w:val="auto"/>
          <w:highlight w:val="none"/>
        </w:rPr>
        <w:t xml:space="preserve"> </w:t>
      </w:r>
      <w:r/>
    </w:p>
    <w:p>
      <w:pPr>
        <w:spacing w:line="36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投  标  文  件</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招 标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rPr>
        <w:t xml:space="preserve">投  标  人：</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pStyle w:val="701"/>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投标主要文件目录</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一、资格审查响应对照表</w:t>
      </w:r>
      <w:r/>
    </w:p>
    <w:p>
      <w:pPr>
        <w:ind w:left="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二、符合性审查响应对照表</w:t>
      </w:r>
      <w:r/>
    </w:p>
    <w:p>
      <w:pPr>
        <w:ind w:left="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三、非实质性响应对照表</w:t>
      </w:r>
      <w:r/>
    </w:p>
    <w:p>
      <w:pPr>
        <w:ind w:firstLine="480"/>
        <w:spacing w:line="360" w:lineRule="auto"/>
        <w:rPr>
          <w:rFonts w:hint="eastAsia" w:ascii="宋体" w:hAnsi="宋体" w:eastAsia="宋体" w:cs="宋体"/>
          <w:b/>
          <w:bCs/>
          <w:color w:val="auto"/>
          <w:sz w:val="21"/>
          <w:szCs w:val="20"/>
          <w:highlight w:val="none"/>
        </w:rPr>
      </w:pPr>
      <w:r>
        <w:rPr>
          <w:rFonts w:hint="eastAsia" w:ascii="宋体" w:hAnsi="宋体" w:eastAsia="宋体" w:cs="宋体"/>
          <w:color w:val="auto"/>
          <w:sz w:val="21"/>
          <w:szCs w:val="20"/>
          <w:highlight w:val="none"/>
        </w:rPr>
        <w:t xml:space="preserve">四</w:t>
      </w:r>
      <w:r>
        <w:rPr>
          <w:rFonts w:hint="eastAsia" w:ascii="宋体" w:hAnsi="宋体" w:eastAsia="宋体" w:cs="宋体"/>
          <w:b/>
          <w:bCs/>
          <w:color w:val="auto"/>
          <w:sz w:val="21"/>
          <w:szCs w:val="20"/>
          <w:highlight w:val="none"/>
        </w:rPr>
        <w:t xml:space="preserve">、</w:t>
      </w:r>
      <w:r>
        <w:rPr>
          <w:rFonts w:hint="eastAsia" w:ascii="宋体" w:hAnsi="宋体" w:eastAsia="宋体" w:cs="宋体"/>
          <w:i/>
          <w:color w:val="auto"/>
          <w:sz w:val="21"/>
          <w:szCs w:val="20"/>
          <w:highlight w:val="none"/>
          <w:u w:val="single"/>
        </w:rPr>
        <w:t xml:space="preserve">开标一览表</w:t>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五、投标配置与分项报价表</w:t>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六</w:t>
      </w:r>
      <w:r>
        <w:rPr>
          <w:rFonts w:hint="eastAsia" w:ascii="宋体" w:hAnsi="宋体" w:eastAsia="宋体" w:cs="宋体"/>
          <w:color w:val="auto"/>
          <w:sz w:val="21"/>
          <w:szCs w:val="21"/>
          <w:highlight w:val="none"/>
        </w:rPr>
        <w:t xml:space="preserve">、技术参数响应及偏离表</w:t>
      </w:r>
      <w:r/>
    </w:p>
    <w:p>
      <w:pPr>
        <w:ind w:firstLine="480"/>
        <w:spacing w:line="360" w:lineRule="auto"/>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t xml:space="preserve">七、商务条款响应及偏离表</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1"/>
          <w:szCs w:val="20"/>
          <w:highlight w:val="none"/>
        </w:rPr>
        <w:t xml:space="preserve">八、其他 （投标人认为有必要提供的声明和文件，如有自拟并自行添加）</w:t>
      </w:r>
      <w:r/>
    </w:p>
    <w:p>
      <w:pPr>
        <w:contextualSpacing/>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686"/>
        <w:spacing w:line="360" w:lineRule="auto"/>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0" w:name="_Toc21266"/>
      <w:r>
        <w:rPr>
          <w:rFonts w:hint="eastAsia" w:ascii="宋体" w:hAnsi="宋体" w:eastAsia="宋体" w:cs="宋体"/>
          <w:color w:val="auto"/>
          <w:sz w:val="32"/>
          <w:highlight w:val="none"/>
        </w:rPr>
        <w:t xml:space="preserve">一、资格审查响应对照表</w:t>
      </w:r>
      <w:bookmarkEnd w:id="60"/>
      <w:r/>
      <w:r/>
    </w:p>
    <w:tbl>
      <w:tblPr>
        <w:tblStyle w:val="695"/>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资格审查响应内容</w:t>
            </w:r>
            <w:r/>
          </w:p>
        </w:tc>
        <w:tc>
          <w:tcPr>
            <w:tcW w:w="215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r>
      <w:tr>
        <w:trPr>
          <w:jc w:val="center"/>
          <w:trHeight w:val="454"/>
        </w:trPr>
        <w:tc>
          <w:tcPr>
            <w:gridSpan w:val="3"/>
            <w:tcW w:w="8251"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通用资格条件</w:t>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依法缴纳职工社会保障资金的证明材料</w:t>
            </w:r>
            <w:r>
              <w:rPr>
                <w:rFonts w:hint="eastAsia" w:ascii="宋体" w:hAnsi="宋体" w:eastAsia="宋体" w:cs="宋体"/>
                <w:b/>
                <w:bCs/>
                <w:color w:val="auto"/>
                <w:szCs w:val="21"/>
                <w:highlight w:val="none"/>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投标人近三个月内任意一份依法纳税的缴款凭证</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上一年度的财务状况情况</w:t>
            </w:r>
            <w:r>
              <w:rPr>
                <w:rFonts w:hint="eastAsia" w:ascii="宋体" w:hAnsi="宋体" w:eastAsia="宋体" w:cs="宋体"/>
                <w:b/>
                <w:bCs/>
                <w:color w:val="auto"/>
                <w:szCs w:val="21"/>
                <w:highlight w:val="none"/>
              </w:rPr>
              <w:t xml:space="preserve">（成立不满一年不需提供）</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color w:val="auto"/>
                <w:szCs w:val="21"/>
                <w:highlight w:val="none"/>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5447" w:type="dxa"/>
            <w:vAlign w:val="center"/>
            <w:textDirection w:val="lrTb"/>
            <w:noWrap w:val="false"/>
          </w:tcPr>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供应商信用承诺函</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落实政府采购政策需满足的资格要求</w:t>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544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特定资格条件</w:t>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gridSpan w:val="3"/>
            <w:tcW w:w="8251"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其他资格条件</w:t>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5447" w:type="dxa"/>
            <w:vAlign w:val="center"/>
            <w:textDirection w:val="lrTb"/>
            <w:noWrap w:val="false"/>
          </w:tcPr>
          <w:p>
            <w:pPr>
              <w:jc w:val="left"/>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投标函</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54"/>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W w:w="5447" w:type="dxa"/>
            <w:vAlign w:val="center"/>
            <w:textDirection w:val="lrTb"/>
            <w:noWrap w:val="false"/>
          </w:tcPr>
          <w:p>
            <w:pPr>
              <w:jc w:val="left"/>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法人授权书</w:t>
            </w:r>
            <w:r/>
          </w:p>
        </w:tc>
        <w:tc>
          <w:tcPr>
            <w:tcW w:w="215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1476"/>
        <w:spacing w:before="156" w:after="156"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92"/>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contextualSpacing/>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after="312"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声  明</w:t>
      </w:r>
      <w:r/>
    </w:p>
    <w:p>
      <w:pPr>
        <w:ind w:firstLine="42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2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21"/>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供应商名称（公章）：</w:t>
      </w:r>
      <w:r>
        <w:rPr>
          <w:rFonts w:hint="eastAsia" w:ascii="宋体" w:hAnsi="宋体" w:cs="宋体"/>
          <w:bCs/>
          <w:color w:val="auto"/>
          <w:highlight w:val="none"/>
          <w:u w:val="single"/>
          <w:lang w:val="en-US" w:eastAsia="zh-CN"/>
        </w:rPr>
        <w:t xml:space="preserve">                   </w:t>
      </w:r>
      <w:r/>
    </w:p>
    <w:p>
      <w:pPr>
        <w:spacing w:line="360" w:lineRule="auto"/>
        <w:rPr>
          <w:rFonts w:hint="default" w:ascii="宋体" w:hAnsi="宋体" w:eastAsia="宋体" w:cs="宋体"/>
          <w:bCs/>
          <w:color w:val="auto"/>
          <w:highlight w:val="none"/>
          <w:u w:val="single"/>
          <w:lang w:val="en-US" w:eastAsia="zh-CN"/>
        </w:rPr>
      </w:pPr>
      <w:r>
        <w:rPr>
          <w:rFonts w:hint="eastAsia" w:ascii="宋体" w:hAnsi="宋体" w:eastAsia="宋体" w:cs="宋体"/>
          <w:bCs/>
          <w:color w:val="auto"/>
          <w:highlight w:val="none"/>
        </w:rPr>
        <w:t xml:space="preserve">                               法定代表人签章：</w:t>
      </w:r>
      <w:r>
        <w:rPr>
          <w:rFonts w:hint="eastAsia" w:ascii="宋体" w:hAnsi="宋体" w:cs="宋体"/>
          <w:bCs/>
          <w:color w:val="auto"/>
          <w:highlight w:val="none"/>
          <w:u w:val="single"/>
          <w:lang w:val="en-US" w:eastAsia="zh-CN"/>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日期：</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年</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月</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日</w:t>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bCs/>
          <w:color w:val="auto"/>
          <w:highlight w:val="none"/>
        </w:rPr>
        <w:br w:type="page" w:clear="all"/>
      </w:r>
      <w:r>
        <w:rPr>
          <w:rFonts w:hint="eastAsia" w:ascii="宋体" w:hAnsi="宋体" w:eastAsia="宋体" w:cs="宋体"/>
          <w:b/>
          <w:color w:val="auto"/>
          <w:szCs w:val="21"/>
          <w:highlight w:val="none"/>
        </w:rPr>
        <w:t xml:space="preserve">供应商信用承诺书</w:t>
      </w:r>
      <w:r/>
    </w:p>
    <w:p>
      <w:pPr>
        <w:spacing w:line="360" w:lineRule="auto"/>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承诺主体名称：</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统一社会信用代码：</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Cs w:val="21"/>
          <w:highlight w:val="none"/>
        </w:rPr>
        <w:t xml:space="preserve">项目政府采购活动郑重承诺如下: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十、本承诺书自签订之日起生效。</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（注：法定代表人或负责人、主体名称发生变更的应当重新做出承诺。）</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承诺单位（签章）：           </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投标函格式</w:t>
      </w:r>
      <w:r/>
    </w:p>
    <w:p>
      <w:pPr>
        <w:pStyle w:val="878"/>
        <w:ind w:firstLine="0"/>
        <w:spacing w:before="0" w:after="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致：</w:t>
      </w:r>
      <w:r>
        <w:rPr>
          <w:rFonts w:hint="eastAsia" w:ascii="宋体" w:hAnsi="宋体" w:cs="宋体"/>
          <w:color w:val="auto"/>
          <w:sz w:val="21"/>
          <w:highlight w:val="none"/>
          <w:lang w:eastAsia="zh-CN"/>
        </w:rPr>
        <w:t xml:space="preserve">江苏欧密迦项目管理咨询有限公司</w:t>
      </w:r>
      <w:r/>
    </w:p>
    <w:p>
      <w:pPr>
        <w:pStyle w:val="87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号招标文件，正式授权下述签字人</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(姓名)代表我方</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（投标人的名称），全权处理本次项目投标的有关事宜。</w:t>
      </w:r>
      <w:r/>
    </w:p>
    <w:p>
      <w:pPr>
        <w:pStyle w:val="87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签字人（姓名）兹宣布同意如下：</w:t>
      </w:r>
      <w:r/>
    </w:p>
    <w:p>
      <w:pPr>
        <w:pStyle w:val="87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1.按招标文件规定的各项要求，向买方提供所需货物与服务。</w:t>
      </w:r>
      <w:r/>
    </w:p>
    <w:p>
      <w:pPr>
        <w:pStyle w:val="87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2.我们完全理解贵方不一定将合同授予最低报价的投标人。</w:t>
      </w:r>
      <w:r/>
    </w:p>
    <w:p>
      <w:pPr>
        <w:pStyle w:val="878"/>
        <w:ind w:firstLine="42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pStyle w:val="8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4.我们同意从规定的开标日期起遵循本投标文件，并在规定的投标有效期期满之前均具有约束力。</w:t>
      </w:r>
      <w:r/>
    </w:p>
    <w:p>
      <w:pPr>
        <w:pStyle w:val="8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8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878"/>
        <w:ind w:left="425" w:firstLine="105"/>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7.与本投标有关的正式通讯地址为：</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 址：</w:t>
      </w:r>
      <w:r>
        <w:rPr>
          <w:rFonts w:hint="eastAsia" w:ascii="宋体" w:hAnsi="宋体" w:cs="宋体"/>
          <w:bCs/>
          <w:color w:val="auto"/>
          <w:highlight w:val="none"/>
          <w:u w:val="single"/>
          <w:lang w:val="en-US" w:eastAsia="zh-CN"/>
        </w:rPr>
        <w:t xml:space="preserve">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 编：</w:t>
      </w:r>
      <w:r>
        <w:rPr>
          <w:rFonts w:hint="eastAsia" w:ascii="宋体" w:hAnsi="宋体" w:cs="宋体"/>
          <w:bCs/>
          <w:color w:val="auto"/>
          <w:highlight w:val="none"/>
          <w:u w:val="single"/>
          <w:lang w:val="en-US" w:eastAsia="zh-CN"/>
        </w:rPr>
        <w:t xml:space="preserve">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投标人开户行：</w:t>
      </w:r>
      <w:r>
        <w:rPr>
          <w:rFonts w:hint="eastAsia" w:ascii="宋体" w:hAnsi="宋体" w:cs="宋体"/>
          <w:bCs/>
          <w:color w:val="auto"/>
          <w:highlight w:val="none"/>
          <w:u w:val="single"/>
          <w:lang w:val="en-US" w:eastAsia="zh-CN"/>
        </w:rPr>
        <w:t xml:space="preserve">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户：</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 号：</w:t>
      </w:r>
      <w:r>
        <w:rPr>
          <w:rFonts w:hint="eastAsia" w:ascii="宋体" w:hAnsi="宋体" w:cs="宋体"/>
          <w:bCs/>
          <w:color w:val="auto"/>
          <w:highlight w:val="none"/>
          <w:u w:val="single"/>
          <w:lang w:val="en-US" w:eastAsia="zh-CN"/>
        </w:rPr>
        <w:t xml:space="preserve">                    </w:t>
      </w:r>
      <w:r/>
    </w:p>
    <w:p>
      <w:pPr>
        <w:pStyle w:val="878"/>
        <w:ind w:firstLine="478"/>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日</w:t>
      </w:r>
      <w:r/>
    </w:p>
    <w:p>
      <w:pPr>
        <w:contextualSpacing/>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79"/>
        <w:ind w:firstLine="422"/>
        <w:jc w:val="center"/>
        <w:spacing w:after="312"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法人授权书</w:t>
      </w:r>
      <w:r/>
    </w:p>
    <w:p>
      <w:pPr>
        <w:pStyle w:val="87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（投标人名称）授权</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87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cs="宋体"/>
          <w:bCs/>
          <w:color w:val="auto"/>
          <w:highlight w:val="none"/>
          <w:u w:val="single"/>
          <w:lang w:val="en-US" w:eastAsia="zh-CN"/>
        </w:rPr>
        <w:t xml:space="preserve">   </w:t>
      </w:r>
      <w:r>
        <w:rPr>
          <w:rFonts w:hint="eastAsia" w:ascii="宋体" w:hAnsi="宋体" w:eastAsia="宋体" w:cs="宋体"/>
          <w:color w:val="auto"/>
          <w:sz w:val="21"/>
          <w:szCs w:val="21"/>
          <w:highlight w:val="none"/>
        </w:rPr>
        <w:t xml:space="preserve">日起生效，特此声明。</w:t>
      </w:r>
      <w:r/>
    </w:p>
    <w:p>
      <w:pPr>
        <w:pStyle w:val="87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79"/>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被授权人姓名：</w:t>
      </w: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p>
    <w:p>
      <w:pPr>
        <w:pStyle w:val="87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联系电话（手机）：</w:t>
      </w:r>
      <w:r>
        <w:rPr>
          <w:rFonts w:hint="eastAsia" w:ascii="宋体" w:hAnsi="宋体" w:eastAsia="宋体" w:cs="宋体"/>
          <w:color w:val="auto"/>
          <w:sz w:val="21"/>
          <w:szCs w:val="21"/>
          <w:highlight w:val="none"/>
          <w:u w:val="single"/>
        </w:rPr>
        <w:t xml:space="preserve">                             </w:t>
      </w:r>
      <w:r/>
    </w:p>
    <w:p>
      <w:pPr>
        <w:pStyle w:val="87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w:t>
      </w:r>
      <w:r>
        <w:rPr>
          <w:rFonts w:hint="eastAsia" w:ascii="宋体" w:hAnsi="宋体" w:cs="宋体"/>
          <w:bCs/>
          <w:color w:val="auto"/>
          <w:highlight w:val="none"/>
          <w:u w:val="single"/>
          <w:lang w:val="en-US" w:eastAsia="zh-CN"/>
        </w:rPr>
        <w:t xml:space="preserve">                            </w:t>
      </w:r>
      <w:r/>
    </w:p>
    <w:p>
      <w:pPr>
        <w:pStyle w:val="879"/>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单位地址：</w:t>
      </w:r>
      <w:r>
        <w:rPr>
          <w:rFonts w:hint="eastAsia" w:ascii="宋体" w:hAnsi="宋体" w:eastAsia="宋体" w:cs="宋体"/>
          <w:color w:val="auto"/>
          <w:sz w:val="21"/>
          <w:szCs w:val="21"/>
          <w:highlight w:val="none"/>
          <w:u w:val="single"/>
        </w:rPr>
        <w:t xml:space="preserve">                                     </w:t>
      </w:r>
      <w:r/>
    </w:p>
    <w:p>
      <w:pPr>
        <w:pStyle w:val="87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20"/>
        <w:spacing w:line="360" w:lineRule="auto"/>
        <w:rPr>
          <w:rFonts w:hint="eastAsia" w:ascii="宋体" w:hAnsi="宋体" w:eastAsia="宋体" w:cs="宋体"/>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Cs/>
          <w:color w:val="auto"/>
          <w:highlight w:val="none"/>
        </w:rPr>
        <w:t xml:space="preserve">被授权人身份证复印件</w:t>
      </w:r>
      <w:r/>
    </w:p>
    <w:p>
      <w:pPr>
        <w:pStyle w:val="686"/>
        <w:spacing w:line="360" w:lineRule="auto"/>
        <w:rPr>
          <w:rFonts w:hint="eastAsia" w:ascii="宋体" w:hAnsi="宋体" w:eastAsia="宋体" w:cs="宋体"/>
          <w:color w:val="auto"/>
          <w:sz w:val="32"/>
          <w:highlight w:val="none"/>
        </w:rPr>
      </w:pPr>
      <w:r/>
      <w:bookmarkStart w:id="61" w:name="_Toc12863"/>
      <w:r>
        <w:rPr>
          <w:rFonts w:hint="eastAsia" w:ascii="宋体" w:hAnsi="宋体" w:eastAsia="宋体" w:cs="宋体"/>
          <w:color w:val="auto"/>
          <w:sz w:val="32"/>
          <w:highlight w:val="none"/>
        </w:rPr>
        <w:t xml:space="preserve">二、符合性审查响应对照表</w:t>
      </w:r>
      <w:bookmarkEnd w:id="61"/>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9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采购需求中必须满足的要求（即加斜体下划线</w:t>
            </w:r>
            <w:r>
              <w:rPr>
                <w:rFonts w:hint="eastAsia" w:ascii="宋体" w:hAnsi="宋体" w:cs="宋体"/>
                <w:iCs/>
                <w:color w:val="auto"/>
                <w:szCs w:val="21"/>
                <w:highlight w:val="none"/>
                <w:lang w:val="en-US" w:eastAsia="zh-CN"/>
              </w:rPr>
              <w:t xml:space="preserve">下标</w:t>
            </w:r>
            <w:r>
              <w:rPr>
                <w:rFonts w:hint="eastAsia" w:ascii="宋体" w:hAnsi="宋体" w:eastAsia="宋体" w:cs="仿宋"/>
                <w:sz w:val="24"/>
                <w:szCs w:val="24"/>
                <w:lang w:val="zh-CN"/>
                <w14:ligatures w14:val="none"/>
              </w:rPr>
              <w:t xml:space="preserve">“▲”</w:t>
            </w:r>
            <w:r>
              <w:rPr>
                <w:rFonts w:hint="eastAsia" w:ascii="宋体" w:hAnsi="宋体" w:eastAsia="宋体" w:cs="宋体"/>
                <w:iCs/>
                <w:color w:val="auto"/>
                <w:szCs w:val="21"/>
                <w:highlight w:val="none"/>
              </w:rPr>
              <w:t xml:space="preserve">，每条详细列出）</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360" w:lineRule="auto"/>
              <w:rPr>
                <w:rFonts w:hint="default" w:ascii="宋体" w:hAnsi="宋体" w:eastAsia="宋体" w:cs="宋体"/>
                <w:iCs/>
                <w:color w:val="auto"/>
                <w:szCs w:val="21"/>
                <w:highlight w:val="none"/>
                <w:lang w:val="en-US" w:eastAsia="zh-CN"/>
              </w:rPr>
            </w:pPr>
            <w:r>
              <w:rPr>
                <w:rFonts w:hint="eastAsia" w:ascii="宋体" w:hAnsi="宋体" w:cs="宋体"/>
                <w:iCs/>
                <w:color w:val="auto"/>
                <w:szCs w:val="21"/>
                <w:highlight w:val="none"/>
                <w:lang w:val="en-US" w:eastAsia="zh-CN"/>
              </w:rPr>
              <w:t xml:space="preserve">其余条件.....</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47" w:type="dxa"/>
            <w:vAlign w:val="center"/>
            <w:textDirection w:val="lrTb"/>
            <w:noWrap w:val="false"/>
          </w:tcPr>
          <w:p>
            <w:pPr>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pStyle w:val="686"/>
        <w:spacing w:line="360" w:lineRule="auto"/>
        <w:rPr>
          <w:rFonts w:hint="eastAsia" w:ascii="宋体" w:hAnsi="宋体" w:eastAsia="宋体" w:cs="宋体"/>
          <w:color w:val="auto"/>
          <w:sz w:val="32"/>
          <w:highlight w:val="none"/>
        </w:rPr>
      </w:pPr>
      <w:r/>
      <w:bookmarkStart w:id="62" w:name="_Toc9857"/>
      <w:r>
        <w:rPr>
          <w:rFonts w:hint="eastAsia" w:ascii="宋体" w:hAnsi="宋体" w:eastAsia="宋体" w:cs="宋体"/>
          <w:color w:val="auto"/>
          <w:sz w:val="32"/>
          <w:highlight w:val="none"/>
        </w:rPr>
        <w:t xml:space="preserve">三、非实质性响应对照表</w:t>
      </w:r>
      <w:bookmarkEnd w:id="62"/>
      <w:r/>
      <w:r/>
    </w:p>
    <w:p>
      <w:pP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69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47" w:type="dxa"/>
            <w:vAlign w:val="center"/>
            <w:textDirection w:val="lrTb"/>
            <w:noWrap w:val="false"/>
          </w:tcPr>
          <w:p>
            <w:pPr>
              <w:spacing w:line="0" w:lineRule="atLeast"/>
              <w:rPr>
                <w:rFonts w:hint="eastAsia" w:ascii="宋体" w:hAnsi="宋体" w:eastAsia="宋体" w:cs="宋体"/>
                <w:iCs/>
                <w:color w:val="ff0000"/>
                <w:szCs w:val="21"/>
                <w:highlight w:val="none"/>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47" w:type="dxa"/>
            <w:vAlign w:val="center"/>
            <w:textDirection w:val="lrTb"/>
            <w:noWrap w:val="false"/>
          </w:tcPr>
          <w:p>
            <w:pPr>
              <w:spacing w:line="0" w:lineRule="atLeast"/>
              <w:rPr>
                <w:rFonts w:hint="eastAsia" w:ascii="宋体" w:hAnsi="宋体" w:eastAsia="宋体" w:cs="宋体"/>
                <w:iCs/>
                <w:color w:val="ff0000"/>
                <w:szCs w:val="21"/>
                <w:highlight w:val="none"/>
              </w:rPr>
            </w:pPr>
            <w:r>
              <w:rPr>
                <w:rFonts w:hint="eastAsia" w:ascii="宋体" w:hAnsi="宋体" w:eastAsia="宋体" w:cs="宋体"/>
                <w:iCs/>
                <w:color w:val="ff0000"/>
                <w:szCs w:val="21"/>
                <w:highlight w:val="none"/>
              </w:rPr>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47" w:type="dxa"/>
            <w:vAlign w:val="center"/>
            <w:textDirection w:val="lrTb"/>
            <w:noWrap w:val="false"/>
          </w:tcPr>
          <w:p>
            <w:pPr>
              <w:spacing w:line="360" w:lineRule="auto"/>
              <w:rPr>
                <w:rFonts w:hint="eastAsia" w:ascii="宋体" w:hAnsi="宋体" w:eastAsia="宋体" w:cs="宋体"/>
                <w:iCs/>
                <w:color w:val="ff0000"/>
                <w:szCs w:val="21"/>
                <w:highlight w:val="none"/>
                <w:lang w:eastAsia="zh-CN"/>
              </w:rPr>
            </w:pPr>
            <w:r>
              <w:rPr>
                <w:rFonts w:hint="eastAsia" w:ascii="宋体" w:hAnsi="宋体" w:eastAsia="宋体" w:cs="宋体"/>
                <w:iCs/>
                <w:color w:val="auto"/>
                <w:szCs w:val="21"/>
                <w:highlight w:val="none"/>
              </w:rPr>
              <w:t xml:space="preserve">……</w:t>
            </w:r>
            <w:r/>
          </w:p>
        </w:tc>
        <w:tc>
          <w:tcPr>
            <w:tcW w:w="16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0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contextualSpacing/>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87"/>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686"/>
        <w:spacing w:line="360" w:lineRule="auto"/>
        <w:rPr>
          <w:rFonts w:hint="eastAsia" w:ascii="宋体" w:hAnsi="宋体" w:eastAsia="宋体" w:cs="宋体"/>
          <w:color w:val="auto"/>
          <w:sz w:val="32"/>
          <w:highlight w:val="none"/>
        </w:rPr>
      </w:pPr>
      <w:r/>
      <w:bookmarkStart w:id="63" w:name="_Toc15439"/>
      <w:r>
        <w:rPr>
          <w:rFonts w:hint="eastAsia" w:ascii="宋体" w:hAnsi="宋体" w:eastAsia="宋体" w:cs="宋体"/>
          <w:color w:val="auto"/>
          <w:sz w:val="32"/>
          <w:highlight w:val="none"/>
        </w:rPr>
        <w:t xml:space="preserve">四、开标一览表</w:t>
      </w:r>
      <w:bookmarkEnd w:id="63"/>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分包号(如有)： </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bl>
      <w:tblPr>
        <w:tblStyle w:val="69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0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640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投标总报价</w:t>
            </w:r>
            <w:r/>
          </w:p>
        </w:tc>
      </w:tr>
      <w:tr>
        <w:trPr>
          <w:cantSplit/>
          <w:trHeight w:val="1697"/>
        </w:trPr>
        <w:tc>
          <w:tcPr>
            <w:tcW w:w="2481" w:type="dxa"/>
            <w:vAlign w:val="center"/>
            <w:textDirection w:val="lrTb"/>
            <w:noWrap w:val="false"/>
          </w:tcPr>
          <w:p>
            <w:pPr>
              <w:pStyle w:val="70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05" w:type="dxa"/>
            <w:vAlign w:val="center"/>
            <w:textDirection w:val="lrTb"/>
            <w:noWrap w:val="false"/>
          </w:tcPr>
          <w:p>
            <w:pPr>
              <w:pStyle w:val="878"/>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878"/>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（人民币：元）</w:t>
            </w:r>
            <w:r/>
          </w:p>
          <w:p>
            <w:pPr>
              <w:pStyle w:val="878"/>
              <w:ind w:firstLine="0"/>
              <w:spacing w:before="0"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t xml:space="preserve">                                              日期：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pStyle w:val="698"/>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698"/>
        <w:ind w:firstLine="6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pStyle w:val="686"/>
        <w:spacing w:line="360" w:lineRule="auto"/>
        <w:rPr>
          <w:rFonts w:hint="eastAsia" w:ascii="宋体" w:hAnsi="宋体" w:eastAsia="宋体" w:cs="宋体"/>
          <w:color w:val="auto"/>
          <w:sz w:val="32"/>
          <w:highlight w:val="none"/>
        </w:rPr>
      </w:pPr>
      <w:r/>
      <w:bookmarkStart w:id="64" w:name="_Toc27480"/>
      <w:r>
        <w:rPr>
          <w:rFonts w:hint="eastAsia" w:ascii="宋体" w:hAnsi="宋体" w:eastAsia="宋体" w:cs="宋体"/>
          <w:color w:val="auto"/>
          <w:sz w:val="32"/>
          <w:highlight w:val="none"/>
        </w:rPr>
        <w:t xml:space="preserve">五、投标产品配置及分项报价表</w:t>
      </w:r>
      <w:bookmarkEnd w:id="64"/>
      <w:r/>
      <w:r/>
    </w:p>
    <w:tbl>
      <w:tblPr>
        <w:tblStyle w:val="695"/>
        <w:tblW w:w="8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19"/>
        <w:gridCol w:w="1410"/>
        <w:gridCol w:w="1034"/>
        <w:gridCol w:w="1335"/>
        <w:gridCol w:w="1216"/>
        <w:gridCol w:w="1360"/>
      </w:tblGrid>
      <w:tr>
        <w:trPr>
          <w:cantSplit/>
          <w:trHeight w:val="544"/>
        </w:trPr>
        <w:tc>
          <w:tcPr>
            <w:tcW w:w="251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4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03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33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21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36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cantSplit/>
          <w:trHeight w:val="674"/>
        </w:trPr>
        <w:tc>
          <w:tcPr>
            <w:tcW w:w="251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产品名称及规格、型号</w:t>
            </w:r>
            <w:r/>
          </w:p>
        </w:tc>
        <w:tc>
          <w:tcPr>
            <w:tcW w:w="14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产地</w:t>
            </w:r>
            <w:r/>
          </w:p>
        </w:tc>
        <w:tc>
          <w:tcPr>
            <w:tcW w:w="133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交付期</w:t>
            </w:r>
            <w:r/>
          </w:p>
        </w:tc>
        <w:tc>
          <w:tcPr>
            <w:tcW w:w="1216"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tc>
        <w:tc>
          <w:tcPr>
            <w:tcW w:w="136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w:t>
            </w:r>
            <w:r/>
          </w:p>
        </w:tc>
      </w:tr>
      <w:tr>
        <w:trPr>
          <w:cantSplit/>
          <w:trHeight w:val="924"/>
        </w:trPr>
        <w:tc>
          <w:tcPr>
            <w:tcW w:w="251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3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924"/>
        </w:trPr>
        <w:tc>
          <w:tcPr>
            <w:tcW w:w="251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3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924"/>
        </w:trPr>
        <w:tc>
          <w:tcPr>
            <w:tcW w:w="251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3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80"/>
        </w:trPr>
        <w:tc>
          <w:tcPr>
            <w:tcW w:w="2519"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1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4"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3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6"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36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1030"/>
        </w:trPr>
        <w:tc>
          <w:tcPr>
            <w:tcW w:w="2519"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合计</w:t>
            </w:r>
            <w:r/>
          </w:p>
        </w:tc>
        <w:tc>
          <w:tcPr>
            <w:gridSpan w:val="5"/>
            <w:tcW w:w="6355"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tc>
      </w:tr>
    </w:tbl>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left"/>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686"/>
        <w:spacing w:line="360" w:lineRule="auto"/>
        <w:rPr>
          <w:rFonts w:hint="eastAsia" w:ascii="宋体" w:hAnsi="宋体" w:eastAsia="宋体" w:cs="宋体"/>
          <w:color w:val="auto"/>
          <w:sz w:val="32"/>
          <w:highlight w:val="none"/>
        </w:rPr>
      </w:pPr>
      <w:r/>
      <w:bookmarkStart w:id="65" w:name="_Toc29779"/>
      <w:r>
        <w:rPr>
          <w:rFonts w:hint="eastAsia" w:ascii="宋体" w:hAnsi="宋体" w:eastAsia="宋体" w:cs="宋体"/>
          <w:color w:val="auto"/>
          <w:sz w:val="32"/>
          <w:highlight w:val="none"/>
        </w:rPr>
        <w:t xml:space="preserve">六、技术参数响应及偏离表</w:t>
      </w:r>
      <w:bookmarkEnd w:id="65"/>
      <w:r/>
      <w:r/>
    </w:p>
    <w:tbl>
      <w:tblPr>
        <w:tblStyle w:val="69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5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招标要求</w:t>
            </w:r>
            <w:r/>
          </w:p>
        </w:tc>
        <w:tc>
          <w:tcPr>
            <w:tcW w:w="2701"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投标响应</w:t>
            </w:r>
            <w:r/>
          </w:p>
        </w:tc>
        <w:tc>
          <w:tcPr>
            <w:tcW w:w="1458"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21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640"/>
        </w:trPr>
        <w:tc>
          <w:tcPr>
            <w:tcW w:w="984"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5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45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10"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注：1、按照基本技术要求详细填列。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2、行数不够，可自行添加。</w:t>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br w:type="page" w:clear="all"/>
      </w:r>
      <w:r/>
    </w:p>
    <w:p>
      <w:pPr>
        <w:pStyle w:val="686"/>
        <w:spacing w:line="360" w:lineRule="auto"/>
        <w:rPr>
          <w:rFonts w:hint="eastAsia" w:ascii="宋体" w:hAnsi="宋体" w:eastAsia="宋体" w:cs="宋体"/>
          <w:color w:val="auto"/>
          <w:sz w:val="32"/>
          <w:highlight w:val="none"/>
        </w:rPr>
      </w:pPr>
      <w:r/>
      <w:bookmarkStart w:id="66" w:name="_Hlt26955054"/>
      <w:r/>
      <w:bookmarkEnd w:id="66"/>
      <w:r/>
      <w:bookmarkStart w:id="67" w:name="_Toc8399"/>
      <w:r>
        <w:rPr>
          <w:rFonts w:hint="eastAsia" w:ascii="宋体" w:hAnsi="宋体" w:eastAsia="宋体" w:cs="宋体"/>
          <w:color w:val="auto"/>
          <w:sz w:val="32"/>
          <w:highlight w:val="none"/>
        </w:rPr>
        <w:t xml:space="preserve">七、商务条款响应及偏离表</w:t>
      </w:r>
      <w:bookmarkEnd w:id="67"/>
      <w:r/>
      <w:r/>
    </w:p>
    <w:tbl>
      <w:tblPr>
        <w:tblStyle w:val="69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bookmarkStart w:id="68" w:name="_Hlt26671343"/>
            <w:r/>
            <w:bookmarkEnd w:id="68"/>
            <w:r/>
            <w:bookmarkStart w:id="69" w:name="_Hlt26955056"/>
            <w:r/>
            <w:bookmarkEnd w:id="69"/>
            <w:r/>
            <w:bookmarkStart w:id="70" w:name="_Hlt26580838"/>
            <w:r/>
            <w:bookmarkEnd w:id="70"/>
            <w:r/>
            <w:bookmarkStart w:id="71" w:name="_Hlt26782999"/>
            <w:r/>
            <w:bookmarkEnd w:id="71"/>
            <w:r/>
            <w:bookmarkStart w:id="72" w:name="_Hlt26609391"/>
            <w:r/>
            <w:bookmarkEnd w:id="72"/>
            <w:r/>
            <w:bookmarkStart w:id="73" w:name="_Hlt24879081"/>
            <w:r/>
            <w:bookmarkEnd w:id="73"/>
            <w:r/>
            <w:bookmarkStart w:id="74" w:name="_Hlt26671372"/>
            <w:r/>
            <w:bookmarkEnd w:id="74"/>
            <w:r/>
            <w:bookmarkStart w:id="75" w:name="_Hlt26955064"/>
            <w:r/>
            <w:bookmarkEnd w:id="75"/>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pStyle w:val="698"/>
        <w:ind w:firstLine="480"/>
        <w:spacing w:line="360" w:lineRule="auto"/>
        <w:rPr>
          <w:rFonts w:hint="eastAsia" w:ascii="宋体" w:hAnsi="宋体" w:eastAsia="宋体" w:cs="宋体"/>
          <w:color w:val="auto"/>
          <w:sz w:val="24"/>
          <w:highlight w:val="none"/>
        </w:rPr>
      </w:pPr>
      <w:r/>
      <w:bookmarkStart w:id="76" w:name="_Hlt26671374"/>
      <w:r/>
      <w:bookmarkEnd w:id="76"/>
      <w:r/>
      <w:bookmarkStart w:id="77" w:name="_Hlt26609389"/>
      <w:r/>
      <w:bookmarkEnd w:id="77"/>
      <w:r/>
      <w:bookmarkStart w:id="78" w:name="_Hlt26955066"/>
      <w:r/>
      <w:bookmarkEnd w:id="78"/>
      <w:r/>
      <w:bookmarkStart w:id="79" w:name="_Toc462564146"/>
      <w:r/>
      <w:r/>
    </w:p>
    <w:p>
      <w:pPr>
        <w:pStyle w:val="69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8"/>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698"/>
        <w:ind w:firstLine="480"/>
        <w:spacing w:line="360" w:lineRule="auto"/>
        <w:rPr>
          <w:rFonts w:hint="eastAsia" w:ascii="宋体" w:hAnsi="宋体" w:eastAsia="宋体" w:cs="宋体"/>
          <w:color w:val="auto"/>
          <w:sz w:val="24"/>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highlight w:val="none"/>
        </w:rPr>
      </w:r>
      <w:r/>
    </w:p>
    <w:p>
      <w:pPr>
        <w:pStyle w:val="686"/>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lang w:val="en-US" w:eastAsia="zh-CN"/>
        </w:rPr>
        <w:t xml:space="preserve">八、</w:t>
      </w:r>
      <w:r>
        <w:rPr>
          <w:rFonts w:hint="eastAsia" w:ascii="宋体" w:hAnsi="宋体" w:eastAsia="宋体" w:cs="宋体"/>
          <w:color w:val="auto"/>
          <w:sz w:val="32"/>
          <w:highlight w:val="none"/>
        </w:rPr>
        <w:t xml:space="preserve">小微企业声明函（货物）</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单位名称）采购编号为（项目名称）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1.（标的名称），属于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万元，属于（小型企业、微型企业）；</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2.（标的名称），属于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行业；制造商为</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rPr>
        <w:t xml:space="preserve">（企业名称），从业人员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万元，属于（小型企业、微型企业）；</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right="720"/>
        <w:spacing w:line="560" w:lineRule="exact"/>
        <w:rPr>
          <w:rFonts w:hint="eastAsia" w:ascii="宋体" w:hAnsi="宋体" w:cs="宋体"/>
          <w:color w:val="000000"/>
          <w:sz w:val="24"/>
          <w:szCs w:val="24"/>
        </w:rPr>
      </w:pPr>
      <w:r>
        <w:rPr>
          <w:rFonts w:hint="eastAsia" w:ascii="宋体" w:hAnsi="宋体" w:cs="宋体"/>
          <w:color w:val="000000"/>
          <w:sz w:val="24"/>
          <w:szCs w:val="24"/>
        </w:rPr>
      </w:r>
      <w:r/>
    </w:p>
    <w:p>
      <w:pPr>
        <w:ind w:right="180" w:firstLine="315"/>
        <w:jc w:val="right"/>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企业名称（加盖CA电子公章）：</w:t>
      </w:r>
      <w:r/>
    </w:p>
    <w:p>
      <w:pPr>
        <w:ind w:right="480" w:firstLine="4725"/>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日  期：</w:t>
      </w:r>
      <w:r/>
    </w:p>
    <w:p>
      <w:pPr>
        <w:ind w:firstLine="210"/>
        <w:spacing w:line="560" w:lineRule="exact"/>
        <w:rPr>
          <w:rFonts w:hint="eastAsia" w:ascii="宋体" w:hAnsi="宋体" w:cs="宋体"/>
          <w:color w:val="000000"/>
          <w:sz w:val="21"/>
          <w:szCs w:val="21"/>
        </w:rPr>
      </w:pPr>
      <w:r>
        <w:rPr>
          <w:rFonts w:hint="eastAsia" w:ascii="宋体" w:hAnsi="宋体" w:cs="宋体"/>
          <w:color w:val="000000"/>
          <w:sz w:val="21"/>
          <w:szCs w:val="21"/>
        </w:rPr>
      </w:r>
      <w:r/>
    </w:p>
    <w:p>
      <w:pPr>
        <w:ind w:firstLine="420"/>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备注1：从业人员、营业收入、资产总额填报上一年度数据，无上一年度数据的新成立企业可不填报。</w:t>
      </w:r>
      <w:r/>
    </w:p>
    <w:p>
      <w:pPr>
        <w:ind w:firstLine="420"/>
        <w:spacing w:line="560" w:lineRule="exact"/>
        <w:rPr>
          <w:rFonts w:hint="eastAsia" w:ascii="宋体" w:hAnsi="宋体" w:cs="宋体"/>
          <w:color w:val="000000"/>
          <w:sz w:val="21"/>
          <w:szCs w:val="21"/>
        </w:rPr>
      </w:pPr>
      <w:r>
        <w:rPr>
          <w:rFonts w:hint="eastAsia" w:ascii="宋体" w:hAnsi="宋体" w:cs="宋体"/>
          <w:color w:val="000000"/>
          <w:sz w:val="21"/>
          <w:szCs w:val="21"/>
        </w:rPr>
        <w:t xml:space="preserve">备注2：供应商如不提供此声明函，价格将不做相应扣除。</w:t>
      </w:r>
      <w:r/>
    </w:p>
    <w:p>
      <w:pPr>
        <w:pStyle w:val="698"/>
        <w:ind w:firstLine="480"/>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rPr>
      </w:r>
      <w:bookmarkEnd w:id="79"/>
      <w:r/>
      <w:r/>
    </w:p>
    <w:p>
      <w:pPr>
        <w:pStyle w:val="698"/>
        <w:ind w:left="0" w:firstLine="0"/>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698"/>
        <w:ind w:left="0" w:firstLine="0"/>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主要标的信息（中标后将公示）</w:t>
      </w:r>
      <w:r/>
    </w:p>
    <w:p>
      <w:pPr>
        <w:ind w:firstLine="210"/>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投标人全称：</w:t>
      </w:r>
      <w:r/>
    </w:p>
    <w:tbl>
      <w:tblPr>
        <w:tblStyle w:val="695"/>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货物类</w:t>
            </w:r>
            <w:r/>
          </w:p>
        </w:tc>
        <w:tc>
          <w:tcPr>
            <w:tcW w:w="3780" w:type="dxa"/>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jc w:val="center"/>
          <w:trHeight w:val="3810"/>
        </w:trPr>
        <w:tc>
          <w:tcPr>
            <w:tcW w:w="3901"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品牌（如有）：</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规格型号：</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单价：</w:t>
            </w:r>
            <w:r/>
          </w:p>
        </w:tc>
        <w:tc>
          <w:tcPr>
            <w:tcW w:w="3780" w:type="dxa"/>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联合体协议（如有）</w:t>
      </w:r>
      <w:r/>
    </w:p>
    <w:p>
      <w:pPr>
        <w:ind w:firstLine="211"/>
        <w:jc w:val="cente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highlight w:val="none"/>
        </w:rPr>
        <w:t xml:space="preserve">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所有供应商全称：</w:t>
      </w:r>
      <w:r/>
    </w:p>
    <w:p>
      <w:pPr>
        <w:ind w:firstLine="64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  </w:t>
      </w:r>
      <w:r/>
    </w:p>
    <w:p>
      <w:pPr>
        <w:ind w:firstLine="46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before="100" w:beforeAutospacing="1" w:after="143"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left"/>
      <w:rPr>
        <w:rFonts w:hint="eastAsia" w:eastAsia="宋体"/>
        <w:lang w:eastAsia="zh-CN"/>
      </w:rPr>
    </w:pPr>
    <w:r>
      <w:rPr>
        <w:rFonts w:hint="eastAsia"/>
        <w:lang w:eastAsia="zh-CN"/>
      </w:rPr>
      <w:t xml:space="preserve">JSZC-321003-JSOM-G2024-0001</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eastAsia="zh-CN"/>
      </w:rPr>
      <w:t xml:space="preserve">江苏欧密迦项目管理咨询有限公司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both"/>
      <w:rPr>
        <w:rFonts w:hint="eastAsia" w:eastAsia="宋体"/>
        <w:lang w:eastAsia="zh-CN"/>
      </w:rPr>
    </w:pPr>
    <w:r>
      <w:rPr>
        <w:rFonts w:hint="eastAsia"/>
        <w:lang w:eastAsia="zh-CN"/>
      </w:rPr>
      <w:t xml:space="preserve">JSZC-321003-JSOM-G2024-0001</w:t>
    </w:r>
    <w:r>
      <w:tab/>
    </w:r>
    <w:r>
      <w:rPr>
        <w:rFonts w:hint="eastAsia"/>
      </w:rPr>
      <w:t xml:space="preserve">                                    </w:t>
    </w:r>
    <w:r>
      <w:rPr>
        <w:rFonts w:hint="eastAsia"/>
        <w:lang w:eastAsia="zh-CN"/>
      </w:rPr>
      <w:t xml:space="preserve">江苏欧密迦项目管理咨询有限公司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5">
    <w:name w:val="Heading 1"/>
    <w:basedOn w:val="684"/>
    <w:next w:val="684"/>
    <w:uiPriority w:val="9"/>
    <w:qFormat/>
    <w:pPr>
      <w:keepLines/>
      <w:keepNext/>
      <w:spacing w:before="340" w:after="330" w:line="578" w:lineRule="auto"/>
      <w:outlineLvl w:val="0"/>
    </w:pPr>
    <w:rPr>
      <w:b/>
      <w:bCs/>
      <w:sz w:val="44"/>
      <w:szCs w:val="44"/>
    </w:rPr>
  </w:style>
  <w:style w:type="paragraph" w:styleId="686">
    <w:name w:val="Heading 2"/>
    <w:basedOn w:val="684"/>
    <w:next w:val="6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7">
    <w:name w:val="Heading 3"/>
    <w:basedOn w:val="684"/>
    <w:next w:val="684"/>
    <w:uiPriority w:val="0"/>
    <w:qFormat/>
    <w:pPr>
      <w:keepLines/>
      <w:keepNext/>
      <w:spacing w:before="260" w:after="260" w:line="416" w:lineRule="auto"/>
      <w:outlineLvl w:val="2"/>
    </w:pPr>
    <w:rPr>
      <w:b/>
      <w:bCs/>
      <w:sz w:val="32"/>
      <w:szCs w:val="32"/>
    </w:rPr>
  </w:style>
  <w:style w:type="paragraph" w:styleId="688">
    <w:name w:val="Heading 4"/>
    <w:basedOn w:val="684"/>
    <w:next w:val="684"/>
    <w:link w:val="733"/>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3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5"/>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7"/>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8"/>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table of authorities"/>
    <w:basedOn w:val="684"/>
    <w:next w:val="684"/>
    <w:uiPriority w:val="0"/>
    <w:qFormat/>
    <w:pPr>
      <w:ind w:left="420" w:firstLine="200"/>
      <w:spacing w:line="360" w:lineRule="auto"/>
    </w:pPr>
    <w:rPr>
      <w:sz w:val="24"/>
      <w:szCs w:val="24"/>
    </w:rPr>
  </w:style>
  <w:style w:type="paragraph" w:styleId="698">
    <w:name w:val="Normal Indent"/>
    <w:basedOn w:val="684"/>
    <w:uiPriority w:val="0"/>
    <w:unhideWhenUsed/>
    <w:qFormat/>
    <w:pPr>
      <w:ind w:firstLine="420"/>
    </w:pPr>
  </w:style>
  <w:style w:type="paragraph" w:styleId="699">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0">
    <w:name w:val="annotation text"/>
    <w:basedOn w:val="684"/>
    <w:uiPriority w:val="0"/>
    <w:qFormat/>
    <w:pPr>
      <w:jc w:val="left"/>
    </w:pPr>
  </w:style>
  <w:style w:type="paragraph" w:styleId="701">
    <w:name w:val="Body Text"/>
    <w:basedOn w:val="684"/>
    <w:next w:val="684"/>
    <w:uiPriority w:val="0"/>
    <w:qFormat/>
    <w:rPr>
      <w:rFonts w:ascii="楷体_GB2312" w:hAnsi="Arial" w:eastAsia="楷体_GB2312"/>
      <w:sz w:val="28"/>
      <w:szCs w:val="28"/>
    </w:rPr>
  </w:style>
  <w:style w:type="paragraph" w:styleId="702">
    <w:name w:val="Body Text Indent"/>
    <w:basedOn w:val="684"/>
    <w:uiPriority w:val="0"/>
    <w:qFormat/>
    <w:pPr>
      <w:ind w:left="420"/>
      <w:spacing w:after="120"/>
    </w:pPr>
  </w:style>
  <w:style w:type="paragraph" w:styleId="703">
    <w:name w:val="toc 5"/>
    <w:basedOn w:val="684"/>
    <w:next w:val="684"/>
    <w:uiPriority w:val="39"/>
    <w:unhideWhenUsed/>
    <w:qFormat/>
    <w:pPr>
      <w:ind w:left="1134" w:right="0" w:firstLine="0"/>
      <w:spacing w:after="57"/>
    </w:pPr>
  </w:style>
  <w:style w:type="paragraph" w:styleId="704">
    <w:name w:val="toc 3"/>
    <w:basedOn w:val="684"/>
    <w:next w:val="684"/>
    <w:uiPriority w:val="0"/>
    <w:qFormat/>
    <w:pPr>
      <w:ind w:left="840"/>
    </w:pPr>
  </w:style>
  <w:style w:type="paragraph" w:styleId="705">
    <w:name w:val="Plain Text"/>
    <w:basedOn w:val="684"/>
    <w:uiPriority w:val="99"/>
    <w:qFormat/>
    <w:rPr>
      <w:rFonts w:ascii="宋体" w:hAnsi="Courier New"/>
      <w:sz w:val="20"/>
      <w:szCs w:val="21"/>
    </w:rPr>
  </w:style>
  <w:style w:type="paragraph" w:styleId="706">
    <w:name w:val="toc 8"/>
    <w:basedOn w:val="684"/>
    <w:next w:val="684"/>
    <w:uiPriority w:val="39"/>
    <w:unhideWhenUsed/>
    <w:qFormat/>
    <w:pPr>
      <w:ind w:left="1984" w:right="0" w:firstLine="0"/>
      <w:spacing w:after="57"/>
    </w:pPr>
  </w:style>
  <w:style w:type="paragraph" w:styleId="707">
    <w:name w:val="endnote text"/>
    <w:basedOn w:val="684"/>
    <w:link w:val="875"/>
    <w:uiPriority w:val="99"/>
    <w:semiHidden/>
    <w:unhideWhenUsed/>
    <w:qFormat/>
    <w:pPr>
      <w:spacing w:after="0" w:line="240" w:lineRule="auto"/>
    </w:pPr>
    <w:rPr>
      <w:sz w:val="20"/>
    </w:rPr>
  </w:style>
  <w:style w:type="paragraph" w:styleId="708">
    <w:name w:val="Balloon Text"/>
    <w:basedOn w:val="684"/>
    <w:link w:val="880"/>
    <w:uiPriority w:val="0"/>
    <w:qFormat/>
    <w:rPr>
      <w:sz w:val="18"/>
      <w:szCs w:val="18"/>
    </w:rPr>
  </w:style>
  <w:style w:type="paragraph" w:styleId="709">
    <w:name w:val="Footer"/>
    <w:basedOn w:val="684"/>
    <w:uiPriority w:val="99"/>
    <w:unhideWhenUsed/>
    <w:qFormat/>
    <w:pPr>
      <w:jc w:val="left"/>
      <w:tabs>
        <w:tab w:val="center" w:pos="4153" w:leader="none"/>
        <w:tab w:val="right" w:pos="8306" w:leader="none"/>
      </w:tabs>
    </w:pPr>
    <w:rPr>
      <w:sz w:val="18"/>
      <w:szCs w:val="18"/>
    </w:rPr>
  </w:style>
  <w:style w:type="paragraph" w:styleId="710">
    <w:name w:val="envelope return"/>
    <w:basedOn w:val="684"/>
    <w:uiPriority w:val="0"/>
    <w:qFormat/>
    <w:rPr>
      <w:rFonts w:ascii="Arial" w:hAnsi="Arial"/>
    </w:rPr>
  </w:style>
  <w:style w:type="paragraph" w:styleId="711">
    <w:name w:val="Header"/>
    <w:basedOn w:val="6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12">
    <w:name w:val="toc 1"/>
    <w:basedOn w:val="684"/>
    <w:next w:val="684"/>
    <w:uiPriority w:val="39"/>
    <w:unhideWhenUsed/>
    <w:qFormat/>
  </w:style>
  <w:style w:type="paragraph" w:styleId="713">
    <w:name w:val="toc 4"/>
    <w:basedOn w:val="684"/>
    <w:next w:val="684"/>
    <w:uiPriority w:val="39"/>
    <w:unhideWhenUsed/>
    <w:qFormat/>
    <w:pPr>
      <w:ind w:left="850" w:right="0" w:firstLine="0"/>
      <w:spacing w:after="57"/>
    </w:pPr>
  </w:style>
  <w:style w:type="paragraph" w:styleId="714">
    <w:name w:val="Subtitle"/>
    <w:basedOn w:val="684"/>
    <w:next w:val="684"/>
    <w:link w:val="741"/>
    <w:uiPriority w:val="11"/>
    <w:qFormat/>
    <w:pPr>
      <w:spacing w:before="200" w:after="200"/>
    </w:pPr>
    <w:rPr>
      <w:sz w:val="24"/>
      <w:szCs w:val="24"/>
    </w:rPr>
  </w:style>
  <w:style w:type="paragraph" w:styleId="715">
    <w:name w:val="footnote text"/>
    <w:basedOn w:val="684"/>
    <w:link w:val="874"/>
    <w:uiPriority w:val="99"/>
    <w:semiHidden/>
    <w:unhideWhenUsed/>
    <w:qFormat/>
    <w:pPr>
      <w:spacing w:after="40" w:line="240" w:lineRule="auto"/>
    </w:pPr>
    <w:rPr>
      <w:sz w:val="18"/>
    </w:rPr>
  </w:style>
  <w:style w:type="paragraph" w:styleId="716">
    <w:name w:val="toc 6"/>
    <w:basedOn w:val="684"/>
    <w:next w:val="684"/>
    <w:uiPriority w:val="39"/>
    <w:unhideWhenUsed/>
    <w:qFormat/>
    <w:pPr>
      <w:ind w:left="1417" w:right="0" w:firstLine="0"/>
      <w:spacing w:after="57"/>
    </w:pPr>
  </w:style>
  <w:style w:type="paragraph" w:styleId="717">
    <w:name w:val="table of figures"/>
    <w:basedOn w:val="684"/>
    <w:next w:val="684"/>
    <w:uiPriority w:val="99"/>
    <w:unhideWhenUsed/>
    <w:qFormat/>
    <w:pPr>
      <w:spacing w:after="0" w:afterAutospacing="0"/>
    </w:pPr>
  </w:style>
  <w:style w:type="paragraph" w:styleId="718">
    <w:name w:val="toc 2"/>
    <w:basedOn w:val="684"/>
    <w:next w:val="684"/>
    <w:uiPriority w:val="0"/>
    <w:qFormat/>
    <w:pPr>
      <w:ind w:left="420"/>
    </w:pPr>
  </w:style>
  <w:style w:type="paragraph" w:styleId="719">
    <w:name w:val="toc 9"/>
    <w:basedOn w:val="684"/>
    <w:next w:val="684"/>
    <w:uiPriority w:val="39"/>
    <w:unhideWhenUsed/>
    <w:qFormat/>
    <w:pPr>
      <w:ind w:left="2268" w:right="0" w:firstLine="0"/>
      <w:spacing w:after="57"/>
    </w:pPr>
  </w:style>
  <w:style w:type="paragraph" w:styleId="720">
    <w:name w:val="HTML Preformatted"/>
    <w:basedOn w:val="684"/>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21">
    <w:name w:val="Normal (Web)"/>
    <w:basedOn w:val="684"/>
    <w:uiPriority w:val="0"/>
    <w:qFormat/>
    <w:rPr>
      <w:rFonts w:ascii="Times New Roman" w:hAnsi="Times New Roman"/>
      <w:sz w:val="24"/>
    </w:rPr>
  </w:style>
  <w:style w:type="paragraph" w:styleId="722">
    <w:name w:val="Title"/>
    <w:basedOn w:val="684"/>
    <w:next w:val="684"/>
    <w:link w:val="740"/>
    <w:uiPriority w:val="10"/>
    <w:qFormat/>
    <w:pPr>
      <w:contextualSpacing/>
      <w:spacing w:before="300" w:after="200"/>
    </w:pPr>
    <w:rPr>
      <w:sz w:val="48"/>
      <w:szCs w:val="48"/>
    </w:rPr>
  </w:style>
  <w:style w:type="paragraph" w:styleId="723">
    <w:name w:val="Body Text First Indent 2"/>
    <w:basedOn w:val="702"/>
    <w:uiPriority w:val="0"/>
    <w:qFormat/>
    <w:pPr>
      <w:ind w:firstLine="420"/>
      <w:spacing w:line="360" w:lineRule="auto"/>
    </w:pPr>
    <w:rPr>
      <w:color w:val="000000"/>
    </w:rPr>
  </w:style>
  <w:style w:type="table" w:styleId="724">
    <w:name w:val="Table Grid"/>
    <w:basedOn w:val="69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5">
    <w:name w:val="Strong"/>
    <w:uiPriority w:val="0"/>
    <w:qFormat/>
    <w:rPr>
      <w:b/>
    </w:rPr>
  </w:style>
  <w:style w:type="character" w:styleId="726">
    <w:name w:val="endnote reference"/>
    <w:basedOn w:val="694"/>
    <w:uiPriority w:val="99"/>
    <w:semiHidden/>
    <w:unhideWhenUsed/>
    <w:qFormat/>
    <w:rPr>
      <w:vertAlign w:val="superscript"/>
    </w:rPr>
  </w:style>
  <w:style w:type="character" w:styleId="727">
    <w:name w:val="Hyperlink"/>
    <w:uiPriority w:val="99"/>
    <w:unhideWhenUsed/>
    <w:qFormat/>
    <w:rPr>
      <w:color w:val="0563c1" w:themeColor="hyperlink"/>
      <w:u w:val="single"/>
      <w14:textFill>
        <w14:solidFill>
          <w14:schemeClr w14:val="hlink"/>
        </w14:solidFill>
      </w14:textFill>
    </w:rPr>
  </w:style>
  <w:style w:type="character" w:styleId="728">
    <w:name w:val="annotation reference"/>
    <w:basedOn w:val="694"/>
    <w:uiPriority w:val="0"/>
    <w:qFormat/>
    <w:rPr>
      <w:sz w:val="21"/>
      <w:szCs w:val="21"/>
    </w:rPr>
  </w:style>
  <w:style w:type="character" w:styleId="729">
    <w:name w:val="footnote reference"/>
    <w:basedOn w:val="694"/>
    <w:uiPriority w:val="99"/>
    <w:unhideWhenUsed/>
    <w:qFormat/>
    <w:rPr>
      <w:vertAlign w:val="superscript"/>
    </w:rPr>
  </w:style>
  <w:style w:type="character" w:styleId="730" w:customStyle="1">
    <w:name w:val="Heading 1 Char"/>
    <w:basedOn w:val="694"/>
    <w:uiPriority w:val="9"/>
    <w:qFormat/>
    <w:rPr>
      <w:rFonts w:ascii="Arial" w:hAnsi="Arial" w:eastAsia="Arial" w:cs="Arial"/>
      <w:sz w:val="40"/>
      <w:szCs w:val="40"/>
    </w:rPr>
  </w:style>
  <w:style w:type="character" w:styleId="731" w:customStyle="1">
    <w:name w:val="Heading 2 Char"/>
    <w:basedOn w:val="694"/>
    <w:uiPriority w:val="9"/>
    <w:qFormat/>
    <w:rPr>
      <w:rFonts w:ascii="Arial" w:hAnsi="Arial" w:eastAsia="Arial" w:cs="Arial"/>
      <w:sz w:val="34"/>
    </w:rPr>
  </w:style>
  <w:style w:type="character" w:styleId="732" w:customStyle="1">
    <w:name w:val="Heading 3 Char"/>
    <w:basedOn w:val="694"/>
    <w:uiPriority w:val="9"/>
    <w:qFormat/>
    <w:rPr>
      <w:rFonts w:ascii="Arial" w:hAnsi="Arial" w:eastAsia="Arial" w:cs="Arial"/>
      <w:sz w:val="30"/>
      <w:szCs w:val="30"/>
    </w:rPr>
  </w:style>
  <w:style w:type="character" w:styleId="733" w:customStyle="1">
    <w:name w:val="Heading 4 Char"/>
    <w:basedOn w:val="694"/>
    <w:link w:val="688"/>
    <w:uiPriority w:val="9"/>
    <w:qFormat/>
    <w:rPr>
      <w:rFonts w:ascii="Arial" w:hAnsi="Arial" w:eastAsia="Arial" w:cs="Arial"/>
      <w:b/>
      <w:bCs/>
      <w:sz w:val="26"/>
      <w:szCs w:val="26"/>
    </w:rPr>
  </w:style>
  <w:style w:type="character" w:styleId="734" w:customStyle="1">
    <w:name w:val="Heading 5 Char"/>
    <w:basedOn w:val="694"/>
    <w:link w:val="689"/>
    <w:uiPriority w:val="9"/>
    <w:qFormat/>
    <w:rPr>
      <w:rFonts w:ascii="Arial" w:hAnsi="Arial" w:eastAsia="Arial" w:cs="Arial"/>
      <w:b/>
      <w:bCs/>
      <w:sz w:val="24"/>
      <w:szCs w:val="24"/>
    </w:rPr>
  </w:style>
  <w:style w:type="character" w:styleId="735" w:customStyle="1">
    <w:name w:val="Heading 6 Char"/>
    <w:basedOn w:val="694"/>
    <w:link w:val="690"/>
    <w:uiPriority w:val="9"/>
    <w:qFormat/>
    <w:rPr>
      <w:rFonts w:ascii="Arial" w:hAnsi="Arial" w:eastAsia="Arial" w:cs="Arial"/>
      <w:b/>
      <w:bCs/>
      <w:sz w:val="22"/>
      <w:szCs w:val="22"/>
    </w:rPr>
  </w:style>
  <w:style w:type="character" w:styleId="736" w:customStyle="1">
    <w:name w:val="Heading 7 Char"/>
    <w:basedOn w:val="694"/>
    <w:link w:val="691"/>
    <w:uiPriority w:val="9"/>
    <w:qFormat/>
    <w:rPr>
      <w:rFonts w:ascii="Arial" w:hAnsi="Arial" w:eastAsia="Arial" w:cs="Arial"/>
      <w:b/>
      <w:bCs/>
      <w:i/>
      <w:iCs/>
      <w:sz w:val="22"/>
      <w:szCs w:val="22"/>
    </w:rPr>
  </w:style>
  <w:style w:type="character" w:styleId="737" w:customStyle="1">
    <w:name w:val="Heading 8 Char"/>
    <w:basedOn w:val="694"/>
    <w:link w:val="692"/>
    <w:uiPriority w:val="9"/>
    <w:qFormat/>
    <w:rPr>
      <w:rFonts w:ascii="Arial" w:hAnsi="Arial" w:eastAsia="Arial" w:cs="Arial"/>
      <w:i/>
      <w:iCs/>
      <w:sz w:val="22"/>
      <w:szCs w:val="22"/>
    </w:rPr>
  </w:style>
  <w:style w:type="character" w:styleId="738" w:customStyle="1">
    <w:name w:val="Heading 9 Char"/>
    <w:basedOn w:val="694"/>
    <w:link w:val="693"/>
    <w:uiPriority w:val="9"/>
    <w:qFormat/>
    <w:rPr>
      <w:rFonts w:ascii="Arial" w:hAnsi="Arial" w:eastAsia="Arial" w:cs="Arial"/>
      <w:i/>
      <w:iCs/>
      <w:sz w:val="21"/>
      <w:szCs w:val="21"/>
    </w:r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94"/>
    <w:link w:val="722"/>
    <w:uiPriority w:val="10"/>
    <w:qFormat/>
    <w:rPr>
      <w:sz w:val="48"/>
      <w:szCs w:val="48"/>
    </w:rPr>
  </w:style>
  <w:style w:type="character" w:styleId="741" w:customStyle="1">
    <w:name w:val="Subtitle Char"/>
    <w:basedOn w:val="694"/>
    <w:link w:val="714"/>
    <w:uiPriority w:val="11"/>
    <w:qFormat/>
    <w:rPr>
      <w:sz w:val="24"/>
      <w:szCs w:val="24"/>
    </w:rPr>
  </w:style>
  <w:style w:type="paragraph" w:styleId="742">
    <w:name w:val="Quote"/>
    <w:basedOn w:val="684"/>
    <w:next w:val="68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84"/>
    <w:next w:val="68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94"/>
    <w:uiPriority w:val="99"/>
    <w:qFormat/>
  </w:style>
  <w:style w:type="character" w:styleId="747" w:customStyle="1">
    <w:name w:val="Footer Char"/>
    <w:basedOn w:val="694"/>
    <w:uiPriority w:val="99"/>
    <w:qFormat/>
  </w:style>
  <w:style w:type="character" w:styleId="748" w:customStyle="1">
    <w:name w:val="Caption Char"/>
    <w:uiPriority w:val="99"/>
    <w:qFormat/>
  </w:style>
  <w:style w:type="table" w:styleId="749"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8" w:customStyle="1">
    <w:name w:val="Grid Table 4 - Accent 2"/>
    <w:basedOn w:val="6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9" w:customStyle="1">
    <w:name w:val="Grid Table 4 - Accent 3"/>
    <w:basedOn w:val="6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0" w:customStyle="1">
    <w:name w:val="Grid Table 4 - Accent 4"/>
    <w:basedOn w:val="6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1" w:customStyle="1">
    <w:name w:val="Grid Table 4 - Accent 5"/>
    <w:basedOn w:val="69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2" w:customStyle="1">
    <w:name w:val="Grid Table 4 - Accent 6"/>
    <w:basedOn w:val="6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3"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5"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6"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7"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8"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9"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0" w:customStyle="1">
    <w:name w:val="Grid Table 6 Colorful"/>
    <w:basedOn w:val="69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9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9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Grid Table 6 Colorful - Accent 6"/>
    <w:basedOn w:val="69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7"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9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9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6" w:customStyle="1">
    <w:name w:val="List Table 2 - Accent 5"/>
    <w:basedOn w:val="69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3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5"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4 - Accent 2"/>
    <w:basedOn w:val="6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9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1" w:customStyle="1">
    <w:name w:val="List Table 4 - Accent 6"/>
    <w:basedOn w:val="6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9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9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9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9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1" w:customStyle="1">
    <w:name w:val="List Table 6 Colorful - Accent 2"/>
    <w:basedOn w:val="6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2" w:customStyle="1">
    <w:name w:val="List Table 6 Colorful - Accent 3"/>
    <w:basedOn w:val="6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3" w:customStyle="1">
    <w:name w:val="List Table 6 Colorful - Accent 4"/>
    <w:basedOn w:val="69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4" w:customStyle="1">
    <w:name w:val="List Table 6 Colorful - Accent 5"/>
    <w:basedOn w:val="69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5" w:customStyle="1">
    <w:name w:val="List Table 6 Colorful - Accent 6"/>
    <w:basedOn w:val="6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6"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Lined - Accent 2"/>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Lined - Accent 3"/>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Lined - Accent 5"/>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9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9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9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Bordered &amp; Lined - Accent 2"/>
    <w:basedOn w:val="69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Bordered &amp; Lined - Accent 3"/>
    <w:basedOn w:val="69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9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Bordered &amp; Lined - Accent 5"/>
    <w:basedOn w:val="69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9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9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0" w:customStyle="1">
    <w:name w:val="Bordered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2" w:customStyle="1">
    <w:name w:val="Bordered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3" w:customStyle="1">
    <w:name w:val="Bordered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customStyle="1">
    <w:name w:val="Footnote Text Char"/>
    <w:link w:val="715"/>
    <w:uiPriority w:val="99"/>
    <w:qFormat/>
    <w:rPr>
      <w:sz w:val="18"/>
    </w:rPr>
  </w:style>
  <w:style w:type="character" w:styleId="875" w:customStyle="1">
    <w:name w:val="Endnote Text Char"/>
    <w:link w:val="707"/>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正文（缩进）"/>
    <w:basedOn w:val="684"/>
    <w:uiPriority w:val="0"/>
    <w:qFormat/>
    <w:pPr>
      <w:ind w:firstLine="200"/>
      <w:spacing w:line="360" w:lineRule="auto"/>
    </w:pPr>
    <w:rPr>
      <w:rFonts w:ascii="宋体" w:hAnsi="宋体"/>
      <w:szCs w:val="28"/>
    </w:rPr>
  </w:style>
  <w:style w:type="paragraph" w:styleId="878" w:customStyle="1">
    <w:name w:val="普通正文"/>
    <w:basedOn w:val="684"/>
    <w:uiPriority w:val="0"/>
    <w:qFormat/>
    <w:pPr>
      <w:ind w:firstLine="480"/>
      <w:jc w:val="left"/>
      <w:spacing w:before="120" w:after="120" w:line="360" w:lineRule="auto"/>
    </w:pPr>
    <w:rPr>
      <w:rFonts w:ascii="Arial" w:hAnsi="Arial"/>
      <w:sz w:val="24"/>
      <w:szCs w:val="24"/>
    </w:rPr>
  </w:style>
  <w:style w:type="paragraph" w:styleId="879" w:customStyle="1">
    <w:name w:val="Char"/>
    <w:basedOn w:val="684"/>
    <w:uiPriority w:val="0"/>
    <w:qFormat/>
    <w:pPr>
      <w:ind w:firstLine="200"/>
      <w:tabs>
        <w:tab w:val="left" w:pos="360" w:leader="none"/>
      </w:tabs>
    </w:pPr>
    <w:rPr>
      <w:rFonts w:ascii="Times New Roman" w:hAnsi="Times New Roman"/>
      <w:sz w:val="28"/>
      <w:szCs w:val="30"/>
    </w:rPr>
  </w:style>
  <w:style w:type="character" w:styleId="880" w:customStyle="1">
    <w:name w:val="批注框文本 字符"/>
    <w:basedOn w:val="694"/>
    <w:link w:val="708"/>
    <w:uiPriority w:val="0"/>
    <w:qFormat/>
    <w:rPr>
      <w:sz w:val="18"/>
      <w:szCs w:val="18"/>
    </w:rPr>
  </w:style>
  <w:style w:type="paragraph" w:styleId="881" w:customStyle="1">
    <w:name w:val="正文1"/>
    <w:basedOn w:val="684"/>
    <w:next w:val="882"/>
    <w:uiPriority w:val="0"/>
    <w:qFormat/>
    <w:pPr>
      <w:jc w:val="left"/>
      <w:spacing w:line="360" w:lineRule="atLeast"/>
    </w:pPr>
    <w:rPr>
      <w:rFonts w:ascii="宋体" w:hAnsiTheme="minorHAnsi" w:eastAsiaTheme="minorEastAsia" w:cstheme="minorBidi"/>
      <w:sz w:val="24"/>
      <w:szCs w:val="20"/>
    </w:rPr>
  </w:style>
  <w:style w:type="paragraph" w:styleId="882" w:customStyle="1">
    <w:name w:val="正文文本1"/>
    <w:basedOn w:val="881"/>
    <w:next w:val="883"/>
    <w:uiPriority w:val="0"/>
    <w:qFormat/>
    <w:pPr>
      <w:spacing w:after="120"/>
    </w:pPr>
    <w:rPr>
      <w:lang w:eastAsia="en-US"/>
    </w:rPr>
  </w:style>
  <w:style w:type="paragraph" w:styleId="883" w:customStyle="1">
    <w:name w:val="一级条标题"/>
    <w:basedOn w:val="884"/>
    <w:next w:val="8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4" w:customStyle="1">
    <w:name w:val="章标题"/>
    <w:next w:val="6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85" w:customStyle="1">
    <w:name w:val="段"/>
    <w:basedOn w:val="881"/>
    <w:next w:val="684"/>
    <w:uiPriority w:val="0"/>
    <w:qFormat/>
    <w:pPr>
      <w:ind w:firstLine="200"/>
      <w:widowControl/>
    </w:pPr>
    <w:rPr>
      <w:sz w:val="20"/>
    </w:rPr>
  </w:style>
  <w:style w:type="paragraph" w:styleId="886" w:customStyle="1">
    <w:name w:val="首行缩进"/>
    <w:uiPriority w:val="0"/>
    <w:qFormat/>
    <w:pPr>
      <w:ind w:firstLine="480"/>
      <w:jc w:val="both"/>
      <w:widowControl w:val="off"/>
    </w:pPr>
    <w:rPr>
      <w:rFonts w:hint="default" w:ascii="Calibri" w:hAnsi="Calibri" w:eastAsia="宋体" w:cs="Times New Roman"/>
      <w:sz w:val="21"/>
      <w:szCs w:val="22"/>
      <w:lang w:val="zh-CN" w:eastAsia="zh-CN" w:bidi="ar-SA"/>
    </w:rPr>
  </w:style>
  <w:style w:type="paragraph" w:styleId="887">
    <w:name w:val="List Paragraph"/>
    <w:basedOn w:val="684"/>
    <w:uiPriority w:val="34"/>
    <w:qFormat/>
    <w:pPr>
      <w:ind w:firstLine="420"/>
    </w:pPr>
  </w:style>
  <w:style w:type="table" w:styleId="888"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numbering" w:styleId="8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李昊冉</cp:lastModifiedBy>
  <cp:revision>10</cp:revision>
  <dcterms:created xsi:type="dcterms:W3CDTF">2023-10-24T09:31:00Z</dcterms:created>
  <dcterms:modified xsi:type="dcterms:W3CDTF">2024-09-18T09:21:35Z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6ECD7B9D91FC4D979DB7B1E2DB547584_13</vt:lpwstr>
  </property>
</Properties>
</file>