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8"/>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jc w:val="center"/>
        <w:spacing w:line="360" w:lineRule="auto"/>
        <w:widowControl w:val="off"/>
        <w:rPr>
          <w:rFonts w:ascii="宋体" w:hAnsi="宋体" w:eastAsia="宋体" w:cs="宋体"/>
          <w:color w:val="000000"/>
          <w:sz w:val="84"/>
          <w:szCs w:val="84"/>
          <w:highlight w:val="none"/>
        </w:rPr>
      </w:pPr>
      <w:r>
        <w:rPr>
          <w:rFonts w:ascii="宋体" w:hAnsi="宋体" w:eastAsia="宋体" w:cs="宋体"/>
          <w:color w:val="000000"/>
          <w:sz w:val="84"/>
          <w:szCs w:val="84"/>
          <w:highlight w:val="none"/>
        </w:rPr>
        <w:t xml:space="preserve">苏州</w:t>
      </w:r>
      <w:r>
        <w:rPr>
          <w:rFonts w:hint="eastAsia" w:ascii="宋体" w:hAnsi="宋体" w:eastAsia="宋体" w:cs="宋体"/>
          <w:color w:val="000000"/>
          <w:sz w:val="84"/>
          <w:szCs w:val="84"/>
          <w:highlight w:val="none"/>
        </w:rPr>
        <w:t xml:space="preserve">高新</w:t>
      </w:r>
      <w:r>
        <w:rPr>
          <w:rFonts w:ascii="宋体" w:hAnsi="宋体" w:eastAsia="宋体" w:cs="宋体"/>
          <w:color w:val="000000"/>
          <w:sz w:val="84"/>
          <w:szCs w:val="84"/>
          <w:highlight w:val="none"/>
        </w:rPr>
        <w:t xml:space="preserve">区政府采购</w:t>
      </w:r>
      <w:r>
        <w:rPr>
          <w:rFonts w:ascii="宋体" w:hAnsi="宋体" w:eastAsia="宋体" w:cs="宋体"/>
          <w:color w:val="000000"/>
          <w:sz w:val="84"/>
          <w:szCs w:val="84"/>
          <w:highlight w:val="none"/>
        </w:rPr>
      </w:r>
      <w:r/>
    </w:p>
    <w:p>
      <w:pPr>
        <w:pStyle w:val="698"/>
        <w:jc w:val="center"/>
        <w:spacing w:line="360" w:lineRule="auto"/>
        <w:widowControl w:val="off"/>
        <w:rPr>
          <w:rFonts w:ascii="宋体" w:hAnsi="宋体" w:eastAsia="宋体" w:cs="宋体"/>
          <w:color w:val="000000"/>
          <w:sz w:val="84"/>
          <w:szCs w:val="84"/>
          <w:highlight w:val="none"/>
        </w:rPr>
      </w:pPr>
      <w:r>
        <w:rPr>
          <w:rFonts w:hint="eastAsia" w:ascii="宋体" w:hAnsi="宋体" w:eastAsia="宋体" w:cs="宋体"/>
          <w:color w:val="000000"/>
          <w:sz w:val="84"/>
          <w:szCs w:val="84"/>
          <w:highlight w:val="none"/>
        </w:rPr>
        <w:t xml:space="preserve">招标文件</w:t>
      </w:r>
      <w:r>
        <w:rPr>
          <w:rFonts w:ascii="宋体" w:hAnsi="宋体" w:eastAsia="宋体" w:cs="宋体"/>
          <w:color w:val="000000"/>
          <w:sz w:val="84"/>
          <w:szCs w:val="84"/>
          <w:highlight w:val="none"/>
        </w:rPr>
      </w:r>
      <w:r/>
    </w:p>
    <w:p>
      <w:pPr>
        <w:pStyle w:val="698"/>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946"/>
        <w:rPr>
          <w:color w:val="000000"/>
          <w:highlight w:val="none"/>
        </w:rPr>
      </w:pPr>
      <w:r>
        <w:rPr>
          <w:color w:val="000000"/>
          <w:highlight w:val="none"/>
        </w:rPr>
      </w:r>
      <w:r/>
    </w:p>
    <w:p>
      <w:pPr>
        <w:pStyle w:val="698"/>
        <w:ind w:firstLine="964"/>
        <w:jc w:val="both"/>
        <w:spacing w:line="360" w:lineRule="auto"/>
        <w:widowControl w:val="off"/>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采购编号：</w:t>
      </w:r>
      <w:r>
        <w:rPr>
          <w:rFonts w:hint="eastAsia" w:ascii="宋体" w:hAnsi="宋体" w:eastAsia="宋体" w:cs="Times New Roman"/>
          <w:b/>
          <w:bCs/>
          <w:color w:val="000000"/>
          <w:sz w:val="32"/>
          <w:szCs w:val="32"/>
          <w:highlight w:val="none"/>
          <w:lang w:eastAsia="zh-CN"/>
        </w:rPr>
        <w:t xml:space="preserve">JSZC-320505-HXGW-G2024-0067</w:t>
      </w:r>
      <w:r>
        <w:rPr>
          <w:rFonts w:hint="eastAsia" w:ascii="宋体" w:hAnsi="宋体" w:eastAsia="宋体" w:cs="Times New Roman"/>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r>
      <w:r/>
    </w:p>
    <w:p>
      <w:pPr>
        <w:pStyle w:val="698"/>
        <w:ind w:firstLine="964"/>
        <w:jc w:val="both"/>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采购项目：</w:t>
      </w:r>
      <w:r>
        <w:rPr>
          <w:rFonts w:hint="eastAsia" w:ascii="宋体" w:hAnsi="宋体" w:eastAsia="宋体" w:cs="宋体"/>
          <w:b/>
          <w:bCs/>
          <w:color w:val="000000"/>
          <w:sz w:val="32"/>
          <w:szCs w:val="32"/>
          <w:highlight w:val="none"/>
          <w:lang w:eastAsia="zh-CN"/>
        </w:rPr>
        <w:t xml:space="preserve">浒墅关智慧垃圾分类信息化采购项目</w:t>
      </w:r>
      <w:r>
        <w:rPr>
          <w:rFonts w:ascii="宋体" w:hAnsi="宋体" w:eastAsia="宋体" w:cs="宋体"/>
          <w:b/>
          <w:bCs/>
          <w:color w:val="000000"/>
          <w:sz w:val="32"/>
          <w:szCs w:val="32"/>
          <w:highlight w:val="none"/>
        </w:rPr>
      </w:r>
      <w:r/>
    </w:p>
    <w:p>
      <w:pPr>
        <w:pStyle w:val="698"/>
        <w:ind w:left="0" w:firstLine="900"/>
        <w:spacing w:line="360" w:lineRule="auto"/>
        <w:rPr>
          <w:rFonts w:hint="eastAsia" w:eastAsia="宋体" w:cs="宋体"/>
          <w:b/>
          <w:color w:val="000000"/>
          <w:sz w:val="30"/>
          <w:szCs w:val="30"/>
          <w:highlight w:val="none"/>
          <w:lang w:eastAsia="zh-CN"/>
        </w:rPr>
      </w:pPr>
      <w:r>
        <w:rPr>
          <w:rFonts w:hint="eastAsia" w:cs="宋体"/>
          <w:b/>
          <w:color w:val="000000"/>
          <w:sz w:val="30"/>
          <w:szCs w:val="30"/>
          <w:highlight w:val="none"/>
        </w:rPr>
        <w:t xml:space="preserve">采购</w:t>
      </w:r>
      <w:r>
        <w:rPr>
          <w:rFonts w:ascii="宋体" w:hAnsi="宋体" w:eastAsia="宋体" w:cs="宋体"/>
          <w:b/>
          <w:bCs/>
          <w:color w:val="000000"/>
          <w:sz w:val="32"/>
          <w:szCs w:val="32"/>
          <w:highlight w:val="none"/>
        </w:rPr>
        <w:t xml:space="preserve">类别：</w:t>
      </w:r>
      <w:r>
        <w:rPr>
          <w:rFonts w:hint="eastAsia" w:ascii="宋体" w:hAnsi="宋体" w:eastAsia="宋体" w:cs="宋体"/>
          <w:b/>
          <w:bCs/>
          <w:color w:val="000000"/>
          <w:sz w:val="32"/>
          <w:szCs w:val="32"/>
          <w:highlight w:val="none"/>
          <w:lang w:val="en-US" w:eastAsia="zh-CN"/>
        </w:rPr>
        <w:t xml:space="preserve">货物</w:t>
      </w:r>
      <w:r>
        <w:rPr>
          <w:rFonts w:ascii="宋体" w:hAnsi="宋体" w:eastAsia="宋体" w:cs="宋体"/>
          <w:b/>
          <w:bCs/>
          <w:color w:val="000000"/>
          <w:sz w:val="32"/>
          <w:szCs w:val="32"/>
          <w:highlight w:val="none"/>
        </w:rPr>
        <w:t xml:space="preserve">类</w:t>
      </w:r>
      <w:r>
        <w:rPr>
          <w:rFonts w:hint="eastAsia" w:cs="宋体"/>
          <w:b/>
          <w:color w:val="000000"/>
          <w:sz w:val="30"/>
          <w:szCs w:val="30"/>
          <w:highlight w:val="none"/>
          <w:lang w:eastAsia="zh-CN"/>
        </w:rPr>
        <w:t xml:space="preserve">（</w:t>
      </w:r>
      <w:r>
        <w:rPr>
          <w:rFonts w:hint="eastAsia" w:cs="宋体"/>
          <w:b/>
          <w:color w:val="000000"/>
          <w:sz w:val="30"/>
          <w:szCs w:val="30"/>
          <w:highlight w:val="none"/>
          <w:lang w:val="en-US" w:eastAsia="zh-CN"/>
        </w:rPr>
        <w:t xml:space="preserve">不</w:t>
      </w:r>
      <w:r>
        <w:rPr>
          <w:rFonts w:hint="eastAsia" w:cs="宋体"/>
          <w:b/>
          <w:color w:val="000000"/>
          <w:sz w:val="30"/>
          <w:szCs w:val="30"/>
          <w:highlight w:val="none"/>
          <w:lang w:eastAsia="zh-CN"/>
        </w:rPr>
        <w:t xml:space="preserve">专门面向中小微企业采购）</w:t>
      </w:r>
      <w:r>
        <w:rPr>
          <w:rFonts w:hint="eastAsia" w:eastAsia="宋体" w:cs="宋体"/>
          <w:b/>
          <w:color w:val="000000"/>
          <w:sz w:val="30"/>
          <w:szCs w:val="30"/>
          <w:highlight w:val="none"/>
          <w:lang w:eastAsia="zh-CN"/>
        </w:rPr>
      </w:r>
      <w:r/>
    </w:p>
    <w:p>
      <w:pPr>
        <w:pStyle w:val="698"/>
        <w:ind w:left="0" w:firstLine="900"/>
        <w:spacing w:line="360" w:lineRule="auto"/>
        <w:rPr>
          <w:rFonts w:hint="eastAsia" w:ascii="宋体" w:hAnsi="宋体" w:eastAsia="Arial" w:cs="宋体"/>
          <w:b/>
          <w:bCs/>
          <w:color w:val="000000"/>
          <w:sz w:val="30"/>
          <w:highlight w:val="none"/>
        </w:rPr>
      </w:pPr>
      <w:r>
        <w:rPr>
          <w:rFonts w:hint="eastAsia" w:ascii="宋体" w:hAnsi="宋体" w:eastAsia="Arial" w:cs="宋体"/>
          <w:b/>
          <w:bCs/>
          <w:color w:val="000000"/>
          <w:sz w:val="30"/>
          <w:highlight w:val="none"/>
        </w:rPr>
        <w:t xml:space="preserve">标的所属行业：</w:t>
      </w:r>
      <w:r>
        <w:rPr>
          <w:rFonts w:hint="eastAsia" w:ascii="宋体" w:hAnsi="宋体" w:eastAsia="Arial" w:cs="宋体"/>
          <w:b/>
          <w:bCs/>
          <w:color w:val="000000"/>
          <w:sz w:val="30"/>
          <w:highlight w:val="none"/>
          <w:lang w:eastAsia="zh-CN"/>
        </w:rPr>
        <w:t xml:space="preserve">（二）</w:t>
      </w:r>
      <w:r>
        <w:rPr>
          <w:rFonts w:hint="eastAsia" w:ascii="宋体" w:hAnsi="宋体" w:eastAsia="Arial" w:cs="宋体"/>
          <w:b/>
          <w:bCs/>
          <w:color w:val="000000"/>
          <w:sz w:val="30"/>
          <w:highlight w:val="none"/>
        </w:rPr>
        <w:t xml:space="preserve">工业  </w:t>
      </w:r>
      <w:r>
        <w:rPr>
          <w:rFonts w:hint="eastAsia" w:ascii="宋体" w:hAnsi="宋体" w:eastAsia="Arial" w:cs="宋体"/>
          <w:b/>
          <w:bCs/>
          <w:color w:val="000000"/>
          <w:sz w:val="30"/>
          <w:highlight w:val="none"/>
        </w:rPr>
      </w:r>
      <w:r/>
    </w:p>
    <w:p>
      <w:pPr>
        <w:pStyle w:val="698"/>
        <w:ind w:firstLine="900"/>
        <w:jc w:val="left"/>
        <w:spacing w:line="360" w:lineRule="auto"/>
        <w:widowControl/>
        <w:rPr>
          <w:rFonts w:hint="eastAsia" w:ascii="宋体" w:hAnsi="宋体" w:eastAsia="Arial" w:cs="宋体"/>
          <w:b/>
          <w:bCs/>
          <w:color w:val="000000"/>
          <w:sz w:val="30"/>
          <w:szCs w:val="21"/>
          <w:highlight w:val="none"/>
          <w:lang w:eastAsia="zh-CN"/>
        </w:rPr>
      </w:pPr>
      <w:r>
        <w:rPr>
          <w:rFonts w:hint="eastAsia" w:ascii="宋体" w:hAnsi="宋体" w:eastAsia="Arial" w:cs="宋体"/>
          <w:b/>
          <w:bCs/>
          <w:color w:val="000000"/>
          <w:sz w:val="30"/>
          <w:szCs w:val="21"/>
          <w:highlight w:val="none"/>
          <w:lang w:eastAsia="zh-CN"/>
        </w:rPr>
        <w:t xml:space="preserve">采购人</w:t>
      </w:r>
      <w:r>
        <w:rPr>
          <w:rFonts w:hint="eastAsia" w:ascii="宋体" w:hAnsi="宋体" w:eastAsia="Arial" w:cs="宋体"/>
          <w:b/>
          <w:bCs/>
          <w:color w:val="000000"/>
          <w:sz w:val="30"/>
          <w:szCs w:val="21"/>
          <w:highlight w:val="none"/>
        </w:rPr>
        <w:t xml:space="preserve">：</w:t>
      </w:r>
      <w:r>
        <w:rPr>
          <w:rFonts w:hint="eastAsia" w:ascii="宋体" w:hAnsi="宋体" w:eastAsia="宋体" w:cs="宋体"/>
          <w:b/>
          <w:bCs/>
          <w:color w:val="000000"/>
          <w:sz w:val="32"/>
          <w:szCs w:val="32"/>
          <w:highlight w:val="none"/>
        </w:rPr>
        <w:t xml:space="preserve">苏州浒墅关经济技术开发区集成指挥中心</w:t>
      </w:r>
      <w:r>
        <w:rPr>
          <w:rFonts w:hint="eastAsia" w:ascii="宋体" w:hAnsi="宋体" w:eastAsia="Arial" w:cs="宋体"/>
          <w:b/>
          <w:bCs/>
          <w:color w:val="000000"/>
          <w:sz w:val="30"/>
          <w:szCs w:val="21"/>
          <w:highlight w:val="none"/>
          <w:lang w:eastAsia="zh-CN"/>
        </w:rPr>
      </w:r>
      <w:r/>
    </w:p>
    <w:p>
      <w:pPr>
        <w:pStyle w:val="698"/>
        <w:ind w:firstLine="900"/>
        <w:jc w:val="left"/>
        <w:spacing w:line="360" w:lineRule="auto"/>
        <w:widowControl/>
        <w:rPr>
          <w:rFonts w:hint="eastAsia" w:ascii="宋体" w:hAnsi="宋体" w:eastAsia="Arial" w:cs="宋体"/>
          <w:b/>
          <w:bCs/>
          <w:color w:val="000000"/>
          <w:sz w:val="30"/>
          <w:highlight w:val="none"/>
          <w:lang w:val="en-US" w:eastAsia="zh-CN"/>
        </w:rPr>
      </w:pPr>
      <w:r>
        <w:rPr>
          <w:rFonts w:ascii="宋体" w:hAnsi="宋体" w:eastAsia="Arial" w:cs="宋体"/>
          <w:b/>
          <w:bCs/>
          <w:color w:val="000000"/>
          <w:sz w:val="30"/>
          <w:highlight w:val="none"/>
          <w:lang w:val="en-US" w:eastAsia="zh-CN"/>
        </w:rPr>
        <w:t xml:space="preserve">采购代理机构：</w:t>
      </w:r>
      <w:r>
        <w:rPr>
          <w:rFonts w:hint="eastAsia" w:ascii="宋体" w:hAnsi="宋体" w:eastAsia="Arial" w:cs="宋体"/>
          <w:b/>
          <w:bCs/>
          <w:color w:val="000000"/>
          <w:sz w:val="30"/>
          <w:szCs w:val="21"/>
          <w:highlight w:val="none"/>
        </w:rPr>
        <w:t xml:space="preserve">涵熙（苏州）工程顾问有限公司</w:t>
      </w:r>
      <w:r>
        <w:rPr>
          <w:rFonts w:hint="eastAsia" w:ascii="宋体" w:hAnsi="宋体" w:eastAsia="Arial" w:cs="宋体"/>
          <w:b/>
          <w:bCs/>
          <w:color w:val="000000"/>
          <w:sz w:val="30"/>
          <w:highlight w:val="none"/>
          <w:lang w:val="en-US" w:eastAsia="zh-CN"/>
        </w:rPr>
      </w:r>
      <w:r/>
    </w:p>
    <w:p>
      <w:pPr>
        <w:pStyle w:val="698"/>
        <w:ind w:firstLine="63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ind w:firstLine="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98"/>
        <w:ind w:firstLine="653"/>
        <w:jc w:val="center"/>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698"/>
        <w:ind w:firstLine="653"/>
        <w:jc w:val="center"/>
        <w:spacing w:line="360" w:lineRule="auto"/>
        <w:widowControl w:val="off"/>
        <w:rPr>
          <w:rFonts w:ascii="宋体" w:hAnsi="宋体" w:eastAsia="宋体" w:cs="宋体"/>
          <w:b/>
          <w:bCs/>
          <w:color w:val="000000"/>
          <w:sz w:val="30"/>
          <w:szCs w:val="30"/>
          <w:highlight w:val="none"/>
        </w:rPr>
      </w:pPr>
      <w:r>
        <w:rPr>
          <w:rFonts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rPr>
        <w:t xml:space="preserve">四</w:t>
      </w:r>
      <w:r>
        <w:rPr>
          <w:rFonts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八</w:t>
      </w:r>
      <w:r>
        <w:rPr>
          <w:rFonts w:ascii="宋体" w:hAnsi="宋体" w:eastAsia="宋体" w:cs="宋体"/>
          <w:b/>
          <w:bCs/>
          <w:color w:val="000000"/>
          <w:sz w:val="32"/>
          <w:szCs w:val="32"/>
          <w:highlight w:val="none"/>
        </w:rPr>
        <w:t xml:space="preserve">月</w:t>
      </w:r>
      <w:r>
        <w:rPr>
          <w:rFonts w:ascii="宋体" w:hAnsi="宋体" w:eastAsia="宋体" w:cs="宋体"/>
          <w:b/>
          <w:bCs/>
          <w:color w:val="000000"/>
          <w:sz w:val="30"/>
          <w:szCs w:val="30"/>
          <w:highlight w:val="none"/>
        </w:rPr>
      </w:r>
      <w:r/>
    </w:p>
    <w:p>
      <w:pPr>
        <w:pStyle w:val="698"/>
        <w:ind w:firstLine="643"/>
        <w:jc w:val="both"/>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698"/>
        <w:ind w:firstLine="1020"/>
        <w:jc w:val="both"/>
        <w:spacing w:line="360" w:lineRule="auto"/>
        <w:widowControl w:val="off"/>
        <w:rPr>
          <w:rFonts w:ascii="宋体" w:hAnsi="宋体" w:eastAsia="宋体" w:cs="黑体"/>
          <w:color w:val="000000"/>
          <w:sz w:val="51"/>
          <w:szCs w:val="51"/>
          <w:highlight w:val="none"/>
        </w:rPr>
      </w:pPr>
      <w:r>
        <w:rPr>
          <w:rFonts w:ascii="宋体" w:hAnsi="宋体" w:eastAsia="宋体" w:cs="黑体"/>
          <w:color w:val="000000"/>
          <w:sz w:val="51"/>
          <w:szCs w:val="51"/>
          <w:highlight w:val="none"/>
        </w:rPr>
      </w:r>
      <w:r/>
    </w:p>
    <w:p>
      <w:pPr>
        <w:pStyle w:val="698"/>
        <w:ind w:firstLine="897"/>
        <w:jc w:val="center"/>
        <w:spacing w:line="360" w:lineRule="auto"/>
        <w:widowControl w:val="off"/>
        <w:rPr>
          <w:rFonts w:ascii="宋体" w:hAnsi="宋体" w:eastAsia="宋体" w:cs="黑体"/>
          <w:b/>
          <w:bCs/>
          <w:color w:val="000000"/>
          <w:sz w:val="44"/>
          <w:szCs w:val="44"/>
          <w:highlight w:val="none"/>
        </w:rPr>
      </w:pPr>
      <w:r>
        <w:rPr>
          <w:rFonts w:hint="eastAsia" w:ascii="宋体" w:hAnsi="宋体" w:eastAsia="宋体" w:cs="黑体"/>
          <w:b/>
          <w:bCs/>
          <w:color w:val="000000"/>
          <w:sz w:val="44"/>
          <w:szCs w:val="44"/>
          <w:highlight w:val="none"/>
        </w:rPr>
        <w:t xml:space="preserve">目   </w:t>
      </w:r>
      <w:r>
        <w:rPr>
          <w:rFonts w:ascii="宋体" w:hAnsi="宋体" w:eastAsia="宋体" w:cs="黑体"/>
          <w:b/>
          <w:bCs/>
          <w:color w:val="000000"/>
          <w:sz w:val="44"/>
          <w:szCs w:val="44"/>
          <w:highlight w:val="none"/>
        </w:rPr>
        <w:t xml:space="preserve">录</w:t>
      </w:r>
      <w:r>
        <w:rPr>
          <w:rFonts w:ascii="宋体" w:hAnsi="宋体" w:eastAsia="宋体" w:cs="黑体"/>
          <w:b/>
          <w:bCs/>
          <w:color w:val="000000"/>
          <w:sz w:val="44"/>
          <w:szCs w:val="44"/>
          <w:highlight w:val="none"/>
        </w:rPr>
      </w:r>
      <w:r/>
    </w:p>
    <w:p>
      <w:pPr>
        <w:pStyle w:val="698"/>
        <w:ind w:firstLine="653"/>
        <w:jc w:val="both"/>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698"/>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第一章投标邀请函</w:t>
      </w:r>
      <w:r>
        <w:rPr>
          <w:rFonts w:ascii="宋体" w:hAnsi="宋体" w:eastAsia="宋体" w:cs="黑体"/>
          <w:b/>
          <w:bCs/>
          <w:color w:val="000000"/>
          <w:sz w:val="32"/>
          <w:szCs w:val="32"/>
          <w:highlight w:val="none"/>
        </w:rPr>
      </w:r>
      <w:r/>
    </w:p>
    <w:p>
      <w:pPr>
        <w:pStyle w:val="698"/>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第二章投标人须知</w:t>
      </w:r>
      <w:r>
        <w:rPr>
          <w:rFonts w:ascii="宋体" w:hAnsi="宋体" w:eastAsia="宋体"/>
          <w:b/>
          <w:bCs/>
          <w:color w:val="000000"/>
          <w:sz w:val="32"/>
          <w:szCs w:val="32"/>
          <w:highlight w:val="none"/>
        </w:rPr>
      </w:r>
      <w:r/>
    </w:p>
    <w:p>
      <w:pPr>
        <w:pStyle w:val="698"/>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第三章投标文件格式</w:t>
      </w:r>
      <w:r>
        <w:rPr>
          <w:rFonts w:ascii="宋体" w:hAnsi="宋体" w:eastAsia="宋体"/>
          <w:b/>
          <w:bCs/>
          <w:color w:val="000000"/>
          <w:sz w:val="32"/>
          <w:szCs w:val="32"/>
          <w:highlight w:val="none"/>
        </w:rPr>
      </w:r>
      <w:r/>
    </w:p>
    <w:p>
      <w:pPr>
        <w:pStyle w:val="698"/>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第四章</w:t>
      </w:r>
      <w:r>
        <w:rPr>
          <w:rFonts w:hint="eastAsia" w:ascii="宋体" w:hAnsi="宋体" w:eastAsia="宋体" w:cs="黑体"/>
          <w:b/>
          <w:bCs/>
          <w:color w:val="000000"/>
          <w:sz w:val="32"/>
          <w:szCs w:val="32"/>
          <w:highlight w:val="none"/>
        </w:rPr>
        <w:t xml:space="preserve">招标书</w:t>
      </w:r>
      <w:r>
        <w:rPr>
          <w:rFonts w:ascii="宋体" w:hAnsi="宋体" w:eastAsia="宋体"/>
          <w:b/>
          <w:bCs/>
          <w:color w:val="000000"/>
          <w:sz w:val="32"/>
          <w:szCs w:val="32"/>
          <w:highlight w:val="none"/>
        </w:rPr>
      </w:r>
      <w:r/>
    </w:p>
    <w:p>
      <w:pPr>
        <w:pStyle w:val="698"/>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第五章合同主要条款</w:t>
      </w:r>
      <w:r>
        <w:rPr>
          <w:rFonts w:ascii="宋体" w:hAnsi="宋体" w:eastAsia="宋体" w:cs="黑体"/>
          <w:b/>
          <w:bCs/>
          <w:color w:val="000000"/>
          <w:sz w:val="32"/>
          <w:szCs w:val="32"/>
          <w:highlight w:val="none"/>
        </w:rPr>
      </w:r>
      <w:r/>
    </w:p>
    <w:p>
      <w:pPr>
        <w:pStyle w:val="698"/>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第六章评分标准</w:t>
      </w:r>
      <w:r>
        <w:rPr>
          <w:rFonts w:ascii="宋体" w:hAnsi="宋体" w:eastAsia="宋体" w:cs="黑体"/>
          <w:b/>
          <w:bCs/>
          <w:color w:val="000000"/>
          <w:sz w:val="32"/>
          <w:szCs w:val="32"/>
          <w:highlight w:val="none"/>
        </w:rPr>
      </w:r>
      <w:r/>
    </w:p>
    <w:p>
      <w:pPr>
        <w:pStyle w:val="698"/>
        <w:ind w:firstLine="48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698"/>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t xml:space="preserve">第一章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投标邀请函</w:t>
      </w:r>
      <w:r>
        <w:rPr>
          <w:rFonts w:ascii="宋体" w:hAnsi="宋体" w:eastAsia="宋体" w:cs="黑体"/>
          <w:b/>
          <w:bCs/>
          <w:color w:val="000000"/>
          <w:sz w:val="32"/>
          <w:szCs w:val="32"/>
          <w:highlight w:val="none"/>
        </w:rPr>
      </w:r>
      <w:r/>
    </w:p>
    <w:p>
      <w:pPr>
        <w:pStyle w:val="698"/>
        <w:ind w:firstLine="420"/>
        <w:jc w:val="center"/>
        <w:spacing w:line="360" w:lineRule="auto"/>
        <w:widowControl w:val="off"/>
        <w:rPr>
          <w:rFonts w:ascii="宋体" w:hAnsi="宋体" w:eastAsia="宋体"/>
          <w:color w:val="000000"/>
          <w:highlight w:val="none"/>
        </w:rPr>
      </w:pPr>
      <w:r>
        <w:rPr>
          <w:rFonts w:ascii="宋体" w:hAnsi="宋体" w:eastAsia="宋体"/>
          <w:color w:val="000000"/>
          <w:highlight w:val="none"/>
        </w:rPr>
      </w:r>
      <w:r/>
    </w:p>
    <w:tbl>
      <w:tblPr>
        <w:tblW w:w="9700" w:type="dxa"/>
        <w:tblInd w:w="-8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700"/>
      </w:tblGrid>
      <w:tr>
        <w:trPr>
          <w:trHeight w:val="1660"/>
        </w:trPr>
        <w:tc>
          <w:tcPr>
            <w:tcW w:w="9700" w:type="dxa"/>
            <w:vAlign w:val="center"/>
            <w:textDirection w:val="lrTb"/>
            <w:noWrap w:val="false"/>
          </w:tcPr>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项目概况</w:t>
            </w:r>
            <w:r>
              <w:rPr>
                <w:rFonts w:hint="eastAsia" w:ascii="宋体" w:hAnsi="宋体" w:eastAsia="宋体" w:cs="宋体"/>
                <w:color w:val="000000"/>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eastAsia="zh-CN"/>
              </w:rPr>
              <w:t xml:space="preserve">浒墅关智慧垃圾分类信息化采购项目</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eastAsia="zh-CN"/>
              </w:rPr>
              <w:t xml:space="preserve">JSZC-320505-HXGW-G2024-0067</w:t>
            </w:r>
            <w:r>
              <w:rPr>
                <w:rFonts w:hint="eastAsia" w:ascii="宋体" w:hAnsi="宋体" w:eastAsia="宋体" w:cs="宋体"/>
                <w:color w:val="000000"/>
                <w:szCs w:val="24"/>
                <w:highlight w:val="none"/>
              </w:rPr>
              <w:t xml:space="preserve">招标项目的潜在投标人应在</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苏采云</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系统</w:t>
            </w:r>
            <w:r>
              <w:rPr>
                <w:rFonts w:hint="eastAsia" w:ascii="宋体" w:hAnsi="宋体" w:eastAsia="宋体" w:cs="宋体"/>
                <w:color w:val="000000"/>
                <w:szCs w:val="24"/>
                <w:highlight w:val="none"/>
              </w:rPr>
              <w:t xml:space="preserve"> 获取招标文件，并于2024-0</w:t>
            </w:r>
            <w:r>
              <w:rPr>
                <w:rFonts w:hint="eastAsia" w:ascii="宋体" w:hAnsi="宋体" w:eastAsia="宋体" w:cs="宋体"/>
                <w:color w:val="000000"/>
                <w:szCs w:val="24"/>
                <w:highlight w:val="none"/>
                <w:lang w:val="en-US" w:eastAsia="zh-CN"/>
              </w:rPr>
              <w:t xml:space="preserve">9</w:t>
            </w:r>
            <w:r>
              <w:rPr>
                <w:rFonts w:hint="eastAsia" w:ascii="宋体" w:hAnsi="宋体" w:eastAsia="宋体" w:cs="宋体"/>
                <w:color w:val="000000"/>
                <w:szCs w:val="24"/>
                <w:highlight w:val="none"/>
              </w:rPr>
              <w:t xml:space="preserve">-18</w:t>
            </w:r>
            <w:r>
              <w:rPr>
                <w:rFonts w:hint="eastAsia" w:ascii="宋体" w:hAnsi="宋体" w:eastAsia="宋体" w:cs="宋体"/>
                <w:color w:val="000000"/>
                <w:szCs w:val="24"/>
                <w:highlight w:val="none"/>
              </w:rPr>
              <w:t xml:space="preserve"> 0</w:t>
            </w:r>
            <w:r>
              <w:rPr>
                <w:rFonts w:hint="eastAsia" w:ascii="宋体" w:hAnsi="宋体" w:eastAsia="宋体" w:cs="宋体"/>
                <w:color w:val="000000"/>
                <w:szCs w:val="24"/>
                <w:highlight w:val="none"/>
                <w:lang w:val="en-US" w:eastAsia="zh-CN"/>
              </w:rPr>
              <w:t xml:space="preserve">9</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0 （北京时间）前递交投标文件。</w:t>
            </w:r>
            <w:r>
              <w:rPr>
                <w:rFonts w:hint="eastAsia" w:ascii="宋体" w:hAnsi="宋体" w:eastAsia="宋体" w:cs="宋体"/>
                <w:color w:val="000000"/>
                <w:szCs w:val="24"/>
                <w:highlight w:val="none"/>
              </w:rPr>
            </w:r>
            <w:r/>
          </w:p>
        </w:tc>
      </w:tr>
    </w:tbl>
    <w:p>
      <w:pPr>
        <w:pStyle w:val="699"/>
        <w:spacing w:before="0" w:beforeAutospacing="0" w:after="0" w:afterAutospacing="0" w:line="400" w:lineRule="exact"/>
        <w:rPr>
          <w:rFonts w:cs="宋体"/>
          <w:color w:val="000000"/>
          <w:sz w:val="24"/>
          <w:szCs w:val="24"/>
          <w:highlight w:val="none"/>
        </w:rPr>
      </w:pPr>
      <w:r>
        <w:rPr>
          <w:rStyle w:val="741"/>
          <w:rFonts w:cs="宋体"/>
          <w:color w:val="000000"/>
          <w:sz w:val="24"/>
          <w:szCs w:val="24"/>
          <w:highlight w:val="none"/>
          <w:shd w:val="clear" w:color="auto" w:fill="ffffff"/>
        </w:rPr>
        <w:t xml:space="preserve">一、项目基本情况</w:t>
      </w:r>
      <w:r>
        <w:rPr>
          <w:rFonts w:cs="宋体"/>
          <w:color w:val="000000"/>
          <w:sz w:val="24"/>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项目编号：</w:t>
      </w:r>
      <w:r>
        <w:rPr>
          <w:rFonts w:hint="eastAsia" w:ascii="宋体" w:hAnsi="宋体" w:eastAsia="宋体" w:cs="宋体"/>
          <w:color w:val="000000"/>
          <w:szCs w:val="24"/>
          <w:highlight w:val="none"/>
          <w:shd w:val="clear" w:color="auto" w:fill="ffffff"/>
          <w:lang w:eastAsia="zh-CN"/>
        </w:rPr>
        <w:t xml:space="preserve">JSZC-320505-HXGW-G2024-0067</w:t>
      </w: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项目名称：</w:t>
      </w:r>
      <w:r>
        <w:rPr>
          <w:rFonts w:hint="eastAsia" w:ascii="宋体" w:hAnsi="宋体" w:eastAsia="宋体" w:cs="宋体"/>
          <w:color w:val="000000"/>
          <w:szCs w:val="24"/>
          <w:highlight w:val="none"/>
          <w:shd w:val="clear" w:color="auto" w:fill="ffffff"/>
          <w:lang w:eastAsia="zh-CN"/>
        </w:rPr>
        <w:t xml:space="preserve">浒墅关智慧垃圾分类信息化采购项目</w:t>
      </w: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98"/>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预算金额：</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lang w:eastAsia="zh-CN"/>
        </w:rPr>
        <w:t xml:space="preserve">贰佰玖拾玖万贰仟叁佰叁拾元整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2992330.00</w:t>
      </w:r>
      <w:r>
        <w:rPr>
          <w:rFonts w:hint="eastAsia" w:ascii="宋体" w:hAnsi="宋体" w:eastAsia="宋体" w:cs="宋体"/>
          <w:color w:val="000000"/>
          <w:sz w:val="24"/>
          <w:szCs w:val="24"/>
          <w:highlight w:val="none"/>
        </w:rPr>
        <w:t xml:space="preserve">），含税</w:t>
      </w:r>
      <w:r>
        <w:rPr>
          <w:rFonts w:hint="eastAsia" w:ascii="宋体" w:hAnsi="宋体" w:eastAsia="宋体" w:cs="宋体"/>
          <w:color w:val="000000"/>
          <w:sz w:val="24"/>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最高限价（如有）：</w:t>
      </w:r>
      <w:r>
        <w:rPr>
          <w:rFonts w:hint="eastAsia" w:ascii="宋体" w:hAnsi="宋体" w:eastAsia="宋体" w:cs="宋体"/>
          <w:color w:val="000000"/>
          <w:szCs w:val="24"/>
          <w:highlight w:val="none"/>
        </w:rPr>
        <w:t xml:space="preserve">人民币</w:t>
      </w:r>
      <w:r>
        <w:rPr>
          <w:rFonts w:hint="eastAsia" w:ascii="宋体" w:hAnsi="宋体" w:eastAsia="宋体" w:cs="宋体"/>
          <w:color w:val="000000"/>
          <w:szCs w:val="24"/>
          <w:highlight w:val="none"/>
          <w:lang w:eastAsia="zh-CN"/>
        </w:rPr>
        <w:t xml:space="preserve">贰佰玖拾玖万贰仟叁佰叁拾元整</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eastAsia="zh-CN"/>
        </w:rPr>
        <w:t xml:space="preserve">2992330.00</w:t>
      </w:r>
      <w:r>
        <w:rPr>
          <w:rFonts w:hint="eastAsia" w:ascii="宋体" w:hAnsi="宋体" w:eastAsia="宋体" w:cs="宋体"/>
          <w:color w:val="000000"/>
          <w:szCs w:val="24"/>
          <w:highlight w:val="none"/>
        </w:rPr>
        <w:t xml:space="preserve">），含税</w:t>
      </w:r>
      <w:r>
        <w:rPr>
          <w:rFonts w:hint="eastAsia" w:ascii="宋体" w:hAnsi="宋体" w:eastAsia="宋体" w:cs="宋体"/>
          <w:color w:val="000000"/>
          <w:szCs w:val="24"/>
          <w:highlight w:val="none"/>
        </w:rPr>
      </w:r>
      <w:r/>
    </w:p>
    <w:p>
      <w:pPr>
        <w:pStyle w:val="734"/>
        <w:spacing w:beforeAutospacing="0" w:afterAutospacing="0" w:line="400" w:lineRule="exact"/>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采购需求：</w:t>
      </w:r>
      <w:r>
        <w:rPr>
          <w:rFonts w:hint="eastAsia" w:ascii="宋体" w:hAnsi="宋体" w:eastAsia="宋体" w:cs="宋体"/>
          <w:color w:val="000000"/>
          <w:szCs w:val="24"/>
          <w:highlight w:val="none"/>
          <w:shd w:val="clear" w:color="auto" w:fill="ffffff"/>
        </w:rPr>
      </w:r>
      <w:r/>
    </w:p>
    <w:tbl>
      <w:tblPr>
        <w:tblW w:w="9570" w:type="dxa"/>
        <w:tblInd w:w="4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4086"/>
        <w:gridCol w:w="1164"/>
        <w:gridCol w:w="2193"/>
      </w:tblGrid>
      <w:tr>
        <w:trPr>
          <w:trHeight w:val="728"/>
        </w:trPr>
        <w:tc>
          <w:tcPr>
            <w:tcW w:w="2127"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4086"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rPr>
            </w:r>
            <w:r/>
          </w:p>
        </w:tc>
        <w:tc>
          <w:tcPr>
            <w:tcW w:w="1164"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2193"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278"/>
        </w:trPr>
        <w:tc>
          <w:tcPr>
            <w:tcW w:w="2127"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086"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物联网地磅</w:t>
            </w:r>
            <w:r>
              <w:rPr>
                <w:rFonts w:hint="eastAsia" w:ascii="宋体" w:hAnsi="宋体" w:eastAsia="宋体" w:cs="宋体"/>
                <w:i w:val="0"/>
                <w:iCs w:val="0"/>
                <w:color w:val="000000"/>
                <w:sz w:val="24"/>
                <w:szCs w:val="24"/>
                <w:highlight w:val="none"/>
                <w:u w:val="none"/>
              </w:rPr>
            </w:r>
            <w:r/>
          </w:p>
        </w:tc>
        <w:tc>
          <w:tcPr>
            <w:tcW w:w="1164"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2193"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r>
      <w:tr>
        <w:trPr>
          <w:trHeight w:val="90"/>
        </w:trPr>
        <w:tc>
          <w:tcPr>
            <w:tcW w:w="2127"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4086"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标签芯片</w:t>
            </w:r>
            <w:r>
              <w:rPr>
                <w:rFonts w:hint="eastAsia" w:ascii="宋体" w:hAnsi="宋体" w:eastAsia="宋体" w:cs="宋体"/>
                <w:i w:val="0"/>
                <w:iCs w:val="0"/>
                <w:color w:val="000000"/>
                <w:sz w:val="24"/>
                <w:szCs w:val="24"/>
                <w:highlight w:val="none"/>
                <w:u w:val="none"/>
              </w:rPr>
            </w:r>
            <w:r/>
          </w:p>
        </w:tc>
        <w:tc>
          <w:tcPr>
            <w:tcW w:w="1164"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193"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1950</w:t>
            </w:r>
            <w:r>
              <w:rPr>
                <w:rFonts w:hint="eastAsia" w:ascii="宋体" w:hAnsi="宋体" w:eastAsia="宋体" w:cs="宋体"/>
                <w:i w:val="0"/>
                <w:iCs w:val="0"/>
                <w:color w:val="000000"/>
                <w:sz w:val="24"/>
                <w:szCs w:val="24"/>
                <w:highlight w:val="none"/>
                <w:u w:val="none"/>
              </w:rPr>
            </w:r>
            <w:r/>
          </w:p>
        </w:tc>
      </w:tr>
      <w:tr>
        <w:trPr>
          <w:trHeight w:val="90"/>
        </w:trPr>
        <w:tc>
          <w:tcPr>
            <w:tcW w:w="2127"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4086"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通信网络控制设备</w:t>
            </w:r>
            <w:r>
              <w:rPr>
                <w:rFonts w:hint="eastAsia" w:ascii="宋体" w:hAnsi="宋体" w:eastAsia="宋体" w:cs="宋体"/>
                <w:i w:val="0"/>
                <w:iCs w:val="0"/>
                <w:color w:val="000000"/>
                <w:sz w:val="24"/>
                <w:szCs w:val="24"/>
                <w:highlight w:val="none"/>
                <w:u w:val="none"/>
              </w:rPr>
            </w:r>
            <w:r/>
          </w:p>
        </w:tc>
        <w:tc>
          <w:tcPr>
            <w:tcW w:w="1164"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2193"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r>
      <w:tr>
        <w:trPr>
          <w:trHeight w:val="90"/>
        </w:trPr>
        <w:tc>
          <w:tcPr>
            <w:tcW w:w="2127"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4086"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1164"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2193"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r>
    </w:tbl>
    <w:p>
      <w:pPr>
        <w:pStyle w:val="734"/>
        <w:spacing w:beforeAutospacing="0" w:afterAutospacing="0" w:line="400" w:lineRule="exact"/>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具体详见招标文件第四章 招标书。</w:t>
      </w:r>
      <w:r>
        <w:rPr>
          <w:rFonts w:hint="eastAsia" w:ascii="宋体" w:hAnsi="宋体" w:eastAsia="宋体" w:cs="宋体"/>
          <w:color w:val="000000"/>
          <w:szCs w:val="24"/>
          <w:highlight w:val="none"/>
          <w:shd w:val="clear" w:color="auto" w:fill="ffffff"/>
        </w:rPr>
      </w:r>
      <w:r/>
    </w:p>
    <w:p>
      <w:pPr>
        <w:pStyle w:val="734"/>
        <w:spacing w:beforeAutospacing="0" w:afterAutospacing="0" w:line="400" w:lineRule="exact"/>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合同履行期限：</w:t>
      </w:r>
      <w:r>
        <w:rPr>
          <w:rFonts w:hint="eastAsia" w:ascii="宋体" w:hAnsi="宋体" w:cs="宋体"/>
          <w:color w:val="000000"/>
          <w:szCs w:val="24"/>
          <w:highlight w:val="none"/>
        </w:rPr>
        <w:t xml:space="preserve">自签订合同后90天内完成安装调试，具体时间以</w:t>
      </w:r>
      <w:r>
        <w:rPr>
          <w:rFonts w:hint="eastAsia" w:ascii="宋体" w:hAnsi="宋体" w:eastAsia="宋体" w:cs="宋体"/>
          <w:color w:val="000000"/>
          <w:szCs w:val="24"/>
          <w:highlight w:val="none"/>
          <w:lang w:eastAsia="zh-CN"/>
        </w:rPr>
        <w:t xml:space="preserve">采购人</w:t>
      </w:r>
      <w:r>
        <w:rPr>
          <w:rFonts w:hint="eastAsia" w:ascii="宋体" w:hAnsi="宋体" w:cs="宋体"/>
          <w:color w:val="000000"/>
          <w:szCs w:val="24"/>
          <w:highlight w:val="none"/>
        </w:rPr>
        <w:t xml:space="preserve">要求为准。</w:t>
      </w:r>
      <w:r>
        <w:rPr>
          <w:rFonts w:hint="eastAsia" w:ascii="宋体" w:hAnsi="宋体" w:eastAsia="宋体" w:cs="宋体"/>
          <w:color w:val="000000"/>
          <w:szCs w:val="24"/>
          <w:highlight w:val="none"/>
          <w:shd w:val="clear" w:color="auto" w:fill="ffffff"/>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本项目（是/否）接受联合体投标：不接受联合体</w:t>
      </w:r>
      <w:r>
        <w:rPr>
          <w:rFonts w:hint="eastAsia" w:ascii="宋体" w:hAnsi="宋体" w:eastAsia="宋体" w:cs="宋体"/>
          <w:color w:val="000000"/>
          <w:szCs w:val="24"/>
          <w:highlight w:val="none"/>
        </w:rPr>
      </w:r>
      <w:r/>
    </w:p>
    <w:p>
      <w:pPr>
        <w:pStyle w:val="699"/>
        <w:spacing w:before="0" w:beforeAutospacing="0" w:after="0" w:afterAutospacing="0" w:line="400" w:lineRule="exact"/>
        <w:rPr>
          <w:rStyle w:val="741"/>
          <w:rFonts w:cs="宋体"/>
          <w:color w:val="000000"/>
          <w:sz w:val="24"/>
          <w:szCs w:val="24"/>
          <w:highlight w:val="none"/>
          <w:shd w:val="clear" w:color="auto" w:fill="ffffff"/>
        </w:rPr>
      </w:pPr>
      <w:r>
        <w:rPr>
          <w:rStyle w:val="741"/>
          <w:rFonts w:cs="宋体"/>
          <w:color w:val="000000"/>
          <w:sz w:val="24"/>
          <w:szCs w:val="24"/>
          <w:highlight w:val="none"/>
          <w:shd w:val="clear" w:color="auto" w:fill="ffffff"/>
        </w:rPr>
      </w:r>
      <w:r/>
    </w:p>
    <w:p>
      <w:pPr>
        <w:pStyle w:val="699"/>
        <w:spacing w:before="0" w:beforeAutospacing="0" w:after="0" w:afterAutospacing="0" w:line="400" w:lineRule="exact"/>
        <w:rPr>
          <w:rFonts w:cs="宋体"/>
          <w:color w:val="000000"/>
          <w:sz w:val="24"/>
          <w:szCs w:val="24"/>
          <w:highlight w:val="none"/>
        </w:rPr>
      </w:pPr>
      <w:r>
        <w:rPr>
          <w:rStyle w:val="741"/>
          <w:rFonts w:cs="宋体"/>
          <w:color w:val="000000"/>
          <w:sz w:val="24"/>
          <w:szCs w:val="24"/>
          <w:highlight w:val="none"/>
          <w:shd w:val="clear" w:color="auto" w:fill="ffffff"/>
        </w:rPr>
        <w:t xml:space="preserve">二、申请人的资格要求：</w:t>
      </w:r>
      <w:r>
        <w:rPr>
          <w:rFonts w:cs="宋体"/>
          <w:color w:val="000000"/>
          <w:sz w:val="24"/>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（一）满足《中华人民共和国政府采购法》第二十二条规定：</w:t>
      </w:r>
      <w:r>
        <w:rPr>
          <w:rFonts w:hint="eastAsia" w:ascii="宋体" w:hAnsi="宋体" w:eastAsia="宋体" w:cs="宋体"/>
          <w:color w:val="000000"/>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eastAsia="zh-CN"/>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（二）落实政府采购政策需满足的资格要求：无</w:t>
      </w:r>
      <w:r>
        <w:rPr>
          <w:rFonts w:hint="eastAsia" w:ascii="宋体" w:hAnsi="宋体" w:eastAsia="宋体" w:cs="宋体"/>
          <w:color w:val="000000"/>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（三）本项目的特定资格要求： </w:t>
      </w:r>
      <w:r>
        <w:rPr>
          <w:rFonts w:hint="eastAsia" w:ascii="宋体" w:hAnsi="宋体" w:eastAsia="宋体" w:cs="宋体"/>
          <w:color w:val="000000"/>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Cs w:val="24"/>
          <w:highlight w:val="none"/>
        </w:rPr>
      </w:r>
      <w:r/>
    </w:p>
    <w:p>
      <w:pPr>
        <w:pStyle w:val="699"/>
        <w:spacing w:before="0" w:beforeAutospacing="0" w:after="0" w:afterAutospacing="0" w:line="400" w:lineRule="exact"/>
        <w:rPr>
          <w:rStyle w:val="741"/>
          <w:rFonts w:cs="宋体"/>
          <w:color w:val="000000"/>
          <w:sz w:val="24"/>
          <w:szCs w:val="24"/>
          <w:highlight w:val="none"/>
          <w:shd w:val="clear" w:color="auto" w:fill="ffffff"/>
        </w:rPr>
      </w:pPr>
      <w:r>
        <w:rPr>
          <w:rStyle w:val="741"/>
          <w:rFonts w:cs="宋体"/>
          <w:color w:val="000000"/>
          <w:sz w:val="24"/>
          <w:szCs w:val="24"/>
          <w:highlight w:val="none"/>
          <w:shd w:val="clear" w:color="auto" w:fill="ffffff"/>
        </w:rPr>
      </w:r>
      <w:r/>
    </w:p>
    <w:p>
      <w:pPr>
        <w:pStyle w:val="699"/>
        <w:spacing w:before="0" w:beforeAutospacing="0" w:after="0" w:afterAutospacing="0" w:line="400" w:lineRule="exact"/>
        <w:rPr>
          <w:rFonts w:cs="宋体"/>
          <w:color w:val="000000"/>
          <w:sz w:val="24"/>
          <w:szCs w:val="24"/>
          <w:highlight w:val="none"/>
        </w:rPr>
      </w:pPr>
      <w:r>
        <w:rPr>
          <w:rStyle w:val="741"/>
          <w:rFonts w:cs="宋体"/>
          <w:color w:val="000000"/>
          <w:sz w:val="24"/>
          <w:szCs w:val="24"/>
          <w:highlight w:val="none"/>
          <w:shd w:val="clear" w:color="auto" w:fill="ffffff"/>
        </w:rPr>
        <w:t xml:space="preserve">三、获取招标文件</w:t>
      </w:r>
      <w:r>
        <w:rPr>
          <w:rFonts w:cs="宋体"/>
          <w:color w:val="000000"/>
          <w:sz w:val="24"/>
          <w:szCs w:val="24"/>
          <w:highlight w:val="none"/>
        </w:rPr>
      </w:r>
      <w:r/>
    </w:p>
    <w:p>
      <w:pPr>
        <w:pStyle w:val="734"/>
        <w:spacing w:beforeAutospacing="0" w:afterAutospacing="0" w:line="40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时间：</w:t>
      </w:r>
      <w:r>
        <w:rPr>
          <w:rFonts w:hint="eastAsia" w:ascii="宋体" w:hAnsi="宋体" w:eastAsia="宋体" w:cs="宋体"/>
          <w:color w:val="000000"/>
          <w:sz w:val="24"/>
          <w:szCs w:val="24"/>
          <w:highlight w:val="none"/>
          <w:shd w:val="clear" w:color="auto" w:fill="ffffff"/>
        </w:rPr>
      </w:r>
      <w:r>
        <w:rPr>
          <w:sz w:val="24"/>
          <w:szCs w:val="24"/>
        </w:rPr>
      </w:r>
      <w:r>
        <w:rPr>
          <w:rFonts w:ascii="SimSun" w:hAnsi="SimSun" w:eastAsia="SimSun" w:cs="SimSun"/>
          <w:color w:val="000000"/>
          <w:sz w:val="24"/>
          <w:szCs w:val="24"/>
          <w:highlight w:val="white"/>
        </w:rPr>
        <w:t xml:space="preserve">自公告发布之日起</w:t>
      </w:r>
      <w:r>
        <w:rPr>
          <w:rFonts w:ascii="SimSun" w:hAnsi="SimSun" w:eastAsia="SimSun" w:cs="SimSun"/>
          <w:color w:val="000000"/>
          <w:sz w:val="24"/>
          <w:szCs w:val="24"/>
          <w:highlight w:val="white"/>
        </w:rPr>
        <w:t xml:space="preserve">至</w:t>
      </w:r>
      <w:r>
        <w:rPr>
          <w:rFonts w:ascii="SimSun" w:hAnsi="SimSun" w:eastAsia="SimSun" w:cs="SimSun"/>
          <w:color w:val="000000"/>
          <w:sz w:val="24"/>
          <w:szCs w:val="24"/>
          <w:highlight w:val="none"/>
        </w:rPr>
      </w:r>
      <w:r>
        <w:rPr>
          <w:rFonts w:hint="eastAsia" w:ascii="宋体" w:hAnsi="宋体" w:eastAsia="宋体" w:cs="宋体"/>
          <w:color w:val="000000"/>
          <w:sz w:val="24"/>
          <w:szCs w:val="24"/>
          <w:highlight w:val="none"/>
          <w:shd w:val="clear" w:color="auto" w:fill="ffffff"/>
        </w:rPr>
        <w:t xml:space="preserve">2024</w:t>
      </w:r>
      <w:r>
        <w:rPr>
          <w:rFonts w:hint="eastAsia" w:ascii="宋体" w:hAnsi="宋体" w:eastAsia="宋体" w:cs="宋体"/>
          <w:color w:val="000000"/>
          <w:sz w:val="24"/>
          <w:szCs w:val="24"/>
          <w:highlight w:val="none"/>
          <w:shd w:val="clear" w:color="auto" w:fill="ffffff"/>
        </w:rPr>
        <w:t xml:space="preserve">年</w:t>
      </w:r>
      <w:r>
        <w:rPr>
          <w:rFonts w:hint="eastAsia" w:ascii="宋体" w:hAnsi="宋体" w:eastAsia="宋体" w:cs="宋体"/>
          <w:color w:val="000000"/>
          <w:sz w:val="24"/>
          <w:szCs w:val="24"/>
          <w:highlight w:val="none"/>
          <w:shd w:val="clear" w:color="auto" w:fill="ffffff"/>
          <w:lang w:val="en-US" w:eastAsia="zh-CN"/>
        </w:rPr>
        <w:t xml:space="preserve">09</w:t>
      </w:r>
      <w:r>
        <w:rPr>
          <w:rFonts w:hint="eastAsia" w:ascii="宋体" w:hAnsi="宋体" w:eastAsia="宋体" w:cs="宋体"/>
          <w:color w:val="000000"/>
          <w:sz w:val="24"/>
          <w:szCs w:val="24"/>
          <w:highlight w:val="none"/>
          <w:shd w:val="clear" w:color="auto" w:fill="ffffff"/>
        </w:rPr>
        <w:t xml:space="preserve">月</w:t>
      </w:r>
      <w:r>
        <w:rPr>
          <w:rFonts w:hint="eastAsia" w:ascii="宋体" w:hAnsi="宋体" w:eastAsia="宋体" w:cs="宋体"/>
          <w:color w:val="000000"/>
          <w:sz w:val="24"/>
          <w:szCs w:val="24"/>
          <w:highlight w:val="none"/>
          <w:shd w:val="clear" w:color="auto" w:fill="ffffff"/>
          <w:lang w:val="en-US" w:eastAsia="zh-CN"/>
        </w:rPr>
        <w:t xml:space="preserve">02</w:t>
      </w:r>
      <w:r>
        <w:rPr>
          <w:rFonts w:hint="eastAsia" w:ascii="宋体" w:hAnsi="宋体" w:eastAsia="宋体" w:cs="宋体"/>
          <w:color w:val="000000"/>
          <w:sz w:val="24"/>
          <w:szCs w:val="24"/>
          <w:highlight w:val="none"/>
          <w:shd w:val="clear" w:color="auto" w:fill="ffffff"/>
        </w:rPr>
        <w:t xml:space="preserve">日</w:t>
      </w:r>
      <w:r>
        <w:rPr>
          <w:rFonts w:hint="eastAsia" w:ascii="宋体" w:hAnsi="宋体" w:eastAsia="宋体" w:cs="宋体"/>
          <w:color w:val="000000"/>
          <w:sz w:val="24"/>
          <w:szCs w:val="24"/>
          <w:highlight w:val="none"/>
          <w:shd w:val="clear" w:color="auto" w:fill="ffffff"/>
        </w:rPr>
        <w:t xml:space="preserve">，每天上午00:00-12:00，下午12:00-23:59（北京时间，法定节假日除外）</w:t>
      </w:r>
      <w:r>
        <w:rPr>
          <w:sz w:val="24"/>
          <w:szCs w:val="24"/>
        </w:rPr>
      </w:r>
      <w:r>
        <w:rPr>
          <w:sz w:val="24"/>
          <w:szCs w:val="24"/>
        </w:rPr>
      </w:r>
      <w:r>
        <w:rPr>
          <w:rFonts w:hint="eastAsia" w:ascii="宋体" w:hAnsi="宋体" w:eastAsia="宋体" w:cs="宋体"/>
          <w:color w:val="000000"/>
          <w:sz w:val="24"/>
          <w:szCs w:val="24"/>
          <w:highlight w:val="none"/>
          <w:shd w:val="clear" w:color="auto" w:fill="ffffff"/>
        </w:rPr>
      </w:r>
    </w:p>
    <w:p>
      <w:pPr>
        <w:pStyle w:val="734"/>
        <w:spacing w:beforeAutospacing="0" w:afterAutospacing="0" w:line="40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地点：“苏采云”系统</w:t>
      </w:r>
      <w:r>
        <w:rPr>
          <w:rFonts w:hint="eastAsia" w:ascii="宋体" w:hAnsi="宋体" w:eastAsia="宋体" w:cs="宋体"/>
          <w:color w:val="000000"/>
          <w:sz w:val="24"/>
          <w:szCs w:val="24"/>
          <w:highlight w:val="none"/>
          <w:shd w:val="clear" w:color="auto" w:fill="ffffff"/>
        </w:rPr>
      </w:r>
      <w:r>
        <w:rPr>
          <w:sz w:val="24"/>
          <w:szCs w:val="24"/>
        </w:rPr>
      </w:r>
    </w:p>
    <w:p>
      <w:pPr>
        <w:pStyle w:val="734"/>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方式：网上获取 </w:t>
      </w:r>
      <w:r>
        <w:rPr>
          <w:rFonts w:hint="eastAsia" w:ascii="宋体" w:hAnsi="宋体" w:eastAsia="宋体" w:cs="宋体"/>
          <w:color w:val="000000"/>
          <w:sz w:val="24"/>
          <w:szCs w:val="24"/>
          <w:highlight w:val="none"/>
        </w:rPr>
      </w:r>
      <w:r>
        <w:rPr>
          <w:sz w:val="24"/>
          <w:szCs w:val="24"/>
        </w:rPr>
      </w:r>
    </w:p>
    <w:p>
      <w:pPr>
        <w:pStyle w:val="734"/>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售价：0.00元 </w:t>
      </w:r>
      <w:r>
        <w:rPr>
          <w:rFonts w:hint="eastAsia" w:ascii="宋体" w:hAnsi="宋体" w:eastAsia="宋体" w:cs="宋体"/>
          <w:color w:val="000000"/>
          <w:sz w:val="24"/>
          <w:szCs w:val="24"/>
          <w:highlight w:val="none"/>
        </w:rPr>
      </w:r>
      <w:r>
        <w:rPr>
          <w:sz w:val="24"/>
          <w:szCs w:val="24"/>
        </w:rP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99"/>
        <w:spacing w:before="0" w:beforeAutospacing="0" w:after="0" w:afterAutospacing="0" w:line="400" w:lineRule="exact"/>
        <w:rPr>
          <w:rFonts w:cs="宋体"/>
          <w:color w:val="000000"/>
          <w:sz w:val="24"/>
          <w:szCs w:val="24"/>
          <w:highlight w:val="none"/>
        </w:rPr>
      </w:pPr>
      <w:r>
        <w:rPr>
          <w:rStyle w:val="741"/>
          <w:rFonts w:cs="宋体"/>
          <w:color w:val="000000"/>
          <w:sz w:val="24"/>
          <w:szCs w:val="24"/>
          <w:highlight w:val="none"/>
          <w:shd w:val="clear" w:color="auto" w:fill="ffffff"/>
        </w:rPr>
        <w:t xml:space="preserve">四、提交投标文件截止时间、开标时间和地点</w:t>
      </w:r>
      <w:r>
        <w:rPr>
          <w:rFonts w:cs="宋体"/>
          <w:color w:val="000000"/>
          <w:sz w:val="24"/>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2024-0</w:t>
      </w:r>
      <w:r>
        <w:rPr>
          <w:rFonts w:hint="eastAsia" w:ascii="宋体" w:hAnsi="宋体" w:eastAsia="宋体" w:cs="宋体"/>
          <w:color w:val="000000"/>
          <w:szCs w:val="24"/>
          <w:highlight w:val="none"/>
          <w:shd w:val="clear" w:color="auto" w:fill="ffffff"/>
          <w:lang w:val="en-US" w:eastAsia="zh-CN"/>
        </w:rPr>
        <w:t xml:space="preserve">9</w:t>
      </w:r>
      <w:r>
        <w:rPr>
          <w:rFonts w:hint="eastAsia" w:ascii="宋体" w:hAnsi="宋体" w:eastAsia="宋体" w:cs="宋体"/>
          <w:color w:val="000000"/>
          <w:szCs w:val="24"/>
          <w:highlight w:val="none"/>
          <w:shd w:val="clear" w:color="auto" w:fill="ffffff"/>
        </w:rPr>
        <w:t xml:space="preserve">-18</w:t>
      </w:r>
      <w:r>
        <w:rPr>
          <w:rFonts w:hint="eastAsia" w:ascii="宋体" w:hAnsi="宋体" w:eastAsia="宋体" w:cs="宋体"/>
          <w:color w:val="000000"/>
          <w:szCs w:val="24"/>
          <w:highlight w:val="none"/>
          <w:shd w:val="clear" w:color="auto" w:fill="ffffff"/>
        </w:rPr>
        <w:t xml:space="preserve"> 0</w:t>
      </w:r>
      <w:r>
        <w:rPr>
          <w:rFonts w:hint="eastAsia" w:ascii="宋体" w:hAnsi="宋体" w:eastAsia="宋体" w:cs="宋体"/>
          <w:color w:val="000000"/>
          <w:szCs w:val="24"/>
          <w:highlight w:val="none"/>
          <w:shd w:val="clear" w:color="auto" w:fill="ffffff"/>
          <w:lang w:val="en-US" w:eastAsia="zh-CN"/>
        </w:rPr>
        <w:t xml:space="preserve">9</w:t>
      </w:r>
      <w:r>
        <w:rPr>
          <w:rFonts w:hint="eastAsia" w:ascii="宋体" w:hAnsi="宋体" w:eastAsia="宋体" w:cs="宋体"/>
          <w:color w:val="000000"/>
          <w:szCs w:val="24"/>
          <w:highlight w:val="none"/>
          <w:shd w:val="clear" w:color="auto" w:fill="ffffff"/>
        </w:rPr>
        <w:t xml:space="preserve">:3</w:t>
      </w:r>
      <w:r>
        <w:rPr>
          <w:rFonts w:hint="eastAsia" w:ascii="宋体" w:hAnsi="宋体" w:eastAsia="宋体" w:cs="宋体"/>
          <w:color w:val="000000"/>
          <w:szCs w:val="24"/>
          <w:highlight w:val="none"/>
          <w:shd w:val="clear" w:color="auto" w:fill="ffffff"/>
        </w:rPr>
        <w:t xml:space="preserve">0 （北京时间）</w:t>
      </w:r>
      <w:r>
        <w:rPr>
          <w:rFonts w:hint="eastAsia" w:ascii="宋体" w:hAnsi="宋体" w:eastAsia="宋体" w:cs="宋体"/>
          <w:color w:val="000000"/>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地点：“苏采云”系统“开标大厅” </w:t>
      </w:r>
      <w:r>
        <w:rPr>
          <w:rFonts w:hint="eastAsia" w:ascii="宋体" w:hAnsi="宋体" w:eastAsia="宋体" w:cs="宋体"/>
          <w:color w:val="000000"/>
          <w:szCs w:val="24"/>
          <w:highlight w:val="none"/>
        </w:rPr>
      </w:r>
      <w:r/>
    </w:p>
    <w:p>
      <w:pPr>
        <w:pStyle w:val="699"/>
        <w:spacing w:before="0" w:beforeAutospacing="0" w:after="0" w:afterAutospacing="0" w:line="400" w:lineRule="exact"/>
        <w:rPr>
          <w:rStyle w:val="741"/>
          <w:rFonts w:cs="宋体"/>
          <w:color w:val="000000"/>
          <w:sz w:val="24"/>
          <w:szCs w:val="24"/>
          <w:highlight w:val="none"/>
          <w:shd w:val="clear" w:color="auto" w:fill="ffffff"/>
        </w:rPr>
      </w:pPr>
      <w:r>
        <w:rPr>
          <w:rStyle w:val="741"/>
          <w:rFonts w:cs="宋体"/>
          <w:color w:val="000000"/>
          <w:sz w:val="24"/>
          <w:szCs w:val="24"/>
          <w:highlight w:val="none"/>
          <w:shd w:val="clear" w:color="auto" w:fill="ffffff"/>
        </w:rPr>
      </w:r>
      <w:r/>
    </w:p>
    <w:p>
      <w:pPr>
        <w:pStyle w:val="699"/>
        <w:spacing w:before="0" w:beforeAutospacing="0" w:after="0" w:afterAutospacing="0" w:line="400" w:lineRule="exact"/>
        <w:rPr>
          <w:rFonts w:cs="宋体"/>
          <w:color w:val="000000"/>
          <w:sz w:val="24"/>
          <w:szCs w:val="24"/>
          <w:highlight w:val="none"/>
        </w:rPr>
      </w:pPr>
      <w:r>
        <w:rPr>
          <w:rStyle w:val="741"/>
          <w:rFonts w:cs="宋体"/>
          <w:color w:val="000000"/>
          <w:sz w:val="24"/>
          <w:szCs w:val="24"/>
          <w:highlight w:val="none"/>
          <w:shd w:val="clear" w:color="auto" w:fill="ffffff"/>
        </w:rPr>
        <w:t xml:space="preserve">五、公告期限</w:t>
      </w:r>
      <w:r>
        <w:rPr>
          <w:rFonts w:cs="宋体"/>
          <w:color w:val="000000"/>
          <w:sz w:val="24"/>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自本公告发布之日起5个工作日。</w:t>
      </w:r>
      <w:r>
        <w:rPr>
          <w:rFonts w:hint="eastAsia" w:ascii="宋体" w:hAnsi="宋体" w:eastAsia="宋体" w:cs="宋体"/>
          <w:color w:val="000000"/>
          <w:szCs w:val="24"/>
          <w:highlight w:val="none"/>
        </w:rPr>
      </w:r>
      <w:r/>
    </w:p>
    <w:p>
      <w:pPr>
        <w:pStyle w:val="699"/>
        <w:spacing w:before="0" w:beforeAutospacing="0" w:after="0" w:afterAutospacing="0" w:line="400" w:lineRule="exact"/>
        <w:rPr>
          <w:rStyle w:val="741"/>
          <w:rFonts w:cs="宋体"/>
          <w:color w:val="000000"/>
          <w:sz w:val="24"/>
          <w:szCs w:val="24"/>
          <w:highlight w:val="none"/>
          <w:shd w:val="clear" w:color="auto" w:fill="ffffff"/>
        </w:rPr>
      </w:pPr>
      <w:r>
        <w:rPr>
          <w:rStyle w:val="741"/>
          <w:rFonts w:cs="宋体"/>
          <w:color w:val="000000"/>
          <w:sz w:val="24"/>
          <w:szCs w:val="24"/>
          <w:highlight w:val="none"/>
          <w:shd w:val="clear" w:color="auto" w:fill="ffffff"/>
        </w:rPr>
      </w:r>
      <w:r/>
    </w:p>
    <w:p>
      <w:pPr>
        <w:pStyle w:val="699"/>
        <w:spacing w:before="0" w:beforeAutospacing="0" w:after="0" w:afterAutospacing="0" w:line="400" w:lineRule="exact"/>
        <w:rPr>
          <w:rFonts w:cs="宋体"/>
          <w:color w:val="000000"/>
          <w:sz w:val="24"/>
          <w:szCs w:val="24"/>
          <w:highlight w:val="none"/>
        </w:rPr>
      </w:pPr>
      <w:r>
        <w:rPr>
          <w:rStyle w:val="741"/>
          <w:rFonts w:cs="宋体"/>
          <w:color w:val="000000"/>
          <w:sz w:val="24"/>
          <w:szCs w:val="24"/>
          <w:highlight w:val="none"/>
          <w:shd w:val="clear" w:color="auto" w:fill="ffffff"/>
        </w:rPr>
        <w:t xml:space="preserve">六、其他补充事宜</w:t>
      </w:r>
      <w:r>
        <w:rPr>
          <w:rFonts w:cs="宋体"/>
          <w:color w:val="000000"/>
          <w:sz w:val="24"/>
          <w:szCs w:val="24"/>
          <w:highlight w:val="none"/>
        </w:rPr>
      </w:r>
      <w:r/>
    </w:p>
    <w:p>
      <w:pPr>
        <w:pStyle w:val="698"/>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1、CA证书办理</w:t>
      </w:r>
      <w:r>
        <w:rPr>
          <w:rFonts w:hint="eastAsia" w:ascii="宋体" w:hAnsi="宋体" w:eastAsia="宋体" w:cs="宋体"/>
          <w:bCs/>
          <w:color w:val="000000"/>
          <w:sz w:val="24"/>
          <w:szCs w:val="24"/>
          <w:highlight w:val="none"/>
        </w:rPr>
      </w:r>
      <w:r/>
    </w:p>
    <w:p>
      <w:pPr>
        <w:pStyle w:val="698"/>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供应商</w:t>
      </w:r>
      <w:r>
        <w:rPr>
          <w:rFonts w:hint="eastAsia" w:ascii="宋体" w:hAnsi="宋体" w:eastAsia="宋体" w:cs="宋体"/>
          <w:bCs/>
          <w:color w:val="000000"/>
          <w:sz w:val="24"/>
          <w:szCs w:val="24"/>
          <w:highlight w:val="none"/>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4"/>
          <w:szCs w:val="24"/>
          <w:highlight w:val="none"/>
        </w:rPr>
      </w:r>
      <w:r/>
    </w:p>
    <w:p>
      <w:pPr>
        <w:pStyle w:val="698"/>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2、依法获取采购文件</w:t>
      </w:r>
      <w:r>
        <w:rPr>
          <w:rFonts w:hint="eastAsia" w:ascii="宋体" w:hAnsi="宋体" w:eastAsia="宋体" w:cs="宋体"/>
          <w:bCs/>
          <w:color w:val="000000"/>
          <w:sz w:val="24"/>
          <w:szCs w:val="24"/>
          <w:highlight w:val="none"/>
        </w:rPr>
      </w:r>
      <w:r/>
    </w:p>
    <w:p>
      <w:pPr>
        <w:pStyle w:val="698"/>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供应商插入CA证书登陆</w:t>
      </w:r>
      <w:r>
        <w:rPr>
          <w:rFonts w:hint="eastAsia" w:ascii="宋体" w:hAnsi="宋体" w:eastAsia="宋体" w:cs="宋体"/>
          <w:bCs/>
          <w:color w:val="000000"/>
          <w:sz w:val="24"/>
          <w:szCs w:val="24"/>
          <w:highlight w:val="none"/>
          <w:lang w:bidi="ar"/>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rFonts w:hint="eastAsia" w:ascii="宋体" w:hAnsi="宋体" w:eastAsia="宋体" w:cs="宋体"/>
          <w:bCs/>
          <w:color w:val="000000"/>
          <w:sz w:val="24"/>
          <w:szCs w:val="24"/>
          <w:highlight w:val="none"/>
        </w:rPr>
      </w:r>
      <w:r/>
    </w:p>
    <w:p>
      <w:pPr>
        <w:pStyle w:val="698"/>
        <w:ind w:firstLine="480"/>
        <w:jc w:val="both"/>
        <w:spacing w:line="400" w:lineRule="exact"/>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更正（补充）公告及附件的获取：项目的招标（采购）文件的更正、补充（澄清）通知作为招标（采购）文件的组成部分，对</w:t>
      </w:r>
      <w:r>
        <w:rPr>
          <w:rFonts w:hint="eastAsia" w:ascii="宋体" w:hAnsi="宋体" w:eastAsia="宋体" w:cs="宋体"/>
          <w:bCs/>
          <w:color w:val="000000"/>
          <w:sz w:val="24"/>
          <w:szCs w:val="24"/>
          <w:highlight w:val="none"/>
          <w:lang w:eastAsia="zh-CN" w:bidi="ar"/>
        </w:rPr>
        <w:t xml:space="preserve">投标人</w:t>
      </w:r>
      <w:r>
        <w:rPr>
          <w:rFonts w:hint="eastAsia" w:ascii="宋体" w:hAnsi="宋体" w:eastAsia="宋体" w:cs="宋体"/>
          <w:bCs/>
          <w:color w:val="000000"/>
          <w:sz w:val="24"/>
          <w:szCs w:val="24"/>
          <w:highlight w:val="none"/>
          <w:lang w:bidi="ar"/>
        </w:rPr>
        <w:t xml:space="preserve">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eastAsia="宋体" w:cs="宋体"/>
          <w:bCs/>
          <w:color w:val="000000"/>
          <w:sz w:val="24"/>
          <w:szCs w:val="24"/>
          <w:highlight w:val="none"/>
          <w:lang w:bidi="ar"/>
        </w:rPr>
      </w:r>
      <w:r/>
    </w:p>
    <w:p>
      <w:pPr>
        <w:pStyle w:val="698"/>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3、电子投标（响应）准备</w:t>
      </w:r>
      <w:r>
        <w:rPr>
          <w:rFonts w:hint="eastAsia" w:ascii="宋体" w:hAnsi="宋体" w:eastAsia="宋体" w:cs="宋体"/>
          <w:bCs/>
          <w:color w:val="000000"/>
          <w:sz w:val="24"/>
          <w:szCs w:val="24"/>
          <w:highlight w:val="none"/>
        </w:rPr>
      </w:r>
      <w:r/>
    </w:p>
    <w:p>
      <w:pPr>
        <w:pStyle w:val="698"/>
        <w:ind w:firstLine="480"/>
        <w:jc w:val="both"/>
        <w:spacing w:line="400" w:lineRule="exact"/>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rPr>
          <w:rFonts w:hint="eastAsia" w:ascii="宋体" w:hAnsi="宋体" w:eastAsia="宋体" w:cs="宋体"/>
          <w:bCs/>
          <w:color w:val="000000"/>
          <w:sz w:val="24"/>
          <w:szCs w:val="24"/>
          <w:highlight w:val="none"/>
          <w:lang w:bidi="ar"/>
        </w:rPr>
      </w:r>
      <w:r/>
    </w:p>
    <w:p>
      <w:pPr>
        <w:pStyle w:val="698"/>
        <w:ind w:firstLine="480"/>
        <w:jc w:val="both"/>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bidi="ar"/>
        </w:rPr>
        <w:t xml:space="preserve">本项目采用电子招投标形式，请供应商按照《苏采云系统供应商操作手册》进行制作、上传电子投标（响应）文件。电子投标（响应）文件制作完成后请于投标（响应）文件递交截止时间前成功上传至“苏采云”系统，否则视为放弃参加该采购项目。</w:t>
      </w:r>
      <w:r>
        <w:rPr>
          <w:rFonts w:hint="eastAsia" w:ascii="宋体" w:hAnsi="宋体" w:eastAsia="宋体" w:cs="宋体"/>
          <w:color w:val="000000"/>
          <w:sz w:val="24"/>
          <w:szCs w:val="24"/>
          <w:highlight w:val="none"/>
          <w:lang w:bidi="ar"/>
        </w:rPr>
        <w:t xml:space="preserve">供应商应充分考虑到网络环境、网络带宽等风险因素，如因供应商自身原因造成的电子投标（响应）文件上传不成功由供应商自行承担全部责任。</w:t>
      </w:r>
      <w:r>
        <w:rPr>
          <w:rFonts w:hint="eastAsia" w:ascii="宋体" w:hAnsi="宋体" w:eastAsia="宋体" w:cs="宋体"/>
          <w:color w:val="000000"/>
          <w:sz w:val="24"/>
          <w:szCs w:val="24"/>
          <w:highlight w:val="none"/>
          <w:lang w:bidi="ar"/>
        </w:rPr>
      </w:r>
      <w:r/>
    </w:p>
    <w:p>
      <w:pPr>
        <w:pStyle w:val="698"/>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4、在系统操作过程中如有疑问，请按以下方式联系：</w:t>
      </w:r>
      <w:r>
        <w:rPr>
          <w:rFonts w:hint="eastAsia" w:ascii="宋体" w:hAnsi="宋体" w:eastAsia="宋体" w:cs="宋体"/>
          <w:bCs/>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“苏采云”平台技术咨询电话：18261002950（不见面项目）QQ：3048755361、895706745。</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lang w:bidi="ar"/>
        </w:rPr>
        <w:t xml:space="preserve">本项目为不见面开标项目，开标阶段供应商在【供应商解密】环节必须使用 CA证书解密电子投标（响应）文件，如在系统规定的解密时间（投标/投标文件提交截止时间后30分钟）内未能完成解密的视为放弃投标。</w:t>
      </w:r>
      <w:r>
        <w:rPr>
          <w:rFonts w:hint="eastAsia" w:ascii="宋体" w:hAnsi="宋体" w:eastAsia="宋体" w:cs="宋体"/>
          <w:b/>
          <w:bCs/>
          <w:color w:val="000000"/>
          <w:sz w:val="24"/>
          <w:szCs w:val="24"/>
          <w:highlight w:val="none"/>
          <w:lang w:bidi="ar"/>
        </w:rPr>
      </w:r>
      <w:r/>
    </w:p>
    <w:p>
      <w:pPr>
        <w:pStyle w:val="698"/>
        <w:ind w:firstLine="480"/>
        <w:spacing w:line="400" w:lineRule="exact"/>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color w:val="000000"/>
          <w:sz w:val="24"/>
          <w:szCs w:val="24"/>
          <w:highlight w:val="none"/>
          <w:shd w:val="clear" w:color="auto" w:fill="ffffff"/>
          <w:lang w:bidi="ar"/>
        </w:rPr>
      </w:r>
      <w:r/>
    </w:p>
    <w:p>
      <w:pPr>
        <w:pStyle w:val="698"/>
        <w:ind w:firstLine="480"/>
        <w:jc w:val="both"/>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6、本项目获取招标（采购）文件截止日期之后下载的招标（采购）文件，视为非有效方式且不作为供应商权益受到损害的证明材料和依据。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698"/>
        <w:ind w:firstLine="480"/>
        <w:jc w:val="both"/>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bidi="ar"/>
        </w:rPr>
        <w:t xml:space="preserve">为采购项目提供整体设计、规范编制或者项目管理、监理、监测等服务的供应商，不得再参加该采购项目的其他采购活动。</w:t>
      </w:r>
      <w:r>
        <w:rPr>
          <w:rFonts w:hint="eastAsia" w:ascii="宋体" w:hAnsi="宋体" w:eastAsia="宋体" w:cs="宋体"/>
          <w:color w:val="000000"/>
          <w:sz w:val="24"/>
          <w:szCs w:val="24"/>
          <w:highlight w:val="none"/>
        </w:rPr>
      </w:r>
      <w:r/>
    </w:p>
    <w:p>
      <w:pPr>
        <w:pStyle w:val="698"/>
        <w:ind w:firstLine="480"/>
        <w:jc w:val="both"/>
        <w:spacing w:line="400" w:lineRule="exact"/>
        <w:widowControl w:val="off"/>
        <w:tabs>
          <w:tab w:val="left" w:pos="148"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bCs/>
          <w:color w:val="000000"/>
          <w:sz w:val="24"/>
          <w:szCs w:val="24"/>
          <w:highlight w:val="none"/>
        </w:rPr>
      </w:r>
      <w:r/>
    </w:p>
    <w:p>
      <w:pPr>
        <w:pStyle w:val="698"/>
        <w:ind w:firstLine="482"/>
        <w:spacing w:line="400" w:lineRule="exact"/>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9、不同供应商投标文件的制作机器码一致，均视为无效响应。</w:t>
      </w:r>
      <w:r>
        <w:rPr>
          <w:rFonts w:hint="eastAsia" w:ascii="宋体" w:hAnsi="宋体" w:eastAsia="宋体" w:cs="宋体"/>
          <w:color w:val="000000"/>
          <w:sz w:val="24"/>
          <w:szCs w:val="24"/>
          <w:highlight w:val="none"/>
          <w:shd w:val="clear" w:color="auto" w:fill="ffffff"/>
          <w:lang w:bidi="ar"/>
        </w:rPr>
      </w:r>
      <w:r/>
    </w:p>
    <w:p>
      <w:pPr>
        <w:pStyle w:val="69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bidi="ar"/>
        </w:rPr>
        <w:t xml:space="preserve">10、本次招标投标保证金：本项目无须缴纳投标保证金。</w:t>
      </w:r>
      <w:r>
        <w:rPr>
          <w:rFonts w:hint="eastAsia" w:ascii="宋体" w:hAnsi="宋体" w:eastAsia="宋体" w:cs="宋体"/>
          <w:color w:val="000000"/>
          <w:sz w:val="24"/>
          <w:szCs w:val="24"/>
          <w:highlight w:val="none"/>
        </w:rPr>
      </w:r>
      <w:r/>
    </w:p>
    <w:p>
      <w:pPr>
        <w:pStyle w:val="69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bidi="ar"/>
        </w:rPr>
        <w:t xml:space="preserve">11、政府采购履约资金扶持政策：</w:t>
      </w:r>
      <w:r>
        <w:rPr>
          <w:rFonts w:hint="eastAsia" w:ascii="宋体" w:hAnsi="宋体" w:eastAsia="宋体" w:cs="宋体"/>
          <w:color w:val="000000"/>
          <w:sz w:val="24"/>
          <w:szCs w:val="24"/>
          <w:highlight w:val="none"/>
        </w:rPr>
      </w:r>
      <w:r/>
    </w:p>
    <w:p>
      <w:pPr>
        <w:pStyle w:val="698"/>
        <w:ind w:firstLine="480"/>
        <w:spacing w:line="400" w:lineRule="exact"/>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t xml:space="preserve">中标供应商可凭政府采购合同办理融资贷款，详情请见江苏政府采购网“政采贷”专栏。</w:t>
      </w:r>
      <w:r>
        <w:rPr>
          <w:rFonts w:hint="eastAsia" w:ascii="宋体" w:hAnsi="宋体" w:eastAsia="宋体" w:cs="宋体"/>
          <w:color w:val="000000"/>
          <w:sz w:val="24"/>
          <w:szCs w:val="24"/>
          <w:highlight w:val="none"/>
          <w:shd w:val="clear" w:color="auto" w:fill="ffffff"/>
          <w:lang w:bidi="ar"/>
        </w:rPr>
      </w:r>
      <w:r/>
    </w:p>
    <w:p>
      <w:pPr>
        <w:pStyle w:val="698"/>
        <w:ind w:firstLine="480"/>
        <w:jc w:val="both"/>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bidi="ar"/>
        </w:rPr>
        <w:t xml:space="preserve">本采购信息公告媒体：中国政府采购网、江苏省政府采购、苏州市政府采购。</w:t>
      </w:r>
      <w:r>
        <w:rPr>
          <w:rFonts w:hint="eastAsia" w:ascii="宋体" w:hAnsi="宋体" w:eastAsia="宋体" w:cs="宋体"/>
          <w:color w:val="000000"/>
          <w:sz w:val="24"/>
          <w:szCs w:val="24"/>
          <w:highlight w:val="none"/>
        </w:rPr>
      </w:r>
      <w:r/>
    </w:p>
    <w:p>
      <w:pPr>
        <w:pStyle w:val="698"/>
        <w:ind w:firstLine="480"/>
        <w:jc w:val="both"/>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13、苏州高新区政府采购管理监督电话：0512-68751335。</w:t>
      </w:r>
      <w:r>
        <w:rPr>
          <w:rFonts w:hint="eastAsia" w:ascii="宋体" w:hAnsi="宋体" w:eastAsia="宋体" w:cs="宋体"/>
          <w:color w:val="000000"/>
          <w:sz w:val="24"/>
          <w:szCs w:val="24"/>
          <w:highlight w:val="none"/>
        </w:rPr>
      </w:r>
      <w:r/>
    </w:p>
    <w:p>
      <w:pPr>
        <w:pStyle w:val="698"/>
        <w:spacing w:line="400" w:lineRule="exact"/>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r>
      <w:r/>
    </w:p>
    <w:p>
      <w:pPr>
        <w:pStyle w:val="699"/>
        <w:spacing w:before="0" w:beforeAutospacing="0" w:after="0" w:afterAutospacing="0" w:line="400" w:lineRule="exact"/>
        <w:rPr>
          <w:rFonts w:cs="宋体"/>
          <w:color w:val="000000"/>
          <w:sz w:val="24"/>
          <w:szCs w:val="24"/>
          <w:highlight w:val="none"/>
        </w:rPr>
      </w:pPr>
      <w:r>
        <w:rPr>
          <w:rStyle w:val="741"/>
          <w:rFonts w:cs="宋体"/>
          <w:color w:val="000000"/>
          <w:sz w:val="24"/>
          <w:szCs w:val="24"/>
          <w:highlight w:val="none"/>
          <w:shd w:val="clear" w:color="auto" w:fill="ffffff"/>
        </w:rPr>
        <w:t xml:space="preserve">七、对本次招标提出询问，请按以下方式联系。</w:t>
      </w:r>
      <w:r>
        <w:rPr>
          <w:rFonts w:cs="宋体"/>
          <w:color w:val="000000"/>
          <w:sz w:val="24"/>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1.采购人信息 </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单位名称：</w:t>
      </w:r>
      <w:r>
        <w:rPr>
          <w:rFonts w:hint="eastAsia" w:ascii="宋体" w:hAnsi="宋体" w:eastAsia="宋体" w:cs="宋体"/>
          <w:color w:val="000000"/>
          <w:szCs w:val="24"/>
          <w:highlight w:val="none"/>
        </w:rPr>
        <w:t xml:space="preserve">苏州浒墅关经济技术开发区集成指挥中心</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ascii="宋体" w:hAnsi="宋体" w:eastAsia="宋体" w:cs="宋体"/>
          <w:color w:val="000000"/>
          <w:szCs w:val="24"/>
          <w:highlight w:val="none"/>
          <w:lang w:val="en-US" w:eastAsia="zh-CN"/>
        </w:rPr>
      </w:pPr>
      <w:r>
        <w:rPr>
          <w:rFonts w:hint="eastAsia" w:ascii="宋体" w:hAnsi="宋体" w:eastAsia="宋体" w:cs="宋体"/>
          <w:color w:val="000000"/>
          <w:szCs w:val="24"/>
          <w:highlight w:val="none"/>
          <w:shd w:val="clear" w:color="auto" w:fill="ffffff"/>
        </w:rPr>
        <w:t xml:space="preserve">单位地址：</w:t>
      </w:r>
      <w:r>
        <w:rPr>
          <w:rFonts w:hint="eastAsia" w:ascii="宋体" w:hAnsi="宋体" w:eastAsia="宋体" w:cs="宋体"/>
          <w:color w:val="000000"/>
          <w:szCs w:val="24"/>
          <w:highlight w:val="none"/>
        </w:rPr>
        <w:t xml:space="preserve">苏州高新区</w:t>
      </w:r>
      <w:r>
        <w:rPr>
          <w:rFonts w:hint="eastAsia" w:ascii="宋体" w:hAnsi="宋体" w:eastAsia="宋体" w:cs="宋体"/>
          <w:color w:val="000000"/>
          <w:szCs w:val="24"/>
          <w:highlight w:val="none"/>
          <w:lang w:val="en-US" w:eastAsia="zh-CN"/>
        </w:rPr>
        <w:t xml:space="preserve">兴贤路666号</w:t>
      </w:r>
      <w:r>
        <w:rPr>
          <w:rFonts w:ascii="宋体" w:hAnsi="宋体" w:eastAsia="宋体" w:cs="宋体"/>
          <w:color w:val="000000"/>
          <w:szCs w:val="24"/>
          <w:highlight w:val="none"/>
          <w:lang w:val="en-US" w:eastAsia="zh-CN"/>
        </w:rPr>
      </w:r>
      <w:r/>
    </w:p>
    <w:p>
      <w:pPr>
        <w:pStyle w:val="734"/>
        <w:ind w:firstLine="480"/>
        <w:spacing w:beforeAutospacing="0" w:afterAutospacing="0" w:line="400" w:lineRule="exact"/>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shd w:val="clear" w:color="auto" w:fill="ffffff"/>
        </w:rPr>
        <w:t xml:space="preserve">联系人：</w:t>
      </w:r>
      <w:r>
        <w:rPr>
          <w:rFonts w:hint="eastAsia" w:ascii="宋体" w:hAnsi="宋体" w:eastAsia="宋体" w:cs="宋体"/>
          <w:color w:val="000000"/>
          <w:szCs w:val="24"/>
          <w:highlight w:val="none"/>
          <w:lang w:val="en-US" w:eastAsia="zh-CN"/>
        </w:rPr>
        <w:t xml:space="preserve">邵启航</w:t>
      </w:r>
      <w:r>
        <w:rPr>
          <w:rFonts w:hint="eastAsia" w:ascii="宋体" w:hAnsi="宋体" w:eastAsia="宋体" w:cs="宋体"/>
          <w:color w:val="000000"/>
          <w:szCs w:val="24"/>
          <w:highlight w:val="none"/>
          <w:lang w:val="en-US" w:eastAsia="zh-CN"/>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联系电话：</w:t>
      </w:r>
      <w:r>
        <w:rPr>
          <w:rFonts w:hint="eastAsia" w:ascii="宋体" w:hAnsi="宋体" w:eastAsia="宋体" w:cs="宋体"/>
          <w:color w:val="000000"/>
          <w:szCs w:val="24"/>
          <w:highlight w:val="none"/>
          <w:lang w:val="zh-CN"/>
        </w:rPr>
        <w:t xml:space="preserve">0512-66325816</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2.采购代理机构信息（如有）</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单位名称：</w:t>
      </w:r>
      <w:r>
        <w:rPr>
          <w:rFonts w:hint="eastAsia" w:ascii="宋体" w:hAnsi="宋体" w:eastAsia="宋体" w:cs="宋体"/>
          <w:color w:val="000000"/>
          <w:szCs w:val="24"/>
          <w:highlight w:val="none"/>
        </w:rPr>
        <w:t xml:space="preserve">涵熙（苏州）工程顾问有限公司</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单位地址：</w:t>
      </w:r>
      <w:r>
        <w:rPr>
          <w:rFonts w:hint="eastAsia" w:ascii="宋体" w:hAnsi="宋体" w:eastAsia="宋体" w:cs="宋体"/>
          <w:color w:val="000000"/>
          <w:szCs w:val="24"/>
          <w:highlight w:val="none"/>
        </w:rPr>
        <w:t xml:space="preserve">苏州高新区汾湖路 99 号狮山总部经济中心7幢3-4层</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联系人：</w:t>
      </w:r>
      <w:r>
        <w:rPr>
          <w:rFonts w:hint="eastAsia" w:ascii="宋体" w:hAnsi="宋体" w:eastAsia="宋体" w:cs="宋体"/>
          <w:color w:val="000000"/>
          <w:szCs w:val="24"/>
          <w:highlight w:val="none"/>
        </w:rPr>
        <w:t xml:space="preserve">邹雅琴、邵赞瑜</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联系电话：</w:t>
      </w:r>
      <w:r>
        <w:rPr>
          <w:rFonts w:hint="eastAsia" w:ascii="宋体" w:hAnsi="宋体" w:eastAsia="宋体" w:cs="宋体"/>
          <w:color w:val="000000"/>
          <w:szCs w:val="24"/>
          <w:highlight w:val="none"/>
        </w:rPr>
        <w:t xml:space="preserve">0512-69589240</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3.项目联系方式</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项目联系人：</w:t>
      </w:r>
      <w:r>
        <w:rPr>
          <w:rFonts w:hint="eastAsia" w:ascii="宋体" w:hAnsi="宋体" w:eastAsia="宋体" w:cs="宋体"/>
          <w:color w:val="000000"/>
          <w:szCs w:val="24"/>
          <w:highlight w:val="none"/>
        </w:rPr>
        <w:t xml:space="preserve">邹雅琴、邵赞瑜</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电话：</w:t>
      </w:r>
      <w:r>
        <w:rPr>
          <w:rFonts w:hint="eastAsia" w:ascii="宋体" w:hAnsi="宋体" w:eastAsia="宋体" w:cs="宋体"/>
          <w:color w:val="000000"/>
          <w:szCs w:val="24"/>
          <w:highlight w:val="none"/>
        </w:rPr>
        <w:t xml:space="preserve">0512-69589240</w:t>
      </w:r>
      <w:r>
        <w:rPr>
          <w:rFonts w:hint="eastAsia" w:ascii="宋体" w:hAnsi="宋体" w:eastAsia="宋体" w:cs="宋体"/>
          <w:color w:val="000000"/>
          <w:szCs w:val="24"/>
          <w:highlight w:val="none"/>
        </w:rPr>
      </w:r>
      <w:r/>
    </w:p>
    <w:p>
      <w:pPr>
        <w:pStyle w:val="734"/>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9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0"/>
        <w:jc w:val="right"/>
        <w:spacing w:line="400" w:lineRule="exact"/>
        <w:widowControl w:val="off"/>
        <w:tabs>
          <w:tab w:val="left" w:pos="148"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center"/>
        <w:spacing w:line="400" w:lineRule="exact"/>
        <w:widowControl w:val="off"/>
        <w:tabs>
          <w:tab w:val="left" w:pos="148" w:leader="none"/>
        </w:tabs>
        <w:rPr>
          <w:rFonts w:ascii="宋体" w:hAnsi="宋体" w:eastAsia="宋体" w:cs="宋体"/>
          <w:b/>
          <w:bCs/>
          <w:color w:val="000000"/>
          <w:sz w:val="32"/>
          <w:szCs w:val="32"/>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32"/>
          <w:szCs w:val="32"/>
          <w:highlight w:val="none"/>
        </w:rPr>
        <w:t xml:space="preserve">第二章</w:t>
      </w:r>
      <w:r>
        <w:rPr>
          <w:rFonts w:hint="eastAsia"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t xml:space="preserve">投标人须知</w:t>
      </w:r>
      <w:r>
        <w:rPr>
          <w:rFonts w:ascii="宋体" w:hAnsi="宋体" w:eastAsia="宋体" w:cs="宋体"/>
          <w:b/>
          <w:bCs/>
          <w:color w:val="000000"/>
          <w:sz w:val="32"/>
          <w:szCs w:val="32"/>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一、说明和释义</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1、说明</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1.1本</w:t>
      </w:r>
      <w:r>
        <w:rPr>
          <w:rFonts w:hint="eastAsia" w:ascii="宋体" w:hAnsi="宋体" w:eastAsia="宋体" w:cs="宋体"/>
          <w:color w:val="000000"/>
          <w:sz w:val="24"/>
          <w:szCs w:val="24"/>
          <w:highlight w:val="none"/>
        </w:rPr>
        <w:t xml:space="preserve">招标文件仅适用于涵熙（苏州）工程顾问有限公司组织的采购活动。</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本次招标活动及因本次招标产生的合同受中国法律制约和保护。</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1.3本</w:t>
      </w:r>
      <w:r>
        <w:rPr>
          <w:rFonts w:hint="eastAsia" w:ascii="宋体" w:hAnsi="宋体" w:eastAsia="宋体" w:cs="宋体"/>
          <w:color w:val="000000"/>
          <w:sz w:val="24"/>
          <w:szCs w:val="24"/>
          <w:highlight w:val="none"/>
        </w:rPr>
        <w:t xml:space="preserve">招标文件的解释权属于涵熙（苏州）工程顾问有限公司。</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2、词语释义</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2.1采购人：指依法进行政府采购的国家机关、事业单位、团体组织。</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2.2采购代理机构：指依法接受采购人委托，从事货物、工程和服务等政府采购代理业务的社会中介机构。</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2.3投标人：指响应招标、参加投标竞争的法人、其他组织或者自然人。</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2.4响应：投标人根据采购人或采购代理机构发布的招标文件，编制投标文件并按规定投标的行为。</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2.5合同：采供双方根据招标文件和中标的投标文件及中标通知书规定的内容签署的以书面形式所达成的协议，包括所有的附件、附录和构成协议的所有文件。</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2.6甲方（采购人）：合同中明确规定的实际购买货物和服务的法人或其他组织和自然人。</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2.7乙方（供应商）：合同中规定的向采购人提供货物和服务的法人或其他组织和自然人。</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2.8货物：系指乙方按招标采购文件规定，应向甲方提供的一切设备、备品、备件、工具、手册及其它有关技术资料和材料。</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2.10知识产权：指专利权、商标权、著作权等无形财产专有权的统称。</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2.11天：日历日。</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2.12时间：除特别说明，均指北京时间。</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2.13交货地点：合同中明确约定的乙方提交的货物和服务最终到达地点。</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2.14合同价款：根据合同规定，乙方在正确地履行合同义务后甲方应支付乙方的价款。</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2.15产地：货物开采、生长、生产、最终制造、加工或提供服务的来源地。</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2.16不可抗力：不能预见、不能避免并且不能克服的客观情况。</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2.17实质响应：满足有关本次采购标的、数量、质量、价款或者报酬、履行期限、履行地点和方式、违约责任和解决争议方法等要求。</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2.18进口产品：通过中国海关报关验放进入中国境内且产自关境外的产品。</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2.19书面形式：指书面文字、合同书、信件和传真等可以有形地表现所载内容的形式。</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2.20核心产品：根据本项目技术构成、产品价格比重等合理确定的产品。</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二、投标人</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color w:val="000000"/>
          <w:sz w:val="24"/>
          <w:szCs w:val="24"/>
          <w:highlight w:val="none"/>
        </w:rPr>
      </w:pPr>
      <w:r>
        <w:rPr>
          <w:rFonts w:ascii="宋体" w:hAnsi="宋体" w:eastAsia="宋体" w:cs="宋体"/>
          <w:b/>
          <w:bCs/>
          <w:color w:val="000000"/>
          <w:sz w:val="24"/>
          <w:szCs w:val="24"/>
          <w:highlight w:val="none"/>
        </w:rPr>
        <w:t xml:space="preserve">3、投标人资格要求：详见本项目招标公告中的“申请人的资格要求”</w:t>
      </w:r>
      <w:r>
        <w:rPr>
          <w:rFonts w:hint="eastAsia" w:ascii="宋体" w:hAnsi="宋体" w:eastAsia="宋体" w:cs="宋体"/>
          <w:b/>
          <w:bCs/>
          <w:color w:val="000000"/>
          <w:sz w:val="24"/>
          <w:szCs w:val="24"/>
          <w:highlight w:val="none"/>
        </w:rPr>
        <w:t xml:space="preserve">。</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4、投标人代表</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4.1指全权代表投标人参加投标活动并签署投标文件的人，如果投标人代表不是法定代表人，须持有《</w:t>
      </w:r>
      <w:r>
        <w:rPr>
          <w:rFonts w:hint="eastAsia" w:ascii="宋体" w:hAnsi="宋体" w:eastAsia="宋体" w:cs="宋体"/>
          <w:color w:val="000000"/>
          <w:sz w:val="24"/>
          <w:szCs w:val="24"/>
          <w:highlight w:val="none"/>
        </w:rPr>
        <w:t xml:space="preserve">法定代表人授权委托书》</w:t>
      </w:r>
      <w:r>
        <w:rPr>
          <w:rFonts w:ascii="宋体" w:hAnsi="宋体" w:eastAsia="宋体" w:cs="宋体"/>
          <w:color w:val="000000"/>
          <w:sz w:val="24"/>
          <w:szCs w:val="24"/>
          <w:highlight w:val="none"/>
        </w:rPr>
        <w:t xml:space="preserve">(详见统一格式)。</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5、投标费用</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5.1无论投标过程中的做法和结果如何，投标人自行承担所有与参加投标有关的全部费用。</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6、联合体投标</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本项目不接受联合体投标。</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三、招标文件的说明</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t xml:space="preserve">招标文件</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t xml:space="preserve">招标文件由招标文件目录所列内容组成。投标人应详细阅读招标文件的全部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响应）文件将被视为未实质性响应。</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lang w:bidi="ar"/>
        </w:rPr>
        <w:t xml:space="preserve">及其补充通知（包括更正公告）</w:t>
      </w:r>
      <w:r>
        <w:rPr>
          <w:rFonts w:hint="eastAsia" w:ascii="宋体" w:hAnsi="宋体" w:eastAsia="宋体" w:cs="宋体"/>
          <w:color w:val="000000"/>
          <w:sz w:val="24"/>
          <w:szCs w:val="24"/>
          <w:highlight w:val="none"/>
        </w:rPr>
        <w:t xml:space="preserve">未按本招标文件规定的方式获得的，采</w:t>
      </w:r>
      <w:r>
        <w:rPr>
          <w:rFonts w:hint="eastAsia" w:ascii="宋体" w:hAnsi="宋体" w:eastAsia="宋体" w:cs="宋体"/>
          <w:color w:val="000000"/>
          <w:sz w:val="24"/>
          <w:szCs w:val="24"/>
          <w:highlight w:val="none"/>
          <w:lang w:bidi="ar"/>
        </w:rPr>
        <w:t xml:space="preserve">购人或采购代理机构对招标文件及其补遗的真实性、完整性不承担任何责任。</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t xml:space="preserve">招标文件的询问与澄清</w:t>
      </w:r>
      <w:r>
        <w:rPr>
          <w:rFonts w:ascii="宋体" w:hAnsi="宋体" w:eastAsia="宋体" w:cs="宋体"/>
          <w:b/>
          <w:bCs/>
          <w:color w:val="000000"/>
          <w:sz w:val="24"/>
          <w:szCs w:val="24"/>
          <w:highlight w:val="none"/>
        </w:rPr>
        <w:t xml:space="preserve">(修改)</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2为保证投标人有足够时间修正投标文件，或出于其他合理原因，采购代理机构可依法顺延投标截止时间和开标时间。</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rPr>
        <w:t xml:space="preserve">、质疑</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9.1供应商认为本</w:t>
      </w:r>
      <w:r>
        <w:rPr>
          <w:rFonts w:hint="eastAsia" w:ascii="宋体" w:hAnsi="宋体" w:eastAsia="宋体" w:cs="宋体"/>
          <w:color w:val="000000"/>
          <w:sz w:val="24"/>
          <w:szCs w:val="24"/>
          <w:highlight w:val="none"/>
        </w:rPr>
        <w:t xml:space="preserve">招标文件使自己的权益受到损害的，应在知道或者应知权益受到损害之日起七个工作日内，以书面形式向采购代理机构提出质疑。采购代理机构应当在收到投标人书面质疑后七个工作日内作出答复。</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9.2根据</w:t>
      </w:r>
      <w:r>
        <w:rPr>
          <w:rFonts w:hint="eastAsia" w:ascii="宋体" w:hAnsi="宋体" w:eastAsia="宋体" w:cs="宋体"/>
          <w:color w:val="000000"/>
          <w:sz w:val="24"/>
          <w:szCs w:val="24"/>
          <w:highlight w:val="none"/>
        </w:rPr>
        <w:t xml:space="preserve">《政府采购质疑和投诉办法》（</w:t>
      </w:r>
      <w:r>
        <w:rPr>
          <w:rFonts w:ascii="宋体" w:hAnsi="宋体" w:eastAsia="宋体" w:cs="宋体"/>
          <w:color w:val="000000"/>
          <w:sz w:val="24"/>
          <w:szCs w:val="24"/>
          <w:highlight w:val="none"/>
        </w:rPr>
        <w:t xml:space="preserve">财政部94号令</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第十一条规定，提出质疑的供应商应当是参与所质疑项目采购活动的供应商。潜在供应商应当依法报名获取本</w:t>
      </w:r>
      <w:r>
        <w:rPr>
          <w:rFonts w:hint="eastAsia" w:ascii="宋体" w:hAnsi="宋体" w:eastAsia="宋体" w:cs="宋体"/>
          <w:color w:val="000000"/>
          <w:sz w:val="24"/>
          <w:szCs w:val="24"/>
          <w:highlight w:val="none"/>
        </w:rPr>
        <w:t xml:space="preserve">招标文件后可以依法进行质疑。</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9.3供应商如对本项目提出质疑须在法定质疑期内一次性提出针对同一采购程序环节的质疑。</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9.4接受质疑函的方式：当场送达或邮寄方式。</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9.5联系单位：涵熙（苏州）工程顾问有限公司</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9.6收件人：邹雅琴</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9.7联系电话：0512-69589240</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9.8通讯地址：</w:t>
      </w:r>
      <w:r>
        <w:rPr>
          <w:rFonts w:hint="eastAsia" w:ascii="宋体" w:hAnsi="宋体" w:eastAsia="宋体" w:cs="宋体"/>
          <w:color w:val="000000"/>
          <w:sz w:val="24"/>
          <w:szCs w:val="24"/>
          <w:highlight w:val="none"/>
        </w:rPr>
        <w:t xml:space="preserve">苏州高新区汾湖路 99 号狮山总部经济中心7幢3层</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10</w:t>
      </w:r>
      <w:r>
        <w:rPr>
          <w:rFonts w:hint="eastAsia" w:ascii="宋体" w:hAnsi="宋体" w:eastAsia="宋体" w:cs="宋体"/>
          <w:b/>
          <w:bCs/>
          <w:color w:val="000000"/>
          <w:sz w:val="24"/>
          <w:szCs w:val="24"/>
          <w:highlight w:val="none"/>
        </w:rPr>
        <w:t xml:space="preserve">、勘查现场</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10.1根据自身投标需要，投标人对有关现场和周围环境进行勘查，以获取编制投标文件和签署合同所需的信息。勘查现场所发生的费用由投标人自己承担。</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10.3经采购人允许，投标人可为勘查目的进入采购人的项目现场，但投标人不得因此使采购人承担有关的责任和蒙受损失。投标人应承担勘查现场的责任和风险。</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10.4投标人应在现场勘查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四、投标文件说明</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11、提示与要求</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11.1投标人应仔细阅读</w:t>
      </w:r>
      <w:r>
        <w:rPr>
          <w:rFonts w:hint="eastAsia" w:ascii="宋体" w:hAnsi="宋体" w:eastAsia="宋体" w:cs="宋体"/>
          <w:color w:val="000000"/>
          <w:sz w:val="24"/>
          <w:szCs w:val="24"/>
          <w:highlight w:val="none"/>
        </w:rPr>
        <w:t xml:space="preserve">招标文件的所有内容，按招标文件的要求提供投标文件，并保证所提供的全部资料的真实性，以使其投标对招标文件做出实质性响应，否则，其投标可能被拒绝。</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11.2无论是否递交投标文件，投标人都应将</w:t>
      </w:r>
      <w:r>
        <w:rPr>
          <w:rFonts w:hint="eastAsia" w:ascii="宋体" w:hAnsi="宋体" w:eastAsia="宋体" w:cs="宋体"/>
          <w:color w:val="000000"/>
          <w:sz w:val="24"/>
          <w:szCs w:val="24"/>
          <w:highlight w:val="none"/>
        </w:rPr>
        <w:t xml:space="preserve">招标文件及以后的所有通知、文件等视为保密文件。</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12、投标文件计量单位和使用文字</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12.1投标文件中所使用的计量单位，除</w:t>
      </w:r>
      <w:r>
        <w:rPr>
          <w:rFonts w:hint="eastAsia" w:ascii="宋体" w:hAnsi="宋体" w:eastAsia="宋体" w:cs="宋体"/>
          <w:color w:val="000000"/>
          <w:sz w:val="24"/>
          <w:szCs w:val="24"/>
          <w:highlight w:val="none"/>
        </w:rPr>
        <w:t xml:space="preserve">招标文件中有特殊要求外，均应使用中华人民共和国法定计量单位。</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13、</w:t>
      </w:r>
      <w:bookmarkStart w:id="0" w:name="_Hlk160095009"/>
      <w:r>
        <w:rPr>
          <w:rFonts w:ascii="宋体" w:hAnsi="宋体" w:eastAsia="宋体" w:cs="宋体"/>
          <w:b/>
          <w:bCs/>
          <w:color w:val="000000"/>
          <w:sz w:val="24"/>
          <w:szCs w:val="24"/>
          <w:highlight w:val="none"/>
        </w:rPr>
        <w:t xml:space="preserve">投标文件的组成</w:t>
      </w:r>
      <w:bookmarkEnd w:id="0"/>
      <w:r>
        <w:rPr>
          <w:rFonts w:hint="eastAsia" w:ascii="宋体" w:hAnsi="宋体" w:eastAsia="宋体" w:cs="宋体"/>
          <w:b/>
          <w:bCs/>
          <w:color w:val="000000"/>
          <w:sz w:val="24"/>
          <w:szCs w:val="24"/>
          <w:highlight w:val="none"/>
        </w:rPr>
        <w:t xml:space="preserve">（部分格式见第三章）</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color w:val="000000"/>
          <w:sz w:val="24"/>
          <w:szCs w:val="24"/>
          <w:highlight w:val="none"/>
        </w:rPr>
      </w:pPr>
      <w:r>
        <w:rPr>
          <w:rFonts w:ascii="宋体" w:hAnsi="宋体" w:eastAsia="宋体" w:cs="宋体"/>
          <w:b/>
          <w:bCs/>
          <w:color w:val="000000"/>
          <w:sz w:val="24"/>
          <w:szCs w:val="24"/>
          <w:highlight w:val="none"/>
        </w:rPr>
        <w:t xml:space="preserve">13.1</w:t>
      </w:r>
      <w:r>
        <w:rPr>
          <w:rFonts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t xml:space="preserve">，无格式，具体按照“苏采云”系统要求填报；</w:t>
      </w:r>
      <w:r>
        <w:rPr>
          <w:rFonts w:ascii="宋体" w:hAnsi="宋体" w:eastAsia="宋体" w:cs="宋体"/>
          <w:b/>
          <w:color w:val="000000"/>
          <w:sz w:val="24"/>
          <w:szCs w:val="24"/>
          <w:highlight w:val="none"/>
        </w:rPr>
      </w:r>
      <w:r/>
    </w:p>
    <w:p>
      <w:pPr>
        <w:pStyle w:val="698"/>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13.2投标分项报价明细表；</w:t>
      </w:r>
      <w:r>
        <w:rPr>
          <w:rFonts w:hint="eastAsia" w:ascii="宋体" w:hAnsi="宋体" w:eastAsia="宋体" w:cs="宋体"/>
          <w:b/>
          <w:color w:val="000000"/>
          <w:sz w:val="24"/>
          <w:szCs w:val="24"/>
          <w:highlight w:val="none"/>
        </w:rPr>
      </w:r>
      <w:r/>
    </w:p>
    <w:p>
      <w:pPr>
        <w:pStyle w:val="698"/>
        <w:ind w:firstLine="482"/>
        <w:jc w:val="both"/>
        <w:spacing w:line="360" w:lineRule="auto"/>
        <w:widowControl w:val="off"/>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13.</w:t>
      </w:r>
      <w:r>
        <w:rPr>
          <w:rFonts w:hint="eastAsia" w:ascii="宋体" w:hAnsi="宋体" w:eastAsia="宋体" w:cs="宋体"/>
          <w:b/>
          <w:color w:val="000000"/>
          <w:sz w:val="24"/>
          <w:szCs w:val="24"/>
          <w:highlight w:val="none"/>
        </w:rPr>
        <w:t xml:space="preserve">3</w:t>
      </w:r>
      <w:r>
        <w:rPr>
          <w:rFonts w:ascii="宋体" w:hAnsi="宋体" w:eastAsia="宋体" w:cs="宋体"/>
          <w:b/>
          <w:color w:val="000000"/>
          <w:sz w:val="24"/>
          <w:szCs w:val="24"/>
          <w:highlight w:val="none"/>
        </w:rPr>
        <w:t xml:space="preserve">资格</w:t>
      </w:r>
      <w:r>
        <w:rPr>
          <w:rFonts w:hint="eastAsia" w:ascii="宋体" w:hAnsi="宋体" w:eastAsia="宋体" w:cs="宋体"/>
          <w:b/>
          <w:color w:val="000000"/>
          <w:sz w:val="24"/>
          <w:szCs w:val="24"/>
          <w:highlight w:val="none"/>
        </w:rPr>
        <w:t xml:space="preserve">审查文件（资格条件要求提供的材料是作为对</w:t>
      </w:r>
      <w:r>
        <w:rPr>
          <w:rFonts w:hint="eastAsia" w:ascii="宋体" w:hAnsi="宋体" w:eastAsia="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rPr>
        <w:t xml:space="preserve">资格审查、质疑身份认定的依据。必须清晰可辨，</w:t>
      </w:r>
      <w:r>
        <w:rPr>
          <w:rFonts w:hint="eastAsia" w:ascii="宋体" w:hAnsi="宋体" w:eastAsia="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rPr>
        <w:t xml:space="preserve">必须提供并加盖电子签章。否则，投标文件将被认定为不符合资格审查要求。）：</w:t>
      </w:r>
      <w:r>
        <w:rPr>
          <w:rFonts w:ascii="宋体" w:hAnsi="宋体" w:eastAsia="宋体" w:cs="宋体"/>
          <w:b/>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1具有独立承担民事责任的能力证明。</w:t>
      </w:r>
      <w:r>
        <w:rPr>
          <w:rFonts w:hint="eastAsia" w:ascii="宋体" w:hAnsi="宋体" w:eastAsia="宋体" w:cs="宋体"/>
          <w:color w:val="000000"/>
          <w:sz w:val="24"/>
          <w:szCs w:val="24"/>
          <w:highlight w:val="none"/>
        </w:rPr>
        <w:t xml:space="preserve">需提供</w:t>
      </w:r>
      <w:r>
        <w:rPr>
          <w:rFonts w:ascii="宋体" w:hAnsi="宋体" w:eastAsia="宋体" w:cs="宋体"/>
          <w:color w:val="000000"/>
          <w:sz w:val="24"/>
          <w:szCs w:val="24"/>
          <w:highlight w:val="none"/>
        </w:rPr>
        <w:t xml:space="preserve">包括法人或者其他组织的营业执照等证明文件，自然人的身份证明；</w:t>
      </w:r>
      <w:r>
        <w:rPr>
          <w:rFonts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2具有良好的商业信誉和健全的财务会计制度证明。</w:t>
      </w:r>
      <w:r>
        <w:rPr>
          <w:rFonts w:hint="eastAsia" w:ascii="宋体" w:hAnsi="宋体" w:eastAsia="宋体" w:cs="宋体"/>
          <w:color w:val="000000"/>
          <w:sz w:val="24"/>
          <w:szCs w:val="24"/>
          <w:highlight w:val="none"/>
        </w:rPr>
        <w:t xml:space="preserve">需提供包括但不限于最近一年度经审计的财务报告，其他组织、自然人及成立未满一年的法人应提供银行出具的资信证明；</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13.3.3具有履行合同所必备的设备和专业技术能力。需提供具有履行合同所必备的设备和专业技术能力的证明材料或承诺；</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13.3.4有依法缴纳税收和社会保</w:t>
      </w:r>
      <w:r>
        <w:rPr>
          <w:rFonts w:ascii="宋体" w:hAnsi="宋体" w:eastAsia="宋体" w:cs="宋体"/>
          <w:color w:val="000000"/>
          <w:sz w:val="24"/>
          <w:szCs w:val="24"/>
          <w:highlight w:val="none"/>
        </w:rPr>
        <w:t xml:space="preserve">障资金的良好记录。</w:t>
      </w:r>
      <w:r>
        <w:rPr>
          <w:rFonts w:hint="eastAsia" w:ascii="宋体" w:hAnsi="宋体" w:eastAsia="宋体" w:cs="宋体"/>
          <w:color w:val="000000"/>
          <w:sz w:val="24"/>
          <w:szCs w:val="24"/>
          <w:highlight w:val="none"/>
        </w:rPr>
        <w:t xml:space="preserve">需提供</w:t>
      </w:r>
      <w:r>
        <w:rPr>
          <w:rFonts w:hint="eastAsia" w:ascii="宋体" w:hAnsi="宋体" w:eastAsia="宋体" w:cs="宋体"/>
          <w:bCs/>
          <w:color w:val="000000"/>
          <w:sz w:val="24"/>
          <w:szCs w:val="24"/>
          <w:highlight w:val="none"/>
          <w:lang w:bidi="ar"/>
        </w:rPr>
        <w:t xml:space="preserve">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000000"/>
          <w:sz w:val="24"/>
          <w:szCs w:val="24"/>
          <w:highlight w:val="none"/>
          <w:lang w:bidi="ar"/>
        </w:rPr>
        <w:t xml:space="preserve">。注：依法免税或不需要缴纳社会保障资金的供应商，应提供相应证明资料证明其依法免税或不需要缴纳社会保障资金，否则不予认可；</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需提供</w:t>
      </w:r>
      <w:r>
        <w:rPr>
          <w:rFonts w:ascii="宋体" w:hAnsi="宋体" w:eastAsia="宋体" w:cs="宋体"/>
          <w:color w:val="000000"/>
          <w:sz w:val="24"/>
          <w:szCs w:val="24"/>
          <w:highlight w:val="none"/>
        </w:rPr>
        <w:t xml:space="preserve">书面声明函</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法律、行政法规规定的其他条件；</w:t>
      </w:r>
      <w:r>
        <w:rPr>
          <w:rFonts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13.3.7本项目的其他特定资格要求：未被“信用中国”网站（www.creditchina.gov.cn）列入失信被执行人、重大税收违法案件当事人名单、政府采购严重失信行为记录名单。需提供“信用中国”网站下载的信用报告复印件。</w:t>
      </w:r>
      <w:r>
        <w:rPr>
          <w:rFonts w:hint="eastAsia" w:ascii="宋体" w:hAnsi="宋体" w:eastAsia="宋体" w:cs="宋体"/>
          <w:color w:val="000000"/>
          <w:sz w:val="24"/>
          <w:szCs w:val="24"/>
          <w:highlight w:val="none"/>
        </w:rPr>
      </w:r>
      <w:r/>
    </w:p>
    <w:p>
      <w:pPr>
        <w:pStyle w:val="698"/>
        <w:ind w:firstLine="48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13.4符合性审查文件：</w:t>
      </w:r>
      <w:r>
        <w:rPr>
          <w:rFonts w:hint="eastAsia" w:ascii="宋体" w:hAnsi="宋体" w:eastAsia="宋体" w:cs="宋体"/>
          <w:b/>
          <w:color w:val="000000"/>
          <w:sz w:val="24"/>
          <w:szCs w:val="24"/>
          <w:highlight w:val="none"/>
        </w:rPr>
      </w:r>
      <w:r/>
    </w:p>
    <w:p>
      <w:pPr>
        <w:pStyle w:val="698"/>
        <w:ind w:firstLine="480"/>
        <w:jc w:val="both"/>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13.4.1</w:t>
      </w:r>
      <w:r>
        <w:rPr>
          <w:rFonts w:hint="eastAsia" w:ascii="宋体" w:hAnsi="宋体" w:eastAsia="宋体" w:cs="宋体"/>
          <w:b/>
          <w:bCs/>
          <w:color w:val="000000"/>
          <w:sz w:val="24"/>
          <w:szCs w:val="24"/>
          <w:highlight w:val="none"/>
        </w:rPr>
        <w:t xml:space="preserve">报价要求</w:t>
      </w:r>
      <w:r>
        <w:rPr>
          <w:rFonts w:ascii="宋体" w:hAnsi="宋体" w:eastAsia="宋体" w:cs="宋体"/>
          <w:b/>
          <w:bCs/>
          <w:color w:val="000000"/>
          <w:sz w:val="24"/>
          <w:szCs w:val="24"/>
          <w:highlight w:val="none"/>
          <w:lang w:val="en-US" w:eastAsia="zh-CN"/>
        </w:rPr>
      </w:r>
      <w:r/>
    </w:p>
    <w:p>
      <w:pPr>
        <w:pStyle w:val="698"/>
        <w:ind w:firstLine="48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13.4.1.1</w:t>
      </w:r>
      <w:r>
        <w:rPr>
          <w:rFonts w:hint="eastAsia" w:ascii="宋体" w:hAnsi="宋体" w:eastAsia="宋体" w:cs="宋体"/>
          <w:color w:val="000000"/>
          <w:sz w:val="24"/>
          <w:szCs w:val="24"/>
          <w:highlight w:val="none"/>
        </w:rPr>
        <w:t xml:space="preserve">投标报价合理性说明（如有）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98"/>
        <w:ind w:firstLine="48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13.4.1.2</w:t>
      </w:r>
      <w:r>
        <w:rPr>
          <w:rFonts w:hint="eastAsia" w:ascii="宋体" w:hAnsi="宋体" w:eastAsia="宋体" w:cs="宋体"/>
          <w:color w:val="000000"/>
          <w:sz w:val="24"/>
          <w:szCs w:val="24"/>
          <w:highlight w:val="none"/>
        </w:rPr>
        <w:t xml:space="preserve">其他有关报价要求符合性证明的文件（如有）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98"/>
        <w:ind w:firstLine="480"/>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13.4.2商务要求</w:t>
      </w:r>
      <w:r>
        <w:rPr>
          <w:rFonts w:hint="eastAsia" w:ascii="宋体" w:hAnsi="宋体" w:eastAsia="宋体" w:cs="宋体"/>
          <w:b/>
          <w:bCs/>
          <w:color w:val="000000"/>
          <w:sz w:val="24"/>
          <w:szCs w:val="24"/>
          <w:highlight w:val="none"/>
          <w:lang w:val="en-US" w:eastAsia="zh-CN"/>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投标函；</w:t>
      </w:r>
      <w:r>
        <w:rPr>
          <w:rFonts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3投标人情况表；</w:t>
      </w:r>
      <w:r>
        <w:rPr>
          <w:rFonts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4投标（响应）保证承诺书；</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与其他单位存在控股、管理关系情况表；</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2.6</w:t>
      </w:r>
      <w:r>
        <w:rPr>
          <w:rFonts w:ascii="宋体" w:hAnsi="宋体" w:eastAsia="宋体" w:cs="宋体"/>
          <w:color w:val="000000"/>
          <w:sz w:val="24"/>
          <w:szCs w:val="24"/>
          <w:highlight w:val="none"/>
        </w:rPr>
        <w:t xml:space="preserve">法定代表人身份证复印件；</w:t>
      </w:r>
      <w:r>
        <w:rPr>
          <w:rFonts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授权委托书、投标人授权代理人身份证复印件（</w:t>
      </w:r>
      <w:r>
        <w:rPr>
          <w:rFonts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eastAsia="zh-CN"/>
        </w:rPr>
        <w:t xml:space="preserve">售后服务</w:t>
      </w:r>
      <w:r>
        <w:rPr>
          <w:rFonts w:hint="eastAsia" w:ascii="宋体" w:hAnsi="宋体" w:eastAsia="宋体" w:cs="宋体"/>
          <w:color w:val="000000"/>
          <w:sz w:val="24"/>
          <w:szCs w:val="24"/>
          <w:highlight w:val="none"/>
          <w:lang w:val="en-US" w:eastAsia="zh-CN"/>
        </w:rPr>
        <w:t xml:space="preserve">承诺函（自拟）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商务要求偏离表；</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Times New Roman" w:hAnsi="Times New Roman" w:eastAsia="Arial" w:cs="Times New Roman"/>
          <w:color w:val="000000"/>
          <w:sz w:val="21"/>
          <w:szCs w:val="21"/>
          <w:highlight w:val="none"/>
          <w:lang w:val="en-US" w:eastAsia="zh-CN"/>
        </w:rPr>
      </w:pPr>
      <w:r>
        <w:rPr>
          <w:rFonts w:hint="eastAsia" w:ascii="宋体" w:hAnsi="宋体" w:eastAsia="宋体" w:cs="宋体"/>
          <w:color w:val="000000"/>
          <w:sz w:val="24"/>
          <w:szCs w:val="24"/>
          <w:highlight w:val="none"/>
          <w:lang w:val="en-US" w:eastAsia="zh-CN"/>
        </w:rPr>
        <w:t xml:space="preserve">13.4.2.10</w:t>
      </w:r>
      <w:r>
        <w:rPr>
          <w:rFonts w:hint="eastAsia" w:ascii="宋体" w:hAnsi="宋体" w:eastAsia="宋体" w:cs="宋体"/>
          <w:color w:val="000000"/>
          <w:sz w:val="24"/>
          <w:szCs w:val="24"/>
          <w:highlight w:val="none"/>
        </w:rPr>
        <w:t xml:space="preserve">其他有关</w:t>
      </w:r>
      <w:r>
        <w:rPr>
          <w:rFonts w:hint="eastAsia" w:ascii="宋体" w:hAnsi="宋体" w:eastAsia="宋体" w:cs="宋体"/>
          <w:color w:val="000000"/>
          <w:sz w:val="24"/>
          <w:szCs w:val="24"/>
          <w:highlight w:val="none"/>
          <w:lang w:val="en-US" w:eastAsia="zh-CN"/>
        </w:rPr>
        <w:t xml:space="preserve">商务要求</w:t>
      </w:r>
      <w:r>
        <w:rPr>
          <w:rFonts w:hint="eastAsia" w:ascii="宋体" w:hAnsi="宋体" w:eastAsia="宋体" w:cs="宋体"/>
          <w:color w:val="000000"/>
          <w:sz w:val="24"/>
          <w:szCs w:val="24"/>
          <w:highlight w:val="none"/>
        </w:rPr>
        <w:t xml:space="preserve">符合性证明的文件（如有）。</w:t>
      </w:r>
      <w:r>
        <w:rPr>
          <w:rFonts w:ascii="Times New Roman" w:hAnsi="Times New Roman" w:eastAsia="Arial" w:cs="Times New Roman"/>
          <w:color w:val="000000"/>
          <w:sz w:val="21"/>
          <w:szCs w:val="21"/>
          <w:highlight w:val="none"/>
          <w:lang w:val="en-US" w:eastAsia="zh-CN"/>
        </w:rPr>
      </w:r>
      <w:r/>
    </w:p>
    <w:p>
      <w:pPr>
        <w:pStyle w:val="698"/>
        <w:ind w:firstLine="480"/>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13.4.3技术要求</w:t>
      </w:r>
      <w:r>
        <w:rPr>
          <w:rFonts w:hint="eastAsia" w:ascii="宋体" w:hAnsi="宋体" w:eastAsia="宋体" w:cs="宋体"/>
          <w:b/>
          <w:bCs/>
          <w:color w:val="000000"/>
          <w:sz w:val="24"/>
          <w:szCs w:val="24"/>
          <w:highlight w:val="none"/>
          <w:lang w:val="en-US" w:eastAsia="zh-CN"/>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投标货物数量、品牌规格、性能、交货期说明表；</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highlight w:val="none"/>
          <w:lang w:eastAsia="zh-CN"/>
        </w:rPr>
        <w:t xml:space="preserve">投入本项目技术（服务）人员一览表及相关证明材料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技术要求偏离表；</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lang w:val="en-US" w:eastAsia="zh-CN"/>
        </w:rPr>
      </w:pPr>
      <w:r>
        <w:rPr>
          <w:rFonts w:hint="eastAsia" w:ascii="宋体" w:hAnsi="宋体" w:eastAsia="宋体" w:cs="宋体"/>
          <w:color w:val="000000"/>
          <w:sz w:val="24"/>
          <w:szCs w:val="24"/>
          <w:highlight w:val="none"/>
          <w:lang w:val="en-US" w:eastAsia="zh-CN"/>
        </w:rPr>
        <w:t xml:space="preserve">13.4.3.4</w:t>
      </w:r>
      <w:r>
        <w:rPr>
          <w:rFonts w:hint="eastAsia" w:ascii="宋体" w:hAnsi="宋体" w:eastAsia="宋体" w:cs="宋体"/>
          <w:color w:val="000000"/>
          <w:sz w:val="24"/>
          <w:szCs w:val="24"/>
          <w:highlight w:val="none"/>
        </w:rPr>
        <w:t xml:space="preserve">其他有关</w:t>
      </w:r>
      <w:r>
        <w:rPr>
          <w:rFonts w:hint="eastAsia" w:ascii="宋体" w:hAnsi="宋体" w:eastAsia="宋体" w:cs="宋体"/>
          <w:color w:val="000000"/>
          <w:sz w:val="24"/>
          <w:szCs w:val="24"/>
          <w:highlight w:val="none"/>
          <w:lang w:val="en-US" w:eastAsia="zh-CN"/>
        </w:rPr>
        <w:t xml:space="preserve">技术要求</w:t>
      </w:r>
      <w:r>
        <w:rPr>
          <w:rFonts w:hint="eastAsia" w:ascii="宋体" w:hAnsi="宋体" w:eastAsia="宋体" w:cs="宋体"/>
          <w:color w:val="000000"/>
          <w:sz w:val="24"/>
          <w:szCs w:val="24"/>
          <w:highlight w:val="none"/>
        </w:rPr>
        <w:t xml:space="preserve">符合性证明的文件（如有）。</w:t>
      </w:r>
      <w:r>
        <w:rPr>
          <w:lang w:val="en-US" w:eastAsia="zh-CN"/>
        </w:rPr>
      </w:r>
      <w:r/>
    </w:p>
    <w:p>
      <w:pPr>
        <w:pStyle w:val="698"/>
        <w:ind w:firstLine="482"/>
        <w:jc w:val="both"/>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rPr>
        <w:t xml:space="preserve">5综合评审文件（评分要点及技术要求）：</w:t>
      </w:r>
      <w:r>
        <w:rPr>
          <w:rFonts w:ascii="宋体" w:hAnsi="宋体" w:eastAsia="宋体" w:cs="宋体"/>
          <w:b/>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.1</w:t>
      </w:r>
      <w:r>
        <w:rPr>
          <w:rFonts w:hint="eastAsia" w:ascii="宋体" w:hAnsi="宋体"/>
          <w:color w:val="000000"/>
          <w:sz w:val="24"/>
          <w:szCs w:val="24"/>
          <w:highlight w:val="none"/>
          <w:lang w:eastAsia="zh-CN"/>
        </w:rPr>
        <w:t xml:space="preserve">项目的技术及服务方案</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color w:val="000000"/>
          <w:sz w:val="24"/>
          <w:highlight w:val="none"/>
          <w:lang w:eastAsia="zh-CN"/>
        </w:rPr>
        <w:t xml:space="preserve">类似项目业绩一览表及相关证明材料</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评分标准中所涉及到的其他材料等。</w:t>
      </w:r>
      <w:r>
        <w:rPr>
          <w:rFonts w:ascii="宋体" w:hAnsi="宋体" w:eastAsia="宋体" w:cs="宋体"/>
          <w:color w:val="000000"/>
          <w:sz w:val="24"/>
          <w:szCs w:val="24"/>
          <w:highlight w:val="none"/>
        </w:rPr>
      </w:r>
      <w:r/>
    </w:p>
    <w:p>
      <w:pPr>
        <w:pStyle w:val="698"/>
        <w:ind w:firstLine="482"/>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13.6企业报价折扣证明：本项目不专门面向中小企业采购，如果供应商是中小企业的，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：以上</w:t>
      </w:r>
      <w:r>
        <w:rPr>
          <w:rFonts w:ascii="宋体" w:hAnsi="宋体" w:eastAsia="宋体" w:cs="宋体"/>
          <w:b/>
          <w:bCs/>
          <w:color w:val="000000"/>
          <w:sz w:val="24"/>
          <w:szCs w:val="24"/>
          <w:highlight w:val="none"/>
        </w:rPr>
        <w:t xml:space="preserve">13.</w:t>
      </w:r>
      <w:r>
        <w:rPr>
          <w:rFonts w:hint="eastAsia" w:ascii="宋体" w:hAnsi="宋体" w:eastAsia="宋体" w:cs="宋体"/>
          <w:b/>
          <w:bCs/>
          <w:color w:val="000000"/>
          <w:sz w:val="24"/>
          <w:szCs w:val="24"/>
          <w:highlight w:val="none"/>
        </w:rPr>
        <w:t xml:space="preserve">3</w:t>
      </w:r>
      <w:r>
        <w:rPr>
          <w:rFonts w:hint="eastAsia" w:ascii="宋体" w:hAnsi="宋体" w:eastAsia="宋体" w:cs="宋体"/>
          <w:b/>
          <w:color w:val="000000"/>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注2：</w:t>
      </w:r>
      <w:r>
        <w:rPr>
          <w:rFonts w:hint="eastAsia" w:ascii="宋体" w:hAnsi="宋体" w:eastAsia="宋体" w:cs="宋体"/>
          <w:b/>
          <w:color w:val="000000"/>
          <w:sz w:val="24"/>
          <w:szCs w:val="24"/>
          <w:highlight w:val="none"/>
        </w:rPr>
        <w:t xml:space="preserve">以上13.4为符合性审查须提供的资料，投标人必须提供并加盖电子公章。否则，投标文件将被认定为未实质性响应。</w:t>
      </w:r>
      <w:r>
        <w:rPr>
          <w:rFonts w:hint="eastAsia" w:ascii="宋体" w:hAnsi="宋体" w:eastAsia="宋体" w:cs="宋体"/>
          <w:b/>
          <w:color w:val="000000"/>
          <w:sz w:val="24"/>
          <w:szCs w:val="24"/>
          <w:highlight w:val="none"/>
        </w:rPr>
      </w:r>
      <w:r/>
    </w:p>
    <w:p>
      <w:pPr>
        <w:pStyle w:val="698"/>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注3：“13.3-13.6”中不得出现投标报价。投标人所提交的资料的完整与否，将直接影响投标人的评分。</w:t>
      </w:r>
      <w:r>
        <w:rPr>
          <w:rFonts w:hint="eastAsia" w:ascii="宋体" w:hAnsi="宋体" w:eastAsia="宋体" w:cs="宋体"/>
          <w:b/>
          <w:color w:val="000000"/>
          <w:sz w:val="24"/>
          <w:szCs w:val="24"/>
          <w:highlight w:val="none"/>
        </w:rPr>
      </w:r>
      <w:r/>
    </w:p>
    <w:p>
      <w:pPr>
        <w:pStyle w:val="698"/>
        <w:ind w:firstLine="48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注4：</w:t>
      </w:r>
      <w:r>
        <w:rPr>
          <w:rFonts w:hint="eastAsia" w:ascii="宋体" w:hAnsi="宋体" w:eastAsia="宋体" w:cs="宋体"/>
          <w:b/>
          <w:color w:val="000000"/>
          <w:sz w:val="24"/>
          <w:szCs w:val="24"/>
          <w:highlight w:val="none"/>
        </w:rPr>
        <w:t xml:space="preserve">制作电子投标文件时必须与投标文件制作软件目录一一对应，将相关资料上传至相应模块。</w:t>
      </w:r>
      <w:r>
        <w:rPr>
          <w:rFonts w:hint="eastAsia" w:ascii="宋体" w:hAnsi="宋体" w:eastAsia="宋体" w:cs="宋体"/>
          <w:b/>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注5：开评标过程中如有问题采购代理机构工作人员会及时通过《投标供应商确认函》留存的手机号与供应商联系。请供应商确保该手机号通讯畅通，否则导致的不利后果由供应商自行承担。</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14、</w:t>
      </w:r>
      <w:r>
        <w:rPr>
          <w:rFonts w:hint="eastAsia" w:ascii="宋体" w:hAnsi="宋体" w:eastAsia="宋体" w:cs="宋体"/>
          <w:b/>
          <w:bCs/>
          <w:color w:val="000000"/>
          <w:sz w:val="24"/>
          <w:szCs w:val="24"/>
          <w:highlight w:val="none"/>
        </w:rPr>
        <w:t xml:space="preserve">电子投标文件编制</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14.1 </w:t>
      </w:r>
      <w:r>
        <w:rPr>
          <w:rFonts w:hint="eastAsia" w:ascii="宋体" w:hAnsi="宋体" w:eastAsia="宋体" w:cs="宋体"/>
          <w:color w:val="000000"/>
          <w:sz w:val="24"/>
          <w:szCs w:val="24"/>
          <w:highlight w:val="none"/>
        </w:rPr>
        <w:t xml:space="preserve">投标文件按统一格式、顺序编写。</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14.4投标文件未按照招标文件要求加盖CA电子公章的，投标无效。</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14.5联合体投标（本项目不允许联合体，可以忽略）：如招标(采购)公告中允许联合体投标，联合体投标的投标(响应)文件制作上传操作如下：</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第一步：在投标(响应)文件中上传联合体投标协议书。</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第二步：在投标(响应)文件中，由联合体中的牵头人制作投标(响应)文件。</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14.6如投标（响应）文件制作机器码信息一致，视为不同投标供应商使用同一台电脑编制投标（响应）文件，投标（响应）无效。</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14.7技术支持</w:t>
      </w:r>
      <w:r>
        <w:rPr>
          <w:rFonts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“苏采云”平台技术咨询电话：18261002950（不见面项目）QQ：3048755361、895706745。</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15</w:t>
      </w:r>
      <w:r>
        <w:rPr>
          <w:rFonts w:hint="eastAsia" w:ascii="宋体" w:hAnsi="宋体" w:eastAsia="宋体" w:cs="宋体"/>
          <w:b/>
          <w:bCs/>
          <w:color w:val="000000"/>
          <w:sz w:val="24"/>
          <w:szCs w:val="24"/>
          <w:highlight w:val="none"/>
        </w:rPr>
        <w:t xml:space="preserve">、投标报价</w:t>
      </w:r>
      <w:r>
        <w:rPr>
          <w:rFonts w:ascii="宋体" w:hAnsi="宋体" w:eastAsia="宋体" w:cs="宋体"/>
          <w:b/>
          <w:bCs/>
          <w:color w:val="000000"/>
          <w:sz w:val="24"/>
          <w:szCs w:val="24"/>
          <w:highlight w:val="none"/>
        </w:rPr>
        <w:t xml:space="preserve">(编制)要求的说明</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15.1除非合同中另有规定，报价表中的全部货物和服务的报价应包括为完成本项目的全部费用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包括设备、安装辅材及其备品备件和专用工具费用、税费、包装、运至最终目的地的运输、保险、现场安装调试、检测验收、</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指定部门的检测费、技术支持与培训、质保和售后服务及相关劳务支出、代理服务费等履行本合同所发生的全部费用以及</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的企业利润、税金和政策性文件规定及合同包含的所有风险、责任等各项应有费用。</w:t>
      </w:r>
      <w:r>
        <w:rPr>
          <w:rFonts w:hint="eastAsia" w:ascii="宋体" w:hAnsi="宋体" w:eastAsia="宋体" w:cs="宋体"/>
          <w:color w:val="000000"/>
          <w:sz w:val="24"/>
          <w:szCs w:val="24"/>
          <w:highlight w:val="none"/>
        </w:rPr>
        <w:t xml:space="preserve">投标报价为最终报价，除非因特殊原因并经买卖三方协商同意，投标人不得再要求追加任何费用。同时，除非合同条款中另有规定，否则，投标人所报价格在合同实施期间不因市场变化因素而变动。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15.2投标人应按采购要求中的全部货物和服务计算单价和总价。报价表中的每一单项均应计算并填写单价和总价。</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15.3投标人应对</w:t>
      </w:r>
      <w:r>
        <w:rPr>
          <w:rFonts w:hint="eastAsia" w:ascii="宋体" w:hAnsi="宋体" w:eastAsia="宋体" w:cs="宋体"/>
          <w:color w:val="000000"/>
          <w:sz w:val="24"/>
          <w:szCs w:val="24"/>
          <w:highlight w:val="none"/>
        </w:rPr>
        <w:t xml:space="preserve">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15.4一项投标内容只允许一个报价，采购代理机构不接受任何有选择性的投标报价。</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15.5投标文件报价中的单价和总价全部采用人民币表示，除非合同的特殊条款另有规定。</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16、投标文件的有效期</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16.1自</w:t>
      </w:r>
      <w:r>
        <w:rPr>
          <w:rFonts w:hint="eastAsia" w:ascii="宋体" w:hAnsi="宋体" w:eastAsia="宋体" w:cs="宋体"/>
          <w:color w:val="000000"/>
          <w:sz w:val="24"/>
          <w:szCs w:val="24"/>
          <w:highlight w:val="none"/>
        </w:rPr>
        <w:t xml:space="preserve">投标文件提交截止之日起</w:t>
      </w:r>
      <w:r>
        <w:rPr>
          <w:rFonts w:ascii="宋体" w:hAnsi="宋体" w:eastAsia="宋体" w:cs="宋体"/>
          <w:color w:val="000000"/>
          <w:sz w:val="24"/>
          <w:szCs w:val="24"/>
          <w:highlight w:val="none"/>
        </w:rPr>
        <w:t xml:space="preserve">90天内，投标书应保持有效。有效期短于这个规定期限的投标，将被拒绝。</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16.2在特殊情况下，</w:t>
      </w:r>
      <w:r>
        <w:rPr>
          <w:rFonts w:hint="eastAsia" w:ascii="宋体" w:hAnsi="宋体" w:eastAsia="宋体" w:cs="宋体"/>
          <w:color w:val="000000"/>
          <w:sz w:val="24"/>
          <w:szCs w:val="24"/>
          <w:highlight w:val="none"/>
        </w:rPr>
        <w:t xml:space="preserve">采购人或</w:t>
      </w:r>
      <w:r>
        <w:rPr>
          <w:rFonts w:ascii="宋体" w:hAnsi="宋体" w:eastAsia="宋体" w:cs="宋体"/>
          <w:color w:val="000000"/>
          <w:sz w:val="24"/>
          <w:szCs w:val="24"/>
          <w:highlight w:val="none"/>
        </w:rPr>
        <w:t xml:space="preserve">采购代理机构可与投标人协商延长投标书的有效期。这种要求和答复都应以书面形式进行。同意延长有效期的投标人不能修改投标文件。拒绝接受延期要求的投标人的投标将被拒绝。</w:t>
      </w:r>
      <w:r>
        <w:rPr>
          <w:rFonts w:ascii="宋体" w:hAnsi="宋体" w:eastAsia="宋体" w:cs="宋体"/>
          <w:color w:val="000000"/>
          <w:sz w:val="24"/>
          <w:szCs w:val="24"/>
          <w:highlight w:val="none"/>
        </w:rPr>
      </w:r>
      <w:r/>
    </w:p>
    <w:p>
      <w:pPr>
        <w:pStyle w:val="698"/>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17、投标文件的签署和上传</w:t>
      </w:r>
      <w:r>
        <w:rPr>
          <w:rFonts w:hint="eastAsia" w:ascii="宋体" w:hAnsi="宋体" w:eastAsia="宋体" w:cs="宋体"/>
          <w:b/>
          <w:color w:val="000000"/>
          <w:sz w:val="24"/>
          <w:szCs w:val="24"/>
          <w:highlight w:val="none"/>
        </w:rPr>
      </w:r>
      <w:r/>
    </w:p>
    <w:p>
      <w:pPr>
        <w:pStyle w:val="69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17.1本项目采用电子招投标形式，请供应商按照《苏采云系统供应商操作手册》进行制作、上传电子投标文件。</w:t>
      </w:r>
      <w:r>
        <w:rPr>
          <w:rFonts w:hint="eastAsia" w:ascii="宋体" w:hAnsi="宋体" w:eastAsia="宋体" w:cs="宋体"/>
          <w:color w:val="000000"/>
          <w:sz w:val="24"/>
          <w:szCs w:val="24"/>
          <w:highlight w:val="none"/>
        </w:rPr>
      </w:r>
      <w:r/>
    </w:p>
    <w:p>
      <w:pPr>
        <w:pStyle w:val="69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17.2制作电子投标文件时，应按照招标文件要求加盖投标人电子公章。</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17.3</w:t>
      </w:r>
      <w:r>
        <w:rPr>
          <w:rFonts w:hint="eastAsia" w:ascii="宋体" w:hAnsi="宋体" w:eastAsia="宋体" w:cs="宋体"/>
          <w:b/>
          <w:color w:val="000000"/>
          <w:sz w:val="24"/>
          <w:szCs w:val="24"/>
          <w:highlight w:val="none"/>
        </w:rPr>
        <w:t xml:space="preserve">电子投标文件制作完成后请于投标文件网上提交截止时间前成功上传至</w:t>
      </w:r>
      <w:r>
        <w:rPr>
          <w:rFonts w:hint="eastAsia" w:ascii="宋体" w:hAnsi="宋体" w:eastAsia="宋体" w:cs="宋体"/>
          <w:b/>
          <w:color w:val="000000"/>
          <w:sz w:val="24"/>
          <w:szCs w:val="24"/>
          <w:highlight w:val="none"/>
          <w:cs/>
        </w:rPr>
        <w:t xml:space="preserve">“</w:t>
      </w:r>
      <w:r>
        <w:rPr>
          <w:rFonts w:hint="eastAsia" w:ascii="宋体" w:hAnsi="宋体" w:eastAsia="宋体" w:cs="宋体"/>
          <w:b/>
          <w:color w:val="000000"/>
          <w:sz w:val="24"/>
          <w:szCs w:val="24"/>
          <w:highlight w:val="none"/>
        </w:rPr>
        <w:t xml:space="preserve">苏采云</w:t>
      </w:r>
      <w:r>
        <w:rPr>
          <w:rFonts w:hint="eastAsia" w:ascii="宋体" w:hAnsi="宋体" w:eastAsia="宋体" w:cs="宋体"/>
          <w:b/>
          <w:color w:val="000000"/>
          <w:sz w:val="24"/>
          <w:szCs w:val="24"/>
          <w:highlight w:val="none"/>
          <w:cs/>
        </w:rPr>
        <w:t xml:space="preserve">”</w:t>
      </w:r>
      <w:r>
        <w:rPr>
          <w:rFonts w:hint="eastAsia" w:ascii="宋体" w:hAnsi="宋体" w:eastAsia="宋体" w:cs="宋体"/>
          <w:b/>
          <w:color w:val="000000"/>
          <w:sz w:val="24"/>
          <w:szCs w:val="24"/>
          <w:highlight w:val="none"/>
        </w:rPr>
        <w:t xml:space="preserve">系统，否则视为放弃参加该采购项目。</w:t>
      </w:r>
      <w:r>
        <w:rPr>
          <w:rFonts w:hint="eastAsia" w:ascii="宋体" w:hAnsi="宋体" w:eastAsia="宋体" w:cs="宋体"/>
          <w:color w:val="000000"/>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18、</w:t>
      </w:r>
      <w:r>
        <w:rPr>
          <w:rFonts w:hint="eastAsia" w:ascii="宋体" w:hAnsi="宋体" w:eastAsia="宋体" w:cs="宋体"/>
          <w:b/>
          <w:bCs/>
          <w:color w:val="000000"/>
          <w:sz w:val="24"/>
          <w:szCs w:val="24"/>
          <w:highlight w:val="none"/>
        </w:rPr>
        <w:t xml:space="preserve">投标截止时间</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18.1投标人应当在招标文件要求投标文件网上提交截止时间前，将投标文件完成提交（上传）。逾期提交（上传）的投标文件，采购人和采购代理机构拒绝接收。</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18.4采购人或采购代理机构推迟投标截止时间时，将按本须知规定的更正公告的方式对外发布。在这种情况下，采购人、采购代理机构和投标人的权利和义务将受到新的截止期的约束。</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18.5在投标截止时间止成功解密的投标文件少于三份，采购代理机构有权宣布本次招标失败。</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18.6投标人通过“苏采云”系统不见面开标大厅在线参与开标活动。（具体操作详见《苏采云系统供应商操作手册》，网址链接：</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https://czju.suzhou.gov.cn/zfcg/html/content/20231220161910031.shtml）。</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五、开标、评标说明</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19、</w:t>
      </w:r>
      <w:r>
        <w:rPr>
          <w:rFonts w:hint="eastAsia" w:ascii="宋体" w:hAnsi="宋体" w:eastAsia="宋体" w:cs="宋体"/>
          <w:b/>
          <w:bCs/>
          <w:color w:val="000000"/>
          <w:sz w:val="24"/>
          <w:szCs w:val="24"/>
          <w:highlight w:val="none"/>
        </w:rPr>
        <w:t xml:space="preserve">开标</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.1采购代理机构按采购公告规定的时间、地点主持不见面开标活动。开标仪式由采购代理机构、采购人等主持。</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.2参加开标的投标法定代表人或授权代理人须在项目开标前登录苏采云不见面开标系统，进入网上不见面开标大厅，做好相关准备工作。</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.4采购代理机构在开标仪式上，将公布投标人的名称、投标价格，并将作唱标记录。</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20、</w:t>
      </w:r>
      <w:r>
        <w:rPr>
          <w:rFonts w:hint="eastAsia" w:ascii="宋体" w:hAnsi="宋体" w:eastAsia="宋体" w:cs="宋体"/>
          <w:b/>
          <w:bCs/>
          <w:color w:val="000000"/>
          <w:sz w:val="24"/>
          <w:szCs w:val="24"/>
          <w:highlight w:val="none"/>
        </w:rPr>
        <w:t xml:space="preserve">评标委员会或评标小组</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rPr>
        <w:t xml:space="preserve">评标委员会由采购人或采购代理机构依法组建。</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 </w:t>
      </w:r>
      <w:r>
        <w:rPr>
          <w:rFonts w:hint="eastAsia" w:ascii="宋体" w:hAnsi="宋体" w:eastAsia="宋体" w:cs="宋体"/>
          <w:color w:val="000000"/>
          <w:sz w:val="24"/>
          <w:szCs w:val="24"/>
          <w:highlight w:val="none"/>
        </w:rPr>
        <w:t xml:space="preserve">评标委员会负责具体的评标事务，并独立履行以下职责：</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20.2.1 </w:t>
      </w:r>
      <w:r>
        <w:rPr>
          <w:rFonts w:hint="eastAsia" w:ascii="宋体" w:hAnsi="宋体" w:eastAsia="宋体" w:cs="宋体"/>
          <w:color w:val="000000"/>
          <w:sz w:val="24"/>
          <w:szCs w:val="24"/>
          <w:highlight w:val="none"/>
        </w:rPr>
        <w:t xml:space="preserve">审查、评价投标文件是否符合招标文件的商务、技术等实质性要求；</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20.2.2 </w:t>
      </w:r>
      <w:r>
        <w:rPr>
          <w:rFonts w:hint="eastAsia" w:ascii="宋体" w:hAnsi="宋体" w:eastAsia="宋体" w:cs="宋体"/>
          <w:color w:val="000000"/>
          <w:sz w:val="24"/>
          <w:szCs w:val="24"/>
          <w:highlight w:val="none"/>
        </w:rPr>
        <w:t xml:space="preserve">要求投标人对投标文件有关事项作出澄清或者说明；</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20.2.3 </w:t>
      </w:r>
      <w:r>
        <w:rPr>
          <w:rFonts w:hint="eastAsia" w:ascii="宋体" w:hAnsi="宋体" w:eastAsia="宋体" w:cs="宋体"/>
          <w:color w:val="000000"/>
          <w:sz w:val="24"/>
          <w:szCs w:val="24"/>
          <w:highlight w:val="none"/>
        </w:rPr>
        <w:t xml:space="preserve">对投标文件进行比较和评价；</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20.2.4 </w:t>
      </w:r>
      <w:r>
        <w:rPr>
          <w:rFonts w:hint="eastAsia" w:ascii="宋体" w:hAnsi="宋体" w:eastAsia="宋体" w:cs="宋体"/>
          <w:color w:val="000000"/>
          <w:sz w:val="24"/>
          <w:szCs w:val="24"/>
          <w:highlight w:val="none"/>
        </w:rPr>
        <w:t xml:space="preserve">按照评标办法和标准推荐不低于</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家中标候选人，并根据采购人的委托及评审结果直接确定中标人；</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20.2.5 </w:t>
      </w:r>
      <w:r>
        <w:rPr>
          <w:rFonts w:hint="eastAsia" w:ascii="宋体" w:hAnsi="宋体" w:eastAsia="宋体" w:cs="宋体"/>
          <w:color w:val="000000"/>
          <w:sz w:val="24"/>
          <w:szCs w:val="24"/>
          <w:highlight w:val="none"/>
        </w:rPr>
        <w:t xml:space="preserve">向采购人、采购代理机构或者有关部门报告评标中发现的违法行为；</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 </w:t>
      </w:r>
      <w:r>
        <w:rPr>
          <w:rFonts w:hint="eastAsia" w:ascii="宋体" w:hAnsi="宋体" w:eastAsia="宋体" w:cs="宋体"/>
          <w:color w:val="000000"/>
          <w:sz w:val="24"/>
          <w:szCs w:val="24"/>
          <w:highlight w:val="none"/>
        </w:rPr>
        <w:t xml:space="preserve">评标委员会成员应当履行下列义务：</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20.3.1 </w:t>
      </w:r>
      <w:r>
        <w:rPr>
          <w:rFonts w:hint="eastAsia" w:ascii="宋体" w:hAnsi="宋体" w:eastAsia="宋体" w:cs="宋体"/>
          <w:color w:val="000000"/>
          <w:sz w:val="24"/>
          <w:szCs w:val="24"/>
          <w:highlight w:val="none"/>
        </w:rPr>
        <w:t xml:space="preserve">遵纪守法，客观、公正、廉洁地履行职责；</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20.3.2 </w:t>
      </w:r>
      <w:r>
        <w:rPr>
          <w:rFonts w:hint="eastAsia" w:ascii="宋体" w:hAnsi="宋体" w:eastAsia="宋体" w:cs="宋体"/>
          <w:color w:val="000000"/>
          <w:sz w:val="24"/>
          <w:szCs w:val="24"/>
          <w:highlight w:val="none"/>
        </w:rPr>
        <w:t xml:space="preserve">按照招标文件规定的评标办法和评标标准进行评标，对评审意见承担个人责任；</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20.3.3 </w:t>
      </w:r>
      <w:r>
        <w:rPr>
          <w:rFonts w:hint="eastAsia" w:ascii="宋体" w:hAnsi="宋体" w:eastAsia="宋体" w:cs="宋体"/>
          <w:color w:val="000000"/>
          <w:sz w:val="24"/>
          <w:szCs w:val="24"/>
          <w:highlight w:val="none"/>
        </w:rPr>
        <w:t xml:space="preserve">对评标过程和结果，以及投标人的商业秘密保密；</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20.3.4 </w:t>
      </w:r>
      <w:r>
        <w:rPr>
          <w:rFonts w:hint="eastAsia" w:ascii="宋体" w:hAnsi="宋体" w:eastAsia="宋体" w:cs="宋体"/>
          <w:color w:val="000000"/>
          <w:sz w:val="24"/>
          <w:szCs w:val="24"/>
          <w:highlight w:val="none"/>
        </w:rPr>
        <w:t xml:space="preserve">参与评审报告的起草；</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20.3.5 </w:t>
      </w:r>
      <w:r>
        <w:rPr>
          <w:rFonts w:hint="eastAsia" w:ascii="宋体" w:hAnsi="宋体" w:eastAsia="宋体" w:cs="宋体"/>
          <w:color w:val="000000"/>
          <w:sz w:val="24"/>
          <w:szCs w:val="24"/>
          <w:highlight w:val="none"/>
        </w:rPr>
        <w:t xml:space="preserve">配合相关部门的投诉处理工作；</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20.3.6 </w:t>
      </w:r>
      <w:r>
        <w:rPr>
          <w:rFonts w:hint="eastAsia" w:ascii="宋体" w:hAnsi="宋体" w:eastAsia="宋体" w:cs="宋体"/>
          <w:color w:val="000000"/>
          <w:sz w:val="24"/>
          <w:szCs w:val="24"/>
          <w:highlight w:val="none"/>
        </w:rPr>
        <w:t xml:space="preserve">配合采购人或采购代理机构答复投标供应商提出的质疑。</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21、</w:t>
      </w:r>
      <w:r>
        <w:rPr>
          <w:rFonts w:hint="eastAsia" w:ascii="宋体" w:hAnsi="宋体" w:eastAsia="宋体" w:cs="宋体"/>
          <w:b/>
          <w:bCs/>
          <w:color w:val="000000"/>
          <w:sz w:val="24"/>
          <w:szCs w:val="24"/>
          <w:highlight w:val="none"/>
        </w:rPr>
        <w:t xml:space="preserve">评标内容的保密</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21.1 </w:t>
      </w:r>
      <w:r>
        <w:rPr>
          <w:rFonts w:hint="eastAsia" w:ascii="宋体" w:hAnsi="宋体" w:eastAsia="宋体" w:cs="宋体"/>
          <w:color w:val="000000"/>
          <w:sz w:val="24"/>
          <w:szCs w:val="24"/>
          <w:highlight w:val="none"/>
        </w:rPr>
        <w:t xml:space="preserve">公开开标后，直到宣布授予</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合同为止，凡属于审查、澄清、评价和比较投标的所有资料，有关授予合同的信息都不应向投标人或与评标无关的其他人泄露。</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21.2 </w:t>
      </w:r>
      <w:r>
        <w:rPr>
          <w:rFonts w:hint="eastAsia" w:ascii="宋体" w:hAnsi="宋体" w:eastAsia="宋体" w:cs="宋体"/>
          <w:color w:val="000000"/>
          <w:sz w:val="24"/>
          <w:szCs w:val="24"/>
          <w:highlight w:val="none"/>
        </w:rPr>
        <w:t xml:space="preserve">在投标文件的审查、澄清、评价和比较以及授予合同的过程中，投标人对采购人或采购代理机构和评标委员会成员施加影响的任何行为，都将取消其中标资格。</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21.3 </w:t>
      </w:r>
      <w:r>
        <w:rPr>
          <w:rFonts w:hint="eastAsia" w:ascii="宋体" w:hAnsi="宋体" w:eastAsia="宋体" w:cs="宋体"/>
          <w:color w:val="000000"/>
          <w:sz w:val="24"/>
          <w:szCs w:val="24"/>
          <w:highlight w:val="none"/>
        </w:rPr>
        <w:t xml:space="preserve">在评标期间，采购人或采购代理机构将通过指定联络人与投标人进行联系。</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rPr>
        <w:t xml:space="preserve">对投标文件初审</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.1投标文件初审分为资格性检查和符合性检查。</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.1.1资格性检查。依据法律法规和招标文件的规定，采购人依法对投标人的资格进行审查。对投标文件中的资格证明等进行审查，以确定投标供应商是否具备投标资格。</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 关于信用记录查询：</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.1.2.1查询时间：评标开始前</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.1.2.2查询渠道：通过“信用中国”网站、中国政府采购网等渠道查询相关主体信用记录。</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.1.2.4信用记录使用规则：评审小组在对供应商进行资格性审查时，应根据查询结果对供应商的不良信用记录逐项甄别确认。</w:t>
      </w:r>
      <w:r>
        <w:rPr>
          <w:rFonts w:hint="eastAsia" w:ascii="宋体" w:hAnsi="宋体" w:eastAsia="宋体" w:cs="宋体"/>
          <w:color w:val="000000"/>
          <w:sz w:val="24"/>
          <w:szCs w:val="24"/>
          <w:highlight w:val="none"/>
        </w:rPr>
        <w:t xml:space="preserve">按照《中华人民共和国政府采购法》第二十二条规定，下列信用记录属于应依法拒绝供应商参加政府采购的失信信息，存在此类失信信息的供应商的投标文件按无效文件处理：</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（二）财政部门与法院、工商、税务等部门联合惩戒的失信信息，包括：</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.1.3符合性检查。依据招标文件的规定，从投标文件的有效性、完整性和对招标文件的响应程度进行审查，以确定是否对招标文件的实质性要求作出响应。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 不同投标人的投标文件由同一单位或者个人编制；</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.2.2不同投标人委托同一单位或者个人办理投标事宜；</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.2.3不同投标人的投标文件载明的项目管理成员或者联系人员为同一人；</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.2.4不同投标人的投标文件异常一致或者投标报价呈规律性差异；</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.2.5不同投标人的投标文件相互混装；</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的需要。</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.5评标委员会将允许修改投标中不构成重大偏离的微小的、非正规、不一致或不规则的地方，但这些修改不能影响任何投标单位的名</w:t>
      </w:r>
      <w:r>
        <w:rPr>
          <w:rFonts w:hint="eastAsia" w:ascii="宋体" w:hAnsi="宋体" w:eastAsia="宋体" w:cs="宋体"/>
          <w:color w:val="000000"/>
          <w:sz w:val="24"/>
          <w:szCs w:val="24"/>
          <w:highlight w:val="none"/>
        </w:rPr>
        <w:t xml:space="preserve">次相应排列。投标单位不得对招标文件进行实质性修改，否则投标文件将被拒绝。</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.6评标委员会将对确定为实质性响应的投标进行审核，看其是否有计算上或累加上的算术错误，修正错误的原则如下：</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.6.2大写金额和小写金额不一致的，以大写金额为准；</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.6.4总价金额与按单价汇总金额不一致的，以单价金额计算结果为准。</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同时出现两种以上不一致的，按照前款规定的顺序修正。修正后的报价按照本须知2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.6条规定经投标人确认后产生约束力，投标人不确认的，其投标无效。</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22.7</w:t>
      </w:r>
      <w:r>
        <w:rPr>
          <w:rFonts w:hint="eastAsia" w:ascii="宋体" w:hAnsi="宋体" w:eastAsia="宋体" w:cs="宋体"/>
          <w:b/>
          <w:bCs/>
          <w:color w:val="000000"/>
          <w:sz w:val="24"/>
          <w:szCs w:val="24"/>
          <w:highlight w:val="none"/>
        </w:rPr>
        <w:t xml:space="preserve">投标人的报价低于预算价的50%，应当要求其在投标文件中提供书面说明及相关证明材料，应当要求投标人出具书面说明及证明材料，例如库存清单、进货合同及发票、仓库照片、往期类似项目合同报价清单。投标人不能证明其报价合理性的，评标委员会应当将其作为无效投标处理。</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对不同文字文本投标文件的解释发生异议的，以中文文本为准。</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评标委员会对投标文件的判定，只依据投标内容本身，不依靠开标后的任何外来证明。</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评标委员会将拒绝被确定为非实质性响应的投标，投标人不能通过修正或撤销不符之处而使其投标成为实质性响应的投标。</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23、</w:t>
      </w:r>
      <w:r>
        <w:rPr>
          <w:rFonts w:hint="eastAsia" w:ascii="宋体" w:hAnsi="宋体" w:eastAsia="宋体" w:cs="宋体"/>
          <w:b/>
          <w:bCs/>
          <w:color w:val="000000"/>
          <w:sz w:val="24"/>
          <w:szCs w:val="24"/>
          <w:highlight w:val="none"/>
        </w:rPr>
        <w:t xml:space="preserve">投标的澄清</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23.3投标人对投标文件的澄清不得改变投标的价格（校核时发现的算术错误除外）及实质内容。</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24、</w:t>
      </w:r>
      <w:r>
        <w:rPr>
          <w:rFonts w:hint="eastAsia" w:ascii="宋体" w:hAnsi="宋体" w:eastAsia="宋体" w:cs="宋体"/>
          <w:b/>
          <w:bCs/>
          <w:color w:val="000000"/>
          <w:sz w:val="24"/>
          <w:szCs w:val="24"/>
          <w:highlight w:val="none"/>
        </w:rPr>
        <w:t xml:space="preserve">无效投标和废标</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.1无效投标的具体情形有：  </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.1.1投标文件未按招标文件要求签署、盖章或电子签章的；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.1.2不具备招标文件中规定的资格要求的；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.1.3报价超过招标文件中规定的预算金额或者最高限价的；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.1.4</w:t>
      </w:r>
      <w:r>
        <w:rPr>
          <w:rFonts w:hint="eastAsia" w:ascii="宋体" w:hAnsi="宋体" w:eastAsia="宋体" w:cs="宋体"/>
          <w:b/>
          <w:bCs/>
          <w:color w:val="000000"/>
          <w:sz w:val="24"/>
          <w:szCs w:val="24"/>
          <w:highlight w:val="none"/>
        </w:rPr>
        <w:t xml:space="preserve">不同投标人的投标文件使用同一台电脑编制的；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.1.5投标文件含有采购人不能接受的附加条件的；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.1.6法律、法规和招标文件规定的其他无效情形。</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在招标采购中，出现下列情形之一的，应予废标：</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.2.1符合专业条件的供应商或者对招标文件作实质响应的供应商不足三家的；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.2.2出现影响采购公正的违法、违规行为的；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.2.3投标人的报价均超过了采购预算，采购人不能支付的；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.2.4因重大变故，采购任务取消的。</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废标后，采购人应当将废标理由通知所有投标人。</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rPr>
        <w:t xml:space="preserve">投标文件的评价和比较</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.1评标委员会按招标文件规定的评标方法和标准，仅对资格性检查和符合性检查合格的投标文件进行商务和技术评估，综合比较与评价。</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.2评价和比较采用综合评分法，评标委员会严格按照招标文件的要求、条件、评分标准，对投标单位所提供货物和服务的内容进行</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，同时考虑以下因素：    </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.2.1服务的质量保证（保障）内容；</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.2.2服务配备的人员；</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.2.3投标者的资信情况和履约能力；</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.2.4投标者提供的其他优惠条件；</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.2.5参与本项目政府采购工作的态度及信誉；</w:t>
      </w:r>
      <w:r>
        <w:rPr>
          <w:rFonts w:hint="eastAsia"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最低的投标报价或最高的折扣比例是中标的重要条件，但不是唯一条件。</w:t>
      </w:r>
      <w:r>
        <w:rPr>
          <w:rFonts w:hint="eastAsia"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六、中标及合同说明</w:t>
      </w:r>
      <w:r>
        <w:rPr>
          <w:rFonts w:ascii="宋体" w:hAnsi="宋体" w:eastAsia="宋体" w:cs="宋体"/>
          <w:b/>
          <w:bCs/>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26、</w:t>
      </w:r>
      <w:r>
        <w:rPr>
          <w:rFonts w:hint="eastAsia" w:ascii="宋体" w:hAnsi="宋体" w:eastAsia="宋体" w:cs="宋体"/>
          <w:b/>
          <w:bCs/>
          <w:color w:val="000000"/>
          <w:sz w:val="24"/>
          <w:szCs w:val="24"/>
          <w:highlight w:val="none"/>
          <w:lang w:eastAsia="zh-CN"/>
        </w:rPr>
        <w:t xml:space="preserve">中标人</w:t>
      </w:r>
      <w:r>
        <w:rPr>
          <w:rFonts w:hint="eastAsia" w:ascii="宋体" w:hAnsi="宋体" w:eastAsia="宋体" w:cs="宋体"/>
          <w:b/>
          <w:bCs/>
          <w:color w:val="000000"/>
          <w:sz w:val="24"/>
          <w:szCs w:val="24"/>
          <w:highlight w:val="none"/>
        </w:rPr>
        <w:t xml:space="preserve">的确认</w:t>
      </w:r>
      <w:r>
        <w:rPr>
          <w:rFonts w:ascii="宋体" w:hAnsi="宋体" w:eastAsia="宋体" w:cs="宋体"/>
          <w:b/>
          <w:bCs/>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.1评标委员会按招标文件规定的评标方法和标准进行详细评审后，按采购人的委托向采购人推荐中标候选单位或根据采购人授权直接确定中标供应商。</w:t>
      </w:r>
      <w:r>
        <w:rPr>
          <w:rFonts w:ascii="宋体" w:hAnsi="宋体" w:eastAsia="宋体" w:cs="宋体"/>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.2经评标委员会评审并确定中标供应商后，采购人或授权采购代理机构将在规定的时间内将中标结果在相关媒体上予以公告。</w:t>
      </w:r>
      <w:r>
        <w:rPr>
          <w:rFonts w:ascii="宋体" w:hAnsi="宋体" w:eastAsia="宋体" w:cs="宋体"/>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27、</w:t>
      </w:r>
      <w:r>
        <w:rPr>
          <w:rFonts w:hint="eastAsia" w:ascii="宋体" w:hAnsi="宋体" w:eastAsia="宋体" w:cs="宋体"/>
          <w:b/>
          <w:bCs/>
          <w:color w:val="000000"/>
          <w:sz w:val="24"/>
          <w:szCs w:val="24"/>
          <w:highlight w:val="none"/>
        </w:rPr>
        <w:t xml:space="preserve">合同授予标准</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27.1采购人将把合同授予其投标文件在实质上响应招标文件要求和按本须知规定评选出的投标人。确定为中标的投标人必须具有实施本合同的能力和资源。</w:t>
      </w:r>
      <w:r>
        <w:rPr>
          <w:rFonts w:ascii="宋体" w:hAnsi="宋体" w:eastAsia="宋体" w:cs="宋体"/>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28、</w:t>
      </w:r>
      <w:r>
        <w:rPr>
          <w:rFonts w:hint="eastAsia" w:ascii="宋体" w:hAnsi="宋体" w:eastAsia="宋体" w:cs="宋体"/>
          <w:b/>
          <w:bCs/>
          <w:color w:val="000000"/>
          <w:sz w:val="24"/>
          <w:szCs w:val="24"/>
          <w:highlight w:val="none"/>
        </w:rPr>
        <w:t xml:space="preserve">中标通知书</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28.1中标通知书将成为合同的组成部分。</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000000"/>
          <w:sz w:val="24"/>
          <w:szCs w:val="24"/>
          <w:highlight w:val="none"/>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t xml:space="preserve">3采购人或采购代理机构对未</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不承担解释未中标原因的义务。</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29、</w:t>
      </w:r>
      <w:r>
        <w:rPr>
          <w:rFonts w:hint="eastAsia" w:ascii="宋体" w:hAnsi="宋体" w:eastAsia="宋体" w:cs="宋体"/>
          <w:b/>
          <w:bCs/>
          <w:color w:val="000000"/>
          <w:sz w:val="24"/>
          <w:szCs w:val="24"/>
          <w:highlight w:val="none"/>
        </w:rPr>
        <w:t xml:space="preserve">合同的签订</w:t>
      </w:r>
      <w:r>
        <w:rPr>
          <w:rFonts w:ascii="宋体" w:hAnsi="宋体" w:eastAsia="宋体" w:cs="宋体"/>
          <w:b/>
          <w:bCs/>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1按照《关于做好政府采购支持企业发展有关事项的通知》（苏财购〔2020〕52号）文件精神，采购人原则上应当在中标通知书发出之日起十五日内，按照招标文件及投标文件确定的事项与中标供应商签订政府采购合同。</w:t>
      </w:r>
      <w:r>
        <w:rPr>
          <w:rFonts w:ascii="宋体" w:hAnsi="宋体" w:eastAsia="宋体" w:cs="宋体"/>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.2中标供应商应按中标通知书中中规定，由法定代表人或授权代理人与采购人代表签订合同，否则按放弃中标权处理。</w:t>
      </w:r>
      <w:r>
        <w:rPr>
          <w:rFonts w:ascii="宋体" w:hAnsi="宋体" w:eastAsia="宋体" w:cs="宋体"/>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.3签订合同及合同条款应以招标文件和中标供应商的投标文件及其澄清文件为依据。</w:t>
      </w:r>
      <w:r>
        <w:rPr>
          <w:rFonts w:ascii="宋体" w:hAnsi="宋体" w:eastAsia="宋体" w:cs="宋体"/>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.4中标人无正当理由拒签合同的，或在签订合同时向采购人提出附加条件或者更改合同实质性内容的，采购人可取消其中标资格，同时由中标人承担相应的法律责任。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color w:val="000000"/>
          <w:sz w:val="24"/>
          <w:szCs w:val="24"/>
          <w:highlight w:val="none"/>
          <w:lang w:val="en-US" w:eastAsia="zh-CN"/>
        </w:rPr>
        <w:t xml:space="preserve">由此</w:t>
      </w:r>
      <w:r>
        <w:rPr>
          <w:rFonts w:hint="eastAsia" w:ascii="宋体" w:hAnsi="宋体" w:eastAsia="宋体" w:cs="宋体"/>
          <w:color w:val="000000"/>
          <w:sz w:val="24"/>
          <w:szCs w:val="24"/>
          <w:highlight w:val="none"/>
        </w:rPr>
        <w:t xml:space="preserve">采购人可以按照评审报告推荐的中标候选人名单排序，确定下一候选人为中标人或者重新开展政府采购活动。</w:t>
      </w:r>
      <w:r>
        <w:rPr>
          <w:rFonts w:ascii="宋体" w:hAnsi="宋体" w:eastAsia="宋体" w:cs="宋体"/>
          <w:color w:val="000000"/>
          <w:sz w:val="24"/>
          <w:szCs w:val="24"/>
          <w:highlight w:val="none"/>
        </w:rPr>
      </w:r>
      <w:r/>
    </w:p>
    <w:p>
      <w:pPr>
        <w:pStyle w:val="698"/>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.5签订合同后，中标人不得将货物及其他相关服务进行转包。未经采购人同意，中标人也不得采用分包的形式履行合同，否则采购人有权终止合同。转包或分包造成采购人损失的，中标人应承担相应赔偿责任。</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30、履约保证金</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本项目无需缴纳履约保证金。</w:t>
      </w:r>
      <w:r>
        <w:rPr>
          <w:rFonts w:ascii="宋体" w:hAnsi="宋体" w:eastAsia="宋体" w:cs="宋体"/>
          <w:color w:val="000000"/>
          <w:sz w:val="24"/>
          <w:szCs w:val="24"/>
          <w:highlight w:val="none"/>
        </w:rPr>
      </w:r>
      <w:r/>
    </w:p>
    <w:p>
      <w:pPr>
        <w:pStyle w:val="698"/>
        <w:ind w:left="0" w:right="0" w:firstLine="482"/>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lang w:val="en-US" w:eastAsia="zh-CN"/>
        </w:rPr>
        <w:t xml:space="preserve">七</w:t>
      </w:r>
      <w:r>
        <w:rPr>
          <w:rFonts w:ascii="宋体" w:hAnsi="宋体" w:eastAsia="宋体" w:cs="宋体"/>
          <w:b/>
          <w:color w:val="000000"/>
          <w:sz w:val="24"/>
          <w:highlight w:val="none"/>
          <w:u w:val="none"/>
        </w:rPr>
        <w:t xml:space="preserve">、政府采购相关政策</w:t>
      </w:r>
      <w:r>
        <w:rPr>
          <w:color w:val="000000"/>
          <w:highlight w:val="none"/>
        </w:rPr>
      </w:r>
      <w:r/>
    </w:p>
    <w:p>
      <w:pPr>
        <w:pStyle w:val="698"/>
        <w:ind w:left="0" w:right="0" w:firstLine="482"/>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1、</w:t>
      </w:r>
      <w:r>
        <w:rPr>
          <w:rFonts w:ascii="宋体" w:hAnsi="宋体" w:eastAsia="宋体" w:cs="宋体"/>
          <w:b/>
          <w:color w:val="000000"/>
          <w:sz w:val="24"/>
          <w:highlight w:val="none"/>
        </w:rPr>
        <w:t xml:space="preserve">节能产品和环境标志产品</w:t>
      </w:r>
      <w:r>
        <w:rPr>
          <w:color w:val="000000"/>
          <w:highlight w:val="none"/>
        </w:rPr>
      </w:r>
      <w:r/>
    </w:p>
    <w:p>
      <w:pPr>
        <w:pStyle w:val="698"/>
        <w:ind w:left="0" w:right="0" w:firstLine="482"/>
        <w:jc w:val="both"/>
        <w:spacing w:before="0" w:after="0"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31.1</w:t>
      </w:r>
      <w:r>
        <w:rPr>
          <w:rFonts w:hint="eastAsia" w:ascii="宋体" w:hAnsi="宋体" w:eastAsia="宋体" w:cs="宋体"/>
          <w:b/>
          <w:bCs/>
          <w:color w:val="000000"/>
          <w:sz w:val="24"/>
          <w:highlight w:val="none"/>
        </w:rPr>
        <w:t xml:space="preserve">若本次采购的产品属于财政部、国家发展改革委、生态环境部、市场监管总局等部门发布的节能产品、环境标志产品政府强制采购品目清单的，供应商须在</w:t>
      </w:r>
      <w:r>
        <w:rPr>
          <w:rFonts w:hint="eastAsia" w:ascii="宋体" w:hAnsi="宋体" w:eastAsia="宋体" w:cs="宋体"/>
          <w:b/>
          <w:bCs/>
          <w:color w:val="000000"/>
          <w:sz w:val="24"/>
          <w:highlight w:val="none"/>
          <w:lang w:eastAsia="zh-CN"/>
        </w:rPr>
        <w:t xml:space="preserve">投标文件</w:t>
      </w:r>
      <w:r>
        <w:rPr>
          <w:rFonts w:hint="eastAsia" w:ascii="宋体" w:hAnsi="宋体" w:eastAsia="宋体" w:cs="宋体"/>
          <w:b/>
          <w:bCs/>
          <w:color w:val="000000"/>
          <w:sz w:val="24"/>
          <w:highlight w:val="none"/>
        </w:rPr>
        <w:t xml:space="preserve">中提供所</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rPr>
        <w:t xml:space="preserve">响应产品由认证机构出具的、处于有效期之内的节能产品、环境标志产品认证证书，未提供或提供不全的将视</w:t>
      </w:r>
      <w:r>
        <w:rPr>
          <w:rFonts w:hint="eastAsia" w:ascii="宋体" w:hAnsi="宋体" w:eastAsia="宋体" w:cs="宋体"/>
          <w:b/>
          <w:bCs/>
          <w:color w:val="000000"/>
          <w:sz w:val="24"/>
          <w:highlight w:val="none"/>
          <w:lang w:eastAsia="zh-CN"/>
        </w:rPr>
        <w:t xml:space="preserve">投标文件</w:t>
      </w:r>
      <w:r>
        <w:rPr>
          <w:rFonts w:hint="eastAsia" w:ascii="宋体" w:hAnsi="宋体" w:eastAsia="宋体" w:cs="宋体"/>
          <w:b/>
          <w:bCs/>
          <w:color w:val="000000"/>
          <w:sz w:val="24"/>
          <w:highlight w:val="none"/>
        </w:rPr>
        <w:t xml:space="preserve">为未实质性响应</w:t>
      </w:r>
      <w:r>
        <w:rPr>
          <w:rFonts w:hint="eastAsia" w:ascii="宋体" w:hAnsi="宋体" w:eastAsia="宋体" w:cs="宋体"/>
          <w:b/>
          <w:bCs/>
          <w:color w:val="000000"/>
          <w:sz w:val="24"/>
          <w:highlight w:val="none"/>
          <w:lang w:val="en-US" w:eastAsia="zh-CN"/>
        </w:rPr>
        <w:t xml:space="preserve">招标</w:t>
      </w:r>
      <w:r>
        <w:rPr>
          <w:rFonts w:hint="eastAsia" w:ascii="宋体" w:hAnsi="宋体" w:eastAsia="宋体" w:cs="宋体"/>
          <w:b/>
          <w:bCs/>
          <w:color w:val="000000"/>
          <w:sz w:val="24"/>
          <w:highlight w:val="none"/>
        </w:rPr>
        <w:t xml:space="preserve">要求。</w:t>
      </w:r>
      <w:r>
        <w:rPr>
          <w:rFonts w:hint="eastAsia" w:ascii="宋体" w:hAnsi="宋体" w:eastAsia="宋体" w:cs="宋体"/>
          <w:b/>
          <w:bCs/>
          <w:color w:val="000000"/>
          <w:sz w:val="24"/>
          <w:highlight w:val="none"/>
        </w:rPr>
      </w:r>
      <w:r/>
    </w:p>
    <w:p>
      <w:pPr>
        <w:pStyle w:val="698"/>
        <w:ind w:left="0" w:right="0" w:firstLine="482"/>
        <w:jc w:val="both"/>
        <w:spacing w:before="0" w:after="0"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31.2</w:t>
      </w:r>
      <w:r>
        <w:rPr>
          <w:rFonts w:hint="eastAsia" w:ascii="宋体" w:hAnsi="宋体" w:eastAsia="宋体" w:cs="宋体"/>
          <w:b/>
          <w:bCs/>
          <w:color w:val="000000"/>
          <w:sz w:val="24"/>
          <w:highlight w:val="none"/>
        </w:rPr>
        <w:t xml:space="preserve">若本次采购的产品属于财政部、国家发展改革委、生态环境部、市场监管总局等部门发布的节能产品、环境标志产品政府优先采购品目清单的，供应商在</w:t>
      </w:r>
      <w:r>
        <w:rPr>
          <w:rFonts w:hint="eastAsia" w:ascii="宋体" w:hAnsi="宋体" w:eastAsia="宋体" w:cs="宋体"/>
          <w:b/>
          <w:bCs/>
          <w:color w:val="000000"/>
          <w:sz w:val="24"/>
          <w:highlight w:val="none"/>
          <w:lang w:eastAsia="zh-CN"/>
        </w:rPr>
        <w:t xml:space="preserve">投标文件</w:t>
      </w:r>
      <w:r>
        <w:rPr>
          <w:rFonts w:hint="eastAsia" w:ascii="宋体" w:hAnsi="宋体" w:eastAsia="宋体" w:cs="宋体"/>
          <w:b/>
          <w:bCs/>
          <w:color w:val="000000"/>
          <w:sz w:val="24"/>
          <w:highlight w:val="none"/>
        </w:rPr>
        <w:t xml:space="preserve">中提供所</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rPr>
        <w:t xml:space="preserve">响应产品由认证机构出具的、处于有效期之内的节能产品、环境标志产品认证证书，在综合得分和报价相同的情况下，提供所投产品节能产品、环境标志产品认证证书数量最多的，优先中标（成交）。</w:t>
      </w:r>
      <w:r>
        <w:rPr>
          <w:rFonts w:hint="eastAsia" w:ascii="宋体" w:hAnsi="宋体" w:eastAsia="宋体" w:cs="宋体"/>
          <w:b/>
          <w:bCs/>
          <w:color w:val="000000"/>
          <w:sz w:val="24"/>
          <w:highlight w:val="none"/>
        </w:rPr>
      </w:r>
      <w:r/>
    </w:p>
    <w:p>
      <w:pPr>
        <w:pStyle w:val="698"/>
        <w:ind w:left="0" w:right="0" w:firstLine="482"/>
        <w:jc w:val="both"/>
        <w:spacing w:before="0" w:after="0"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中小企业相关政策：</w:t>
      </w:r>
      <w:r>
        <w:rPr>
          <w:rFonts w:ascii="宋体" w:hAnsi="宋体" w:eastAsia="宋体" w:cs="宋体"/>
          <w:b/>
          <w:bCs/>
          <w:color w:val="000000"/>
          <w:sz w:val="24"/>
          <w:highlight w:val="none"/>
        </w:rPr>
      </w:r>
      <w:r/>
    </w:p>
    <w:p>
      <w:pPr>
        <w:pStyle w:val="698"/>
        <w:ind w:left="0" w:right="0" w:firstLine="482"/>
        <w:jc w:val="both"/>
        <w:spacing w:before="0" w:after="0"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针对小微型企业的加分：</w:t>
      </w:r>
      <w:r>
        <w:rPr>
          <w:rFonts w:ascii="宋体" w:hAnsi="宋体" w:eastAsia="宋体" w:cs="宋体"/>
          <w:b/>
          <w:bCs/>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根据《政府采购促进中小企业发展管理办法》（财库﹝2020﹞46号）及《关于贯彻执行绿色采购、促进残疾人就业和支持监狱企业发展有关政策的通知》（苏财购〔2019〕10号）规定：</w:t>
      </w:r>
      <w:r>
        <w:rPr>
          <w:rFonts w:ascii="宋体" w:hAnsi="宋体" w:eastAsia="宋体" w:cs="宋体"/>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在货物采购项目中，货物由小型或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企业制造，即货物由小型或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企业生产且使用该小型或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企业商号或者注册商标的，其报价在评审时给予2</w:t>
      </w:r>
      <w:r>
        <w:rPr>
          <w:rFonts w:hint="eastAsia" w:ascii="宋体" w:hAnsi="宋体" w:eastAsia="宋体" w:cs="宋体"/>
          <w:color w:val="000000"/>
          <w:sz w:val="24"/>
          <w:highlight w:val="none"/>
        </w:rPr>
        <w:t xml:space="preserve">0</w:t>
      </w:r>
      <w:r>
        <w:rPr>
          <w:rFonts w:ascii="宋体" w:hAnsi="宋体" w:eastAsia="宋体" w:cs="宋体"/>
          <w:color w:val="000000"/>
          <w:sz w:val="24"/>
          <w:highlight w:val="none"/>
        </w:rPr>
        <w:t xml:space="preserve">%的扣除，用扣除后的价格参与价格评审。</w:t>
      </w:r>
      <w:r>
        <w:rPr>
          <w:rFonts w:ascii="宋体" w:hAnsi="宋体" w:eastAsia="宋体" w:cs="宋体"/>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在服务采购项目中，服务由小型或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企业承接，即提供服务的人员为小型或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企业依照《中华人民共和国民法典》订立劳动合同的从业人员，其报价给予2</w:t>
      </w:r>
      <w:r>
        <w:rPr>
          <w:rFonts w:hint="eastAsia" w:ascii="宋体" w:hAnsi="宋体" w:eastAsia="宋体" w:cs="宋体"/>
          <w:color w:val="000000"/>
          <w:sz w:val="24"/>
          <w:highlight w:val="none"/>
        </w:rPr>
        <w:t xml:space="preserve">0</w:t>
      </w:r>
      <w:r>
        <w:rPr>
          <w:rFonts w:ascii="宋体" w:hAnsi="宋体" w:eastAsia="宋体" w:cs="宋体"/>
          <w:color w:val="000000"/>
          <w:sz w:val="24"/>
          <w:highlight w:val="none"/>
        </w:rPr>
        <w:t xml:space="preserve">%的扣除，用扣除后的价格参与价格评审。</w:t>
      </w:r>
      <w:r>
        <w:rPr>
          <w:rFonts w:ascii="宋体" w:hAnsi="宋体" w:eastAsia="宋体" w:cs="宋体"/>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3、在货物采购项目中，供应商提供的货物既有小型或微型企业制造货物，也有中型或大型企业制造货物的，不享受本办法规定的小微企业价格扶持政策。</w:t>
      </w:r>
      <w:r>
        <w:rPr>
          <w:rFonts w:ascii="宋体" w:hAnsi="宋体" w:eastAsia="宋体" w:cs="宋体"/>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4、以联合体形式参加政府采购活动，联合体各方均为中小企业的，联合体视同中小企业。其中，联合体各方均为小微企业的，联合体视同小微企业。</w:t>
      </w:r>
      <w:r>
        <w:rPr>
          <w:rFonts w:ascii="宋体" w:hAnsi="宋体" w:eastAsia="宋体" w:cs="宋体"/>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符合中小企业划分标准的个体工商户，在政府采购活动中视同中小企业。</w:t>
      </w:r>
      <w:r>
        <w:rPr>
          <w:rFonts w:ascii="宋体" w:hAnsi="宋体" w:eastAsia="宋体" w:cs="宋体"/>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6、中小企业划分标准详见“工信部联企业〔2011〕300号通知”</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、残疾人福利性单位及监狱企业视同小微型企业，享受评审中价格扣除等促进中小企业发展的政府采购政策</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rPr>
        <w:t xml:space="preserve">不重复享受政策</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698"/>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8、中标、成交供应商享受规定的中小企业扶持政策的，《中小企业声明函》应当随中标、成交结果同时公告，接受社会监督。</w:t>
      </w:r>
      <w:r>
        <w:rPr>
          <w:rFonts w:ascii="宋体" w:hAnsi="宋体" w:eastAsia="宋体" w:cs="宋体"/>
          <w:color w:val="000000"/>
          <w:sz w:val="24"/>
          <w:highlight w:val="none"/>
        </w:rPr>
      </w:r>
      <w:r/>
    </w:p>
    <w:p>
      <w:pPr>
        <w:pStyle w:val="698"/>
        <w:ind w:left="0"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9、供应商按照规定提供声明函内容不实的， 属于提供虚假材料谋取中标、 成交， 依照《中华人民共和国政府采购法》 等国家有关规定追究相应责任。</w:t>
      </w:r>
      <w:r>
        <w:rPr>
          <w:color w:val="000000"/>
          <w:highlight w:val="none"/>
        </w:rPr>
      </w:r>
      <w:r/>
    </w:p>
    <w:p>
      <w:pPr>
        <w:pStyle w:val="698"/>
        <w:ind w:left="0" w:right="0" w:firstLine="482"/>
        <w:jc w:val="both"/>
        <w:spacing w:before="0" w:after="0"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、其他事项</w:t>
      </w:r>
      <w:r>
        <w:rPr>
          <w:rFonts w:ascii="宋体" w:hAnsi="宋体" w:eastAsia="宋体" w:cs="宋体"/>
          <w:b/>
          <w:bCs/>
          <w:color w:val="000000"/>
          <w:sz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rPr>
        <w:t xml:space="preserve">、代理服务费</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eastAsia="zh-CN"/>
        </w:rPr>
        <w:t xml:space="preserve">中标人</w:t>
      </w:r>
      <w:r>
        <w:rPr>
          <w:rFonts w:ascii="宋体" w:hAnsi="宋体" w:eastAsia="宋体" w:cs="宋体"/>
          <w:color w:val="000000"/>
          <w:sz w:val="24"/>
          <w:szCs w:val="24"/>
          <w:highlight w:val="none"/>
        </w:rPr>
        <w:t xml:space="preserve">须按</w:t>
      </w:r>
      <w:r>
        <w:rPr>
          <w:rFonts w:hint="eastAsia" w:ascii="宋体" w:hAnsi="宋体" w:eastAsia="宋体" w:cs="宋体"/>
          <w:color w:val="000000"/>
          <w:sz w:val="24"/>
          <w:szCs w:val="24"/>
          <w:highlight w:val="none"/>
        </w:rPr>
        <w:t xml:space="preserve">以下</w:t>
      </w:r>
      <w:r>
        <w:rPr>
          <w:rFonts w:ascii="宋体" w:hAnsi="宋体" w:eastAsia="宋体" w:cs="宋体"/>
          <w:color w:val="000000"/>
          <w:sz w:val="24"/>
          <w:szCs w:val="24"/>
          <w:highlight w:val="none"/>
        </w:rPr>
        <w:t xml:space="preserve">规定计算并支付代理服务费，该费用应在领取合同前付清</w:t>
      </w:r>
      <w:r>
        <w:rPr>
          <w:rFonts w:hint="eastAsia" w:ascii="宋体" w:hAnsi="宋体" w:eastAsia="宋体" w:cs="宋体"/>
          <w:color w:val="000000"/>
          <w:sz w:val="24"/>
          <w:szCs w:val="24"/>
          <w:highlight w:val="none"/>
        </w:rPr>
        <w:t xml:space="preserve">，该费用包含在投标报价中。</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预算金额100万元以下部分，费率为该部分预算金额的1.5%；</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预算金额100万元（含）－500万元部分，费率为该部分预算金额的1.1%；</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预算金额500万元（含）-1000万元部分，费率为该部分预算金额的0.8%；</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预算金额1000万元（含）-5000万元部分，费率为该部分预算金额的0.5%；</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预算金额5000万元（含）以上部分，费率为该部分预算金额的0.25%。</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说明：代理服务费以采购预算金额为基数依据，按以上规定的标准和差额定率累进法进行计算收取。</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中标人根据采购预算计算并支付中标服务费，领取中标通知书时中标人向采购代理机构一次性付清。</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则本项目</w:t>
      </w:r>
      <w:r>
        <w:rPr>
          <w:rFonts w:hint="eastAsia" w:ascii="宋体" w:hAnsi="宋体" w:eastAsia="宋体" w:cs="宋体"/>
          <w:b/>
          <w:bCs/>
          <w:color w:val="000000"/>
          <w:sz w:val="24"/>
          <w:szCs w:val="24"/>
          <w:highlight w:val="none"/>
          <w:lang w:val="en-US" w:eastAsia="zh-CN"/>
        </w:rPr>
        <w:t xml:space="preserve">中标</w:t>
      </w:r>
      <w:r>
        <w:rPr>
          <w:rFonts w:hint="eastAsia" w:ascii="宋体" w:hAnsi="宋体" w:eastAsia="宋体" w:cs="宋体"/>
          <w:b/>
          <w:bCs/>
          <w:color w:val="000000"/>
          <w:sz w:val="24"/>
          <w:szCs w:val="24"/>
          <w:highlight w:val="none"/>
        </w:rPr>
        <w:t xml:space="preserve">服务费为人民币</w:t>
      </w:r>
      <w:r>
        <w:rPr>
          <w:rFonts w:hint="eastAsia" w:ascii="宋体" w:hAnsi="宋体" w:eastAsia="宋体" w:cs="宋体"/>
          <w:b/>
          <w:bCs/>
          <w:color w:val="000000"/>
          <w:sz w:val="24"/>
          <w:szCs w:val="24"/>
          <w:highlight w:val="none"/>
          <w:lang w:val="en-US" w:eastAsia="zh-CN"/>
        </w:rPr>
        <w:t xml:space="preserve">叁万陆仟玖佰壹拾陆</w:t>
      </w:r>
      <w:r>
        <w:rPr>
          <w:rFonts w:hint="eastAsia" w:ascii="宋体" w:hAnsi="宋体" w:eastAsia="宋体" w:cs="宋体"/>
          <w:b/>
          <w:bCs/>
          <w:color w:val="000000"/>
          <w:sz w:val="24"/>
          <w:szCs w:val="24"/>
          <w:highlight w:val="none"/>
        </w:rPr>
        <w:t xml:space="preserve">元整（￥</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6916</w:t>
      </w:r>
      <w:r>
        <w:rPr>
          <w:rFonts w:hint="eastAsia" w:ascii="宋体" w:hAnsi="宋体" w:eastAsia="宋体" w:cs="宋体"/>
          <w:b/>
          <w:bCs/>
          <w:color w:val="000000"/>
          <w:sz w:val="24"/>
          <w:szCs w:val="24"/>
          <w:highlight w:val="none"/>
        </w:rPr>
        <w:t xml:space="preserve">.00）。</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eastAsia="zh-CN"/>
        </w:rPr>
        <w:t xml:space="preserve">中标人</w:t>
      </w:r>
      <w:r>
        <w:rPr>
          <w:rFonts w:ascii="宋体" w:hAnsi="宋体" w:eastAsia="宋体" w:cs="宋体"/>
          <w:color w:val="000000"/>
          <w:sz w:val="24"/>
          <w:szCs w:val="24"/>
          <w:highlight w:val="none"/>
        </w:rPr>
        <w:t xml:space="preserve">如果未按规定缴纳代理服务费，采购代理机构将保留诉讼的权利。</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4</w:t>
      </w:r>
      <w:r>
        <w:rPr>
          <w:rFonts w:ascii="宋体" w:hAnsi="宋体" w:eastAsia="宋体" w:cs="宋体"/>
          <w:b/>
          <w:bCs/>
          <w:color w:val="000000"/>
          <w:sz w:val="24"/>
          <w:szCs w:val="24"/>
          <w:highlight w:val="none"/>
        </w:rPr>
        <w:t xml:space="preserve">、监督和公证</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.1 有关监督部门将对招投标全过程进行监督。</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.2 采购代理机构的招标过程将通过公证机关进行公证。</w:t>
      </w:r>
      <w:r>
        <w:rPr>
          <w:rFonts w:ascii="宋体" w:hAnsi="宋体" w:eastAsia="宋体" w:cs="宋体"/>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5</w:t>
      </w:r>
      <w:r>
        <w:rPr>
          <w:rFonts w:ascii="宋体" w:hAnsi="宋体" w:eastAsia="宋体" w:cs="宋体"/>
          <w:b/>
          <w:bCs/>
          <w:color w:val="000000"/>
          <w:sz w:val="24"/>
          <w:szCs w:val="24"/>
          <w:highlight w:val="none"/>
        </w:rPr>
        <w:t xml:space="preserve">、未尽事宜</w:t>
      </w:r>
      <w:r>
        <w:rPr>
          <w:rFonts w:ascii="宋体" w:hAnsi="宋体" w:eastAsia="宋体" w:cs="宋体"/>
          <w:b/>
          <w:bCs/>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未尽事宜应按《中华人民共和国民法典》、《中华人民共和国政府采购法》以及其它相关法律、法规之规定解释</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643"/>
        <w:jc w:val="center"/>
        <w:spacing w:line="360" w:lineRule="auto"/>
        <w:widowControl w:val="off"/>
        <w:rPr>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br w:type="page" w:clear="all"/>
      </w:r>
      <w:r>
        <w:rPr>
          <w:rFonts w:ascii="宋体" w:hAnsi="宋体" w:eastAsia="宋体" w:cs="宋体"/>
          <w:b/>
          <w:bCs/>
          <w:color w:val="000000"/>
          <w:sz w:val="32"/>
          <w:szCs w:val="32"/>
          <w:highlight w:val="none"/>
        </w:rPr>
        <w:t xml:space="preserve">第三章</w:t>
      </w:r>
      <w:r>
        <w:rPr>
          <w:rFonts w:hint="eastAsia"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t xml:space="preserve">投标文件格式</w:t>
      </w:r>
      <w:r>
        <w:rPr>
          <w:rFonts w:ascii="宋体" w:hAnsi="宋体" w:eastAsia="宋体" w:cs="宋体"/>
          <w:b/>
          <w:bCs/>
          <w:color w:val="000000"/>
          <w:sz w:val="32"/>
          <w:szCs w:val="32"/>
          <w:highlight w:val="none"/>
        </w:rPr>
      </w:r>
      <w:r/>
    </w:p>
    <w:p>
      <w:pPr>
        <w:pStyle w:val="698"/>
        <w:ind w:firstLine="420"/>
        <w:jc w:val="both"/>
        <w:spacing w:line="360"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投标文件格式，除注明允许修改的文件外，投标人均应按照本章提供的格式填写，否则作为无效标。允许修改的文件，投标方可根据自身情况进行补充和修改，但补充和修改不得造成与原格式内容有实质性的违背 。</w:t>
      </w:r>
      <w:r>
        <w:rPr>
          <w:rFonts w:ascii="宋体" w:hAnsi="宋体" w:eastAsia="宋体" w:cs="宋体"/>
          <w:color w:val="000000"/>
          <w:sz w:val="24"/>
          <w:szCs w:val="24"/>
          <w:highlight w:val="none"/>
        </w:rPr>
      </w:r>
      <w:r/>
    </w:p>
    <w:p>
      <w:pPr>
        <w:pStyle w:val="698"/>
        <w:spacing w:line="400" w:lineRule="exact"/>
        <w:widowControl w:val="off"/>
        <w:rPr>
          <w:rFonts w:ascii="宋体" w:hAnsi="宋体" w:eastAsia="宋体" w:cs="宋体"/>
          <w:b/>
          <w:bCs/>
          <w:color w:val="000000"/>
          <w:sz w:val="24"/>
          <w:szCs w:val="24"/>
          <w:highlight w:val="none"/>
        </w:rPr>
      </w:pPr>
      <w:r>
        <w:rPr>
          <w:rFonts w:ascii="宋体" w:hAnsi="宋体" w:eastAsia="宋体" w:cs="宋体"/>
          <w:color w:val="000000"/>
          <w:highlight w:val="none"/>
        </w:rPr>
        <w:br w:type="page" w:clear="all"/>
      </w:r>
      <w:r>
        <w:rPr>
          <w:rFonts w:ascii="宋体" w:hAnsi="宋体" w:eastAsia="宋体" w:cs="宋体"/>
          <w:b/>
          <w:bCs/>
          <w:color w:val="000000"/>
          <w:sz w:val="24"/>
          <w:szCs w:val="24"/>
          <w:highlight w:val="none"/>
        </w:rPr>
        <w:t xml:space="preserve">格式1、投标函</w:t>
      </w:r>
      <w:r>
        <w:rPr>
          <w:rFonts w:ascii="宋体" w:hAnsi="宋体" w:eastAsia="宋体" w:cs="宋体"/>
          <w:b/>
          <w:bCs/>
          <w:color w:val="000000"/>
          <w:sz w:val="24"/>
          <w:szCs w:val="24"/>
          <w:highlight w:val="none"/>
        </w:rPr>
      </w:r>
      <w:r/>
    </w:p>
    <w:p>
      <w:pPr>
        <w:pStyle w:val="698"/>
        <w:ind w:firstLine="489"/>
        <w:jc w:val="center"/>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投标函</w:t>
      </w:r>
      <w:r>
        <w:rPr>
          <w:rFonts w:ascii="宋体" w:hAnsi="宋体" w:eastAsia="宋体" w:cs="宋体"/>
          <w:b/>
          <w:bCs/>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我方收到贵公司</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号</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，经仔细阅读和研究，我方决定参加投标。并向贵公司承诺：</w:t>
      </w:r>
      <w:r>
        <w:rPr>
          <w:rFonts w:ascii="宋体" w:hAnsi="宋体" w:eastAsia="宋体" w:cs="宋体"/>
          <w:color w:val="000000"/>
          <w:sz w:val="24"/>
          <w:szCs w:val="24"/>
          <w:highlight w:val="none"/>
        </w:rPr>
      </w:r>
      <w:r/>
    </w:p>
    <w:p>
      <w:pPr>
        <w:pStyle w:val="698"/>
        <w:numPr>
          <w:ilvl w:val="0"/>
          <w:numId w:val="1"/>
        </w:numPr>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我方愿意按照</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的一切要求，</w:t>
      </w:r>
      <w:r>
        <w:rPr>
          <w:rFonts w:ascii="宋体" w:hAnsi="宋体" w:eastAsia="宋体" w:cs="宋体"/>
          <w:color w:val="000000"/>
          <w:sz w:val="24"/>
          <w:highlight w:val="none"/>
        </w:rPr>
        <w:t xml:space="preserve">提供</w:t>
      </w:r>
      <w:r>
        <w:rPr>
          <w:rFonts w:hint="eastAsia" w:ascii="宋体" w:hAnsi="宋体" w:eastAsia="宋体" w:cs="宋体"/>
          <w:color w:val="000000"/>
          <w:sz w:val="24"/>
          <w:highlight w:val="none"/>
        </w:rPr>
        <w:t xml:space="preserve">包括设备、安装辅材及其备品备件和专用工具费用、税费、包装、运至最终目的地的运输、保险、现场安装调试、检测验收、</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指定部门的检测费、技术支持与培训、质保和售后服务及相关劳务支出、代理服务费等履行本合同所发生的全部费用以及</w:t>
      </w:r>
      <w:r>
        <w:rPr>
          <w:rFonts w:hint="eastAsia" w:ascii="宋体" w:hAnsi="宋体" w:eastAsia="宋体" w:cs="宋体"/>
          <w:color w:val="000000"/>
          <w:sz w:val="24"/>
          <w:highlight w:val="none"/>
          <w:lang w:eastAsia="zh-CN"/>
        </w:rPr>
        <w:t xml:space="preserve">我</w:t>
      </w:r>
      <w:r>
        <w:rPr>
          <w:rFonts w:hint="eastAsia" w:ascii="宋体" w:hAnsi="宋体" w:eastAsia="宋体" w:cs="宋体"/>
          <w:color w:val="000000"/>
          <w:sz w:val="24"/>
          <w:highlight w:val="none"/>
        </w:rPr>
        <w:t xml:space="preserve">方的企业利润、税金和政策性文件规定及合同包含的所有风险、责任等各项应有费用。</w:t>
      </w:r>
      <w:r>
        <w:rPr>
          <w:rFonts w:hint="eastAsia"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、如果我方的投标书被接受，我方将严格履行</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中规定的每一项要求，严格履行合同的责任和义务，保证按期、按质</w:t>
      </w:r>
      <w:r>
        <w:rPr>
          <w:rFonts w:hint="eastAsia" w:ascii="宋体" w:hAnsi="宋体" w:eastAsia="宋体" w:cs="宋体"/>
          <w:color w:val="000000"/>
          <w:sz w:val="24"/>
          <w:szCs w:val="24"/>
          <w:highlight w:val="none"/>
        </w:rPr>
        <w:t xml:space="preserve">、按量</w:t>
      </w:r>
      <w:r>
        <w:rPr>
          <w:rFonts w:ascii="宋体" w:hAnsi="宋体" w:eastAsia="宋体" w:cs="宋体"/>
          <w:color w:val="000000"/>
          <w:sz w:val="24"/>
          <w:szCs w:val="24"/>
          <w:highlight w:val="none"/>
        </w:rPr>
        <w:t xml:space="preserve">履行合同，完成合同内容所规定的全部工作。</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招标文件，包括招标文件的澄清和补充文件（更正公告）(如有)及有关附件。我们已完全理解招标文件并对招标文件不存在任何异议。我们完全理解并同意放弃对这方面内容要求采购人进行解释说明的权利。</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、我方同意按</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中的规定，本投标书的有效期限为</w:t>
      </w:r>
      <w:bookmarkStart w:id="1" w:name="OLE_LINK1"/>
      <w:r/>
      <w:bookmarkStart w:id="2" w:name="OLE_LINK2"/>
      <w:r>
        <w:rPr>
          <w:rFonts w:hint="eastAsia" w:ascii="宋体" w:hAnsi="宋体" w:eastAsia="宋体" w:cs="宋体"/>
          <w:color w:val="000000"/>
          <w:sz w:val="24"/>
          <w:szCs w:val="24"/>
          <w:highlight w:val="none"/>
        </w:rPr>
        <w:t xml:space="preserve">投标文件提交截止之日起</w:t>
      </w:r>
      <w:bookmarkEnd w:id="1"/>
      <w:r/>
      <w:bookmarkEnd w:id="2"/>
      <w:r>
        <w:rPr>
          <w:rFonts w:hint="eastAsia" w:ascii="宋体" w:hAnsi="宋体" w:eastAsia="宋体" w:cs="宋体"/>
          <w:color w:val="000000"/>
          <w:sz w:val="24"/>
          <w:szCs w:val="24"/>
          <w:highlight w:val="none"/>
        </w:rPr>
        <w:t xml:space="preserve">90</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、我方愿意提供</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中要求的所有资料，也同意向贵方提供贵方可能另外要求的与我方投标有关的任何证据或资料，并保证所提供的资料全部是真实的、</w:t>
      </w:r>
      <w:r>
        <w:rPr>
          <w:rFonts w:hint="eastAsia" w:ascii="宋体" w:hAnsi="宋体" w:eastAsia="宋体" w:cs="宋体"/>
          <w:color w:val="000000"/>
          <w:sz w:val="24"/>
          <w:szCs w:val="24"/>
          <w:highlight w:val="none"/>
        </w:rPr>
        <w:t xml:space="preserve">完整的、准确的、</w:t>
      </w:r>
      <w:r>
        <w:rPr>
          <w:rFonts w:ascii="宋体" w:hAnsi="宋体" w:eastAsia="宋体" w:cs="宋体"/>
          <w:color w:val="000000"/>
          <w:sz w:val="24"/>
          <w:szCs w:val="24"/>
          <w:highlight w:val="none"/>
        </w:rPr>
        <w:t xml:space="preserve">有效的，也愿意接受贵方对我方提供所有资料的核查。若有虚假，我方愿承担一切责任</w:t>
      </w:r>
      <w:r>
        <w:rPr>
          <w:rFonts w:hint="eastAsia" w:ascii="宋体" w:hAnsi="宋体" w:eastAsia="宋体" w:cs="宋体"/>
          <w:color w:val="000000"/>
          <w:sz w:val="24"/>
          <w:szCs w:val="24"/>
          <w:highlight w:val="none"/>
        </w:rPr>
        <w:t xml:space="preserve">，并赔偿由此而导致贵公司或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遭受的各项全部损失</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t xml:space="preserve">、我方认为贵方有权根据评标委员会的评审结果决定中标者，还认为贵方有权根据评标委员会的评审结果接受或拒绝所有的投标者。</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t xml:space="preserve">、我方愿意遵守</w:t>
      </w:r>
      <w:r>
        <w:rPr>
          <w:rFonts w:hint="eastAsia" w:ascii="宋体" w:hAnsi="宋体" w:eastAsia="宋体" w:cs="宋体"/>
          <w:color w:val="000000"/>
          <w:sz w:val="24"/>
          <w:szCs w:val="24"/>
          <w:highlight w:val="none"/>
        </w:rPr>
        <w:t xml:space="preserve">招标公告及招标文件</w:t>
      </w:r>
      <w:r>
        <w:rPr>
          <w:rFonts w:ascii="宋体" w:hAnsi="宋体" w:eastAsia="宋体" w:cs="宋体"/>
          <w:color w:val="000000"/>
          <w:sz w:val="24"/>
          <w:szCs w:val="24"/>
          <w:highlight w:val="none"/>
        </w:rPr>
        <w:t xml:space="preserve">中所列的收费标准。</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t xml:space="preserve">、我方同意</w:t>
      </w:r>
      <w:r>
        <w:rPr>
          <w:rFonts w:hint="eastAsia" w:ascii="宋体" w:hAnsi="宋体" w:eastAsia="宋体" w:cs="宋体"/>
          <w:color w:val="000000"/>
          <w:sz w:val="24"/>
          <w:szCs w:val="24"/>
          <w:highlight w:val="none"/>
          <w:lang w:eastAsia="zh-CN"/>
        </w:rPr>
        <w:t xml:space="preserve">中标人</w:t>
      </w:r>
      <w:r>
        <w:rPr>
          <w:rFonts w:ascii="宋体" w:hAnsi="宋体" w:eastAsia="宋体" w:cs="宋体"/>
          <w:color w:val="000000"/>
          <w:sz w:val="24"/>
          <w:szCs w:val="24"/>
          <w:highlight w:val="none"/>
        </w:rPr>
        <w:t xml:space="preserve">若无法按约定条款履行义务等行为，</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有权取消我方的中标资格。</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t xml:space="preserve">、如果我方中标，我方愿意在签订前按</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规定支付中标服务费，逾期按中国人民银行公布的同期人民币贷款最高利率计付利息</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、我们承诺我公司符合招标文件中“申请人的资格要求”的要求，若与真实情况不符，本公司愿意承担由此而产生的一切后果。</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2、与本投标有关的通讯地址：</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联系人：</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邮政编码：</w:t>
      </w:r>
      <w:r>
        <w:rPr>
          <w:rFonts w:ascii="宋体" w:hAnsi="宋体" w:eastAsia="宋体" w:cs="宋体"/>
          <w:color w:val="000000"/>
          <w:sz w:val="24"/>
          <w:szCs w:val="24"/>
          <w:highlight w:val="none"/>
        </w:rPr>
      </w:r>
      <w:r/>
    </w:p>
    <w:p>
      <w:pPr>
        <w:pStyle w:val="698"/>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919"/>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投标人：（盖章）</w:t>
      </w:r>
      <w:r>
        <w:rPr>
          <w:rFonts w:hint="eastAsia" w:hAnsi="宋体" w:eastAsia="宋体" w:cs="宋体"/>
          <w:color w:val="000000"/>
          <w:sz w:val="24"/>
          <w:szCs w:val="24"/>
          <w:highlight w:val="none"/>
        </w:rPr>
      </w:r>
      <w:r/>
    </w:p>
    <w:p>
      <w:pPr>
        <w:pStyle w:val="919"/>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19"/>
        <w:ind w:firstLine="420"/>
        <w:spacing w:line="400" w:lineRule="exact"/>
        <w:rPr>
          <w:rFonts w:hint="eastAsia" w:hAnsi="宋体" w:eastAsia="宋体" w:cs="宋体"/>
          <w:b/>
          <w:bCs/>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br w:type="page" w:clear="all"/>
      </w:r>
      <w:r>
        <w:rPr>
          <w:rFonts w:hint="eastAsia" w:hAnsi="宋体" w:eastAsia="宋体" w:cs="宋体"/>
          <w:b/>
          <w:bCs/>
          <w:color w:val="000000"/>
          <w:sz w:val="24"/>
          <w:szCs w:val="24"/>
          <w:highlight w:val="none"/>
        </w:rPr>
        <w:t xml:space="preserve">格式2、(投标人)法定代表人授权委托书</w:t>
      </w:r>
      <w:r>
        <w:rPr>
          <w:rFonts w:hint="eastAsia" w:hAnsi="宋体" w:eastAsia="宋体" w:cs="宋体"/>
          <w:b/>
          <w:bCs/>
          <w:color w:val="000000"/>
          <w:sz w:val="24"/>
          <w:szCs w:val="24"/>
          <w:highlight w:val="none"/>
        </w:rPr>
      </w:r>
      <w:r/>
    </w:p>
    <w:p>
      <w:pPr>
        <w:pStyle w:val="698"/>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4"/>
        <w:ind w:firstLine="480"/>
        <w:jc w:val="center"/>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法定代表人授权委托书</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（姓名+手机号码）为我公司代理人，以本公司的名义参加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（采购人名称）组织实施的编号为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号的招标（采购）活动。代理人在投标、开标、评标、合同订立和履行过程中所签署的一切文件和处理与这有关的一切事务，我公司均予以承认并负全部责任。</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代理人在授权委托书有效期内签署的所有文件不因授权委托的撤销而失效，除非有撤销授权委托的书面通知，本授权委托书自投标开始至合同全部履行完毕止。</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代理人无转委托权。特此委托。</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 标 人（盖章）：</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代理人（签字或盖章）：</w:t>
      </w:r>
      <w:r>
        <w:rPr>
          <w:rFonts w:hint="eastAsia" w:ascii="宋体" w:hAnsi="宋体" w:eastAsia="宋体" w:cs="宋体"/>
          <w:color w:val="000000"/>
          <w:szCs w:val="24"/>
          <w:highlight w:val="none"/>
        </w:rPr>
      </w:r>
      <w:r/>
    </w:p>
    <w:p>
      <w:pPr>
        <w:pStyle w:val="734"/>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rPr>
      </w:r>
      <w:r/>
    </w:p>
    <w:p>
      <w:pPr>
        <w:pStyle w:val="698"/>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698"/>
        <w:jc w:val="both"/>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rPr>
        <w:t xml:space="preserve">3</w:t>
      </w:r>
      <w:r>
        <w:rPr>
          <w:rFonts w:ascii="宋体" w:hAnsi="宋体" w:eastAsia="宋体" w:cs="宋体"/>
          <w:b/>
          <w:bCs/>
          <w:color w:val="000000"/>
          <w:sz w:val="24"/>
          <w:szCs w:val="24"/>
          <w:highlight w:val="none"/>
        </w:rPr>
        <w:t xml:space="preserve">、开标一览表</w:t>
      </w:r>
      <w:r>
        <w:rPr>
          <w:rFonts w:ascii="宋体" w:hAnsi="宋体" w:eastAsia="宋体" w:cs="宋体"/>
          <w:b/>
          <w:bCs/>
          <w:color w:val="000000"/>
          <w:sz w:val="24"/>
          <w:szCs w:val="24"/>
          <w:highlight w:val="none"/>
        </w:rPr>
      </w:r>
      <w:r/>
    </w:p>
    <w:p>
      <w:pPr>
        <w:pStyle w:val="698"/>
        <w:jc w:val="both"/>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69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按照“苏采云”系统填报</w:t>
      </w:r>
      <w:bookmarkStart w:id="3" w:name="_GoBack"/>
      <w:r/>
      <w:bookmarkEnd w:id="3"/>
      <w:r>
        <w:rPr>
          <w:rFonts w:hint="eastAsia" w:ascii="宋体" w:hAnsi="宋体" w:eastAsia="宋体" w:cs="宋体"/>
          <w:b/>
          <w:bCs/>
          <w:color w:val="000000"/>
          <w:sz w:val="24"/>
          <w:szCs w:val="24"/>
          <w:highlight w:val="none"/>
        </w:rPr>
      </w:r>
      <w:r/>
    </w:p>
    <w:p>
      <w:pPr>
        <w:pStyle w:val="69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bookmarkStart w:id="4" w:name="_Toc71810483"/>
      <w:r>
        <w:rPr>
          <w:rFonts w:hint="eastAsia" w:ascii="宋体" w:hAnsi="宋体" w:eastAsia="宋体" w:cs="宋体"/>
          <w:b/>
          <w:bCs/>
          <w:color w:val="000000"/>
          <w:sz w:val="24"/>
          <w:szCs w:val="24"/>
          <w:highlight w:val="none"/>
        </w:rPr>
        <w:t xml:space="preserve">格式4、投标分项报价明细表</w:t>
      </w:r>
      <w:r>
        <w:rPr>
          <w:rFonts w:hint="eastAsia" w:ascii="宋体" w:hAnsi="宋体" w:eastAsia="宋体" w:cs="宋体"/>
          <w:b/>
          <w:bCs/>
          <w:color w:val="000000"/>
          <w:sz w:val="24"/>
          <w:szCs w:val="24"/>
          <w:highlight w:val="none"/>
        </w:rPr>
      </w:r>
      <w:r/>
    </w:p>
    <w:p>
      <w:pPr>
        <w:pStyle w:val="698"/>
        <w:jc w:val="center"/>
        <w:spacing w:line="40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投标分项报价明细表</w:t>
      </w:r>
      <w:r>
        <w:rPr>
          <w:rFonts w:hint="eastAsia" w:ascii="宋体" w:hAnsi="宋体" w:eastAsia="宋体" w:cs="宋体"/>
          <w:b/>
          <w:bCs/>
          <w:color w:val="000000"/>
          <w:sz w:val="24"/>
          <w:szCs w:val="24"/>
          <w:highlight w:val="none"/>
        </w:rPr>
      </w:r>
      <w:r/>
    </w:p>
    <w:p>
      <w:pPr>
        <w:pStyle w:val="698"/>
        <w:spacing w:line="400" w:lineRule="exact"/>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项目编号：</w:t>
      </w:r>
      <w:r>
        <w:rPr>
          <w:rFonts w:ascii="宋体" w:hAnsi="宋体" w:eastAsia="宋体" w:cs="宋体"/>
          <w:b/>
          <w:bCs/>
          <w:color w:val="000000"/>
          <w:sz w:val="24"/>
          <w:szCs w:val="24"/>
          <w:highlight w:val="none"/>
        </w:rPr>
      </w:r>
      <w:r/>
    </w:p>
    <w:tbl>
      <w:tblPr>
        <w:tblW w:w="9533" w:type="dxa"/>
        <w:jc w:val="center"/>
        <w:tblInd w:w="-33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0"/>
        <w:gridCol w:w="1930"/>
        <w:gridCol w:w="1535"/>
        <w:gridCol w:w="1252"/>
        <w:gridCol w:w="711"/>
        <w:gridCol w:w="9"/>
        <w:gridCol w:w="720"/>
        <w:gridCol w:w="720"/>
        <w:gridCol w:w="712"/>
        <w:gridCol w:w="1014"/>
      </w:tblGrid>
      <w:tr>
        <w:trPr>
          <w:trHeight w:val="566"/>
        </w:trPr>
        <w:tc>
          <w:tcPr>
            <w:tcW w:w="930"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序号</w:t>
            </w:r>
            <w:r>
              <w:rPr>
                <w:bCs/>
                <w:color w:val="000000"/>
                <w:sz w:val="24"/>
                <w:szCs w:val="24"/>
                <w:highlight w:val="none"/>
              </w:rPr>
            </w:r>
            <w:r/>
          </w:p>
        </w:tc>
        <w:tc>
          <w:tcPr>
            <w:tcW w:w="1930"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标的物名称</w:t>
            </w:r>
            <w:r>
              <w:rPr>
                <w:bCs/>
                <w:color w:val="000000"/>
                <w:sz w:val="24"/>
                <w:szCs w:val="24"/>
                <w:highlight w:val="none"/>
              </w:rPr>
            </w:r>
            <w:r/>
          </w:p>
        </w:tc>
        <w:tc>
          <w:tcPr>
            <w:tcW w:w="1535"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品牌、规格、型号</w:t>
            </w:r>
            <w:r>
              <w:rPr>
                <w:bCs/>
                <w:color w:val="000000"/>
                <w:sz w:val="24"/>
                <w:szCs w:val="24"/>
                <w:highlight w:val="none"/>
              </w:rPr>
            </w:r>
            <w:r/>
          </w:p>
        </w:tc>
        <w:tc>
          <w:tcPr>
            <w:tcW w:w="1252"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生产厂家</w:t>
            </w:r>
            <w:r>
              <w:rPr>
                <w:bCs/>
                <w:color w:val="000000"/>
                <w:sz w:val="24"/>
                <w:szCs w:val="24"/>
                <w:highlight w:val="none"/>
              </w:rPr>
            </w:r>
            <w:r/>
          </w:p>
        </w:tc>
        <w:tc>
          <w:tcPr>
            <w:gridSpan w:val="2"/>
            <w:tcW w:w="720"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单位</w:t>
            </w: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数量</w:t>
            </w: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单价</w:t>
            </w:r>
            <w:r>
              <w:rPr>
                <w:bCs/>
                <w:color w:val="000000"/>
                <w:sz w:val="24"/>
                <w:szCs w:val="24"/>
                <w:highlight w:val="none"/>
              </w:rPr>
            </w:r>
            <w:r/>
          </w:p>
        </w:tc>
        <w:tc>
          <w:tcPr>
            <w:tcW w:w="712"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总价</w:t>
            </w:r>
            <w:r>
              <w:rPr>
                <w:bCs/>
                <w:color w:val="000000"/>
                <w:sz w:val="24"/>
                <w:szCs w:val="24"/>
                <w:highlight w:val="none"/>
              </w:rPr>
            </w:r>
            <w:r/>
          </w:p>
        </w:tc>
        <w:tc>
          <w:tcPr>
            <w:tcW w:w="1014" w:type="dxa"/>
            <w:vAlign w:val="center"/>
            <w:textDirection w:val="lrTb"/>
            <w:noWrap w:val="false"/>
          </w:tcPr>
          <w:p>
            <w:pPr>
              <w:pStyle w:val="698"/>
              <w:jc w:val="center"/>
              <w:rPr>
                <w:bCs/>
                <w:color w:val="000000"/>
                <w:sz w:val="24"/>
                <w:szCs w:val="24"/>
                <w:highlight w:val="none"/>
              </w:rPr>
            </w:pPr>
            <w:r>
              <w:rPr>
                <w:rFonts w:hAnsi="宋体"/>
                <w:bCs/>
                <w:color w:val="000000"/>
                <w:sz w:val="24"/>
                <w:szCs w:val="24"/>
                <w:highlight w:val="none"/>
              </w:rPr>
              <w:t xml:space="preserve">备注</w:t>
            </w:r>
            <w:r>
              <w:rPr>
                <w:bCs/>
                <w:color w:val="000000"/>
                <w:sz w:val="24"/>
                <w:szCs w:val="24"/>
                <w:highlight w:val="none"/>
              </w:rPr>
            </w:r>
            <w:r/>
          </w:p>
        </w:tc>
      </w:tr>
      <w:tr>
        <w:trPr>
          <w:trHeight w:val="480"/>
        </w:trPr>
        <w:tc>
          <w:tcPr>
            <w:tcW w:w="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98"/>
              <w:ind w:right="-209"/>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014"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r>
      <w:tr>
        <w:trPr>
          <w:trHeight w:val="480"/>
        </w:trPr>
        <w:tc>
          <w:tcPr>
            <w:tcW w:w="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014"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r>
      <w:tr>
        <w:trPr>
          <w:trHeight w:val="480"/>
        </w:trPr>
        <w:tc>
          <w:tcPr>
            <w:tcW w:w="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014"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r>
      <w:tr>
        <w:trPr>
          <w:trHeight w:val="480"/>
        </w:trPr>
        <w:tc>
          <w:tcPr>
            <w:tcW w:w="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014"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r>
      <w:tr>
        <w:trPr>
          <w:trHeight w:val="480"/>
        </w:trPr>
        <w:tc>
          <w:tcPr>
            <w:tcW w:w="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014"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r>
      <w:tr>
        <w:trPr>
          <w:trHeight w:val="480"/>
        </w:trPr>
        <w:tc>
          <w:tcPr>
            <w:tcW w:w="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014"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r>
      <w:tr>
        <w:trPr>
          <w:trHeight w:val="480"/>
        </w:trPr>
        <w:tc>
          <w:tcPr>
            <w:tcW w:w="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c>
          <w:tcPr>
            <w:tcW w:w="1014" w:type="dxa"/>
            <w:vAlign w:val="center"/>
            <w:textDirection w:val="lrTb"/>
            <w:noWrap w:val="false"/>
          </w:tcPr>
          <w:p>
            <w:pPr>
              <w:pStyle w:val="698"/>
              <w:jc w:val="center"/>
              <w:rPr>
                <w:bCs/>
                <w:color w:val="000000"/>
                <w:sz w:val="24"/>
                <w:szCs w:val="24"/>
                <w:highlight w:val="none"/>
              </w:rPr>
            </w:pPr>
            <w:r>
              <w:rPr>
                <w:bCs/>
                <w:color w:val="000000"/>
                <w:sz w:val="24"/>
                <w:szCs w:val="24"/>
                <w:highlight w:val="none"/>
              </w:rPr>
            </w:r>
            <w:r/>
          </w:p>
        </w:tc>
      </w:tr>
      <w:tr>
        <w:trPr>
          <w:trHeight w:val="561"/>
        </w:trPr>
        <w:tc>
          <w:tcPr>
            <w:gridSpan w:val="2"/>
            <w:tcW w:w="2860" w:type="dxa"/>
            <w:vAlign w:val="center"/>
            <w:textDirection w:val="lrTb"/>
            <w:noWrap w:val="false"/>
          </w:tcPr>
          <w:p>
            <w:pPr>
              <w:pStyle w:val="698"/>
              <w:rPr>
                <w:bCs/>
                <w:color w:val="000000"/>
                <w:sz w:val="24"/>
                <w:szCs w:val="24"/>
                <w:highlight w:val="none"/>
              </w:rPr>
            </w:pPr>
            <w:r>
              <w:rPr>
                <w:rFonts w:hAnsi="宋体"/>
                <w:bCs/>
                <w:color w:val="000000"/>
                <w:sz w:val="24"/>
                <w:szCs w:val="24"/>
                <w:highlight w:val="none"/>
              </w:rPr>
              <w:t xml:space="preserve">投标总报价：</w:t>
            </w:r>
            <w:r>
              <w:rPr>
                <w:bCs/>
                <w:color w:val="000000"/>
                <w:sz w:val="24"/>
                <w:szCs w:val="24"/>
                <w:highlight w:val="none"/>
              </w:rPr>
            </w:r>
            <w:r/>
          </w:p>
        </w:tc>
        <w:tc>
          <w:tcPr>
            <w:gridSpan w:val="8"/>
            <w:tcW w:w="6673" w:type="dxa"/>
            <w:vAlign w:val="center"/>
            <w:textDirection w:val="lrTb"/>
            <w:noWrap w:val="false"/>
          </w:tcPr>
          <w:p>
            <w:pPr>
              <w:pStyle w:val="698"/>
              <w:rPr>
                <w:bCs/>
                <w:color w:val="000000"/>
                <w:sz w:val="24"/>
                <w:szCs w:val="24"/>
                <w:highlight w:val="none"/>
              </w:rPr>
            </w:pPr>
            <w:r>
              <w:rPr>
                <w:rFonts w:hAnsi="宋体"/>
                <w:bCs/>
                <w:color w:val="000000"/>
                <w:sz w:val="24"/>
                <w:szCs w:val="24"/>
                <w:highlight w:val="none"/>
              </w:rPr>
              <w:t xml:space="preserve">大写：</w:t>
            </w: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   </w:t>
            </w:r>
            <w:r>
              <w:rPr>
                <w:rFonts w:hAnsi="宋体"/>
                <w:bCs/>
                <w:color w:val="000000"/>
                <w:sz w:val="24"/>
                <w:szCs w:val="24"/>
                <w:highlight w:val="none"/>
              </w:rPr>
              <w:t xml:space="preserve">元</w:t>
            </w:r>
            <w:r>
              <w:rPr>
                <w:rFonts w:hint="eastAsia" w:hAnsi="宋体"/>
                <w:bCs/>
                <w:color w:val="000000"/>
                <w:sz w:val="24"/>
                <w:szCs w:val="24"/>
                <w:highlight w:val="none"/>
              </w:rPr>
              <w:t xml:space="preserve">； 小写：               元</w:t>
            </w:r>
            <w:r>
              <w:rPr>
                <w:bCs/>
                <w:color w:val="000000"/>
                <w:sz w:val="24"/>
                <w:szCs w:val="24"/>
                <w:highlight w:val="none"/>
              </w:rPr>
            </w:r>
            <w:r/>
          </w:p>
        </w:tc>
      </w:tr>
    </w:tbl>
    <w:p>
      <w:pPr>
        <w:pStyle w:val="698"/>
        <w:ind w:left="0" w:right="0" w:firstLine="0"/>
        <w:jc w:val="both"/>
        <w:spacing w:before="0" w:after="0"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注：1、本表报价的合计金额应与开标一览表报价一致</w:t>
      </w:r>
      <w:r>
        <w:rPr>
          <w:color w:val="000000"/>
          <w:highlight w:val="none"/>
        </w:rPr>
      </w:r>
      <w:r/>
    </w:p>
    <w:p>
      <w:pPr>
        <w:pStyle w:val="930"/>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0"/>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930"/>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746"/>
        <w:ind w:left="0"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46"/>
        <w:ind w:left="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698"/>
        <w:numPr>
          <w:ilvl w:val="0"/>
          <w:numId w:val="0"/>
        </w:numPr>
        <w:ind w:firstLine="0"/>
        <w:jc w:val="center"/>
        <w:spacing w:line="360" w:lineRule="auto"/>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）投标报价合理性说明（如有）</w:t>
      </w:r>
      <w:r>
        <w:rPr>
          <w:rFonts w:hint="eastAsia" w:ascii="宋体" w:hAnsi="宋体" w:eastAsia="宋体" w:cs="宋体"/>
          <w:b/>
          <w:bCs/>
          <w:color w:val="000000"/>
          <w:sz w:val="24"/>
          <w:szCs w:val="24"/>
          <w:highlight w:val="none"/>
          <w:lang w:eastAsia="zh-CN"/>
        </w:rPr>
      </w:r>
      <w:r/>
    </w:p>
    <w:p>
      <w:pPr>
        <w:pStyle w:val="698"/>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2"/>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号（项目编号）的招标活动进行投标，对于本公司的投标报价合理性作出说明如下：</w:t>
      </w:r>
      <w:r>
        <w:rPr>
          <w:rFonts w:hint="eastAsia" w:ascii="宋体" w:hAnsi="宋体" w:eastAsia="宋体" w:cs="宋体"/>
          <w:color w:val="000000"/>
          <w:sz w:val="24"/>
          <w:szCs w:val="24"/>
          <w:highlight w:val="none"/>
        </w:rPr>
      </w:r>
      <w:r/>
    </w:p>
    <w:tbl>
      <w:tblPr>
        <w:tblW w:w="96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0"/>
      </w:tblGrid>
      <w:tr>
        <w:trPr>
          <w:trHeight w:val="3940"/>
        </w:trPr>
        <w:tc>
          <w:tcPr>
            <w:tcW w:w="9600" w:type="dxa"/>
            <w:vAlign w:val="center"/>
            <w:textDirection w:val="lrTb"/>
            <w:noWrap w:val="false"/>
          </w:tcPr>
          <w:p>
            <w:pPr>
              <w:pStyle w:val="698"/>
              <w:ind w:left="0"/>
              <w:jc w:val="both"/>
              <w:spacing w:line="360" w:lineRule="auto"/>
              <w:widowControl w:val="off"/>
              <w:rPr>
                <w:rFonts w:ascii="宋体" w:hAnsi="宋体" w:eastAsia="宋体" w:cs="宋体"/>
                <w:b/>
                <w:color w:val="000000"/>
                <w:sz w:val="24"/>
                <w:szCs w:val="24"/>
                <w:highlight w:val="none"/>
                <w:shd w:val="pct10" w:color="auto" w:fill="ffffff"/>
                <w:lang w:val="en-US" w:eastAsia="en-US" w:bidi="ar-SA"/>
              </w:rPr>
            </w:pPr>
            <w:r>
              <w:rPr>
                <w:rFonts w:ascii="宋体" w:hAnsi="宋体" w:eastAsia="宋体" w:cs="宋体"/>
                <w:b/>
                <w:color w:val="000000"/>
                <w:sz w:val="24"/>
                <w:szCs w:val="24"/>
                <w:highlight w:val="none"/>
                <w:shd w:val="pct10" w:color="auto" w:fill="ffffff"/>
                <w:lang w:val="en-US" w:eastAsia="en-US" w:bidi="ar-SA"/>
              </w:rPr>
            </w:r>
            <w:r/>
          </w:p>
        </w:tc>
      </w:tr>
    </w:tbl>
    <w:p>
      <w:pPr>
        <w:pStyle w:val="916"/>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hint="eastAsia" w:ascii="宋体" w:hAnsi="宋体" w:cs="宋体"/>
          <w:b/>
          <w:color w:val="000000"/>
          <w:sz w:val="21"/>
          <w:szCs w:val="21"/>
          <w:highlight w:val="none"/>
        </w:rPr>
        <w:t xml:space="preserve">根据招标文件第二章“投标人须知”第2</w:t>
      </w:r>
      <w:r>
        <w:rPr>
          <w:rFonts w:hint="eastAsia" w:ascii="宋体" w:hAnsi="宋体" w:cs="宋体"/>
          <w:b/>
          <w:color w:val="000000"/>
          <w:sz w:val="21"/>
          <w:szCs w:val="21"/>
          <w:highlight w:val="none"/>
          <w:lang w:eastAsia="zh-CN"/>
        </w:rPr>
        <w:t xml:space="preserve">2</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条要求，投标人的报价低于预算价的50%，应当要求其在投标文件中提供书面说明及相关证明材料，应当要求投标人出具书面说明及证明材料，例如库存清单、进货合同及发票、仓库照片、往期类似项目合同报价清单。投标人不能证明其报价合理性的，评标委员会应当将其作为无效投标处理。</w:t>
      </w:r>
      <w:r>
        <w:rPr>
          <w:rFonts w:ascii="宋体" w:hAnsi="宋体" w:cs="宋体"/>
          <w:b/>
          <w:color w:val="000000"/>
          <w:sz w:val="21"/>
          <w:szCs w:val="21"/>
          <w:highlight w:val="none"/>
        </w:rPr>
      </w:r>
      <w:r/>
    </w:p>
    <w:p>
      <w:pPr>
        <w:pStyle w:val="698"/>
        <w:ind w:firstLine="48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0"/>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930"/>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746"/>
        <w:ind w:left="0"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8"/>
        <w:ind w:left="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02"/>
        <w:ind w:left="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698"/>
        <w:rPr>
          <w:color w:val="000000"/>
          <w:highlight w:val="none"/>
          <w:lang w:val="zh-CN"/>
        </w:rPr>
      </w:pPr>
      <w:r>
        <w:rPr>
          <w:color w:val="000000"/>
          <w:highlight w:val="none"/>
          <w:lang w:val="zh-CN"/>
        </w:rPr>
      </w:r>
      <w:r/>
    </w:p>
    <w:p>
      <w:pPr>
        <w:pStyle w:val="746"/>
        <w:numPr>
          <w:ilvl w:val="0"/>
          <w:numId w:val="0"/>
        </w:numPr>
        <w:ind w:left="1608" w:firstLine="0"/>
        <w:rPr>
          <w:rFonts w:hint="eastAsia"/>
          <w:color w:val="000000"/>
          <w:highlight w:val="none"/>
          <w:lang w:eastAsia="zh-CN"/>
        </w:rPr>
      </w:pPr>
      <w:r>
        <w:rPr>
          <w:rFonts w:hint="eastAsia"/>
          <w:color w:val="000000"/>
          <w:highlight w:val="none"/>
          <w:lang w:eastAsia="zh-CN"/>
        </w:rPr>
      </w:r>
      <w:r/>
    </w:p>
    <w:p>
      <w:pPr>
        <w:pStyle w:val="698"/>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格式5、</w:t>
      </w:r>
      <w:r>
        <w:rPr>
          <w:rFonts w:hint="eastAsia" w:ascii="宋体" w:hAnsi="宋体" w:eastAsia="宋体" w:cs="宋体"/>
          <w:b/>
          <w:color w:val="000000"/>
          <w:sz w:val="24"/>
          <w:szCs w:val="24"/>
          <w:highlight w:val="none"/>
        </w:rPr>
        <w:t xml:space="preserve">投标货物数量、品牌规格、性能、交货期说明表</w:t>
      </w:r>
      <w:r>
        <w:rPr>
          <w:rFonts w:hint="eastAsia" w:ascii="宋体" w:hAnsi="宋体" w:eastAsia="宋体" w:cs="宋体"/>
          <w:b/>
          <w:color w:val="000000"/>
          <w:sz w:val="24"/>
          <w:szCs w:val="24"/>
          <w:highlight w:val="none"/>
        </w:rPr>
      </w:r>
      <w:r/>
    </w:p>
    <w:p>
      <w:pPr>
        <w:pStyle w:val="746"/>
        <w:ind w:left="0" w:firstLine="0"/>
        <w:jc w:val="cente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投标货物数量、品牌规格、性能、交货期说明表</w:t>
      </w:r>
      <w:r>
        <w:rPr>
          <w:rFonts w:hint="eastAsia" w:ascii="宋体" w:hAnsi="宋体" w:cs="宋体"/>
          <w:b/>
          <w:color w:val="000000"/>
          <w:sz w:val="24"/>
          <w:szCs w:val="24"/>
          <w:highlight w:val="none"/>
        </w:rPr>
      </w:r>
      <w:r/>
    </w:p>
    <w:p>
      <w:pPr>
        <w:pStyle w:val="746"/>
        <w:ind w:left="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8"/>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0" w:type="auto"/>
        <w:jc w:val="center"/>
        <w:tblInd w:w="-4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66"/>
        <w:gridCol w:w="1985"/>
        <w:gridCol w:w="2835"/>
        <w:gridCol w:w="1080"/>
        <w:gridCol w:w="1137"/>
        <w:gridCol w:w="1238"/>
      </w:tblGrid>
      <w:tr>
        <w:trPr/>
        <w:tc>
          <w:tcPr>
            <w:tcW w:w="1166" w:type="dxa"/>
            <w:vAlign w:val="center"/>
            <w:textDirection w:val="lrTb"/>
            <w:noWrap w:val="false"/>
          </w:tcPr>
          <w:p>
            <w:pPr>
              <w:pStyle w:val="94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序号</w:t>
            </w:r>
            <w:r>
              <w:rPr>
                <w:rFonts w:hAnsi="宋体" w:eastAsia="宋体"/>
                <w:color w:val="000000"/>
                <w:sz w:val="24"/>
                <w:szCs w:val="24"/>
                <w:highlight w:val="none"/>
              </w:rPr>
            </w:r>
            <w:r/>
          </w:p>
        </w:tc>
        <w:tc>
          <w:tcPr>
            <w:tcW w:w="1985" w:type="dxa"/>
            <w:vAlign w:val="center"/>
            <w:textDirection w:val="lrTb"/>
            <w:noWrap w:val="false"/>
          </w:tcPr>
          <w:p>
            <w:pPr>
              <w:pStyle w:val="94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标的物名称</w:t>
            </w:r>
            <w:r>
              <w:rPr>
                <w:rFonts w:hAnsi="宋体" w:eastAsia="宋体"/>
                <w:color w:val="000000"/>
                <w:sz w:val="24"/>
                <w:szCs w:val="24"/>
                <w:highlight w:val="none"/>
              </w:rPr>
            </w:r>
            <w:r/>
          </w:p>
        </w:tc>
        <w:tc>
          <w:tcPr>
            <w:tcW w:w="2835" w:type="dxa"/>
            <w:vAlign w:val="center"/>
            <w:textDirection w:val="lrTb"/>
            <w:noWrap w:val="false"/>
          </w:tcPr>
          <w:p>
            <w:pPr>
              <w:pStyle w:val="944"/>
              <w:jc w:val="center"/>
              <w:spacing w:line="360" w:lineRule="auto"/>
              <w:rPr>
                <w:rFonts w:hAnsi="宋体" w:eastAsia="宋体"/>
                <w:color w:val="000000"/>
                <w:sz w:val="24"/>
                <w:szCs w:val="24"/>
                <w:highlight w:val="none"/>
              </w:rPr>
            </w:pPr>
            <w:r>
              <w:rPr>
                <w:rFonts w:hint="eastAsia" w:ascii="宋体" w:hAnsi="宋体" w:eastAsia="宋体" w:cs="宋体"/>
                <w:color w:val="000000"/>
                <w:sz w:val="21"/>
                <w:szCs w:val="21"/>
                <w:highlight w:val="none"/>
                <w:lang w:val="en-US" w:eastAsia="en-US" w:bidi="ar-SA"/>
              </w:rPr>
              <w:t xml:space="preserve">品牌、规格、性能</w:t>
            </w:r>
            <w:r>
              <w:rPr>
                <w:rFonts w:hAnsi="宋体" w:eastAsia="宋体"/>
                <w:color w:val="000000"/>
                <w:sz w:val="24"/>
                <w:szCs w:val="24"/>
                <w:highlight w:val="none"/>
              </w:rPr>
            </w:r>
            <w:r/>
          </w:p>
        </w:tc>
        <w:tc>
          <w:tcPr>
            <w:tcW w:w="1080" w:type="dxa"/>
            <w:vAlign w:val="center"/>
            <w:textDirection w:val="lrTb"/>
            <w:noWrap w:val="false"/>
          </w:tcPr>
          <w:p>
            <w:pPr>
              <w:pStyle w:val="94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单位</w:t>
            </w:r>
            <w:r>
              <w:rPr>
                <w:rFonts w:hAnsi="宋体" w:eastAsia="宋体"/>
                <w:color w:val="000000"/>
                <w:sz w:val="24"/>
                <w:szCs w:val="24"/>
                <w:highlight w:val="none"/>
              </w:rPr>
            </w:r>
            <w:r/>
          </w:p>
        </w:tc>
        <w:tc>
          <w:tcPr>
            <w:tcW w:w="1137" w:type="dxa"/>
            <w:vAlign w:val="center"/>
            <w:textDirection w:val="lrTb"/>
            <w:noWrap w:val="false"/>
          </w:tcPr>
          <w:p>
            <w:pPr>
              <w:pStyle w:val="94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数量</w:t>
            </w:r>
            <w:r>
              <w:rPr>
                <w:rFonts w:hAnsi="宋体" w:eastAsia="宋体"/>
                <w:color w:val="000000"/>
                <w:sz w:val="24"/>
                <w:szCs w:val="24"/>
                <w:highlight w:val="none"/>
              </w:rPr>
            </w:r>
            <w:r/>
          </w:p>
        </w:tc>
        <w:tc>
          <w:tcPr>
            <w:tcW w:w="1238" w:type="dxa"/>
            <w:vAlign w:val="center"/>
            <w:textDirection w:val="lrTb"/>
            <w:noWrap w:val="false"/>
          </w:tcPr>
          <w:p>
            <w:pPr>
              <w:pStyle w:val="94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交付期</w:t>
            </w: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 </w:t>
            </w: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1166"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238" w:type="dxa"/>
            <w:vAlign w:val="top"/>
            <w:textDirection w:val="lrTb"/>
            <w:noWrap w:val="false"/>
          </w:tcPr>
          <w:p>
            <w:pPr>
              <w:pStyle w:val="94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bl>
    <w:p>
      <w:pPr>
        <w:pStyle w:val="698"/>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0"/>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930"/>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746"/>
        <w:ind w:left="0"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46"/>
        <w:ind w:left="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746"/>
        <w:ind w:left="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698"/>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98"/>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98"/>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98"/>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98"/>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98"/>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格式6、</w:t>
      </w:r>
      <w:r>
        <w:rPr>
          <w:rFonts w:hint="eastAsia" w:ascii="宋体" w:hAnsi="宋体" w:eastAsia="宋体" w:cs="宋体"/>
          <w:b/>
          <w:color w:val="000000"/>
          <w:sz w:val="24"/>
          <w:szCs w:val="24"/>
          <w:highlight w:val="none"/>
        </w:rPr>
        <w:t xml:space="preserve">拟投入本项目的专业技术（服务）人员情况一览表</w:t>
      </w:r>
      <w:r>
        <w:rPr>
          <w:rFonts w:hint="eastAsia" w:ascii="宋体" w:hAnsi="宋体" w:eastAsia="宋体" w:cs="宋体"/>
          <w:b/>
          <w:color w:val="000000"/>
          <w:sz w:val="24"/>
          <w:szCs w:val="24"/>
          <w:highlight w:val="none"/>
        </w:rPr>
      </w:r>
      <w:r/>
    </w:p>
    <w:p>
      <w:pPr>
        <w:pStyle w:val="698"/>
        <w:jc w:val="center"/>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拟投入本项目的专业技术（服务）人员情况一览表</w:t>
      </w:r>
      <w:r>
        <w:rPr>
          <w:rFonts w:hint="eastAsia" w:ascii="宋体" w:hAnsi="宋体" w:eastAsia="宋体" w:cs="宋体"/>
          <w:b/>
          <w:color w:val="000000"/>
          <w:sz w:val="24"/>
          <w:szCs w:val="24"/>
          <w:highlight w:val="none"/>
        </w:rPr>
      </w:r>
      <w:r/>
    </w:p>
    <w:p>
      <w:pPr>
        <w:pStyle w:val="746"/>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W w:w="9400" w:type="dxa"/>
        <w:jc w:val="center"/>
        <w:tblInd w:w="-9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627"/>
        <w:gridCol w:w="1016"/>
        <w:gridCol w:w="1357"/>
        <w:gridCol w:w="687"/>
        <w:gridCol w:w="670"/>
        <w:gridCol w:w="718"/>
        <w:gridCol w:w="654"/>
        <w:gridCol w:w="670"/>
        <w:gridCol w:w="1823"/>
      </w:tblGrid>
      <w:tr>
        <w:trPr>
          <w:trHeight w:val="979"/>
        </w:trPr>
        <w:tc>
          <w:tcPr>
            <w:tcW w:w="117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654"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979"/>
        </w:trPr>
        <w:tc>
          <w:tcPr>
            <w:tcW w:w="117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79"/>
        </w:trPr>
        <w:tc>
          <w:tcPr>
            <w:tcW w:w="117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1"/>
        </w:trPr>
        <w:tc>
          <w:tcPr>
            <w:tcW w:w="117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1"/>
        </w:trPr>
        <w:tc>
          <w:tcPr>
            <w:tcW w:w="117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1"/>
        </w:trPr>
        <w:tc>
          <w:tcPr>
            <w:tcW w:w="117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0"/>
        </w:trPr>
        <w:tc>
          <w:tcPr>
            <w:tcW w:w="117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98"/>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注：按第六章评分标准提供相关证明材料。</w:t>
      </w:r>
      <w:r>
        <w:rPr>
          <w:rFonts w:hint="eastAsia" w:ascii="宋体" w:hAnsi="宋体" w:eastAsia="宋体" w:cs="宋体"/>
          <w:color w:val="000000"/>
          <w:sz w:val="24"/>
          <w:szCs w:val="24"/>
          <w:highlight w:val="none"/>
          <w:u w:val="single"/>
        </w:rPr>
      </w:r>
      <w:r/>
    </w:p>
    <w:p>
      <w:pPr>
        <w:pStyle w:val="69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93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746"/>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46"/>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31"/>
        <w:jc w:val="both"/>
        <w:spacing w:line="400" w:lineRule="exact"/>
        <w:rPr>
          <w:rFonts w:hint="eastAsia" w:hAnsi="宋体" w:cs="宋体"/>
          <w:b/>
          <w:color w:val="000000"/>
          <w:sz w:val="24"/>
          <w:szCs w:val="24"/>
          <w:highlight w:val="none"/>
        </w:rPr>
      </w:pPr>
      <w:r>
        <w:rPr>
          <w:rFonts w:hint="eastAsia" w:hAnsi="宋体" w:cs="宋体"/>
          <w:color w:val="000000"/>
          <w:sz w:val="24"/>
          <w:szCs w:val="24"/>
          <w:highlight w:val="none"/>
        </w:rPr>
        <w:br w:type="page" w:clear="all"/>
      </w:r>
      <w:r>
        <w:rPr>
          <w:rFonts w:hint="eastAsia" w:hAnsi="宋体" w:cs="宋体"/>
          <w:b/>
          <w:bCs/>
          <w:color w:val="000000"/>
          <w:sz w:val="24"/>
          <w:szCs w:val="24"/>
          <w:highlight w:val="none"/>
        </w:rPr>
        <w:t xml:space="preserve">格式7、</w:t>
      </w:r>
      <w:r>
        <w:rPr>
          <w:rFonts w:hint="eastAsia" w:hAnsi="宋体" w:cs="宋体"/>
          <w:b/>
          <w:color w:val="000000"/>
          <w:sz w:val="24"/>
          <w:szCs w:val="24"/>
          <w:highlight w:val="none"/>
        </w:rPr>
        <w:t xml:space="preserve">类似业绩一览表</w:t>
      </w:r>
      <w:r>
        <w:rPr>
          <w:rFonts w:hint="eastAsia" w:hAnsi="宋体" w:cs="宋体"/>
          <w:b/>
          <w:color w:val="000000"/>
          <w:sz w:val="24"/>
          <w:szCs w:val="24"/>
          <w:highlight w:val="none"/>
        </w:rPr>
      </w:r>
      <w:r/>
    </w:p>
    <w:p>
      <w:pPr>
        <w:pStyle w:val="698"/>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类似业绩一览表</w:t>
      </w:r>
      <w:r>
        <w:rPr>
          <w:rFonts w:hint="eastAsia" w:ascii="宋体" w:hAnsi="宋体" w:eastAsia="宋体" w:cs="宋体"/>
          <w:b/>
          <w:color w:val="000000"/>
          <w:sz w:val="24"/>
          <w:szCs w:val="24"/>
          <w:highlight w:val="none"/>
        </w:rPr>
      </w:r>
      <w:r/>
    </w:p>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590" w:type="dxa"/>
        <w:jc w:val="center"/>
        <w:tblInd w:w="-85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1339"/>
        <w:gridCol w:w="1879"/>
        <w:gridCol w:w="1622"/>
        <w:gridCol w:w="1605"/>
        <w:gridCol w:w="3145"/>
      </w:tblGrid>
      <w:tr>
        <w:trPr>
          <w:cantSplit/>
          <w:trHeight w:val="1086" w:hRule="exact"/>
        </w:trPr>
        <w:tc>
          <w:tcPr>
            <w:tcW w:w="133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7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622"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605"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3145"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86" w:hRule="exact"/>
        </w:trPr>
        <w:tc>
          <w:tcPr>
            <w:tcW w:w="1339"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9"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2"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45"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6" w:hRule="exact"/>
        </w:trPr>
        <w:tc>
          <w:tcPr>
            <w:tcW w:w="1339"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9"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2"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45"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6" w:hRule="exact"/>
        </w:trPr>
        <w:tc>
          <w:tcPr>
            <w:tcW w:w="1339"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9"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2"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45"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31" w:hRule="exact"/>
        </w:trPr>
        <w:tc>
          <w:tcPr>
            <w:tcW w:w="1339"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9"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2"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45" w:type="dxa"/>
            <w:vAlign w:val="top"/>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98"/>
        <w:spacing w:line="400" w:lineRule="exact"/>
        <w:tabs>
          <w:tab w:val="left" w:pos="75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注：按第六章评分标准提供相关证明材料。</w:t>
      </w:r>
      <w:r>
        <w:rPr>
          <w:rFonts w:hint="eastAsia" w:ascii="宋体" w:hAnsi="宋体" w:eastAsia="宋体" w:cs="宋体"/>
          <w:color w:val="000000"/>
          <w:sz w:val="24"/>
          <w:szCs w:val="24"/>
          <w:highlight w:val="none"/>
        </w:rPr>
      </w:r>
      <w:r/>
    </w:p>
    <w:p>
      <w:pPr>
        <w:pStyle w:val="931"/>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1"/>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1"/>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1"/>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93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746"/>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4"/>
          <w:szCs w:val="24"/>
          <w:highlight w:val="none"/>
        </w:rPr>
      </w:pPr>
      <w:r>
        <w:rPr>
          <w:rFonts w:hint="eastAsia" w:hAnsi="宋体" w:cs="宋体"/>
          <w:color w:val="000000"/>
          <w:sz w:val="24"/>
          <w:szCs w:val="24"/>
          <w:highlight w:val="none"/>
        </w:rPr>
      </w:r>
      <w:r/>
    </w:p>
    <w:p>
      <w:pPr>
        <w:pStyle w:val="931"/>
        <w:rPr>
          <w:rFonts w:hint="eastAsia" w:hAnsi="宋体" w:cs="宋体"/>
          <w:color w:val="000000"/>
          <w:sz w:val="21"/>
          <w:highlight w:val="none"/>
        </w:rPr>
      </w:pPr>
      <w:r>
        <w:rPr>
          <w:rFonts w:hint="eastAsia" w:hAnsi="宋体" w:cs="宋体"/>
          <w:color w:val="000000"/>
          <w:sz w:val="21"/>
          <w:highlight w:val="none"/>
        </w:rPr>
      </w:r>
      <w:r/>
    </w:p>
    <w:p>
      <w:pPr>
        <w:pStyle w:val="931"/>
        <w:rPr>
          <w:rFonts w:hint="eastAsia" w:hAnsi="宋体" w:cs="宋体"/>
          <w:color w:val="000000"/>
          <w:sz w:val="21"/>
          <w:highlight w:val="none"/>
        </w:rPr>
      </w:pPr>
      <w:r>
        <w:rPr>
          <w:rFonts w:hint="eastAsia" w:hAnsi="宋体" w:cs="宋体"/>
          <w:color w:val="000000"/>
          <w:sz w:val="21"/>
          <w:highlight w:val="none"/>
        </w:rPr>
      </w:r>
      <w:r/>
    </w:p>
    <w:p>
      <w:pPr>
        <w:pStyle w:val="931"/>
        <w:rPr>
          <w:rFonts w:hint="eastAsia" w:hAnsi="宋体" w:cs="宋体"/>
          <w:color w:val="000000"/>
          <w:sz w:val="21"/>
          <w:highlight w:val="none"/>
        </w:rPr>
      </w:pPr>
      <w:r>
        <w:rPr>
          <w:rFonts w:hint="eastAsia" w:hAnsi="宋体" w:cs="宋体"/>
          <w:color w:val="000000"/>
          <w:sz w:val="21"/>
          <w:highlight w:val="none"/>
        </w:rPr>
      </w:r>
      <w:r/>
    </w:p>
    <w:p>
      <w:pPr>
        <w:pStyle w:val="931"/>
        <w:rPr>
          <w:rFonts w:hint="eastAsia" w:hAnsi="宋体" w:cs="宋体"/>
          <w:color w:val="000000"/>
          <w:sz w:val="21"/>
          <w:highlight w:val="none"/>
        </w:rPr>
      </w:pPr>
      <w:r>
        <w:rPr>
          <w:rFonts w:hint="eastAsia" w:hAnsi="宋体" w:cs="宋体"/>
          <w:color w:val="000000"/>
          <w:sz w:val="21"/>
          <w:highlight w:val="none"/>
        </w:rPr>
      </w:r>
      <w:r/>
    </w:p>
    <w:p>
      <w:pPr>
        <w:pStyle w:val="931"/>
        <w:rPr>
          <w:rFonts w:hint="eastAsia" w:hAnsi="宋体" w:cs="宋体"/>
          <w:color w:val="000000"/>
          <w:sz w:val="21"/>
          <w:highlight w:val="none"/>
        </w:rPr>
      </w:pPr>
      <w:r>
        <w:rPr>
          <w:rFonts w:hint="eastAsia" w:hAnsi="宋体" w:cs="宋体"/>
          <w:color w:val="000000"/>
          <w:sz w:val="21"/>
          <w:highlight w:val="none"/>
        </w:rPr>
      </w:r>
      <w:r/>
    </w:p>
    <w:p>
      <w:pPr>
        <w:pStyle w:val="931"/>
        <w:rPr>
          <w:rFonts w:hint="eastAsia" w:hAnsi="宋体" w:cs="宋体"/>
          <w:color w:val="000000"/>
          <w:sz w:val="21"/>
          <w:highlight w:val="none"/>
        </w:rPr>
      </w:pPr>
      <w:r>
        <w:rPr>
          <w:rFonts w:hint="eastAsia" w:hAnsi="宋体" w:cs="宋体"/>
          <w:color w:val="000000"/>
          <w:sz w:val="21"/>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格式8、</w:t>
      </w:r>
      <w:bookmarkEnd w:id="4"/>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698"/>
        <w:ind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698"/>
        <w:ind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涵熙（苏州）工程顾问有限公司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6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6"/>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8"/>
        <w:rPr>
          <w:rFonts w:hint="eastAsia" w:ascii="宋体" w:hAnsi="宋体" w:cs="宋体"/>
          <w:b/>
          <w:color w:val="000000"/>
          <w:sz w:val="24"/>
          <w:szCs w:val="24"/>
          <w:highlight w:val="none"/>
        </w:rPr>
        <w:outlineLvl w:val="0"/>
      </w:pPr>
      <w:r>
        <w:rPr>
          <w:rFonts w:hint="eastAsia" w:ascii="宋体" w:hAnsi="宋体" w:cs="宋体"/>
          <w:color w:val="000000"/>
          <w:highlight w:val="none"/>
        </w:rPr>
        <w:br w:type="page" w:clear="all"/>
      </w:r>
      <w:bookmarkStart w:id="5" w:name="_Toc71810491"/>
      <w:r>
        <w:rPr>
          <w:rFonts w:hint="eastAsia" w:ascii="宋体" w:hAnsi="宋体" w:eastAsia="宋体" w:cs="宋体"/>
          <w:b/>
          <w:bCs/>
          <w:color w:val="000000"/>
          <w:sz w:val="24"/>
          <w:szCs w:val="24"/>
          <w:highlight w:val="none"/>
        </w:rPr>
        <w:t xml:space="preserve">格式9、</w:t>
      </w:r>
      <w:r>
        <w:rPr>
          <w:rFonts w:hint="eastAsia" w:ascii="宋体" w:hAnsi="宋体" w:cs="宋体"/>
          <w:b/>
          <w:color w:val="000000"/>
          <w:sz w:val="24"/>
          <w:szCs w:val="24"/>
          <w:highlight w:val="none"/>
        </w:rPr>
        <w:t xml:space="preserve">投标人基本情况表</w:t>
      </w:r>
      <w:bookmarkEnd w:id="5"/>
      <w:r>
        <w:rPr>
          <w:rFonts w:hint="eastAsia" w:ascii="宋体" w:hAnsi="宋体" w:cs="宋体"/>
          <w:b/>
          <w:color w:val="000000"/>
          <w:sz w:val="24"/>
          <w:szCs w:val="24"/>
          <w:highlight w:val="none"/>
        </w:rPr>
      </w:r>
      <w:r/>
    </w:p>
    <w:p>
      <w:pPr>
        <w:pStyle w:val="698"/>
        <w:jc w:val="center"/>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投标人基本情况表</w:t>
      </w:r>
      <w:r>
        <w:rPr>
          <w:rFonts w:hint="eastAsia" w:ascii="宋体" w:hAnsi="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3101"/>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101"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注册地址</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注册资金</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101" w:type="dxa"/>
            <w:vAlign w:val="center"/>
            <w:textDirection w:val="lrTb"/>
            <w:noWrap w:val="false"/>
          </w:tcPr>
          <w:p>
            <w:pPr>
              <w:pStyle w:val="698"/>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787"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员工总人数</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101"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101" w:type="dxa"/>
            <w:vAlign w:val="center"/>
            <w:textDirection w:val="lrTb"/>
            <w:noWrap w:val="false"/>
          </w:tcPr>
          <w:p>
            <w:pPr>
              <w:pStyle w:val="698"/>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787"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787"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商业信誉和健全的财务会计制度介绍</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787"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履行合同所必需的设备和专业技术能力情况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787"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依法缴纳税收和社会保障资金情况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787"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787"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787" w:type="dxa"/>
            <w:vAlign w:val="center"/>
            <w:textDirection w:val="lrTb"/>
            <w:noWrap w:val="false"/>
          </w:tcPr>
          <w:p>
            <w:pPr>
              <w:pStyle w:val="698"/>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8"/>
        <w:ind w:firstLine="315"/>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注：若事项较多，投标人可根据投标内容的实际情况另纸说明。</w:t>
      </w:r>
      <w:r>
        <w:rPr>
          <w:rFonts w:hint="eastAsia" w:ascii="宋体" w:hAnsi="宋体" w:cs="宋体"/>
          <w:b/>
          <w:color w:val="000000"/>
          <w:sz w:val="24"/>
          <w:szCs w:val="24"/>
          <w:highlight w:val="none"/>
        </w:rPr>
      </w:r>
      <w:r/>
    </w:p>
    <w:p>
      <w:pPr>
        <w:pStyle w:val="698"/>
        <w:ind w:firstLine="36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46"/>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6"/>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46"/>
        <w:rPr>
          <w:rFonts w:hint="eastAsia"/>
          <w:color w:val="000000"/>
          <w:highlight w:val="none"/>
        </w:rPr>
      </w:pPr>
      <w:r>
        <w:rPr>
          <w:rFonts w:hint="eastAsia"/>
          <w:color w:val="000000"/>
          <w:highlight w:val="none"/>
        </w:rPr>
      </w:r>
      <w:r/>
    </w:p>
    <w:p>
      <w:pPr>
        <w:shd w:val="nil"/>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p>
    <w:p>
      <w:pPr>
        <w:pStyle w:val="698"/>
        <w:rPr>
          <w:rFonts w:hint="eastAsia" w:ascii="宋体" w:hAnsi="宋体" w:eastAsia="宋体" w:cs="宋体"/>
          <w:b/>
          <w:bCs/>
          <w:color w:val="000000"/>
          <w:sz w:val="24"/>
          <w:szCs w:val="24"/>
          <w:highlight w:val="none"/>
        </w:rPr>
        <w:outlineLvl w:val="0"/>
      </w:pPr>
      <w:r/>
      <w:bookmarkStart w:id="6" w:name="_Toc71810487"/>
      <w:r>
        <w:rPr>
          <w:rFonts w:hint="eastAsia" w:ascii="宋体" w:hAnsi="宋体" w:eastAsia="宋体" w:cs="宋体"/>
          <w:b/>
          <w:bCs/>
          <w:color w:val="000000"/>
          <w:sz w:val="24"/>
          <w:szCs w:val="24"/>
          <w:highlight w:val="none"/>
        </w:rPr>
        <w:t xml:space="preserve">格式10、</w:t>
      </w:r>
      <w:bookmarkEnd w:id="6"/>
      <w:r>
        <w:rPr>
          <w:rFonts w:hint="eastAsia" w:ascii="宋体" w:hAnsi="宋体" w:eastAsia="宋体" w:cs="宋体"/>
          <w:b/>
          <w:color w:val="000000"/>
          <w:sz w:val="24"/>
          <w:szCs w:val="24"/>
          <w:highlight w:val="none"/>
        </w:rPr>
        <w:t xml:space="preserve">技术要求偏离表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商务偏离表</w:t>
      </w:r>
      <w:r>
        <w:rPr>
          <w:rFonts w:hint="eastAsia" w:ascii="宋体" w:hAnsi="宋体" w:eastAsia="宋体" w:cs="宋体"/>
          <w:b/>
          <w:color w:val="000000"/>
          <w:sz w:val="24"/>
          <w:szCs w:val="24"/>
          <w:highlight w:val="none"/>
        </w:rPr>
      </w:r>
      <w:r/>
    </w:p>
    <w:p>
      <w:pPr>
        <w:pStyle w:val="94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rPr>
          <w:rFonts w:hint="eastAsia"/>
          <w:color w:val="000000"/>
          <w:highlight w:val="none"/>
        </w:rPr>
      </w:pPr>
      <w:r>
        <w:rPr>
          <w:rFonts w:hint="eastAsia"/>
          <w:color w:val="000000"/>
          <w:highlight w:val="none"/>
        </w:rPr>
      </w:r>
      <w:r/>
    </w:p>
    <w:p>
      <w:pPr>
        <w:pStyle w:val="698"/>
        <w:jc w:val="center"/>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技术要求偏离表</w:t>
      </w:r>
      <w:r>
        <w:rPr>
          <w:rFonts w:hint="eastAsia" w:ascii="宋体" w:hAnsi="宋体" w:eastAsia="宋体" w:cs="宋体"/>
          <w:b/>
          <w:color w:val="000000"/>
          <w:sz w:val="24"/>
          <w:szCs w:val="24"/>
          <w:highlight w:val="none"/>
        </w:rPr>
      </w:r>
      <w:r/>
    </w:p>
    <w:tbl>
      <w:tblPr>
        <w:tblW w:w="91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793"/>
        <w:gridCol w:w="2254"/>
        <w:gridCol w:w="1644"/>
        <w:gridCol w:w="2597"/>
      </w:tblGrid>
      <w:tr>
        <w:trPr>
          <w:trHeight w:val="1007"/>
        </w:trPr>
        <w:tc>
          <w:tcPr>
            <w:tcW w:w="855" w:type="dxa"/>
            <w:vAlign w:val="center"/>
            <w:textDirection w:val="lrTb"/>
            <w:noWrap w:val="false"/>
          </w:tcPr>
          <w:p>
            <w:pPr>
              <w:pStyle w:val="698"/>
              <w:jc w:val="center"/>
              <w:spacing w:line="42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793" w:type="dxa"/>
            <w:vAlign w:val="center"/>
            <w:textDirection w:val="lrTb"/>
            <w:noWrap w:val="false"/>
          </w:tcPr>
          <w:p>
            <w:pPr>
              <w:pStyle w:val="698"/>
              <w:jc w:val="center"/>
              <w:spacing w:line="420" w:lineRule="atLeast"/>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tc>
        <w:tc>
          <w:tcPr>
            <w:tcW w:w="2254" w:type="dxa"/>
            <w:vAlign w:val="center"/>
            <w:textDirection w:val="lrTb"/>
            <w:noWrap w:val="false"/>
          </w:tcPr>
          <w:p>
            <w:pPr>
              <w:pStyle w:val="698"/>
              <w:jc w:val="center"/>
              <w:spacing w:line="420" w:lineRule="atLeast"/>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698"/>
              <w:jc w:val="center"/>
              <w:spacing w:line="420" w:lineRule="atLeast"/>
              <w:rPr>
                <w:rFonts w:ascii="宋体" w:hAnsi="宋体"/>
                <w:color w:val="000000"/>
                <w:sz w:val="24"/>
                <w:highlight w:val="none"/>
              </w:rPr>
            </w:pPr>
            <w:r>
              <w:rPr>
                <w:rFonts w:hint="eastAsia" w:ascii="宋体" w:hAnsi="宋体"/>
                <w:color w:val="000000"/>
                <w:sz w:val="24"/>
                <w:highlight w:val="none"/>
              </w:rPr>
              <w:t xml:space="preserve">技术要求</w:t>
            </w:r>
            <w:r>
              <w:rPr>
                <w:rFonts w:ascii="宋体" w:hAnsi="宋体"/>
                <w:color w:val="000000"/>
                <w:sz w:val="24"/>
                <w:highlight w:val="none"/>
              </w:rPr>
            </w:r>
            <w:r/>
          </w:p>
        </w:tc>
        <w:tc>
          <w:tcPr>
            <w:tcW w:w="1644" w:type="dxa"/>
            <w:vAlign w:val="center"/>
            <w:textDirection w:val="lrTb"/>
            <w:noWrap w:val="false"/>
          </w:tcPr>
          <w:p>
            <w:pPr>
              <w:pStyle w:val="698"/>
              <w:jc w:val="center"/>
              <w:spacing w:line="420" w:lineRule="atLeast"/>
              <w:rPr>
                <w:rFonts w:ascii="宋体" w:hAnsi="宋体"/>
                <w:color w:val="000000"/>
                <w:sz w:val="24"/>
                <w:highlight w:val="none"/>
              </w:rPr>
            </w:pPr>
            <w:r>
              <w:rPr>
                <w:rFonts w:hint="eastAsia" w:ascii="宋体" w:hAnsi="宋体"/>
                <w:color w:val="000000"/>
                <w:sz w:val="24"/>
                <w:highlight w:val="none"/>
              </w:rPr>
              <w:t xml:space="preserve">投标文件</w:t>
            </w:r>
            <w:r>
              <w:rPr>
                <w:rFonts w:ascii="宋体" w:hAnsi="宋体"/>
                <w:color w:val="000000"/>
                <w:sz w:val="24"/>
                <w:highlight w:val="none"/>
              </w:rPr>
            </w:r>
            <w:r/>
          </w:p>
          <w:p>
            <w:pPr>
              <w:pStyle w:val="698"/>
              <w:jc w:val="center"/>
              <w:spacing w:line="420" w:lineRule="atLeast"/>
              <w:rPr>
                <w:rFonts w:ascii="宋体" w:hAnsi="宋体"/>
                <w:color w:val="000000"/>
                <w:sz w:val="24"/>
                <w:highlight w:val="none"/>
              </w:rPr>
            </w:pPr>
            <w:r>
              <w:rPr>
                <w:rFonts w:hint="eastAsia" w:ascii="宋体" w:hAnsi="宋体"/>
                <w:color w:val="000000"/>
                <w:sz w:val="24"/>
                <w:highlight w:val="none"/>
              </w:rPr>
              <w:t xml:space="preserve">响应要求</w:t>
            </w:r>
            <w:r>
              <w:rPr>
                <w:rFonts w:ascii="宋体" w:hAnsi="宋体"/>
                <w:color w:val="000000"/>
                <w:sz w:val="24"/>
                <w:highlight w:val="none"/>
              </w:rPr>
            </w:r>
            <w:r/>
          </w:p>
        </w:tc>
        <w:tc>
          <w:tcPr>
            <w:tcW w:w="2597" w:type="dxa"/>
            <w:vAlign w:val="center"/>
            <w:textDirection w:val="lrTb"/>
            <w:noWrap w:val="false"/>
          </w:tcPr>
          <w:p>
            <w:pPr>
              <w:pStyle w:val="698"/>
              <w:jc w:val="center"/>
              <w:spacing w:line="420" w:lineRule="atLeast"/>
              <w:rPr>
                <w:rFonts w:ascii="宋体" w:hAnsi="宋体"/>
                <w:color w:val="000000"/>
                <w:sz w:val="24"/>
                <w:highlight w:val="none"/>
              </w:rPr>
            </w:pPr>
            <w:r>
              <w:rPr>
                <w:rFonts w:hint="eastAsia" w:ascii="宋体" w:hAnsi="宋体"/>
                <w:color w:val="000000"/>
                <w:sz w:val="24"/>
                <w:highlight w:val="none"/>
              </w:rPr>
              <w:t xml:space="preserve"> 偏离情况</w:t>
            </w: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22"/>
        </w:trPr>
        <w:tc>
          <w:tcPr>
            <w:tcW w:w="855" w:type="dxa"/>
            <w:vAlign w:val="top"/>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793"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c>
          <w:tcPr>
            <w:tcW w:w="2597" w:type="dxa"/>
            <w:vAlign w:val="center"/>
            <w:textDirection w:val="lrTb"/>
            <w:noWrap w:val="false"/>
          </w:tcPr>
          <w:p>
            <w:pPr>
              <w:pStyle w:val="698"/>
              <w:jc w:val="center"/>
              <w:spacing w:line="400" w:lineRule="atLeast"/>
              <w:rPr>
                <w:rFonts w:ascii="宋体" w:hAnsi="宋体"/>
                <w:color w:val="000000"/>
                <w:sz w:val="24"/>
                <w:highlight w:val="none"/>
              </w:rPr>
            </w:pPr>
            <w:r>
              <w:rPr>
                <w:rFonts w:ascii="宋体" w:hAnsi="宋体"/>
                <w:color w:val="000000"/>
                <w:sz w:val="24"/>
                <w:highlight w:val="none"/>
              </w:rPr>
            </w:r>
            <w:r/>
          </w:p>
        </w:tc>
      </w:tr>
    </w:tbl>
    <w:p>
      <w:pPr>
        <w:pStyle w:val="746"/>
        <w:ind w:left="0"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8"/>
        <w:spacing w:line="420" w:lineRule="exact"/>
        <w:rPr>
          <w:rFonts w:ascii="宋体" w:hAnsi="宋体"/>
          <w:color w:val="000000"/>
          <w:sz w:val="24"/>
          <w:szCs w:val="24"/>
          <w:highlight w:val="none"/>
          <w:lang w:eastAsia="zh-CN"/>
        </w:rPr>
      </w:pPr>
      <w:r>
        <w:rPr>
          <w:rFonts w:hint="eastAsia" w:ascii="宋体" w:hAnsi="宋体"/>
          <w:color w:val="000000"/>
          <w:sz w:val="24"/>
          <w:szCs w:val="24"/>
          <w:highlight w:val="none"/>
          <w:lang w:val="zh-CN" w:eastAsia="zh-CN"/>
        </w:rPr>
        <w:t xml:space="preserve">注：</w:t>
      </w:r>
      <w:r>
        <w:rPr>
          <w:rFonts w:hint="eastAsia" w:ascii="宋体" w:hAnsi="宋体"/>
          <w:color w:val="000000"/>
          <w:sz w:val="24"/>
          <w:szCs w:val="24"/>
          <w:highlight w:val="none"/>
          <w:lang w:eastAsia="zh-CN"/>
        </w:rPr>
        <w:t xml:space="preserve">1.投标人应在本表中对照招标文件技术要求与实际投标技术要求逐项对应列出，并在“偏离说明”项下填写以下内容：优于的，填写“正偏离”；符合的，填写“无偏离”；低于的，填写“负偏离”。</w:t>
      </w:r>
      <w:r>
        <w:rPr>
          <w:rFonts w:ascii="宋体" w:hAnsi="宋体"/>
          <w:color w:val="000000"/>
          <w:sz w:val="24"/>
          <w:szCs w:val="24"/>
          <w:highlight w:val="none"/>
          <w:lang w:eastAsia="zh-CN"/>
        </w:rPr>
      </w:r>
      <w:r/>
    </w:p>
    <w:p>
      <w:pPr>
        <w:pStyle w:val="698"/>
        <w:ind w:firstLine="480"/>
        <w:spacing w:line="420" w:lineRule="exact"/>
        <w:rPr>
          <w:rFonts w:ascii="宋体" w:hAnsi="宋体"/>
          <w:color w:val="000000"/>
          <w:sz w:val="24"/>
          <w:szCs w:val="24"/>
          <w:highlight w:val="none"/>
          <w:lang w:eastAsia="zh-CN"/>
        </w:rPr>
      </w:pPr>
      <w:r>
        <w:rPr>
          <w:rFonts w:ascii="宋体" w:hAnsi="宋体"/>
          <w:color w:val="000000"/>
          <w:sz w:val="24"/>
          <w:szCs w:val="24"/>
          <w:highlight w:val="none"/>
          <w:lang w:eastAsia="zh-CN"/>
        </w:rPr>
        <w:t xml:space="preserve">2</w:t>
      </w:r>
      <w:r>
        <w:rPr>
          <w:rFonts w:hint="eastAsia" w:ascii="宋体" w:hAnsi="宋体"/>
          <w:color w:val="000000"/>
          <w:sz w:val="24"/>
          <w:szCs w:val="24"/>
          <w:highlight w:val="none"/>
          <w:lang w:eastAsia="zh-CN"/>
        </w:rPr>
        <w:t xml:space="preserve">.若事项较多，投标人可根据响应内容的实际情况另纸说明。</w:t>
      </w:r>
      <w:r>
        <w:rPr>
          <w:rFonts w:ascii="宋体" w:hAnsi="宋体"/>
          <w:color w:val="000000"/>
          <w:sz w:val="24"/>
          <w:szCs w:val="24"/>
          <w:highlight w:val="none"/>
          <w:lang w:eastAsia="zh-CN"/>
        </w:rPr>
      </w:r>
      <w:r/>
    </w:p>
    <w:p>
      <w:pPr>
        <w:pStyle w:val="698"/>
        <w:ind w:right="15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6"/>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46"/>
        <w:ind w:left="0" w:firstLine="0"/>
        <w:jc w:val="center"/>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商务偏离表</w:t>
      </w:r>
      <w:r>
        <w:rPr>
          <w:rFonts w:hint="eastAsia" w:ascii="宋体" w:hAnsi="宋体" w:cs="宋体"/>
          <w:b/>
          <w:bCs/>
          <w:color w:val="000000"/>
          <w:sz w:val="24"/>
          <w:szCs w:val="24"/>
          <w:highlight w:val="none"/>
        </w:rPr>
      </w:r>
      <w:r/>
    </w:p>
    <w:tbl>
      <w:tblPr>
        <w:tblStyle w:val="740"/>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2283"/>
        <w:gridCol w:w="1308"/>
        <w:gridCol w:w="1272"/>
      </w:tblGrid>
      <w:tr>
        <w:trPr>
          <w:trHeight w:val="80"/>
        </w:trPr>
        <w:tc>
          <w:tcPr>
            <w:tcMar>
              <w:left w:w="108" w:type="dxa"/>
              <w:top w:w="0" w:type="dxa"/>
              <w:right w:w="108" w:type="dxa"/>
              <w:bottom w:w="0" w:type="dxa"/>
            </w:tcMar>
            <w:tcW w:w="642" w:type="dxa"/>
            <w:vAlign w:val="center"/>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color w:val="000000"/>
                <w:highlight w:val="none"/>
              </w:rPr>
            </w:r>
            <w:r/>
          </w:p>
        </w:tc>
        <w:tc>
          <w:tcPr>
            <w:tcMar>
              <w:left w:w="108" w:type="dxa"/>
              <w:top w:w="0" w:type="dxa"/>
              <w:right w:w="108" w:type="dxa"/>
              <w:bottom w:w="0" w:type="dxa"/>
            </w:tcMar>
            <w:tcW w:w="1856" w:type="dxa"/>
            <w:vAlign w:val="center"/>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内容</w:t>
            </w:r>
            <w:r>
              <w:rPr>
                <w:color w:val="000000"/>
                <w:highlight w:val="none"/>
              </w:rPr>
            </w:r>
            <w:r/>
          </w:p>
        </w:tc>
        <w:tc>
          <w:tcPr>
            <w:tcMar>
              <w:left w:w="108" w:type="dxa"/>
              <w:top w:w="0" w:type="dxa"/>
              <w:right w:w="108" w:type="dxa"/>
              <w:bottom w:w="0" w:type="dxa"/>
            </w:tcMar>
            <w:tcW w:w="1669" w:type="dxa"/>
            <w:vAlign w:val="center"/>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招标文件的商务条款</w:t>
            </w:r>
            <w:r>
              <w:rPr>
                <w:color w:val="000000"/>
                <w:highlight w:val="none"/>
              </w:rPr>
            </w:r>
            <w:r/>
          </w:p>
        </w:tc>
        <w:tc>
          <w:tcPr>
            <w:tcMar>
              <w:left w:w="108" w:type="dxa"/>
              <w:top w:w="0" w:type="dxa"/>
              <w:right w:w="108" w:type="dxa"/>
              <w:bottom w:w="0" w:type="dxa"/>
            </w:tcMar>
            <w:tcW w:w="2283" w:type="dxa"/>
            <w:vAlign w:val="center"/>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投标文件的商务条款</w:t>
            </w:r>
            <w:r>
              <w:rPr>
                <w:color w:val="000000"/>
                <w:highlight w:val="none"/>
              </w:rPr>
            </w:r>
            <w:r/>
          </w:p>
        </w:tc>
        <w:tc>
          <w:tcPr>
            <w:tcMar>
              <w:left w:w="108" w:type="dxa"/>
              <w:top w:w="0" w:type="dxa"/>
              <w:right w:w="108" w:type="dxa"/>
              <w:bottom w:w="0" w:type="dxa"/>
            </w:tcMar>
            <w:tcW w:w="1308" w:type="dxa"/>
            <w:vAlign w:val="center"/>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rPr>
                <w:color w:val="000000"/>
                <w:highlight w:val="none"/>
              </w:rPr>
            </w:r>
            <w:r/>
          </w:p>
        </w:tc>
        <w:tc>
          <w:tcPr>
            <w:tcMar>
              <w:left w:w="108" w:type="dxa"/>
              <w:top w:w="0" w:type="dxa"/>
              <w:right w:w="108" w:type="dxa"/>
              <w:bottom w:w="0" w:type="dxa"/>
            </w:tcMar>
            <w:tcW w:w="1272" w:type="dxa"/>
            <w:vAlign w:val="center"/>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98"/>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98"/>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bl>
    <w:p>
      <w:pPr>
        <w:pStyle w:val="698"/>
        <w:jc w:val="both"/>
        <w:spacing w:after="0" w:line="440" w:lineRule="atLeast"/>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注：1.供应商应在本表中把招标文件商务要求与实际投标商务要求逐项对应列出，并在“偏离说明”项下填写以下内容：优于的，填写“正偏离”；符合的，填写“无偏离”；低于的，填写“负偏离”。</w:t>
      </w:r>
      <w:r>
        <w:rPr>
          <w:color w:val="000000"/>
          <w:highlight w:val="none"/>
          <w:lang w:eastAsia="zh-CN"/>
        </w:rPr>
      </w:r>
      <w:r/>
    </w:p>
    <w:p>
      <w:pPr>
        <w:pStyle w:val="698"/>
        <w:ind w:firstLine="480"/>
        <w:jc w:val="both"/>
        <w:spacing w:after="0" w:line="440" w:lineRule="atLeast"/>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2.若事项较多，投标人可根据响应内容的实际情况另纸说明。</w:t>
      </w:r>
      <w:r>
        <w:rPr>
          <w:color w:val="000000"/>
          <w:highlight w:val="none"/>
          <w:lang w:eastAsia="zh-CN"/>
        </w:rPr>
      </w:r>
      <w:r/>
    </w:p>
    <w:p>
      <w:pPr>
        <w:pStyle w:val="698"/>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6"/>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8"/>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8"/>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8"/>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8"/>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98"/>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br w:type="page" w:clear="all"/>
      </w:r>
      <w:r>
        <w:rPr>
          <w:rFonts w:ascii="宋体" w:hAnsi="宋体" w:eastAsia="宋体" w:cs="宋体"/>
          <w:b/>
          <w:bCs/>
          <w:color w:val="000000"/>
          <w:sz w:val="24"/>
          <w:szCs w:val="24"/>
          <w:highlight w:val="none"/>
        </w:rPr>
      </w:r>
      <w:r/>
    </w:p>
    <w:p>
      <w:pPr>
        <w:pStyle w:val="698"/>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rPr>
        <w:t xml:space="preserve">11</w:t>
      </w:r>
      <w:r>
        <w:rPr>
          <w:rFonts w:ascii="宋体" w:hAnsi="宋体" w:eastAsia="宋体" w:cs="宋体"/>
          <w:b/>
          <w:bCs/>
          <w:color w:val="000000"/>
          <w:sz w:val="24"/>
          <w:szCs w:val="24"/>
          <w:highlight w:val="none"/>
        </w:rPr>
        <w:t xml:space="preserve">、中小企业声明函</w:t>
      </w:r>
      <w:r>
        <w:rPr>
          <w:rFonts w:ascii="宋体" w:hAnsi="宋体" w:eastAsia="宋体" w:cs="宋体"/>
          <w:b/>
          <w:bCs/>
          <w:color w:val="000000"/>
          <w:sz w:val="24"/>
          <w:szCs w:val="24"/>
          <w:highlight w:val="none"/>
        </w:rPr>
      </w:r>
      <w:r/>
    </w:p>
    <w:p>
      <w:pPr>
        <w:pStyle w:val="69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中小企业声明函（货物）</w:t>
      </w:r>
      <w:r>
        <w:rPr>
          <w:rFonts w:hint="eastAsia" w:ascii="宋体" w:hAnsi="宋体" w:eastAsia="宋体" w:cs="宋体"/>
          <w:color w:val="000000"/>
          <w:sz w:val="24"/>
          <w:szCs w:val="24"/>
          <w:highlight w:val="none"/>
        </w:rPr>
      </w:r>
      <w:r/>
    </w:p>
    <w:p>
      <w:pPr>
        <w:pStyle w:val="698"/>
        <w:ind w:left="0" w:right="0" w:firstLine="1084"/>
        <w:jc w:val="both"/>
        <w:spacing w:before="0" w:after="0" w:line="360" w:lineRule="auto"/>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本公司郑重声明，根据《政府采购促进中小企业发展管理办法》（财库</w:t>
      </w:r>
      <w:r>
        <w:rPr>
          <w:rFonts w:hint="eastAsia" w:ascii="宋体" w:hAnsi="宋体"/>
          <w:color w:val="000000"/>
          <w:sz w:val="24"/>
          <w:highlight w:val="none"/>
        </w:rPr>
        <w:t xml:space="preserve">﹝</w:t>
      </w:r>
      <w:r>
        <w:rPr>
          <w:rFonts w:ascii="宋体" w:hAnsi="宋体"/>
          <w:color w:val="000000"/>
          <w:sz w:val="24"/>
          <w:highlight w:val="none"/>
        </w:rPr>
        <w:t xml:space="preserve">2020</w:t>
      </w:r>
      <w:r>
        <w:rPr>
          <w:rFonts w:hint="eastAsia" w:ascii="宋体" w:hAnsi="宋体"/>
          <w:color w:val="000000"/>
          <w:sz w:val="24"/>
          <w:highlight w:val="none"/>
        </w:rPr>
        <w:t xml:space="preserve">﹞</w:t>
      </w:r>
      <w:r>
        <w:rPr>
          <w:rFonts w:ascii="宋体" w:hAnsi="宋体"/>
          <w:color w:val="000000"/>
          <w:sz w:val="24"/>
          <w:highlight w:val="none"/>
        </w:rPr>
        <w:t xml:space="preserve">46号）的规定，本公司参加</w:t>
      </w:r>
      <w:r>
        <w:rPr>
          <w:rFonts w:hint="eastAsia" w:ascii="宋体" w:hAnsi="宋体"/>
          <w:b/>
          <w:bCs/>
          <w:color w:val="000000"/>
          <w:sz w:val="24"/>
          <w:highlight w:val="none"/>
          <w:u w:val="single"/>
          <w:lang w:val="en-US" w:eastAsia="zh-CN"/>
        </w:rPr>
        <w:t xml:space="preserve">      </w:t>
      </w:r>
      <w:r>
        <w:rPr>
          <w:rFonts w:ascii="宋体" w:hAnsi="宋体"/>
          <w:color w:val="000000"/>
          <w:sz w:val="24"/>
          <w:highlight w:val="none"/>
        </w:rPr>
        <w:t xml:space="preserve">的</w:t>
      </w:r>
      <w:r>
        <w:rPr>
          <w:rFonts w:hint="eastAsia" w:ascii="宋体" w:hAnsi="宋体"/>
          <w:b/>
          <w:bCs/>
          <w:color w:val="000000"/>
          <w:sz w:val="24"/>
          <w:highlight w:val="none"/>
          <w:u w:val="single"/>
          <w:lang w:val="en-US" w:eastAsia="zh-CN"/>
        </w:rPr>
        <w:t xml:space="preserve">       </w:t>
      </w:r>
      <w:r>
        <w:rPr>
          <w:rFonts w:hint="eastAsia" w:ascii="宋体" w:hAnsi="宋体"/>
          <w:b/>
          <w:bCs/>
          <w:color w:val="000000"/>
          <w:sz w:val="24"/>
          <w:highlight w:val="none"/>
          <w:u w:val="single"/>
          <w:lang w:eastAsia="zh-CN"/>
        </w:rPr>
        <w:t xml:space="preserve">编号</w:t>
      </w:r>
      <w:r>
        <w:rPr>
          <w:rFonts w:hint="eastAsia" w:ascii="宋体" w:hAnsi="宋体"/>
          <w:b/>
          <w:bCs/>
          <w:color w:val="000000"/>
          <w:sz w:val="24"/>
          <w:highlight w:val="none"/>
          <w:u w:val="single"/>
          <w:lang w:val="en-US" w:eastAsia="zh-CN"/>
        </w:rPr>
        <w:t xml:space="preserve">       </w:t>
      </w:r>
      <w:r>
        <w:rPr>
          <w:rFonts w:ascii="宋体" w:hAnsi="宋体"/>
          <w:color w:val="000000"/>
          <w:sz w:val="24"/>
          <w:highlight w:val="none"/>
        </w:rPr>
        <w:t xml:space="preserve">采购活动，提供的货物全部由符合政策要求的中小企业制造。相关企业的具体情况如下：</w:t>
      </w:r>
      <w:r>
        <w:rPr>
          <w:rFonts w:ascii="宋体" w:hAnsi="宋体"/>
          <w:color w:val="000000"/>
          <w:sz w:val="24"/>
          <w:highlight w:val="none"/>
        </w:rPr>
      </w:r>
      <w:r/>
    </w:p>
    <w:p>
      <w:pPr>
        <w:pStyle w:val="698"/>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u w:val="single"/>
        </w:rPr>
        <w:t xml:space="preserve">   工业    </w:t>
      </w:r>
      <w:r>
        <w:rPr>
          <w:rFonts w:hint="eastAsia" w:ascii="宋体" w:hAnsi="宋体"/>
          <w:i/>
          <w:color w:val="000000"/>
          <w:sz w:val="24"/>
          <w:highlight w:val="none"/>
        </w:rPr>
        <w:t xml:space="preserve">行业</w:t>
      </w:r>
      <w:r>
        <w:rPr>
          <w:rFonts w:ascii="宋体" w:hAnsi="宋体"/>
          <w:color w:val="000000"/>
          <w:sz w:val="24"/>
          <w:highlight w:val="none"/>
        </w:rPr>
        <w:t xml:space="preserve">；</w:t>
      </w:r>
      <w:r>
        <w:rPr>
          <w:rFonts w:hint="eastAsia" w:ascii="宋体" w:hAnsi="宋体"/>
          <w:color w:val="000000"/>
          <w:sz w:val="24"/>
          <w:highlight w:val="none"/>
        </w:rPr>
        <w:t xml:space="preserve">制造商为</w:t>
      </w:r>
      <w:r>
        <w:rPr>
          <w:rFonts w:hint="eastAsia" w:ascii="宋体" w:hAnsi="宋体"/>
          <w:i/>
          <w:color w:val="000000"/>
          <w:sz w:val="24"/>
          <w:highlight w:val="none"/>
          <w:u w:val="single"/>
        </w:rPr>
        <w:t xml:space="preserve">（企业名称）</w:t>
      </w:r>
      <w:r>
        <w:rPr>
          <w:rFonts w:hint="eastAsia" w:ascii="宋体" w:hAnsi="宋体"/>
          <w:color w:val="000000"/>
          <w:sz w:val="24"/>
          <w:highlight w:val="none"/>
        </w:rPr>
        <w:t xml:space="preserve">，</w:t>
      </w:r>
      <w:r>
        <w:rPr>
          <w:rFonts w:ascii="宋体" w:hAnsi="宋体"/>
          <w:color w:val="000000"/>
          <w:sz w:val="24"/>
          <w:highlight w:val="none"/>
        </w:rPr>
        <w:t xml:space="preserve">从业人员</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rPr>
        <w:t xml:space="preserve">人，营业收入为</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rPr>
        <w:t xml:space="preserve">万元</w:t>
      </w: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rFonts w:hint="eastAsia" w:ascii="宋体" w:hAnsi="宋体"/>
          <w:color w:val="000000"/>
          <w:sz w:val="24"/>
          <w:highlight w:val="none"/>
        </w:rPr>
        <w:t xml:space="preserve">，</w:t>
      </w:r>
      <w:r>
        <w:rPr>
          <w:rFonts w:ascii="宋体" w:hAnsi="宋体"/>
          <w:color w:val="000000"/>
          <w:sz w:val="24"/>
          <w:highlight w:val="none"/>
        </w:rPr>
        <w:t xml:space="preserve">属于</w:t>
      </w:r>
      <w:r>
        <w:rPr>
          <w:rFonts w:hint="eastAsia" w:ascii="宋体" w:hAnsi="宋体"/>
          <w:i/>
          <w:color w:val="000000"/>
          <w:sz w:val="24"/>
          <w:highlight w:val="none"/>
          <w:u w:val="single"/>
        </w:rPr>
        <w:t xml:space="preserve">          </w:t>
      </w:r>
      <w:r>
        <w:rPr>
          <w:rFonts w:hint="eastAsia" w:ascii="宋体" w:hAnsi="宋体"/>
          <w:i/>
          <w:color w:val="000000"/>
          <w:sz w:val="24"/>
          <w:highlight w:val="none"/>
        </w:rPr>
        <w:t xml:space="preserve">（中型企业、小型企业、微型企业，</w:t>
      </w:r>
      <w:r>
        <w:rPr>
          <w:rFonts w:hint="eastAsia" w:ascii="宋体" w:hAnsi="宋体"/>
          <w:b/>
          <w:bCs/>
          <w:i/>
          <w:color w:val="000000"/>
          <w:sz w:val="24"/>
          <w:highlight w:val="none"/>
        </w:rPr>
        <w:t xml:space="preserve">三者选一填写</w:t>
      </w:r>
      <w:r>
        <w:rPr>
          <w:rFonts w:hint="eastAsia" w:ascii="宋体" w:hAnsi="宋体"/>
          <w:i/>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698"/>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hint="eastAsia"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u w:val="single"/>
        </w:rPr>
        <w:t xml:space="preserve">   工业    </w:t>
      </w:r>
      <w:r>
        <w:rPr>
          <w:rFonts w:hint="eastAsia" w:ascii="宋体" w:hAnsi="宋体"/>
          <w:i/>
          <w:color w:val="000000"/>
          <w:sz w:val="24"/>
          <w:highlight w:val="none"/>
        </w:rPr>
        <w:t xml:space="preserve">行业</w:t>
      </w:r>
      <w:r>
        <w:rPr>
          <w:rFonts w:ascii="宋体" w:hAnsi="宋体"/>
          <w:color w:val="000000"/>
          <w:sz w:val="24"/>
          <w:highlight w:val="none"/>
        </w:rPr>
        <w:t xml:space="preserve">；</w:t>
      </w:r>
      <w:r>
        <w:rPr>
          <w:rFonts w:hint="eastAsia" w:ascii="宋体" w:hAnsi="宋体"/>
          <w:color w:val="000000"/>
          <w:sz w:val="24"/>
          <w:highlight w:val="none"/>
        </w:rPr>
        <w:t xml:space="preserve">制造商为</w:t>
      </w:r>
      <w:r>
        <w:rPr>
          <w:rFonts w:hint="eastAsia" w:ascii="宋体" w:hAnsi="宋体"/>
          <w:i/>
          <w:color w:val="000000"/>
          <w:sz w:val="24"/>
          <w:highlight w:val="none"/>
          <w:u w:val="single"/>
        </w:rPr>
        <w:t xml:space="preserve">（企业名称）</w:t>
      </w:r>
      <w:r>
        <w:rPr>
          <w:rFonts w:hint="eastAsia" w:ascii="宋体" w:hAnsi="宋体"/>
          <w:color w:val="000000"/>
          <w:sz w:val="24"/>
          <w:highlight w:val="none"/>
        </w:rPr>
        <w:t xml:space="preserve">，</w:t>
      </w:r>
      <w:r>
        <w:rPr>
          <w:rFonts w:ascii="宋体" w:hAnsi="宋体"/>
          <w:color w:val="000000"/>
          <w:sz w:val="24"/>
          <w:highlight w:val="none"/>
        </w:rPr>
        <w:t xml:space="preserve">从业人员</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rPr>
        <w:t xml:space="preserve">人，营业收入为</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rPr>
        <w:t xml:space="preserve">万元</w:t>
      </w: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rFonts w:hint="eastAsia" w:ascii="宋体" w:hAnsi="宋体"/>
          <w:color w:val="000000"/>
          <w:sz w:val="24"/>
          <w:highlight w:val="none"/>
        </w:rPr>
        <w:t xml:space="preserve">，</w:t>
      </w:r>
      <w:r>
        <w:rPr>
          <w:rFonts w:ascii="宋体" w:hAnsi="宋体"/>
          <w:color w:val="000000"/>
          <w:sz w:val="24"/>
          <w:highlight w:val="none"/>
        </w:rPr>
        <w:t xml:space="preserve">属于</w:t>
      </w:r>
      <w:r>
        <w:rPr>
          <w:rFonts w:hint="eastAsia" w:ascii="宋体" w:hAnsi="宋体"/>
          <w:i/>
          <w:color w:val="000000"/>
          <w:sz w:val="24"/>
          <w:highlight w:val="none"/>
          <w:u w:val="single"/>
        </w:rPr>
        <w:t xml:space="preserve">          </w:t>
      </w:r>
      <w:r>
        <w:rPr>
          <w:rFonts w:hint="eastAsia" w:ascii="宋体" w:hAnsi="宋体"/>
          <w:i/>
          <w:color w:val="000000"/>
          <w:sz w:val="24"/>
          <w:highlight w:val="none"/>
        </w:rPr>
        <w:t xml:space="preserve">（中型企业、小型企业、微型企业，</w:t>
      </w:r>
      <w:r>
        <w:rPr>
          <w:rFonts w:hint="eastAsia" w:ascii="宋体" w:hAnsi="宋体"/>
          <w:b/>
          <w:bCs/>
          <w:i/>
          <w:color w:val="000000"/>
          <w:sz w:val="24"/>
          <w:highlight w:val="none"/>
        </w:rPr>
        <w:t xml:space="preserve">三者选一填写</w:t>
      </w:r>
      <w:r>
        <w:rPr>
          <w:rFonts w:hint="eastAsia" w:ascii="宋体" w:hAnsi="宋体"/>
          <w:i/>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698"/>
        <w:ind w:right="0" w:firstLine="480"/>
        <w:jc w:val="both"/>
        <w:spacing w:before="0" w:after="0" w:line="360" w:lineRule="auto"/>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w:t>
      </w:r>
      <w:r>
        <w:rPr>
          <w:rFonts w:ascii="宋体" w:hAnsi="宋体"/>
          <w:color w:val="000000"/>
          <w:sz w:val="24"/>
          <w:highlight w:val="none"/>
        </w:rPr>
      </w:r>
      <w:r/>
    </w:p>
    <w:p>
      <w:pPr>
        <w:pStyle w:val="69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69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698"/>
        <w:ind w:right="0" w:firstLine="4800"/>
        <w:jc w:val="left"/>
        <w:spacing w:line="360" w:lineRule="auto"/>
        <w:rPr>
          <w:rFonts w:ascii="宋体" w:hAnsi="宋体"/>
          <w:color w:val="000000"/>
          <w:sz w:val="24"/>
          <w:highlight w:val="none"/>
        </w:rPr>
      </w:pPr>
      <w:r>
        <w:rPr>
          <w:rFonts w:hint="eastAsia" w:ascii="宋体" w:hAnsi="宋体"/>
          <w:color w:val="000000"/>
          <w:sz w:val="24"/>
          <w:highlight w:val="none"/>
        </w:rPr>
        <w:t xml:space="preserve">企业名称（盖章）：</w:t>
      </w:r>
      <w:r>
        <w:rPr>
          <w:rFonts w:ascii="宋体" w:hAnsi="宋体"/>
          <w:color w:val="000000"/>
          <w:sz w:val="24"/>
          <w:highlight w:val="none"/>
        </w:rPr>
      </w:r>
      <w:r/>
    </w:p>
    <w:p>
      <w:pPr>
        <w:pStyle w:val="698"/>
        <w:ind w:right="0" w:firstLine="480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spacing w:line="440" w:lineRule="exact"/>
        <w:rPr>
          <w:rFonts w:ascii="宋体" w:hAnsi="宋体"/>
          <w:color w:val="000000"/>
          <w:sz w:val="24"/>
          <w:highlight w:val="none"/>
        </w:rPr>
      </w:pP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rFonts w:hint="eastAsia" w:ascii="宋体" w:hAnsi="宋体"/>
          <w:color w:val="000000"/>
          <w:sz w:val="24"/>
          <w:highlight w:val="none"/>
        </w:rPr>
        <w:t xml:space="preserve">从业人员、营业收入、资产总额填报上一年度数据，无上一年度数据的新成立企业可不填报。</w:t>
      </w:r>
      <w:r>
        <w:rPr>
          <w:rFonts w:ascii="宋体" w:hAnsi="宋体"/>
          <w:color w:val="000000"/>
          <w:sz w:val="24"/>
          <w:highlight w:val="none"/>
        </w:rPr>
      </w:r>
      <w:r/>
    </w:p>
    <w:p>
      <w:pPr>
        <w:pStyle w:val="698"/>
        <w:ind w:right="0"/>
        <w:jc w:val="left"/>
        <w:keepLines w:val="0"/>
        <w:keepNext w:val="0"/>
        <w:pageBreakBefore w:val="0"/>
        <w:spacing w:before="0" w:after="0" w:line="400" w:lineRule="exact"/>
        <w:widowControl/>
        <w:rPr>
          <w:rFonts w:ascii="宋体" w:hAnsi="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4"/>
          <w:highlight w:val="none"/>
        </w:rPr>
        <w:t xml:space="preserve">备注：</w:t>
      </w:r>
      <w:r>
        <w:rPr>
          <w:rFonts w:ascii="宋体" w:hAnsi="宋体"/>
          <w:b/>
          <w:bCs/>
          <w:color w:val="000000"/>
          <w:sz w:val="24"/>
          <w:highlight w:val="none"/>
        </w:rPr>
      </w:r>
      <w:r/>
    </w:p>
    <w:p>
      <w:pPr>
        <w:pStyle w:val="698"/>
        <w:ind w:right="0" w:firstLine="480"/>
        <w:jc w:val="left"/>
        <w:keepLines w:val="0"/>
        <w:keepNext w:val="0"/>
        <w:pageBreakBefore w:val="0"/>
        <w:spacing w:before="0" w:after="0" w:line="400" w:lineRule="exact"/>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1、投标人参加政府采购活动，应当出具《中小企业声明函》，否则不得享受相关中小企业扶持政策。</w:t>
      </w:r>
      <w:r>
        <w:rPr>
          <w:rFonts w:ascii="宋体" w:hAnsi="宋体"/>
          <w:color w:val="000000"/>
          <w:sz w:val="24"/>
          <w:highlight w:val="none"/>
        </w:rPr>
      </w:r>
      <w:r/>
    </w:p>
    <w:p>
      <w:pPr>
        <w:pStyle w:val="698"/>
        <w:ind w:right="0" w:firstLine="480"/>
        <w:jc w:val="left"/>
        <w:keepLines w:val="0"/>
        <w:keepNext w:val="0"/>
        <w:pageBreakBefore w:val="0"/>
        <w:spacing w:before="0" w:after="0" w:line="400" w:lineRule="exact"/>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2、投标人提供的中小企业声明函必须包含本项目</w:t>
      </w:r>
      <w:r>
        <w:rPr>
          <w:rFonts w:hint="eastAsia" w:ascii="宋体" w:hAnsi="宋体"/>
          <w:b/>
          <w:bCs/>
          <w:color w:val="000000"/>
          <w:sz w:val="24"/>
          <w:highlight w:val="none"/>
        </w:rPr>
        <w:t xml:space="preserve">所有货物及其货物制造商</w:t>
      </w:r>
      <w:r>
        <w:rPr>
          <w:rFonts w:hint="eastAsia" w:ascii="宋体" w:hAnsi="宋体"/>
          <w:color w:val="000000"/>
          <w:sz w:val="24"/>
          <w:highlight w:val="none"/>
        </w:rPr>
        <w:t xml:space="preserve">，并按照声明函格式填写完整、明确，否则不得享受相关中小企业扶持政策。</w:t>
      </w:r>
      <w:r>
        <w:rPr>
          <w:rFonts w:ascii="宋体" w:hAnsi="宋体"/>
          <w:color w:val="000000"/>
          <w:sz w:val="24"/>
          <w:highlight w:val="none"/>
        </w:rPr>
      </w:r>
      <w:r/>
    </w:p>
    <w:p>
      <w:pPr>
        <w:pStyle w:val="698"/>
        <w:ind w:right="0" w:firstLine="480"/>
        <w:jc w:val="left"/>
        <w:keepLines w:val="0"/>
        <w:keepNext w:val="0"/>
        <w:pageBreakBefore w:val="0"/>
        <w:spacing w:before="0" w:after="0" w:line="400" w:lineRule="exact"/>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3、投标人提供的货物既有小、微企业制造货物，也有中、大型企业制造货物的，不享受小、微企业的价格扶持政策。</w:t>
      </w:r>
      <w:r>
        <w:rPr>
          <w:rFonts w:ascii="宋体" w:hAnsi="宋体"/>
          <w:color w:val="000000"/>
          <w:sz w:val="24"/>
          <w:highlight w:val="none"/>
        </w:rPr>
      </w:r>
      <w:r/>
    </w:p>
    <w:p>
      <w:pPr>
        <w:pStyle w:val="698"/>
        <w:ind w:right="0" w:firstLine="480"/>
        <w:jc w:val="left"/>
        <w:keepLines w:val="0"/>
        <w:keepNext w:val="0"/>
        <w:pageBreakBefore w:val="0"/>
        <w:spacing w:before="0" w:after="0" w:line="400" w:lineRule="exact"/>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4</w:t>
      </w:r>
      <w:r>
        <w:rPr>
          <w:rFonts w:hint="eastAsia" w:ascii="宋体" w:hAnsi="宋体"/>
          <w:color w:val="000000"/>
          <w:sz w:val="24"/>
          <w:highlight w:val="none"/>
        </w:rPr>
        <w:t xml:space="preserve">、中标、成交供应商享受规定的中小企业扶持政策的，《中小企业声明函》应当随中标、成交结果同时公告，接受社会监督。</w:t>
      </w:r>
      <w:r>
        <w:rPr>
          <w:rFonts w:ascii="宋体" w:hAnsi="宋体"/>
          <w:color w:val="000000"/>
          <w:sz w:val="24"/>
          <w:highlight w:val="none"/>
        </w:rPr>
      </w:r>
      <w:r/>
    </w:p>
    <w:p>
      <w:pPr>
        <w:pStyle w:val="698"/>
        <w:spacing w:line="280" w:lineRule="exact"/>
        <w:rPr>
          <w:rFonts w:hint="eastAsia" w:ascii="宋体" w:hAnsi="宋体" w:cs="宋体"/>
          <w:b/>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附：中小企业划型标准规定</w:t>
      </w:r>
      <w:r>
        <w:rPr>
          <w:rFonts w:hint="eastAsia" w:ascii="宋体" w:hAnsi="宋体" w:cs="宋体"/>
          <w:b/>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highlight w:val="none"/>
        </w:rPr>
      </w:r>
      <w:r/>
    </w:p>
    <w:p>
      <w:pPr>
        <w:pStyle w:val="698"/>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highlight w:val="none"/>
        </w:rPr>
      </w:r>
      <w:r/>
    </w:p>
    <w:p>
      <w:pPr>
        <w:pStyle w:val="698"/>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24"/>
          <w:szCs w:val="24"/>
          <w:highlight w:val="none"/>
        </w:rPr>
        <w:t xml:space="preserve">格式1</w:t>
      </w:r>
      <w:r>
        <w:rPr>
          <w:rFonts w:hint="eastAsia" w:ascii="宋体" w:hAnsi="宋体" w:eastAsia="宋体" w:cs="宋体"/>
          <w:b/>
          <w:bCs/>
          <w:color w:val="000000"/>
          <w:sz w:val="24"/>
          <w:szCs w:val="24"/>
          <w:highlight w:val="none"/>
        </w:rPr>
        <w:t xml:space="preserve">2</w:t>
      </w:r>
      <w:r>
        <w:rPr>
          <w:rFonts w:ascii="宋体" w:hAnsi="宋体" w:eastAsia="宋体" w:cs="宋体"/>
          <w:b/>
          <w:bCs/>
          <w:color w:val="000000"/>
          <w:sz w:val="24"/>
          <w:szCs w:val="24"/>
          <w:highlight w:val="none"/>
        </w:rPr>
        <w:t xml:space="preserve">、残疾人福利性单位声明函(如属)</w:t>
      </w:r>
      <w:r>
        <w:rPr>
          <w:rFonts w:ascii="宋体" w:hAnsi="宋体" w:eastAsia="宋体" w:cs="宋体"/>
          <w:b/>
          <w:bCs/>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98"/>
        <w:ind w:firstLine="482"/>
        <w:jc w:val="center"/>
        <w:spacing w:line="400" w:lineRule="exact"/>
        <w:widowControl w:val="off"/>
        <w:rPr>
          <w:rFonts w:ascii="宋体" w:hAnsi="宋体" w:eastAsia="宋体" w:cs="宋体"/>
          <w:b/>
          <w:bCs/>
          <w:color w:val="000000"/>
          <w:sz w:val="24"/>
          <w:szCs w:val="24"/>
          <w:highlight w:val="none"/>
        </w:rPr>
        <w:outlineLvl w:val="0"/>
      </w:pPr>
      <w:r>
        <w:rPr>
          <w:rFonts w:ascii="宋体" w:hAnsi="宋体" w:eastAsia="宋体" w:cs="宋体"/>
          <w:b/>
          <w:bCs/>
          <w:color w:val="000000"/>
          <w:sz w:val="24"/>
          <w:szCs w:val="24"/>
          <w:highlight w:val="none"/>
        </w:rPr>
        <w:t xml:space="preserve">残疾人福利性单位声明函(如属)</w:t>
      </w:r>
      <w:r>
        <w:rPr>
          <w:rFonts w:ascii="宋体" w:hAnsi="宋体" w:eastAsia="宋体" w:cs="宋体"/>
          <w:b/>
          <w:bCs/>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本单位对上述声明的真实性负责。如有虚假，将依法承担相应责任。</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bookmarkStart w:id="7" w:name="_Toc19621"/>
      <w:r/>
      <w:bookmarkStart w:id="8" w:name="_Toc21574"/>
      <w:r/>
      <w:bookmarkStart w:id="9" w:name="_Toc71810484"/>
      <w:r>
        <w:rPr>
          <w:rFonts w:hint="eastAsia" w:ascii="宋体" w:hAnsi="宋体" w:eastAsia="宋体" w:cs="宋体"/>
          <w:color w:val="000000"/>
          <w:sz w:val="24"/>
          <w:szCs w:val="24"/>
          <w:highlight w:val="none"/>
        </w:rPr>
      </w:r>
      <w:r/>
    </w:p>
    <w:p>
      <w:pPr>
        <w:pStyle w:val="746"/>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格式13、</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zh-CN"/>
        </w:rPr>
        <w:t xml:space="preserve">与其他单位存在控股、管理关系情况表</w:t>
      </w:r>
      <w:r>
        <w:rPr>
          <w:rFonts w:hint="eastAsia" w:ascii="宋体" w:hAnsi="宋体" w:eastAsia="宋体" w:cs="宋体"/>
          <w:b/>
          <w:bCs/>
          <w:color w:val="000000"/>
          <w:sz w:val="24"/>
          <w:szCs w:val="24"/>
          <w:highlight w:val="none"/>
          <w:lang w:val="zh-CN"/>
        </w:rPr>
      </w:r>
      <w:r/>
    </w:p>
    <w:p>
      <w:pPr>
        <w:pStyle w:val="698"/>
        <w:jc w:val="center"/>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zh-CN"/>
        </w:rPr>
        <w:t xml:space="preserve">与其他单位存在控股、管理关系情况表</w:t>
      </w:r>
      <w:r>
        <w:rPr>
          <w:rFonts w:hint="eastAsia" w:ascii="宋体" w:hAnsi="宋体" w:eastAsia="宋体" w:cs="宋体"/>
          <w:b/>
          <w:bCs/>
          <w:color w:val="000000"/>
          <w:sz w:val="24"/>
          <w:szCs w:val="24"/>
          <w:highlight w:val="none"/>
          <w:lang w:val="zh-CN"/>
        </w:rPr>
      </w:r>
      <w:r/>
    </w:p>
    <w:tbl>
      <w:tblPr>
        <w:tblW w:w="492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9"/>
        <w:gridCol w:w="4292"/>
      </w:tblGrid>
      <w:tr>
        <w:trPr>
          <w:trHeight w:val="637"/>
        </w:trPr>
        <w:tc>
          <w:tcPr>
            <w:tcW w:w="5400" w:type="dxa"/>
            <w:vAlign w:val="center"/>
            <w:textDirection w:val="lrTb"/>
            <w:noWrap w:val="false"/>
          </w:tcPr>
          <w:p>
            <w:pPr>
              <w:pStyle w:val="698"/>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存在控股、管理关系的单位名称</w:t>
            </w:r>
            <w:r>
              <w:rPr>
                <w:rFonts w:hint="eastAsia" w:ascii="宋体" w:hAnsi="宋体" w:eastAsia="宋体" w:cs="宋体"/>
                <w:color w:val="000000"/>
                <w:sz w:val="24"/>
                <w:szCs w:val="24"/>
                <w:highlight w:val="none"/>
              </w:rPr>
            </w:r>
            <w:r/>
          </w:p>
        </w:tc>
        <w:tc>
          <w:tcPr>
            <w:tcW w:w="4293"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控股、管理关系情况说明</w:t>
            </w:r>
            <w:r>
              <w:rPr>
                <w:rFonts w:hint="eastAsia" w:ascii="宋体" w:hAnsi="宋体" w:eastAsia="宋体" w:cs="宋体"/>
                <w:color w:val="000000"/>
                <w:sz w:val="24"/>
                <w:szCs w:val="24"/>
                <w:highlight w:val="none"/>
              </w:rPr>
            </w:r>
            <w:r/>
          </w:p>
        </w:tc>
      </w:tr>
      <w:tr>
        <w:trPr>
          <w:trHeight w:val="850"/>
        </w:trPr>
        <w:tc>
          <w:tcPr>
            <w:tcW w:w="540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93"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540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93"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540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93"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540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93"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540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93"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5400"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93"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9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应当按实填写所有与之有控股、管理关系的情况</w:t>
      </w:r>
      <w:r>
        <w:rPr>
          <w:rFonts w:hint="eastAsia" w:ascii="宋体" w:hAnsi="宋体" w:eastAsia="宋体" w:cs="宋体"/>
          <w:color w:val="000000"/>
          <w:sz w:val="24"/>
          <w:szCs w:val="24"/>
          <w:highlight w:val="none"/>
        </w:rPr>
      </w:r>
      <w:r/>
    </w:p>
    <w:p>
      <w:pPr>
        <w:pStyle w:val="69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6"/>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spacing w:line="400" w:lineRule="exact"/>
        <w:rPr>
          <w:rFonts w:hint="eastAsia" w:ascii="宋体" w:hAnsi="宋体" w:eastAsia="宋体" w:cs="宋体"/>
          <w:color w:val="000000"/>
          <w:sz w:val="24"/>
          <w:szCs w:val="24"/>
          <w:highlight w:val="none"/>
          <w:lang w:val="zh-CN"/>
        </w:rPr>
      </w:pPr>
      <w:r/>
      <w:bookmarkEnd w:id="7"/>
      <w:r/>
      <w:bookmarkEnd w:id="8"/>
      <w:r/>
      <w:bookmarkEnd w:id="9"/>
      <w:r>
        <w:rPr>
          <w:rFonts w:hint="eastAsia" w:ascii="宋体" w:hAnsi="宋体" w:eastAsia="宋体" w:cs="宋体"/>
          <w:color w:val="000000"/>
          <w:sz w:val="24"/>
          <w:szCs w:val="24"/>
          <w:highlight w:val="none"/>
          <w:lang w:val="zh-CN"/>
        </w:rPr>
      </w:r>
      <w:r/>
    </w:p>
    <w:p>
      <w:pPr>
        <w:pStyle w:val="746"/>
        <w:ind w:left="0" w:firstLine="0"/>
        <w:spacing w:line="400" w:lineRule="exact"/>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t xml:space="preserve">格式14、</w:t>
      </w:r>
      <w:r>
        <w:rPr>
          <w:rFonts w:hint="eastAsia" w:ascii="宋体" w:hAnsi="宋体" w:cs="宋体"/>
          <w:b/>
          <w:color w:val="000000"/>
          <w:sz w:val="24"/>
          <w:szCs w:val="24"/>
          <w:highlight w:val="none"/>
        </w:rPr>
        <w:t xml:space="preserve">投标（响应）保证承诺书</w:t>
      </w:r>
      <w:r>
        <w:rPr>
          <w:rFonts w:hint="eastAsia" w:ascii="宋体" w:hAnsi="宋体" w:cs="宋体"/>
          <w:b/>
          <w:color w:val="000000"/>
          <w:sz w:val="24"/>
          <w:szCs w:val="24"/>
          <w:highlight w:val="none"/>
        </w:rPr>
      </w:r>
      <w:r/>
    </w:p>
    <w:p>
      <w:pPr>
        <w:pStyle w:val="698"/>
        <w:ind w:firstLine="422"/>
        <w:jc w:val="center"/>
        <w:spacing w:line="400" w:lineRule="exact"/>
        <w:tabs>
          <w:tab w:val="left" w:pos="8930" w:leader="none"/>
          <w:tab w:val="left" w:pos="930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投标（响应）保证承诺书</w:t>
      </w:r>
      <w:r>
        <w:rPr>
          <w:rFonts w:hint="eastAsia" w:ascii="宋体" w:hAnsi="宋体" w:eastAsia="宋体" w:cs="宋体"/>
          <w:b/>
          <w:bCs/>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cs/>
        </w:rPr>
        <w:t xml:space="preserve"> </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的投标（响应）,并做出如下承诺：</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支付本招标文件公布的预算金额（或最高限价）的2%作为违约赔偿金（数量不确定的单价采购须约定具体金额）。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1、自投标（响应）截止时间至本项目发布中标（中标）公告为止，撤销投标（响应）；</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2、中标（中标）后不依法与采购人签订合同；</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3、中标（中标）后不按本招标文件规定向贵方缴纳采购代理费。</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98"/>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932"/>
        <w:spacing w:after="0"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9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both"/>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jc w:val="center"/>
        <w:spacing w:line="480" w:lineRule="auto"/>
        <w:widowControl w:val="off"/>
        <w:rPr>
          <w:rFonts w:ascii="宋体" w:hAnsi="宋体" w:eastAsia="宋体" w:cs="宋体"/>
          <w:color w:val="000000"/>
          <w:highlight w:val="none"/>
        </w:rPr>
      </w:pPr>
      <w:r>
        <w:rPr>
          <w:rFonts w:ascii="宋体" w:hAnsi="宋体" w:eastAsia="宋体" w:cs="黑体"/>
          <w:b/>
          <w:bCs/>
          <w:color w:val="000000"/>
          <w:sz w:val="32"/>
          <w:szCs w:val="32"/>
          <w:highlight w:val="none"/>
        </w:rPr>
        <w:br w:type="page" w:clear="all"/>
      </w:r>
      <w:r>
        <w:rPr>
          <w:rFonts w:ascii="宋体" w:hAnsi="宋体" w:eastAsia="宋体" w:cs="黑体"/>
          <w:b/>
          <w:bCs/>
          <w:color w:val="000000"/>
          <w:sz w:val="32"/>
          <w:szCs w:val="32"/>
          <w:highlight w:val="none"/>
        </w:rPr>
        <w:t xml:space="preserve">第四章</w:t>
      </w:r>
      <w:r>
        <w:rPr>
          <w:rFonts w:hint="eastAsia" w:ascii="宋体" w:hAnsi="宋体" w:eastAsia="宋体" w:cs="黑体"/>
          <w:b/>
          <w:bCs/>
          <w:color w:val="000000"/>
          <w:sz w:val="32"/>
          <w:szCs w:val="32"/>
          <w:highlight w:val="none"/>
        </w:rPr>
        <w:t xml:space="preserve"> 招标书</w:t>
      </w:r>
      <w:r>
        <w:rPr>
          <w:rFonts w:ascii="宋体" w:hAnsi="宋体" w:eastAsia="宋体" w:cs="宋体"/>
          <w:color w:val="000000"/>
          <w:highlight w:val="none"/>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受苏州浒墅关经济技术开发区集成指挥中心委托，涵熙（苏州）工程顾问有限公司对其拟采购的</w:t>
      </w:r>
      <w:r>
        <w:rPr>
          <w:rFonts w:hint="eastAsia" w:ascii="宋体" w:hAnsi="宋体" w:eastAsia="宋体" w:cs="宋体"/>
          <w:color w:val="000000"/>
          <w:sz w:val="24"/>
          <w:szCs w:val="24"/>
          <w:highlight w:val="none"/>
          <w:lang w:eastAsia="zh-CN"/>
        </w:rPr>
        <w:t xml:space="preserve">浒墅关智慧垃圾分类信息化采购项目</w:t>
      </w:r>
      <w:r>
        <w:rPr>
          <w:rFonts w:hint="eastAsia" w:ascii="宋体" w:hAnsi="宋体" w:eastAsia="宋体" w:cs="宋体"/>
          <w:color w:val="000000"/>
          <w:sz w:val="24"/>
          <w:szCs w:val="24"/>
          <w:highlight w:val="none"/>
        </w:rPr>
        <w:t xml:space="preserve">在国内组织公开招标。欢迎符合招标公告投标资格条件的各供应商前来参加投标。</w:t>
      </w:r>
      <w:r>
        <w:rPr>
          <w:rFonts w:ascii="宋体" w:hAnsi="宋体" w:eastAsia="宋体" w:cs="宋体"/>
          <w:color w:val="000000"/>
          <w:sz w:val="24"/>
          <w:szCs w:val="24"/>
          <w:highlight w:val="none"/>
        </w:rPr>
      </w:r>
      <w:r/>
    </w:p>
    <w:p>
      <w:pPr>
        <w:pStyle w:val="908"/>
        <w:ind w:firstLine="480"/>
        <w:jc w:val="both"/>
        <w:spacing w:line="360" w:lineRule="auto"/>
        <w:widowControl w:val="off"/>
        <w:rPr>
          <w:color w:val="000000"/>
          <w:sz w:val="24"/>
          <w:szCs w:val="24"/>
          <w:highlight w:val="none"/>
          <w:lang w:eastAsia="zh-CN"/>
        </w:rPr>
      </w:pPr>
      <w:r>
        <w:rPr>
          <w:rFonts w:hint="eastAsia"/>
          <w:color w:val="000000"/>
          <w:sz w:val="24"/>
          <w:szCs w:val="24"/>
          <w:highlight w:val="none"/>
        </w:rPr>
        <w:t xml:space="preserve">一、采购编号：</w:t>
      </w:r>
      <w:r>
        <w:rPr>
          <w:rFonts w:hint="eastAsia"/>
          <w:color w:val="000000"/>
          <w:sz w:val="24"/>
          <w:szCs w:val="24"/>
          <w:highlight w:val="none"/>
          <w:lang w:eastAsia="zh-CN"/>
        </w:rPr>
        <w:t xml:space="preserve">JSZC-320505-HXGW-G2024-0067</w:t>
      </w:r>
      <w:r>
        <w:rPr>
          <w:color w:val="000000"/>
          <w:sz w:val="24"/>
          <w:szCs w:val="24"/>
          <w:highlight w:val="none"/>
          <w:lang w:eastAsia="zh-CN"/>
        </w:rPr>
      </w:r>
      <w:r/>
    </w:p>
    <w:p>
      <w:pPr>
        <w:pStyle w:val="908"/>
        <w:ind w:firstLine="480"/>
        <w:jc w:val="both"/>
        <w:spacing w:line="360" w:lineRule="auto"/>
        <w:widowControl w:val="off"/>
        <w:rPr>
          <w:color w:val="000000"/>
          <w:sz w:val="24"/>
          <w:szCs w:val="24"/>
          <w:highlight w:val="none"/>
          <w:lang w:eastAsia="zh-CN"/>
        </w:rPr>
      </w:pPr>
      <w:r>
        <w:rPr>
          <w:rFonts w:hint="eastAsia"/>
          <w:color w:val="000000"/>
          <w:sz w:val="24"/>
          <w:szCs w:val="24"/>
          <w:highlight w:val="none"/>
        </w:rPr>
        <w:t xml:space="preserve">二、采购项目名称：</w:t>
      </w:r>
      <w:r>
        <w:rPr>
          <w:rFonts w:hint="eastAsia"/>
          <w:color w:val="000000"/>
          <w:sz w:val="24"/>
          <w:szCs w:val="24"/>
          <w:highlight w:val="none"/>
          <w:lang w:eastAsia="zh-CN"/>
        </w:rPr>
        <w:t xml:space="preserve">浒墅关智慧垃圾分类信息化采购项目</w:t>
      </w:r>
      <w:r>
        <w:rPr>
          <w:color w:val="000000"/>
          <w:sz w:val="24"/>
          <w:szCs w:val="24"/>
          <w:highlight w:val="none"/>
          <w:lang w:eastAsia="zh-CN"/>
        </w:rPr>
      </w:r>
      <w:r/>
    </w:p>
    <w:p>
      <w:pPr>
        <w:pStyle w:val="698"/>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预算总金额：人民币</w:t>
      </w:r>
      <w:r>
        <w:rPr>
          <w:rFonts w:hint="eastAsia" w:ascii="宋体" w:hAnsi="宋体" w:eastAsia="宋体" w:cs="宋体"/>
          <w:color w:val="000000"/>
          <w:sz w:val="24"/>
          <w:szCs w:val="24"/>
          <w:highlight w:val="none"/>
          <w:lang w:eastAsia="zh-CN"/>
        </w:rPr>
        <w:t xml:space="preserve">贰佰玖拾玖万贰仟叁佰叁拾元整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2992330.00</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98"/>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w:t>
      </w:r>
      <w:r>
        <w:rPr>
          <w:rFonts w:hint="eastAsia" w:ascii="宋体" w:hAnsi="宋体" w:eastAsia="宋体" w:cs="宋体"/>
          <w:color w:val="000000"/>
          <w:sz w:val="24"/>
          <w:szCs w:val="24"/>
          <w:highlight w:val="none"/>
          <w:lang w:eastAsia="zh-CN"/>
        </w:rPr>
        <w:t xml:space="preserve">贰佰玖拾玖万贰仟叁佰叁拾元整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2992330.00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80"/>
        <w:spacing w:line="360" w:lineRule="auto"/>
        <w:rPr>
          <w:rFonts w:hint="eastAsia"/>
          <w:b/>
          <w:bCs/>
          <w:color w:val="000000"/>
          <w:sz w:val="24"/>
          <w:szCs w:val="24"/>
          <w:highlight w:val="none"/>
        </w:rPr>
      </w:pPr>
      <w:r>
        <w:rPr>
          <w:rFonts w:hint="eastAsia" w:ascii="宋体" w:hAnsi="宋体" w:eastAsia="宋体" w:cs="宋体"/>
          <w:color w:val="000000"/>
          <w:sz w:val="24"/>
          <w:szCs w:val="24"/>
          <w:highlight w:val="none"/>
        </w:rPr>
        <w:t xml:space="preserve">合同履行期限：自签订合同</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90天内完成安装调试，具体时间以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要求为准。</w:t>
      </w:r>
      <w:r>
        <w:rPr>
          <w:rFonts w:hint="eastAsia"/>
          <w:b/>
          <w:bCs/>
          <w:color w:val="000000"/>
          <w:sz w:val="24"/>
          <w:szCs w:val="24"/>
          <w:highlight w:val="none"/>
        </w:rPr>
      </w:r>
      <w:r/>
    </w:p>
    <w:p>
      <w:pPr>
        <w:pStyle w:val="908"/>
        <w:ind w:firstLine="482"/>
        <w:jc w:val="both"/>
        <w:spacing w:line="360" w:lineRule="auto"/>
        <w:widowControl w:val="off"/>
        <w:rPr>
          <w:b/>
          <w:bCs/>
          <w:color w:val="000000"/>
          <w:sz w:val="24"/>
          <w:szCs w:val="24"/>
          <w:highlight w:val="none"/>
        </w:rPr>
      </w:pPr>
      <w:r>
        <w:rPr>
          <w:rFonts w:hint="eastAsia"/>
          <w:b/>
          <w:bCs/>
          <w:color w:val="000000"/>
          <w:sz w:val="24"/>
          <w:szCs w:val="24"/>
          <w:highlight w:val="none"/>
          <w:lang w:val="en-US" w:eastAsia="zh-CN"/>
        </w:rPr>
        <w:t xml:space="preserve">三</w:t>
      </w:r>
      <w:r>
        <w:rPr>
          <w:rFonts w:hint="eastAsia"/>
          <w:b/>
          <w:bCs/>
          <w:color w:val="000000"/>
          <w:sz w:val="24"/>
          <w:szCs w:val="24"/>
          <w:highlight w:val="none"/>
        </w:rPr>
        <w:t xml:space="preserve">、</w:t>
      </w:r>
      <w:r>
        <w:rPr>
          <w:rFonts w:hint="eastAsia"/>
          <w:b/>
          <w:bCs/>
          <w:color w:val="000000"/>
          <w:sz w:val="24"/>
          <w:szCs w:val="24"/>
          <w:highlight w:val="none"/>
          <w:lang w:val="en-US" w:eastAsia="zh-CN"/>
        </w:rPr>
        <w:t xml:space="preserve">项目</w:t>
      </w:r>
      <w:r>
        <w:rPr>
          <w:rFonts w:hint="eastAsia"/>
          <w:b/>
          <w:bCs/>
          <w:color w:val="000000"/>
          <w:sz w:val="24"/>
          <w:szCs w:val="24"/>
          <w:highlight w:val="none"/>
        </w:rPr>
        <w:t xml:space="preserve">采购</w:t>
      </w:r>
      <w:r>
        <w:rPr>
          <w:rFonts w:hint="eastAsia"/>
          <w:b/>
          <w:bCs/>
          <w:color w:val="000000"/>
          <w:sz w:val="24"/>
          <w:szCs w:val="24"/>
          <w:highlight w:val="none"/>
          <w:lang w:val="en-US" w:eastAsia="zh-CN"/>
        </w:rPr>
        <w:t xml:space="preserve">需求</w:t>
      </w:r>
      <w:r>
        <w:rPr>
          <w:rFonts w:hint="eastAsia"/>
          <w:b/>
          <w:bCs/>
          <w:color w:val="000000"/>
          <w:sz w:val="24"/>
          <w:szCs w:val="24"/>
          <w:highlight w:val="none"/>
        </w:rPr>
        <w:t xml:space="preserve">：</w:t>
      </w:r>
      <w:r>
        <w:rPr>
          <w:b/>
          <w:bCs/>
          <w:color w:val="000000"/>
          <w:sz w:val="24"/>
          <w:szCs w:val="24"/>
          <w:highlight w:val="none"/>
        </w:rPr>
      </w:r>
      <w:r/>
    </w:p>
    <w:p>
      <w:pPr>
        <w:pStyle w:val="698"/>
        <w:ind w:firstLine="480"/>
        <w:spacing w:line="360" w:lineRule="auto"/>
        <w:rPr>
          <w:rFonts w:hint="eastAsia" w:ascii="宋体" w:hAnsi="宋体" w:eastAsia="宋体"/>
          <w:b/>
          <w:bCs/>
          <w:color w:val="000000"/>
          <w:sz w:val="32"/>
          <w:szCs w:val="32"/>
          <w:highlight w:val="none"/>
          <w:lang w:eastAsia="zh-CN"/>
        </w:rPr>
      </w:pPr>
      <w:r>
        <w:rPr>
          <w:rFonts w:hint="eastAsia" w:ascii="宋体" w:hAnsi="宋体" w:cs="宋体"/>
          <w:b/>
          <w:bCs/>
          <w:color w:val="000000"/>
          <w:sz w:val="24"/>
          <w:szCs w:val="24"/>
          <w:highlight w:val="none"/>
        </w:rPr>
        <w:t xml:space="preserve">（一）项目</w:t>
      </w:r>
      <w:r>
        <w:rPr>
          <w:rFonts w:hint="eastAsia" w:ascii="宋体" w:hAnsi="宋体" w:eastAsia="宋体" w:cs="宋体"/>
          <w:b/>
          <w:bCs/>
          <w:color w:val="000000"/>
          <w:sz w:val="24"/>
          <w:szCs w:val="24"/>
          <w:highlight w:val="none"/>
          <w:lang w:val="en-US" w:eastAsia="zh-CN"/>
        </w:rPr>
        <w:t xml:space="preserve">背景</w:t>
      </w:r>
      <w:r>
        <w:rPr>
          <w:rFonts w:hint="eastAsia" w:ascii="宋体" w:hAnsi="宋体" w:eastAsia="宋体"/>
          <w:b/>
          <w:bCs/>
          <w:color w:val="000000"/>
          <w:sz w:val="32"/>
          <w:szCs w:val="32"/>
          <w:highlight w:val="none"/>
          <w:lang w:eastAsia="zh-CN"/>
        </w:rPr>
      </w:r>
      <w:r/>
    </w:p>
    <w:p>
      <w:pPr>
        <w:pStyle w:val="698"/>
        <w:ind w:firstLine="480"/>
        <w:spacing w:line="360" w:lineRule="auto"/>
        <w:rPr>
          <w:rFonts w:hint="eastAsia" w:ascii="宋体" w:hAnsi="宋体" w:cs="Times New Roman"/>
          <w:b/>
          <w:bCs/>
          <w:color w:val="000000"/>
          <w:sz w:val="24"/>
          <w:szCs w:val="24"/>
          <w:highlight w:val="none"/>
        </w:rPr>
      </w:pPr>
      <w:r>
        <w:rPr>
          <w:rFonts w:hint="eastAsia" w:ascii="宋体" w:hAnsi="宋体"/>
          <w:color w:val="000000"/>
          <w:sz w:val="24"/>
          <w:szCs w:val="24"/>
          <w:highlight w:val="none"/>
        </w:rPr>
        <w:t xml:space="preserve">为全面贯彻习近平总书记关于垃圾分类工作系列重要指示精神，按照苏州市委、市政府指示要求，加快推进苏州市生活垃圾分类工作的进程。坚持以“一体化、一盘棋、一张网”的思路推进垃圾分类管理工作，向科技要生产力，向数据要成效，推动苏州市垃圾分类管理工作创新，确保苏州市垃圾分类工作高标准、规范化、可持续的开展。打造“全链化管理、逐级化监管、数据化考核、科学化决策”的垃圾分类管理模式，实现精准施策、科学管理的目标。完成实时数据上传的信息化系统平台功能建设，完成所有生活垃圾大</w:t>
      </w:r>
      <w:r>
        <w:rPr>
          <w:rFonts w:hint="eastAsia" w:ascii="宋体" w:hAnsi="宋体"/>
          <w:color w:val="000000"/>
          <w:sz w:val="24"/>
          <w:szCs w:val="24"/>
          <w:highlight w:val="none"/>
        </w:rPr>
        <w:t xml:space="preserve">型处置终端及就地处置终端数据接入，以及“三定一督”小区计量数据接入。浒墅关经济开发区管委会就辖区内所有的处置终端及“三定一督”小区现状进行了排查及规划，根据苏分办下发的《苏州市垃圾分类信息化管理工作方案》的指导要求。根据市城管局要求，采集的称重数据须从设备直接上传至苏州市垃圾分类综合管理平台。根据区城管局要求，采集的称重采集系统数据须从设备上传至高新区垃圾分类综合管理平台，所有监控数据先在汇聚到浒墅关经济开发区集成指挥中心机房监控平台，再由浒墅关经济开发区集成指挥中心机房监控平台上传到新区城管视频监控平台。</w:t>
      </w:r>
      <w:r>
        <w:rPr>
          <w:rFonts w:hint="eastAsia" w:ascii="宋体" w:hAnsi="宋体" w:cs="Times New Roman"/>
          <w:b/>
          <w:bCs/>
          <w:color w:val="000000"/>
          <w:sz w:val="24"/>
          <w:szCs w:val="24"/>
          <w:highlight w:val="none"/>
        </w:rPr>
      </w:r>
      <w:r/>
    </w:p>
    <w:p>
      <w:pPr>
        <w:pStyle w:val="698"/>
        <w:ind w:firstLine="480"/>
        <w:spacing w:line="360" w:lineRule="auto"/>
        <w:rPr>
          <w:rFonts w:ascii="宋体" w:hAnsi="宋体"/>
          <w:b/>
          <w:bCs/>
          <w:color w:val="000000"/>
          <w:sz w:val="24"/>
          <w:szCs w:val="24"/>
          <w:highlight w:val="none"/>
        </w:rPr>
      </w:pPr>
      <w:r>
        <w:rPr>
          <w:rFonts w:hint="eastAsia" w:ascii="宋体" w:hAnsi="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二</w:t>
      </w:r>
      <w:r>
        <w:rPr>
          <w:rFonts w:hint="eastAsia" w:ascii="宋体" w:hAnsi="宋体" w:cs="Times New Roman"/>
          <w:b/>
          <w:bCs/>
          <w:color w:val="000000"/>
          <w:sz w:val="24"/>
          <w:szCs w:val="24"/>
          <w:highlight w:val="none"/>
        </w:rPr>
        <w:t xml:space="preserve">）</w:t>
      </w:r>
      <w:r>
        <w:rPr>
          <w:rFonts w:hint="eastAsia" w:ascii="宋体" w:hAnsi="宋体"/>
          <w:b/>
          <w:bCs/>
          <w:color w:val="000000"/>
          <w:sz w:val="24"/>
          <w:szCs w:val="24"/>
          <w:highlight w:val="none"/>
        </w:rPr>
        <w:t xml:space="preserve">采购项目</w:t>
      </w:r>
      <w:r>
        <w:rPr>
          <w:rFonts w:hint="eastAsia" w:ascii="宋体" w:hAnsi="宋体" w:eastAsia="宋体"/>
          <w:b/>
          <w:bCs/>
          <w:color w:val="000000"/>
          <w:sz w:val="24"/>
          <w:szCs w:val="24"/>
          <w:highlight w:val="none"/>
          <w:lang w:val="en-US" w:eastAsia="zh-CN"/>
        </w:rPr>
        <w:t xml:space="preserve">具体</w:t>
      </w:r>
      <w:r>
        <w:rPr>
          <w:rFonts w:hint="eastAsia" w:ascii="宋体" w:hAnsi="宋体" w:eastAsia="宋体"/>
          <w:b/>
          <w:bCs/>
          <w:color w:val="000000"/>
          <w:sz w:val="24"/>
          <w:szCs w:val="24"/>
          <w:highlight w:val="none"/>
          <w:lang w:val="en-US" w:eastAsia="zh-CN"/>
        </w:rPr>
        <w:t xml:space="preserve">要求</w:t>
      </w:r>
      <w:r>
        <w:rPr>
          <w:rFonts w:ascii="宋体" w:hAnsi="宋体"/>
          <w:b/>
          <w:bCs/>
          <w:color w:val="000000"/>
          <w:sz w:val="24"/>
          <w:szCs w:val="24"/>
          <w:highlight w:val="none"/>
        </w:rPr>
      </w:r>
      <w:r/>
    </w:p>
    <w:p>
      <w:pPr>
        <w:pStyle w:val="698"/>
        <w:numPr>
          <w:ilvl w:val="0"/>
          <w:numId w:val="0"/>
        </w:numPr>
        <w:ind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b/>
          <w:bCs/>
          <w:color w:val="000000"/>
          <w:sz w:val="24"/>
          <w:szCs w:val="24"/>
          <w:highlight w:val="none"/>
        </w:rPr>
        <w:t xml:space="preserve">采购项目清单</w:t>
      </w:r>
      <w:r>
        <w:rPr>
          <w:rFonts w:hint="eastAsia" w:ascii="宋体" w:hAnsi="宋体" w:eastAsia="宋体" w:cs="宋体"/>
          <w:color w:val="000000"/>
          <w:sz w:val="24"/>
          <w:szCs w:val="24"/>
          <w:highlight w:val="none"/>
          <w:lang w:val="en-US" w:eastAsia="zh-CN"/>
        </w:rPr>
      </w:r>
      <w:r/>
    </w:p>
    <w:tbl>
      <w:tblPr>
        <w:tblW w:w="970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
        <w:gridCol w:w="457"/>
        <w:gridCol w:w="500"/>
        <w:gridCol w:w="1441"/>
        <w:gridCol w:w="14"/>
        <w:gridCol w:w="5385"/>
        <w:gridCol w:w="960"/>
        <w:gridCol w:w="945"/>
      </w:tblGrid>
      <w:tr>
        <w:trPr>
          <w:trHeight w:val="810"/>
        </w:trPr>
        <w:tc>
          <w:tcPr>
            <w:gridSpan w:val="2"/>
            <w:tcW w:w="457"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gridSpan w:val="2"/>
            <w:tcW w:w="1941"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rPr>
            </w:r>
            <w:r/>
          </w:p>
        </w:tc>
        <w:tc>
          <w:tcPr>
            <w:gridSpan w:val="2"/>
            <w:tcW w:w="5399"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技术参数和功能描述</w:t>
            </w:r>
            <w:r>
              <w:rPr>
                <w:rFonts w:hint="eastAsia" w:ascii="宋体" w:hAnsi="宋体" w:eastAsia="宋体" w:cs="宋体"/>
                <w:b/>
                <w:bCs/>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270"/>
        </w:trPr>
        <w:tc>
          <w:tcPr>
            <w:gridSpan w:val="8"/>
            <w:tcW w:w="9705" w:type="dxa"/>
            <w:vAlign w:val="center"/>
            <w:textDirection w:val="lrTb"/>
            <w:noWrap w:val="false"/>
          </w:tcPr>
          <w:p>
            <w:pPr>
              <w:pStyle w:val="698"/>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一、计量称重采集系统</w:t>
            </w:r>
            <w:r>
              <w:rPr>
                <w:rFonts w:hint="eastAsia" w:ascii="宋体" w:hAnsi="宋体" w:eastAsia="宋体" w:cs="宋体"/>
                <w:b/>
                <w:bCs/>
                <w:i w:val="0"/>
                <w:iCs w:val="0"/>
                <w:color w:val="000000"/>
                <w:sz w:val="21"/>
                <w:szCs w:val="21"/>
                <w:highlight w:val="none"/>
                <w:u w:val="none"/>
              </w:rPr>
            </w:r>
            <w:r/>
          </w:p>
        </w:tc>
      </w:tr>
      <w:tr>
        <w:trPr>
          <w:trHeight w:val="567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物联网地磅</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台面尺寸：≥700*700mm；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工作频率：902～928MHz；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接口：RS232、RS485；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垃圾分类前端数据采集仪表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安装方式：壁挂式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外壳材质：碳钢喷塑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触摸屏分辨率：≥800*1280，比例16:10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触摸屏显示尺寸：≥10寸或屏幕对角线≥25.4厘米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触摸形式：电容式，触摸钢化玻璃材质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扩展接口：预留RS232、RS485接口；WIFI、蓝牙接口、4G/5G接口等</w:t>
            </w:r>
            <w:r>
              <w:rPr>
                <w:rFonts w:hint="eastAsia" w:ascii="宋体" w:hAnsi="宋体" w:eastAsia="宋体" w:cs="宋体"/>
                <w:i w:val="0"/>
                <w:iCs w:val="0"/>
                <w:color w:val="000000"/>
                <w:sz w:val="21"/>
                <w:szCs w:val="21"/>
                <w:highlight w:val="none"/>
                <w:u w:val="none"/>
                <w:lang w:val="en-US" w:eastAsia="zh-CN" w:bidi="ar"/>
              </w:rPr>
            </w:r>
            <w:r/>
          </w:p>
          <w:p>
            <w:pPr>
              <w:pStyle w:val="698"/>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★置零准确度：≤0.25e；除</w:t>
            </w:r>
            <w:r>
              <w:rPr>
                <w:rFonts w:hint="eastAsia" w:ascii="宋体" w:hAnsi="宋体" w:eastAsia="宋体" w:cs="宋体"/>
                <w:color w:val="000000"/>
                <w:sz w:val="21"/>
                <w:szCs w:val="21"/>
                <w:highlight w:val="none"/>
                <w:lang w:val="en-US" w:eastAsia="zh-CN"/>
              </w:rPr>
              <w:t xml:space="preserve">皮</w:t>
            </w:r>
            <w:r>
              <w:rPr>
                <w:rFonts w:hint="eastAsia" w:ascii="宋体" w:hAnsi="宋体" w:eastAsia="宋体" w:cs="宋体"/>
                <w:color w:val="000000"/>
                <w:sz w:val="21"/>
                <w:szCs w:val="21"/>
                <w:highlight w:val="none"/>
              </w:rPr>
              <w:t xml:space="preserve">准确度：≤0.25e</w:t>
            </w:r>
            <w:r>
              <w:rPr>
                <w:rFonts w:hint="eastAsia" w:ascii="宋体" w:hAnsi="宋体" w:eastAsia="宋体" w:cs="宋体"/>
                <w:color w:val="000000"/>
                <w:sz w:val="21"/>
                <w:szCs w:val="21"/>
                <w:highlight w:val="none"/>
              </w:rPr>
            </w:r>
            <w:r/>
          </w:p>
          <w:p>
            <w:pPr>
              <w:pStyle w:val="698"/>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★鉴别力测试：放上或取下等于</w:t>
            </w:r>
            <w:r>
              <w:rPr>
                <w:rFonts w:hint="eastAsia" w:ascii="宋体" w:hAnsi="宋体" w:eastAsia="宋体" w:cs="宋体"/>
                <w:color w:val="000000"/>
                <w:sz w:val="21"/>
                <w:szCs w:val="21"/>
                <w:highlight w:val="none"/>
                <w:lang w:val="en-US" w:eastAsia="zh-CN"/>
              </w:rPr>
              <w:t xml:space="preserve">140g</w:t>
            </w:r>
            <w:r>
              <w:rPr>
                <w:rFonts w:hint="eastAsia" w:ascii="宋体" w:hAnsi="宋体" w:eastAsia="宋体" w:cs="宋体"/>
                <w:color w:val="000000"/>
                <w:sz w:val="21"/>
                <w:szCs w:val="21"/>
                <w:highlight w:val="none"/>
              </w:rPr>
              <w:t xml:space="preserve">附加砝码，此时原来的示值应改变1个分度值。</w:t>
            </w:r>
            <w:r>
              <w:rPr>
                <w:rFonts w:hint="eastAsia" w:ascii="宋体" w:hAnsi="宋体" w:eastAsia="宋体" w:cs="宋体"/>
                <w:color w:val="000000"/>
                <w:sz w:val="21"/>
                <w:szCs w:val="21"/>
                <w:highlight w:val="none"/>
              </w:rPr>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★称重数据上传时间的显示：可在参数设置中，设定称重数据显示上传时间在4秒内上传</w:t>
            </w:r>
            <w:r>
              <w:rPr>
                <w:rFonts w:hint="eastAsia" w:ascii="宋体" w:hAnsi="宋体" w:eastAsia="宋体" w:cs="宋体"/>
                <w:color w:val="000000"/>
                <w:sz w:val="21"/>
                <w:szCs w:val="21"/>
                <w:highlight w:val="none"/>
              </w:rPr>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★支持多种垃圾类型的判断：秤体感应到电子标签并读取标签信息后，触摸屏仪表显示：清洁屋名称、垃圾桶编号，垃圾桶颜色及垃圾种类、净重、毛重</w:t>
            </w:r>
            <w:r>
              <w:rPr>
                <w:rFonts w:hint="eastAsia" w:ascii="宋体" w:hAnsi="宋体" w:eastAsia="宋体" w:cs="宋体"/>
                <w:color w:val="000000"/>
                <w:sz w:val="21"/>
                <w:szCs w:val="21"/>
                <w:highlight w:val="none"/>
              </w:rPr>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★垃圾桶去皮：秤体感应到电子标签并读取标签信息后，通过标签自动判断秤体上预设垃圾桶空桶重量，并自动去皮，触摸屏仪表显示：清洁屋名称、垃圾桶编号，垃圾桶颜色及垃圾种类、净重、毛重</w:t>
            </w:r>
            <w:r>
              <w:rPr>
                <w:rFonts w:hint="eastAsia" w:ascii="宋体" w:hAnsi="宋体" w:eastAsia="宋体" w:cs="宋体"/>
                <w:color w:val="000000"/>
                <w:sz w:val="21"/>
                <w:szCs w:val="21"/>
                <w:highlight w:val="none"/>
              </w:rPr>
            </w:r>
            <w:r/>
          </w:p>
          <w:p>
            <w:pPr>
              <w:pStyle w:val="91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★自我判断（有/空桶）：自动判断，空桶时重量不上传，并语音提醒“重量过轻”</w:t>
            </w:r>
            <w:r>
              <w:rPr>
                <w:rFonts w:hint="eastAsia" w:ascii="宋体" w:hAnsi="宋体" w:eastAsia="宋体" w:cs="宋体"/>
                <w:color w:val="000000"/>
                <w:sz w:val="21"/>
                <w:szCs w:val="21"/>
                <w:highlight w:val="none"/>
              </w:rPr>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★数据上传：通过网络上传至移动终端显示“提交成功”，并留有数据上传时间记录，伴随语音播报“成功”</w:t>
            </w:r>
            <w:r>
              <w:rPr>
                <w:rFonts w:hint="eastAsia" w:ascii="宋体" w:hAnsi="宋体" w:eastAsia="宋体" w:cs="宋体"/>
                <w:color w:val="000000"/>
                <w:sz w:val="21"/>
                <w:szCs w:val="21"/>
                <w:highlight w:val="none"/>
              </w:rPr>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★数据内容：清洁屋名称、垃圾桶编号、垃圾种类、净重、数据上传时间，与触摸屏仪表上传记录中数据一致</w:t>
            </w:r>
            <w:r>
              <w:rPr>
                <w:rFonts w:hint="eastAsia" w:ascii="宋体" w:hAnsi="宋体" w:eastAsia="宋体" w:cs="宋体"/>
                <w:color w:val="000000"/>
                <w:sz w:val="21"/>
                <w:szCs w:val="21"/>
                <w:highlight w:val="none"/>
              </w:rPr>
            </w:r>
            <w:r/>
          </w:p>
          <w:p>
            <w:pPr>
              <w:pStyle w:val="916"/>
              <w:ind w:left="0" w:firstLine="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rPr>
              <w:t xml:space="preserve">★屏幕保护：可设定屏幕保护时间，在设定的屏幕保护时间内秤台无操作时，启动自动屏保黑屏，滚动显示垃圾分类宣传语，当计量前端有重量变化时自动转到操作界面。</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r>
      <w:tr>
        <w:trPr>
          <w:trHeight w:val="54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标签芯片</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定制分类标签识别芯片</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1950</w:t>
            </w:r>
            <w:r>
              <w:rPr>
                <w:rFonts w:hint="eastAsia" w:ascii="宋体" w:hAnsi="宋体" w:eastAsia="宋体" w:cs="宋体"/>
                <w:i w:val="0"/>
                <w:iCs w:val="0"/>
                <w:color w:val="000000"/>
                <w:sz w:val="21"/>
                <w:szCs w:val="21"/>
                <w:highlight w:val="none"/>
                <w:u w:val="none"/>
              </w:rPr>
            </w:r>
            <w:r/>
          </w:p>
        </w:tc>
      </w:tr>
      <w:tr>
        <w:trPr>
          <w:trHeight w:val="81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通信网络控制设备</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内置4G全网通模块，支持TD-LTE/FDD-LTE/ WCDMA/EVDO/ TD-SCDMA/CDMA/ GSM多种制式；至少支持2个FE/GE接口；支持DC12V/24V电源供电；</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r>
      <w:tr>
        <w:trPr>
          <w:trHeight w:val="54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安装调试</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设备安装测试</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70"/>
        </w:trPr>
        <w:tc>
          <w:tcPr>
            <w:gridSpan w:val="8"/>
            <w:tcW w:w="9705" w:type="dxa"/>
            <w:vAlign w:val="center"/>
            <w:textDirection w:val="lrTb"/>
            <w:noWrap w:val="false"/>
          </w:tcPr>
          <w:p>
            <w:pPr>
              <w:pStyle w:val="698"/>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二、清洁屋监控系统</w:t>
            </w:r>
            <w:r>
              <w:rPr>
                <w:rFonts w:hint="eastAsia" w:ascii="宋体" w:hAnsi="宋体" w:eastAsia="宋体" w:cs="宋体"/>
                <w:b/>
                <w:bCs/>
                <w:i w:val="0"/>
                <w:iCs w:val="0"/>
                <w:color w:val="000000"/>
                <w:sz w:val="21"/>
                <w:szCs w:val="21"/>
                <w:highlight w:val="none"/>
                <w:u w:val="none"/>
              </w:rPr>
            </w:r>
            <w:r/>
          </w:p>
        </w:tc>
      </w:tr>
      <w:tr>
        <w:trPr>
          <w:trHeight w:val="486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监控摄像设备</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707"/>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不小于1/1.8"靶面尺寸</w:t>
            </w:r>
            <w:r>
              <w:rPr>
                <w:rFonts w:hint="eastAsia" w:ascii="宋体" w:hAnsi="宋体" w:eastAsia="宋体" w:cs="宋体"/>
                <w:color w:val="000000"/>
                <w:highlight w:val="none"/>
              </w:rPr>
            </w:r>
            <w:r/>
          </w:p>
          <w:p>
            <w:pPr>
              <w:pStyle w:val="698"/>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支持智能资源模式：人脸抓拍、道路监控、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接口功能：内置MicroSD/MicroSDHC/MicroSDXC插槽，支持一对报警输入输出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最大图像尺寸：2560 × 1440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视频压缩标准：H.265/H.264/MJPEG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网络：不小于1个RJ45 10 M/100 M自适应以太网口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支持400万像素 @60 fps实时帧率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支持SD卡扩展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音频：不小于1路输入（Line in），1路输出（Line out），1个内置麦克风，1个内置扬声器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RS-485：1个RS-485接口，半双工模式，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rPr>
              <w:t xml:space="preserve">★内置GPU芯片</w:t>
            </w:r>
            <w:r>
              <w:rPr>
                <w:rFonts w:hint="eastAsia" w:ascii="宋体" w:hAnsi="宋体" w:eastAsia="宋体" w:cs="宋体"/>
                <w:color w:val="000000"/>
                <w:sz w:val="21"/>
                <w:szCs w:val="21"/>
                <w:highlight w:val="none"/>
              </w:rPr>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★内置4颗补光灯，为鳞镜式补光灯，灯杯为半弧形网格鳞片状。</w:t>
            </w:r>
            <w:r>
              <w:rPr>
                <w:rFonts w:hint="eastAsia" w:ascii="宋体" w:hAnsi="宋体" w:eastAsia="宋体" w:cs="宋体"/>
                <w:color w:val="000000"/>
                <w:sz w:val="21"/>
                <w:szCs w:val="21"/>
                <w:highlight w:val="none"/>
              </w:rPr>
            </w:r>
            <w:r/>
          </w:p>
          <w:p>
            <w:pPr>
              <w:pStyle w:val="69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rPr>
              <w:t xml:space="preserve">★灯珠朝向与样机照射方向不同，补光灯开启后正面不可见补光灯灯珠。补光灯开启后灯光均匀无波纹、麻点状、条纹状和不规则亮斑。</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7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PVC管</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r>
      <w:tr>
        <w:trPr>
          <w:trHeight w:val="81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超五类室内非屏蔽</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r>
      <w:tr>
        <w:trPr>
          <w:trHeight w:val="54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 3*1.5</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r>
      <w:tr>
        <w:trPr>
          <w:trHeight w:val="54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端子箱及配套网络</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不锈钢材质，含插线板等，含配套通信网络</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r>
      <w:tr>
        <w:trPr>
          <w:trHeight w:val="513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707"/>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rPr>
              <w:t xml:space="preserve">★具有</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2个HDMI接口、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2个VGA接口、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2个RJ45 千兆网络接口；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个USB2.0接口、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个USB3.0接口、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1个RS232接口、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1个RS485接口；具有</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1路音频输入接口、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2路音频输出接口、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16路报警输入接口、</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路报警输出接口、具有</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1路直流12V输出接口（12V 1A）、可内置</w:t>
            </w:r>
            <w:r>
              <w:rPr>
                <w:rFonts w:hint="eastAsia" w:ascii="宋体" w:hAnsi="宋体" w:eastAsia="宋体" w:cs="宋体"/>
                <w:i w:val="0"/>
                <w:iCs w:val="0"/>
                <w:color w:val="000000"/>
                <w:sz w:val="21"/>
                <w:szCs w:val="21"/>
                <w:highlight w:val="none"/>
                <w:u w:val="none"/>
                <w:lang w:val="en-US" w:eastAsia="zh-CN" w:bidi="ar"/>
              </w:rPr>
              <w:t xml:space="preserve">不小于</w:t>
            </w:r>
            <w:r>
              <w:rPr>
                <w:rFonts w:hint="eastAsia" w:ascii="宋体" w:hAnsi="宋体" w:eastAsia="宋体" w:cs="宋体"/>
                <w:color w:val="000000"/>
                <w:sz w:val="21"/>
                <w:szCs w:val="21"/>
                <w:highlight w:val="none"/>
              </w:rPr>
              <w:t xml:space="preserve">16块SATA接口硬盘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支持报警事件、异常事件计数提醒功能，以图标形式在监控界面上提醒用户；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支持接入具有专家模式的移动侦测的摄像机，移动侦测报警能够区分是人、车还是其他目标产生，可录像和记录报警信息；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支持最大接入带宽 384Mbps，最大存储带宽  384Mbps，最大转发带宽  384Mbps</w:t>
            </w:r>
            <w:r>
              <w:rPr>
                <w:rFonts w:hint="eastAsia" w:ascii="宋体" w:hAnsi="宋体" w:eastAsia="宋体" w:cs="宋体"/>
                <w:i w:val="0"/>
                <w:iCs w:val="0"/>
                <w:color w:val="000000"/>
                <w:sz w:val="21"/>
                <w:szCs w:val="21"/>
                <w:highlight w:val="none"/>
                <w:u w:val="none"/>
                <w:lang w:val="en-US" w:eastAsia="zh-CN" w:bidi="ar"/>
              </w:rPr>
            </w:r>
            <w:r/>
          </w:p>
          <w:p>
            <w:pPr>
              <w:pStyle w:val="698"/>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highlight w:val="none"/>
              </w:rPr>
              <w:t xml:space="preserve">可接入 1T、2T、3T、4T、6T、8T、10T、12TB、14TB、16TB、18TB、20TB 容量的 SATA接口硬盘；可接入 AI 硬盘； </w:t>
            </w:r>
            <w:r>
              <w:rPr>
                <w:rFonts w:hint="eastAsia" w:ascii="宋体" w:hAnsi="宋体" w:eastAsia="宋体" w:cs="宋体"/>
                <w:color w:val="000000"/>
                <w:highlight w:val="none"/>
              </w:rPr>
            </w:r>
            <w:r/>
          </w:p>
          <w:p>
            <w:pPr>
              <w:pStyle w:val="698"/>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highlight w:val="none"/>
              </w:rPr>
              <w:t xml:space="preserve">支持不同品牌、不同转速的监控级和企业级硬盘混合接入</w:t>
            </w:r>
            <w:r>
              <w:rPr>
                <w:rFonts w:hint="eastAsia" w:ascii="宋体" w:hAnsi="宋体" w:eastAsia="宋体" w:cs="宋体"/>
                <w:color w:val="000000"/>
                <w:highlight w:val="none"/>
              </w:rPr>
            </w:r>
            <w:r/>
          </w:p>
          <w:p>
            <w:pPr>
              <w:pStyle w:val="698"/>
              <w:jc w:val="left"/>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rPr>
              <w:t xml:space="preserve">★支持接入具有专家模式的移动侦测的摄像机，移动侦测报警能够区分是人、车还是其它目标产生，可录像和记录报警信息</w:t>
            </w:r>
            <w:r>
              <w:rPr>
                <w:rFonts w:hint="eastAsia" w:ascii="宋体" w:hAnsi="宋体" w:eastAsia="宋体" w:cs="宋体"/>
                <w:color w:val="000000"/>
                <w:highlight w:val="none"/>
                <w:lang w:val="en-US" w:eastAsia="zh-CN"/>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7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8T</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97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工业级交换机设备</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24 个 10/100/1000M 自适应以太网接口，4 个 1000M SFP 扩展槽  可选 POE 供电，支持 802.3af/at 供电标准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MR-Ring 快速环网（自愈时间 &lt; 20 ms），兼 STP/RSTP/MSTP 生成树协议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Port-based VLAN，IEEE 802.1Q VLAN 和 GVRP 协议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支持动态和静态链路聚合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IGMP Snooping 和 GMRP 过滤组播封包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支持基于 MAC 地址的端口锁定，防止非法入侵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多种网管方式：Web、Snmp，Telnet，console </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89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边缘计算节点设备</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重点人员布控、非投放时间违规投放、垃圾满溢/暴露告警、满溢/暴露清理通知、工作人员在岗离岗等；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算力：16TOPS (INT8)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内存：8GB LPDDR4x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显存：16GB LPDDR4x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存储：960GB SSD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网络：千兆以太网 (10/100/1000Mbps)</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54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安装调试</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设备安装调试，121路监控设备接入，所有监控设备根据AI算法中心要求联调</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70"/>
        </w:trPr>
        <w:tc>
          <w:tcPr>
            <w:gridSpan w:val="8"/>
            <w:tcW w:w="9705" w:type="dxa"/>
            <w:vAlign w:val="center"/>
            <w:textDirection w:val="lrTb"/>
            <w:noWrap w:val="false"/>
          </w:tcPr>
          <w:p>
            <w:pPr>
              <w:pStyle w:val="698"/>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三、利旧设备安装调试</w:t>
            </w:r>
            <w:r>
              <w:rPr>
                <w:rFonts w:hint="eastAsia" w:ascii="宋体" w:hAnsi="宋体" w:eastAsia="宋体" w:cs="宋体"/>
                <w:b/>
                <w:bCs/>
                <w:i w:val="0"/>
                <w:iCs w:val="0"/>
                <w:color w:val="000000"/>
                <w:sz w:val="21"/>
                <w:szCs w:val="21"/>
                <w:highlight w:val="none"/>
                <w:u w:val="none"/>
              </w:rPr>
            </w:r>
            <w:r/>
          </w:p>
        </w:tc>
      </w:tr>
      <w:tr>
        <w:trPr>
          <w:trHeight w:val="54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利旧地磅调试接入</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8个地磅移位安装、16个地磅接入</w:t>
            </w:r>
            <w:r>
              <w:rPr>
                <w:rFonts w:hint="eastAsia" w:ascii="宋体" w:hAnsi="宋体" w:eastAsia="宋体" w:cs="宋体"/>
                <w:i w:val="0"/>
                <w:iCs w:val="0"/>
                <w:color w:val="000000"/>
                <w:sz w:val="21"/>
                <w:szCs w:val="21"/>
                <w:highlight w:val="none"/>
                <w:u w:val="none"/>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70"/>
        </w:trPr>
        <w:tc>
          <w:tcPr>
            <w:gridSpan w:val="8"/>
            <w:tcW w:w="9705" w:type="dxa"/>
            <w:vAlign w:val="center"/>
            <w:textDirection w:val="lrTb"/>
            <w:noWrap w:val="false"/>
          </w:tcPr>
          <w:p>
            <w:pPr>
              <w:pStyle w:val="698"/>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四、网络通信</w:t>
            </w:r>
            <w:r>
              <w:rPr>
                <w:rFonts w:hint="eastAsia" w:ascii="宋体" w:hAnsi="宋体" w:eastAsia="宋体" w:cs="宋体"/>
                <w:b/>
                <w:bCs/>
                <w:i w:val="0"/>
                <w:iCs w:val="0"/>
                <w:color w:val="000000"/>
                <w:sz w:val="21"/>
                <w:szCs w:val="21"/>
                <w:highlight w:val="none"/>
                <w:u w:val="none"/>
              </w:rPr>
            </w:r>
            <w:r/>
          </w:p>
        </w:tc>
      </w:tr>
      <w:tr>
        <w:trPr>
          <w:trHeight w:val="270"/>
        </w:trPr>
        <w:tc>
          <w:tcPr>
            <w:gridSpan w:val="3"/>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gridSpan w:val="2"/>
            <w:tcW w:w="145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数据链路</w:t>
            </w:r>
            <w:r>
              <w:rPr>
                <w:rFonts w:hint="eastAsia" w:ascii="宋体" w:hAnsi="宋体" w:eastAsia="宋体" w:cs="宋体"/>
                <w:i w:val="0"/>
                <w:iCs w:val="0"/>
                <w:color w:val="000000"/>
                <w:sz w:val="21"/>
                <w:szCs w:val="21"/>
                <w:highlight w:val="none"/>
                <w:u w:val="none"/>
              </w:rPr>
            </w:r>
            <w:r/>
          </w:p>
        </w:tc>
        <w:tc>
          <w:tcPr>
            <w:tcW w:w="5385" w:type="dxa"/>
            <w:vAlign w:val="center"/>
            <w:textDirection w:val="lrTb"/>
            <w:noWrap w:val="false"/>
          </w:tcPr>
          <w:p>
            <w:pPr>
              <w:pStyle w:val="698"/>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板块视频流至区城管平台专用网络1G（免费质保期内费用）</w:t>
            </w:r>
            <w:r>
              <w:rPr>
                <w:rFonts w:hint="eastAsia" w:ascii="宋体" w:hAnsi="宋体" w:eastAsia="宋体" w:cs="宋体"/>
                <w:i w:val="0"/>
                <w:iCs w:val="0"/>
                <w:color w:val="000000"/>
                <w:sz w:val="21"/>
                <w:szCs w:val="21"/>
                <w:highlight w:val="none"/>
                <w:u w:val="none"/>
                <w:lang w:val="en-US"/>
              </w:rPr>
            </w:r>
            <w:r/>
          </w:p>
        </w:tc>
        <w:tc>
          <w:tcPr>
            <w:tcW w:w="960"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69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bl>
    <w:p>
      <w:pPr>
        <w:pStyle w:val="698"/>
        <w:ind w:firstLine="241"/>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 w:val="0"/>
          <w:bCs/>
          <w:color w:val="000000"/>
          <w:sz w:val="21"/>
          <w:szCs w:val="21"/>
          <w:highlight w:val="none"/>
        </w:rPr>
        <w:t xml:space="preserve">注：</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本项目招标文件中涉及到的产品无指定品牌，投标产品符合招标文件中规定的技术参数要求即可。</w:t>
      </w:r>
      <w:r>
        <w:rPr>
          <w:rFonts w:hint="eastAsia" w:ascii="宋体" w:hAnsi="宋体" w:eastAsia="宋体" w:cs="宋体"/>
          <w:bCs/>
          <w:color w:val="000000"/>
          <w:sz w:val="21"/>
          <w:szCs w:val="21"/>
          <w:highlight w:val="none"/>
        </w:rPr>
      </w:r>
      <w:r/>
    </w:p>
    <w:p>
      <w:pPr>
        <w:pStyle w:val="698"/>
        <w:ind w:firstLine="659"/>
        <w:keepLines w:val="0"/>
        <w:keepNext w:val="0"/>
        <w:pageBreakBefore w:val="0"/>
        <w:spacing w:line="360" w:lineRule="auto"/>
        <w:widowControl/>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bidi="ar"/>
        </w:rPr>
        <w:t xml:space="preserve">2.备注为</w:t>
      </w:r>
      <w:r>
        <w:rPr>
          <w:rFonts w:hint="eastAsia" w:ascii="宋体" w:hAnsi="宋体" w:eastAsia="宋体" w:cs="宋体"/>
          <w:b w:val="0"/>
          <w:bCs/>
          <w:color w:val="000000"/>
          <w:sz w:val="21"/>
          <w:szCs w:val="21"/>
          <w:highlight w:val="none"/>
          <w:lang w:bidi="ar"/>
        </w:rPr>
        <w:t xml:space="preserve">本项目核心产品</w:t>
      </w:r>
      <w:r>
        <w:rPr>
          <w:rFonts w:hint="eastAsia" w:ascii="宋体" w:hAnsi="宋体" w:eastAsia="宋体" w:cs="宋体"/>
          <w:b w:val="0"/>
          <w:bCs/>
          <w:color w:val="000000"/>
          <w:sz w:val="21"/>
          <w:szCs w:val="21"/>
          <w:highlight w:val="none"/>
          <w:lang w:val="en-US" w:eastAsia="zh-CN" w:bidi="ar"/>
        </w:rPr>
        <w:t xml:space="preserve">的</w:t>
      </w:r>
      <w:r>
        <w:rPr>
          <w:rFonts w:hint="eastAsia" w:ascii="宋体" w:hAnsi="宋体" w:eastAsia="宋体" w:cs="宋体"/>
          <w:b w:val="0"/>
          <w:bCs/>
          <w:color w:val="000000"/>
          <w:sz w:val="21"/>
          <w:szCs w:val="21"/>
          <w:highlight w:val="none"/>
          <w:lang w:bidi="ar"/>
        </w:rPr>
        <w:t xml:space="preserve">设备</w:t>
      </w: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rPr>
        <w:t xml:space="preserve">提供相同品牌核心产品且通过资格审查、符合性审查的不同投标人参加同一合同项下投标的，按一家投标人计算，评审后得分最高的同品牌投标人获得中标人推荐资格。</w:t>
      </w:r>
      <w:r>
        <w:rPr>
          <w:rFonts w:hint="eastAsia" w:ascii="宋体" w:hAnsi="宋体" w:eastAsia="宋体" w:cs="宋体"/>
          <w:b w:val="0"/>
          <w:bCs/>
          <w:color w:val="000000"/>
          <w:sz w:val="21"/>
          <w:szCs w:val="21"/>
          <w:highlight w:val="none"/>
        </w:rPr>
      </w:r>
      <w:r/>
    </w:p>
    <w:p>
      <w:pPr>
        <w:pStyle w:val="698"/>
        <w:ind w:firstLine="659"/>
        <w:keepLines w:val="0"/>
        <w:keepNext w:val="0"/>
        <w:pageBreakBefore w:val="0"/>
        <w:spacing w:line="360" w:lineRule="auto"/>
        <w:widowControl/>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bidi="ar"/>
        </w:rPr>
        <w:t xml:space="preserve">3.</w:t>
      </w:r>
      <w:r>
        <w:rPr>
          <w:rFonts w:hint="eastAsia" w:ascii="宋体" w:hAnsi="宋体" w:eastAsia="宋体" w:cs="宋体"/>
          <w:b w:val="0"/>
          <w:bCs/>
          <w:color w:val="000000"/>
          <w:sz w:val="21"/>
          <w:szCs w:val="21"/>
          <w:highlight w:val="none"/>
        </w:rPr>
        <w:t xml:space="preserve">清单中标注节能环保强制性采购产品需提供由国家确定的认证机构出具的、处于有效期之内的节能产品认证证书，否则视为未实质响应。</w:t>
      </w:r>
      <w:r>
        <w:rPr>
          <w:rFonts w:hint="eastAsia" w:ascii="宋体" w:hAnsi="宋体" w:eastAsia="宋体" w:cs="宋体"/>
          <w:b w:val="0"/>
          <w:bCs/>
          <w:color w:val="000000"/>
          <w:sz w:val="21"/>
          <w:szCs w:val="21"/>
          <w:highlight w:val="none"/>
        </w:rPr>
      </w:r>
      <w:r/>
    </w:p>
    <w:p>
      <w:pPr>
        <w:pStyle w:val="698"/>
        <w:ind w:firstLine="482"/>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bidi="ar-SA"/>
        </w:rPr>
        <w:outlineLvl w:val="0"/>
      </w:pPr>
      <w:r>
        <w:rPr>
          <w:rFonts w:hint="eastAsia" w:ascii="宋体" w:hAnsi="宋体" w:eastAsia="宋体" w:cs="宋体"/>
          <w:b/>
          <w:bCs/>
          <w:color w:val="000000"/>
          <w:sz w:val="24"/>
          <w:szCs w:val="24"/>
          <w:highlight w:val="none"/>
          <w:lang w:val="en-US" w:eastAsia="zh-CN" w:bidi="ar-SA"/>
        </w:rPr>
        <w:t xml:space="preserve">2、核心产品：物联网地磅、</w:t>
      </w:r>
      <w:r>
        <w:rPr>
          <w:rFonts w:hint="eastAsia" w:ascii="宋体" w:hAnsi="宋体" w:eastAsia="宋体" w:cs="宋体"/>
          <w:b/>
          <w:bCs/>
          <w:i w:val="0"/>
          <w:iCs w:val="0"/>
          <w:color w:val="000000"/>
          <w:sz w:val="24"/>
          <w:szCs w:val="24"/>
          <w:highlight w:val="none"/>
          <w:u w:val="none"/>
          <w:lang w:val="en-US" w:eastAsia="zh-CN" w:bidi="ar-SA"/>
        </w:rPr>
        <w:t xml:space="preserve">监控摄像设备、硬盘录像机</w:t>
      </w:r>
      <w:r>
        <w:rPr>
          <w:rFonts w:hint="eastAsia" w:ascii="宋体" w:hAnsi="宋体" w:eastAsia="宋体" w:cs="宋体"/>
          <w:b/>
          <w:bCs/>
          <w:i w:val="0"/>
          <w:iCs w:val="0"/>
          <w:color w:val="000000"/>
          <w:sz w:val="24"/>
          <w:szCs w:val="24"/>
          <w:highlight w:val="none"/>
          <w:u w:val="none"/>
          <w:lang w:val="en-US" w:eastAsia="zh-CN" w:bidi="ar-SA"/>
        </w:rPr>
        <w:t xml:space="preserve">。</w:t>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技术要求</w:t>
      </w:r>
      <w:r>
        <w:rPr>
          <w:rFonts w:hint="eastAsia" w:ascii="宋体" w:hAnsi="宋体" w:eastAsia="宋体" w:cs="宋体"/>
          <w:color w:val="000000"/>
          <w:sz w:val="24"/>
          <w:szCs w:val="24"/>
          <w:highlight w:val="none"/>
          <w:lang w:val="zh-CN"/>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供应商在投标技术文件中必须对所有投标产品的技术规格与要求逐一做出技术应答，性能要求达到具体数值的条款中必须明确列出具体数值。如果有其中某些条款不响应时，应在投标文件中逐条列出，未列出的视同响应。</w:t>
      </w:r>
      <w:r>
        <w:rPr>
          <w:rFonts w:hint="eastAsia" w:ascii="宋体" w:hAnsi="宋体" w:eastAsia="宋体" w:cs="宋体"/>
          <w:color w:val="000000"/>
          <w:sz w:val="24"/>
          <w:szCs w:val="24"/>
          <w:highlight w:val="none"/>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投标供应商必须明确所投标产品生产厂家、品牌、型号、规格等。</w:t>
      </w:r>
      <w:r>
        <w:rPr>
          <w:rFonts w:hint="eastAsia" w:ascii="宋体" w:hAnsi="宋体" w:eastAsia="宋体" w:cs="宋体"/>
          <w:color w:val="000000"/>
          <w:sz w:val="24"/>
          <w:szCs w:val="24"/>
          <w:highlight w:val="none"/>
        </w:rPr>
      </w:r>
      <w:r/>
    </w:p>
    <w:p>
      <w:pPr>
        <w:pStyle w:val="702"/>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 </w:t>
      </w:r>
      <w:r>
        <w:rPr>
          <w:rFonts w:hint="eastAsia" w:ascii="宋体" w:hAnsi="宋体" w:eastAsia="宋体" w:cs="宋体"/>
          <w:color w:val="000000"/>
          <w:sz w:val="24"/>
          <w:szCs w:val="24"/>
          <w:highlight w:val="none"/>
        </w:rPr>
        <w:t xml:space="preserve">投标单位所投标产品必须是全新的、未使用过的、原包装未拆封的商品。</w:t>
      </w:r>
      <w:r>
        <w:rPr>
          <w:rFonts w:hint="eastAsia" w:ascii="宋体" w:hAnsi="宋体" w:eastAsia="宋体" w:cs="宋体"/>
          <w:color w:val="000000"/>
          <w:sz w:val="24"/>
          <w:szCs w:val="24"/>
          <w:highlight w:val="none"/>
        </w:rPr>
      </w:r>
      <w:r/>
    </w:p>
    <w:p>
      <w:pPr>
        <w:pStyle w:val="702"/>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 </w:t>
      </w:r>
      <w:r>
        <w:rPr>
          <w:rFonts w:hint="eastAsia" w:ascii="宋体" w:hAnsi="宋体" w:eastAsia="宋体" w:cs="宋体"/>
          <w:color w:val="000000"/>
          <w:sz w:val="24"/>
          <w:szCs w:val="24"/>
          <w:highlight w:val="none"/>
        </w:rPr>
        <w:t xml:space="preserve">投标单位所投产品需符合国家相关标准及有关行业标准。</w:t>
      </w:r>
      <w:r>
        <w:rPr>
          <w:rFonts w:hint="eastAsia" w:ascii="宋体" w:hAnsi="宋体" w:eastAsia="宋体" w:cs="宋体"/>
          <w:color w:val="000000"/>
          <w:sz w:val="24"/>
          <w:szCs w:val="24"/>
          <w:highlight w:val="none"/>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技术人员要求：</w:t>
      </w:r>
      <w:r>
        <w:rPr>
          <w:rFonts w:hint="eastAsia" w:ascii="宋体" w:hAnsi="宋体" w:eastAsia="宋体" w:cs="宋体"/>
          <w:color w:val="000000"/>
          <w:sz w:val="24"/>
          <w:szCs w:val="24"/>
          <w:highlight w:val="none"/>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根据项目实际情况，供应商需投入项目负责人1名，信息安全负责人1名，技术负责人1名，其他团队人员若干。</w:t>
      </w:r>
      <w:r>
        <w:rPr>
          <w:rFonts w:hint="eastAsia" w:ascii="宋体" w:hAnsi="宋体" w:eastAsia="宋体" w:cs="宋体"/>
          <w:color w:val="000000"/>
          <w:sz w:val="24"/>
          <w:szCs w:val="24"/>
          <w:highlight w:val="none"/>
          <w:lang w:val="en-US" w:eastAsia="zh-CN"/>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质保期：</w:t>
      </w:r>
      <w:r>
        <w:rPr>
          <w:rFonts w:hint="eastAsia" w:ascii="宋体" w:hAnsi="宋体" w:eastAsia="宋体" w:cs="宋体"/>
          <w:color w:val="000000"/>
          <w:sz w:val="24"/>
          <w:szCs w:val="24"/>
          <w:highlight w:val="none"/>
          <w:lang w:val="zh-CN"/>
        </w:rPr>
      </w:r>
      <w:r/>
    </w:p>
    <w:p>
      <w:pPr>
        <w:pStyle w:val="943"/>
        <w:ind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TW" w:eastAsia="zh-TW"/>
        </w:rPr>
        <w:t xml:space="preserve">验收完成后整体</w:t>
      </w:r>
      <w:r>
        <w:rPr>
          <w:rFonts w:hint="eastAsia" w:ascii="宋体" w:hAnsi="宋体" w:eastAsia="宋体" w:cs="宋体"/>
          <w:b/>
          <w:bCs/>
          <w:color w:val="000000"/>
          <w:sz w:val="24"/>
          <w:szCs w:val="24"/>
          <w:highlight w:val="none"/>
          <w:lang w:val="en-US" w:eastAsia="zh-CN"/>
        </w:rPr>
        <w:t xml:space="preserve">免费</w:t>
      </w:r>
      <w:r>
        <w:rPr>
          <w:rFonts w:hint="eastAsia" w:ascii="宋体" w:hAnsi="宋体" w:eastAsia="宋体" w:cs="宋体"/>
          <w:b/>
          <w:bCs/>
          <w:color w:val="000000"/>
          <w:sz w:val="24"/>
          <w:szCs w:val="24"/>
          <w:highlight w:val="none"/>
          <w:lang w:val="zh-TW" w:eastAsia="zh-TW"/>
        </w:rPr>
        <w:t xml:space="preserve">质保</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TW" w:eastAsia="zh-TW"/>
        </w:rPr>
        <w:t xml:space="preserve">年</w:t>
      </w:r>
      <w:r>
        <w:rPr>
          <w:rFonts w:hint="eastAsia" w:ascii="宋体" w:hAnsi="宋体" w:eastAsia="宋体" w:cs="宋体"/>
          <w:color w:val="000000"/>
          <w:sz w:val="24"/>
          <w:szCs w:val="24"/>
          <w:highlight w:val="none"/>
          <w:lang w:val="zh-TW" w:eastAsia="zh-TW"/>
        </w:rPr>
        <w:t xml:space="preserve">，项目需求中有特殊要求的硬件产品除外。免费质保期内，除人为损坏和不可抗拒因素外，中标人对物品进行免费维修或更换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验收：</w:t>
      </w:r>
      <w:r>
        <w:rPr>
          <w:rFonts w:hint="eastAsia" w:ascii="宋体" w:hAnsi="宋体" w:eastAsia="宋体" w:cs="宋体"/>
          <w:color w:val="000000"/>
          <w:sz w:val="24"/>
          <w:szCs w:val="24"/>
          <w:highlight w:val="none"/>
          <w:lang w:val="en-US"/>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1、验收时间：交货并完成安装调试后20个工作日内。</w:t>
      </w:r>
      <w:r>
        <w:rPr>
          <w:rFonts w:hint="eastAsia" w:ascii="宋体" w:hAnsi="宋体" w:eastAsia="宋体" w:cs="宋体"/>
          <w:color w:val="000000"/>
          <w:sz w:val="24"/>
          <w:szCs w:val="24"/>
          <w:highlight w:val="none"/>
          <w:lang w:bidi="ar"/>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验收内容：项目全部完成后，采购人组织验收人员或邀请第三方专业机构对项目进行验收，根据采购文件内容对所提供货物数量、质量及项目实施要求进行验收。每个设备必须出具生产厂商的出厂产品检验合格证。如果验收不符合招标文件要求，采购人有权要求成交单位无条件退货，由此造成的一切损失由中标单位自行承担。</w:t>
      </w:r>
      <w:r>
        <w:rPr>
          <w:rFonts w:hint="eastAsia" w:ascii="宋体" w:hAnsi="宋体" w:eastAsia="宋体" w:cs="宋体"/>
          <w:color w:val="000000"/>
          <w:sz w:val="24"/>
          <w:szCs w:val="24"/>
          <w:highlight w:val="none"/>
          <w:lang w:bidi="ar"/>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3、验收标准：验收标准符合国家最新的技术规范和标准，同时满足招标文件产品规格、具体配置、技术要求及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bidi="ar"/>
        </w:rPr>
        <w:t xml:space="preserve">承诺的其他指标。</w:t>
      </w:r>
      <w:r>
        <w:rPr>
          <w:rFonts w:hint="eastAsia" w:ascii="宋体" w:hAnsi="宋体" w:eastAsia="宋体" w:cs="宋体"/>
          <w:color w:val="000000"/>
          <w:sz w:val="24"/>
          <w:szCs w:val="24"/>
          <w:highlight w:val="none"/>
          <w:lang w:bidi="ar"/>
        </w:rPr>
      </w:r>
      <w:r/>
    </w:p>
    <w:p>
      <w:pPr>
        <w:pStyle w:val="702"/>
        <w:ind w:left="0"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售后服务</w:t>
      </w:r>
      <w:r>
        <w:rPr>
          <w:rFonts w:hint="eastAsia" w:ascii="宋体" w:hAnsi="宋体" w:eastAsia="宋体" w:cs="宋体"/>
          <w:color w:val="000000"/>
          <w:sz w:val="24"/>
          <w:szCs w:val="24"/>
          <w:highlight w:val="none"/>
          <w:lang w:val="zh-CN"/>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在质量保证期内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应无偿提供系统维护、维修服务。</w:t>
      </w:r>
      <w:r>
        <w:rPr>
          <w:rFonts w:hint="eastAsia" w:ascii="宋体" w:hAnsi="宋体"/>
          <w:color w:val="000000"/>
          <w:sz w:val="24"/>
          <w:szCs w:val="24"/>
          <w:highlight w:val="none"/>
        </w:rPr>
        <w:t xml:space="preserve">维修响应及恢复时间要求，当设备及其承载的系统发生故障，</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需2小时内响应，同时需满足下列要求：</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（1）维修人员应在3小时内到达现场并及时解决问题。现场解决不了的故障或可能超出24小时解决不了的问题；</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应承担因操作失误而造成故障扩大、数据损坏、误操作等的赔偿和安全责任；</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rPr>
        <w:t xml:space="preserve">）每次维修必须进行详细记录并经</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确认，每月向</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报送维修报表。</w:t>
      </w:r>
      <w:r>
        <w:rPr>
          <w:rFonts w:hint="eastAsia" w:ascii="宋体" w:hAnsi="宋体"/>
          <w:color w:val="000000"/>
          <w:sz w:val="24"/>
          <w:szCs w:val="24"/>
          <w:highlight w:val="none"/>
        </w:rPr>
      </w:r>
      <w:r/>
    </w:p>
    <w:p>
      <w:pPr>
        <w:pStyle w:val="943"/>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（4）除人为损坏和不可抗拒因素外，修理、更换或退货，费用由供应商负责。</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（5）质保期间设备的一切质量问题，更换部件及设备本身质量原因造成的直接经济损失应全部由供应商负责</w:t>
      </w:r>
      <w:r>
        <w:rPr>
          <w:rFonts w:hint="eastAsia" w:ascii="宋体" w:hAnsi="宋体"/>
          <w:color w:val="000000"/>
          <w:sz w:val="24"/>
          <w:szCs w:val="24"/>
          <w:highlight w:val="none"/>
        </w:rPr>
        <w:t xml:space="preserve">（人为因素导致的损坏除外）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拒绝维修响应的，</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有权邀请第三方进行维修服务，所发生的相关费用由</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质量保证期</w:t>
      </w:r>
      <w:r>
        <w:rPr>
          <w:rFonts w:hint="eastAsia" w:ascii="宋体" w:hAnsi="宋体"/>
          <w:color w:val="000000"/>
          <w:sz w:val="24"/>
          <w:szCs w:val="24"/>
          <w:highlight w:val="none"/>
        </w:rPr>
        <w:t xml:space="preserve">内</w:t>
      </w:r>
      <w:r>
        <w:rPr>
          <w:rFonts w:hint="eastAsia" w:ascii="宋体" w:hAnsi="宋体" w:eastAsia="宋体"/>
          <w:color w:val="000000"/>
          <w:sz w:val="24"/>
          <w:szCs w:val="24"/>
          <w:highlight w:val="none"/>
          <w:lang w:val="en-US" w:eastAsia="zh-CN"/>
        </w:rPr>
        <w:t xml:space="preserve">对</w:t>
      </w:r>
      <w:r>
        <w:rPr>
          <w:rFonts w:hint="eastAsia" w:ascii="宋体" w:hAnsi="宋体"/>
          <w:color w:val="000000"/>
          <w:sz w:val="24"/>
          <w:szCs w:val="24"/>
          <w:highlight w:val="none"/>
        </w:rPr>
        <w:t xml:space="preserve">所有设备进行定期巡检服务</w:t>
      </w:r>
      <w:r>
        <w:rPr>
          <w:rFonts w:hint="eastAsia" w:ascii="宋体" w:hAnsi="宋体" w:eastAsia="宋体"/>
          <w:color w:val="000000"/>
          <w:sz w:val="24"/>
          <w:szCs w:val="24"/>
          <w:highlight w:val="none"/>
          <w:lang w:val="en-US" w:eastAsia="zh-CN"/>
        </w:rPr>
        <w:t xml:space="preserve">和</w:t>
      </w:r>
      <w:r>
        <w:rPr>
          <w:rFonts w:hint="eastAsia" w:ascii="宋体" w:hAnsi="宋体"/>
          <w:color w:val="000000"/>
          <w:sz w:val="24"/>
          <w:szCs w:val="24"/>
          <w:highlight w:val="none"/>
        </w:rPr>
        <w:t xml:space="preserve">必要的定期保养服务，及时发现设备的损坏或系统的功能异常。日常巡检和保养</w:t>
      </w:r>
      <w:r>
        <w:rPr>
          <w:rFonts w:hint="eastAsia" w:ascii="宋体" w:hAnsi="宋体" w:eastAsia="宋体"/>
          <w:color w:val="000000"/>
          <w:sz w:val="24"/>
          <w:szCs w:val="24"/>
          <w:highlight w:val="none"/>
          <w:lang w:val="en-US" w:eastAsia="zh-CN"/>
        </w:rPr>
        <w:t xml:space="preserve">要求如下：</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（1）定期对服务期限范围内设备的网络、硬件设备、软件系统、存储数据进行巡检、保养；</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（2）定期对所有外场设备进行巡检、保养；</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（3）定期对所有外场设备的金属部件进行防锈保养；</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（4）每次巡检、保养必须进行详细记录并经</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确认，每月向</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报送巡检、保养报表。</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对</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的重大事件和重大活动提供技术支持和现场保障服务。</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4、</w:t>
      </w:r>
      <w:r>
        <w:rPr>
          <w:rFonts w:hint="eastAsia" w:ascii="宋体" w:hAnsi="宋体"/>
          <w:color w:val="000000"/>
          <w:sz w:val="24"/>
          <w:szCs w:val="24"/>
          <w:highlight w:val="none"/>
        </w:rPr>
        <w:t xml:space="preserve">因建设需要迁移或拆除的，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应积极配合</w:t>
      </w:r>
      <w:r>
        <w:rPr>
          <w:rFonts w:hint="eastAsia" w:ascii="宋体" w:hAnsi="宋体"/>
          <w:color w:val="000000"/>
          <w:sz w:val="24"/>
          <w:szCs w:val="24"/>
          <w:highlight w:val="none"/>
        </w:rPr>
        <w:t xml:space="preserve">采购人进行修复以及数据对接要求。供应商不得擅自拆除、迁移维护设施。</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要认真做好防盗工作，使偷盗现象降至最低。对于因偷盗、人为损坏等违法行为造成的损失，</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发现后，应及时向公安机关报案，由派出所确认损失数量，并将确认的数量书面上报</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确认备案后采取措施在24小时内恢复。</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应组织专业的管理队伍及晚上应急处置人员，加强日、夜间灯光设施的看护和日常维护。</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color w:val="000000"/>
          <w:sz w:val="24"/>
          <w:szCs w:val="24"/>
          <w:highlight w:val="none"/>
        </w:rPr>
        <w:t xml:space="preserve">系统每月必须按</w:t>
      </w:r>
      <w:r>
        <w:rPr>
          <w:rFonts w:hint="eastAsia" w:ascii="宋体" w:hAnsi="宋体" w:eastAsia="宋体"/>
          <w:color w:val="000000"/>
          <w:sz w:val="24"/>
          <w:szCs w:val="24"/>
          <w:highlight w:val="none"/>
        </w:rPr>
        <w:t xml:space="preserve">招标</w:t>
      </w:r>
      <w:r>
        <w:rPr>
          <w:rFonts w:hint="eastAsia" w:ascii="宋体" w:hAnsi="宋体"/>
          <w:color w:val="000000"/>
          <w:sz w:val="24"/>
          <w:szCs w:val="24"/>
          <w:highlight w:val="none"/>
        </w:rPr>
        <w:t xml:space="preserve">要求进行</w:t>
      </w:r>
      <w:r>
        <w:rPr>
          <w:rFonts w:hint="eastAsia" w:ascii="宋体" w:hAnsi="宋体" w:eastAsia="宋体" w:cs="宋体"/>
          <w:color w:val="000000"/>
          <w:sz w:val="24"/>
          <w:szCs w:val="24"/>
          <w:highlight w:val="none"/>
          <w:lang w:val="en-US" w:eastAsia="zh-CN"/>
        </w:rPr>
        <w:t xml:space="preserve">由供应商</w:t>
      </w:r>
      <w:r>
        <w:rPr>
          <w:rFonts w:hint="eastAsia" w:ascii="宋体" w:hAnsi="宋体"/>
          <w:color w:val="000000"/>
          <w:sz w:val="24"/>
          <w:szCs w:val="24"/>
          <w:highlight w:val="none"/>
        </w:rPr>
        <w:t xml:space="preserve">巡查维修。</w:t>
      </w:r>
      <w:r>
        <w:rPr>
          <w:rFonts w:hint="eastAsia" w:ascii="宋体" w:hAnsi="宋体"/>
          <w:color w:val="000000"/>
          <w:sz w:val="24"/>
          <w:szCs w:val="24"/>
          <w:highlight w:val="none"/>
        </w:rPr>
      </w:r>
      <w:r/>
    </w:p>
    <w:p>
      <w:pPr>
        <w:pStyle w:val="698"/>
        <w:ind w:left="0" w:firstLine="480"/>
        <w:spacing w:line="360" w:lineRule="auto"/>
        <w:widowControl w:val="off"/>
        <w:rPr>
          <w:rFonts w:ascii="宋体" w:hAnsi="宋体" w:eastAsia="宋体" w:cs="Arial"/>
          <w:color w:val="000000"/>
          <w:sz w:val="24"/>
          <w:szCs w:val="24"/>
          <w:highlight w:val="none"/>
        </w:rPr>
      </w:pPr>
      <w:r>
        <w:rPr>
          <w:rFonts w:ascii="宋体" w:hAnsi="宋体" w:eastAsia="宋体" w:cs="Arial"/>
          <w:color w:val="000000"/>
          <w:sz w:val="24"/>
          <w:szCs w:val="24"/>
          <w:highlight w:val="none"/>
          <w:lang w:val="en-US" w:eastAsia="zh-CN"/>
        </w:rPr>
        <w:t xml:space="preserve">8</w:t>
      </w:r>
      <w:r>
        <w:rPr>
          <w:rFonts w:hint="eastAsia" w:ascii="宋体" w:hAnsi="宋体" w:eastAsia="宋体" w:cs="Arial"/>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供应商</w:t>
      </w:r>
      <w:r>
        <w:rPr>
          <w:rFonts w:ascii="宋体" w:hAnsi="宋体" w:eastAsia="宋体" w:cs="Arial"/>
          <w:color w:val="000000"/>
          <w:sz w:val="24"/>
          <w:szCs w:val="24"/>
          <w:highlight w:val="none"/>
        </w:rPr>
        <w:t xml:space="preserve">未能按前述约定提供售后服务的，</w:t>
      </w:r>
      <w:r>
        <w:rPr>
          <w:rFonts w:hint="eastAsia" w:ascii="宋体" w:hAnsi="宋体" w:eastAsia="宋体"/>
          <w:color w:val="000000"/>
          <w:sz w:val="24"/>
          <w:szCs w:val="24"/>
          <w:highlight w:val="none"/>
          <w:lang w:val="en-US" w:eastAsia="zh-CN"/>
        </w:rPr>
        <w:t xml:space="preserve">采购人</w:t>
      </w:r>
      <w:r>
        <w:rPr>
          <w:rFonts w:ascii="宋体" w:hAnsi="宋体" w:eastAsia="宋体" w:cs="Arial"/>
          <w:color w:val="000000"/>
          <w:sz w:val="24"/>
          <w:szCs w:val="24"/>
          <w:highlight w:val="none"/>
        </w:rPr>
        <w:t xml:space="preserve">有权自行聘请第三方进行维修，因此产生的费用由</w:t>
      </w:r>
      <w:r>
        <w:rPr>
          <w:rFonts w:hint="eastAsia" w:ascii="宋体" w:hAnsi="宋体" w:eastAsia="宋体" w:cs="宋体"/>
          <w:color w:val="000000"/>
          <w:sz w:val="24"/>
          <w:szCs w:val="24"/>
          <w:highlight w:val="none"/>
          <w:lang w:val="en-US" w:eastAsia="zh-CN"/>
        </w:rPr>
        <w:t xml:space="preserve">供应商</w:t>
      </w:r>
      <w:r>
        <w:rPr>
          <w:rFonts w:ascii="宋体" w:hAnsi="宋体" w:eastAsia="宋体" w:cs="Arial"/>
          <w:color w:val="000000"/>
          <w:sz w:val="24"/>
          <w:szCs w:val="24"/>
          <w:highlight w:val="none"/>
        </w:rPr>
        <w:t xml:space="preserve">承担，</w:t>
      </w:r>
      <w:r>
        <w:rPr>
          <w:rFonts w:hint="eastAsia" w:ascii="宋体" w:hAnsi="宋体" w:eastAsia="宋体"/>
          <w:color w:val="000000"/>
          <w:sz w:val="24"/>
          <w:szCs w:val="24"/>
          <w:highlight w:val="none"/>
          <w:lang w:val="en-US" w:eastAsia="zh-CN"/>
        </w:rPr>
        <w:t xml:space="preserve">采购人</w:t>
      </w:r>
      <w:r>
        <w:rPr>
          <w:rFonts w:ascii="宋体" w:hAnsi="宋体" w:eastAsia="宋体" w:cs="Arial"/>
          <w:color w:val="000000"/>
          <w:sz w:val="24"/>
          <w:szCs w:val="24"/>
          <w:highlight w:val="none"/>
        </w:rPr>
        <w:t xml:space="preserve">有权直接从未支付的费用中扣除。未支付的费用不足以弥补</w:t>
      </w:r>
      <w:r>
        <w:rPr>
          <w:rFonts w:hint="eastAsia" w:ascii="宋体" w:hAnsi="宋体" w:eastAsia="宋体"/>
          <w:color w:val="000000"/>
          <w:sz w:val="24"/>
          <w:szCs w:val="24"/>
          <w:highlight w:val="none"/>
          <w:lang w:val="en-US" w:eastAsia="zh-CN"/>
        </w:rPr>
        <w:t xml:space="preserve">采购人</w:t>
      </w:r>
      <w:r>
        <w:rPr>
          <w:rFonts w:ascii="宋体" w:hAnsi="宋体" w:eastAsia="宋体" w:cs="Arial"/>
          <w:color w:val="000000"/>
          <w:sz w:val="24"/>
          <w:szCs w:val="24"/>
          <w:highlight w:val="none"/>
        </w:rPr>
        <w:t xml:space="preserve">的实际损失的，</w:t>
      </w:r>
      <w:r>
        <w:rPr>
          <w:rFonts w:hint="eastAsia" w:ascii="宋体" w:hAnsi="宋体" w:eastAsia="宋体" w:cs="宋体"/>
          <w:color w:val="000000"/>
          <w:sz w:val="24"/>
          <w:szCs w:val="24"/>
          <w:highlight w:val="none"/>
          <w:lang w:val="en-US" w:eastAsia="zh-CN"/>
        </w:rPr>
        <w:t xml:space="preserve">供应商</w:t>
      </w:r>
      <w:r>
        <w:rPr>
          <w:rFonts w:ascii="宋体" w:hAnsi="宋体" w:eastAsia="宋体" w:cs="Arial"/>
          <w:color w:val="000000"/>
          <w:sz w:val="24"/>
          <w:szCs w:val="24"/>
          <w:highlight w:val="none"/>
        </w:rPr>
        <w:t xml:space="preserve">应予以补足。同时，</w:t>
      </w:r>
      <w:r>
        <w:rPr>
          <w:rFonts w:hint="eastAsia" w:ascii="宋体" w:hAnsi="宋体" w:eastAsia="宋体" w:cs="宋体"/>
          <w:color w:val="000000"/>
          <w:sz w:val="24"/>
          <w:szCs w:val="24"/>
          <w:highlight w:val="none"/>
          <w:lang w:val="en-US" w:eastAsia="zh-CN"/>
        </w:rPr>
        <w:t xml:space="preserve">供应商</w:t>
      </w:r>
      <w:r>
        <w:rPr>
          <w:rFonts w:ascii="宋体" w:hAnsi="宋体" w:eastAsia="宋体" w:cs="Arial"/>
          <w:color w:val="000000"/>
          <w:sz w:val="24"/>
          <w:szCs w:val="24"/>
          <w:highlight w:val="none"/>
        </w:rPr>
        <w:t xml:space="preserve">应向</w:t>
      </w:r>
      <w:r>
        <w:rPr>
          <w:rFonts w:hint="eastAsia" w:ascii="宋体" w:hAnsi="宋体" w:eastAsia="宋体"/>
          <w:color w:val="000000"/>
          <w:sz w:val="24"/>
          <w:szCs w:val="24"/>
          <w:highlight w:val="none"/>
          <w:lang w:val="en-US" w:eastAsia="zh-CN"/>
        </w:rPr>
        <w:t xml:space="preserve">采购人</w:t>
      </w:r>
      <w:r>
        <w:rPr>
          <w:rFonts w:ascii="宋体" w:hAnsi="宋体" w:eastAsia="宋体" w:cs="Arial"/>
          <w:color w:val="000000"/>
          <w:sz w:val="24"/>
          <w:szCs w:val="24"/>
          <w:highlight w:val="none"/>
        </w:rPr>
        <w:t xml:space="preserve">支付本合同总金额10%的违约金，并赔偿</w:t>
      </w:r>
      <w:r>
        <w:rPr>
          <w:rFonts w:hint="eastAsia" w:ascii="宋体" w:hAnsi="宋体" w:eastAsia="宋体"/>
          <w:color w:val="000000"/>
          <w:sz w:val="24"/>
          <w:szCs w:val="24"/>
          <w:highlight w:val="none"/>
          <w:lang w:val="en-US" w:eastAsia="zh-CN"/>
        </w:rPr>
        <w:t xml:space="preserve">采购人</w:t>
      </w:r>
      <w:r>
        <w:rPr>
          <w:rFonts w:ascii="宋体" w:hAnsi="宋体" w:eastAsia="宋体" w:cs="Arial"/>
          <w:color w:val="000000"/>
          <w:sz w:val="24"/>
          <w:szCs w:val="24"/>
          <w:highlight w:val="none"/>
        </w:rPr>
        <w:t xml:space="preserve">因此产生的全部损失。</w:t>
      </w:r>
      <w:r>
        <w:rPr>
          <w:rFonts w:ascii="宋体" w:hAnsi="宋体" w:eastAsia="宋体" w:cs="Arial"/>
          <w:color w:val="000000"/>
          <w:sz w:val="24"/>
          <w:szCs w:val="24"/>
          <w:highlight w:val="none"/>
        </w:rPr>
      </w:r>
      <w:r/>
    </w:p>
    <w:p>
      <w:pPr>
        <w:pStyle w:val="943"/>
        <w:ind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rPr>
        <w:t xml:space="preserve">应按招标文件要求及其投标文件中的承诺，进行售后服务工作，并在投标文件中提供承诺函</w:t>
      </w:r>
      <w:r>
        <w:rPr>
          <w:rFonts w:hint="eastAsia" w:ascii="宋体" w:hAnsi="宋体" w:eastAsia="宋体"/>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未提供的视为不实质性响应招标文件要求，其投标文件作无效处理</w:t>
      </w:r>
      <w:r>
        <w:rPr>
          <w:rFonts w:hint="eastAsia" w:ascii="宋体" w:hAnsi="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698"/>
        <w:ind w:firstLine="482"/>
        <w:jc w:val="both"/>
        <w:spacing w:line="360" w:lineRule="auto"/>
        <w:widowControl w:val="off"/>
        <w:rPr>
          <w:rFonts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bidi="zh-TW"/>
        </w:rPr>
        <w:t xml:space="preserve">四</w:t>
      </w:r>
      <w:r>
        <w:rPr>
          <w:rFonts w:hint="eastAsia" w:ascii="宋体" w:hAnsi="宋体" w:eastAsia="宋体" w:cs="宋体"/>
          <w:b/>
          <w:bCs/>
          <w:color w:val="000000"/>
          <w:sz w:val="24"/>
          <w:szCs w:val="24"/>
          <w:highlight w:val="none"/>
          <w:lang w:val="zh-TW" w:eastAsia="zh-TW" w:bidi="zh-TW"/>
        </w:rPr>
        <w:t xml:space="preserve">、综合说明及其它要求：</w:t>
      </w:r>
      <w:r>
        <w:rPr>
          <w:rFonts w:ascii="宋体" w:hAnsi="宋体" w:eastAsia="宋体" w:cs="宋体"/>
          <w:b/>
          <w:bCs/>
          <w:color w:val="000000"/>
          <w:sz w:val="24"/>
          <w:szCs w:val="24"/>
          <w:highlight w:val="none"/>
          <w:lang w:val="zh-TW" w:eastAsia="zh-TW" w:bidi="zh-TW"/>
        </w:rPr>
      </w:r>
      <w:r/>
    </w:p>
    <w:p>
      <w:pPr>
        <w:pStyle w:val="6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1、投标人须对本项目中的所有内容进行投报，同时明确详细的</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方案，否则作无效投标处理。</w:t>
      </w:r>
      <w:r>
        <w:rPr>
          <w:rFonts w:hint="eastAsia" w:ascii="宋体" w:hAnsi="宋体" w:eastAsia="宋体" w:cs="宋体"/>
          <w:color w:val="000000"/>
          <w:sz w:val="24"/>
          <w:szCs w:val="24"/>
          <w:highlight w:val="none"/>
        </w:rPr>
      </w:r>
      <w:r/>
    </w:p>
    <w:p>
      <w:pPr>
        <w:pStyle w:val="698"/>
        <w:ind w:firstLine="420"/>
        <w:spacing w:line="360" w:lineRule="auto"/>
        <w:tabs>
          <w:tab w:val="left" w:pos="753" w:leader="none"/>
        </w:tabs>
        <w:rPr>
          <w:rFonts w:hint="eastAsia" w:ascii="宋体" w:hAnsi="宋体" w:eastAsia="宋体" w:cs="宋体"/>
          <w:b w:val="0"/>
          <w:bCs/>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投标应以人民币报价，投标总价一次报定，</w:t>
      </w:r>
      <w:r>
        <w:rPr>
          <w:rFonts w:hint="eastAsia" w:ascii="宋体" w:hAnsi="宋体" w:eastAsia="宋体" w:cs="宋体"/>
          <w:b w:val="0"/>
          <w:bCs/>
          <w:color w:val="000000"/>
          <w:sz w:val="24"/>
          <w:szCs w:val="24"/>
          <w:highlight w:val="none"/>
        </w:rPr>
        <w:t xml:space="preserve">报价均已</w:t>
      </w:r>
      <w:r>
        <w:rPr>
          <w:rFonts w:hint="eastAsia" w:ascii="宋体" w:hAnsi="宋体" w:eastAsia="宋体" w:cs="宋体"/>
          <w:b w:val="0"/>
          <w:bCs/>
          <w:color w:val="000000"/>
          <w:sz w:val="24"/>
          <w:szCs w:val="24"/>
          <w:highlight w:val="none"/>
          <w:lang w:eastAsia="zh-CN"/>
        </w:rPr>
        <w:t xml:space="preserve">包括设备、安装辅材及其备品备件和专用工具费用、税费、包装、运至最终目的地的运输、保险、现场安装调试、检测验收、</w:t>
      </w:r>
      <w:r>
        <w:rPr>
          <w:rFonts w:hint="eastAsia" w:ascii="宋体" w:hAnsi="宋体" w:eastAsia="宋体"/>
          <w:color w:val="000000"/>
          <w:sz w:val="24"/>
          <w:szCs w:val="24"/>
          <w:highlight w:val="none"/>
          <w:lang w:val="en-US" w:eastAsia="zh-CN"/>
        </w:rPr>
        <w:t xml:space="preserve">采购人</w:t>
      </w:r>
      <w:r>
        <w:rPr>
          <w:rFonts w:hint="eastAsia" w:ascii="宋体" w:hAnsi="宋体" w:eastAsia="宋体" w:cs="宋体"/>
          <w:b w:val="0"/>
          <w:bCs/>
          <w:color w:val="000000"/>
          <w:sz w:val="24"/>
          <w:szCs w:val="24"/>
          <w:highlight w:val="none"/>
          <w:lang w:eastAsia="zh-CN"/>
        </w:rPr>
        <w:t xml:space="preserve">指定部门的检测费、技术支持与培训、质保和售后服务及相关劳务支出、代理服务费等履行本合同所发生的全部费用以及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lang w:eastAsia="zh-CN"/>
        </w:rPr>
        <w:t xml:space="preserve">的企业利润、税金和政策性文件规定及合同包含的所有风险、责任等各项应有费用。</w:t>
      </w:r>
      <w:r>
        <w:rPr>
          <w:rFonts w:hint="eastAsia" w:ascii="宋体" w:hAnsi="宋体" w:eastAsia="宋体" w:cs="宋体"/>
          <w:b w:val="0"/>
          <w:bCs/>
          <w:color w:val="000000"/>
          <w:sz w:val="24"/>
          <w:szCs w:val="24"/>
          <w:highlight w:val="none"/>
          <w:lang w:eastAsia="zh-CN"/>
        </w:rPr>
      </w:r>
      <w:r/>
    </w:p>
    <w:p>
      <w:pPr>
        <w:pStyle w:val="698"/>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将根据招标文件、投标文件的相关约定，承担合同责任，履行合同义务。</w:t>
      </w:r>
      <w:r>
        <w:rPr>
          <w:rFonts w:hint="eastAsia" w:ascii="宋体" w:hAnsi="宋体" w:eastAsia="宋体" w:cs="宋体"/>
          <w:color w:val="000000"/>
          <w:sz w:val="24"/>
          <w:szCs w:val="24"/>
          <w:highlight w:val="none"/>
        </w:rPr>
      </w:r>
      <w:r/>
    </w:p>
    <w:p>
      <w:pPr>
        <w:pStyle w:val="698"/>
        <w:ind w:firstLine="420"/>
        <w:spacing w:line="360" w:lineRule="auto"/>
        <w:rPr>
          <w:rFonts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val="en-US" w:eastAsia="zh-CN" w:bidi="zh-TW"/>
        </w:rPr>
        <w:t xml:space="preserve">五</w:t>
      </w:r>
      <w:r>
        <w:rPr>
          <w:rFonts w:hint="eastAsia" w:ascii="宋体" w:hAnsi="宋体" w:eastAsia="宋体" w:cs="宋体"/>
          <w:b/>
          <w:bCs/>
          <w:color w:val="000000"/>
          <w:sz w:val="24"/>
          <w:szCs w:val="24"/>
          <w:highlight w:val="none"/>
          <w:lang w:bidi="zh-TW"/>
        </w:rPr>
        <w:t xml:space="preserve">、</w:t>
      </w:r>
      <w:r>
        <w:rPr>
          <w:rFonts w:hint="eastAsia" w:ascii="宋体" w:hAnsi="宋体" w:eastAsia="宋体" w:cs="宋体"/>
          <w:b/>
          <w:bCs/>
          <w:color w:val="000000"/>
          <w:sz w:val="24"/>
          <w:szCs w:val="24"/>
          <w:highlight w:val="none"/>
          <w:lang w:val="zh-TW" w:eastAsia="zh-TW" w:bidi="zh-TW"/>
        </w:rPr>
        <w:t xml:space="preserve">凡涉及招标文件的补充说明和修改，均以苏州政府采购网、江苏省政府采购网</w:t>
      </w:r>
      <w:r>
        <w:rPr>
          <w:rFonts w:hint="eastAsia" w:ascii="宋体" w:hAnsi="宋体" w:eastAsia="宋体" w:cs="宋体"/>
          <w:b/>
          <w:bCs/>
          <w:color w:val="000000"/>
          <w:sz w:val="24"/>
          <w:szCs w:val="24"/>
          <w:highlight w:val="none"/>
          <w:lang w:val="zh-TW" w:eastAsia="zh-CN" w:bidi="zh-TW"/>
        </w:rPr>
        <w:t xml:space="preserve">、</w:t>
      </w:r>
      <w:r>
        <w:rPr>
          <w:rFonts w:hint="eastAsia" w:ascii="宋体" w:hAnsi="宋体" w:eastAsia="宋体" w:cs="宋体"/>
          <w:b/>
          <w:bCs/>
          <w:color w:val="000000"/>
          <w:sz w:val="24"/>
          <w:szCs w:val="24"/>
          <w:highlight w:val="none"/>
          <w:lang w:val="en-US" w:eastAsia="zh-CN" w:bidi="zh-TW"/>
        </w:rPr>
        <w:t xml:space="preserve">中国</w:t>
      </w:r>
      <w:r>
        <w:rPr>
          <w:rFonts w:hint="eastAsia" w:ascii="宋体" w:hAnsi="宋体" w:eastAsia="宋体" w:cs="宋体"/>
          <w:b/>
          <w:bCs/>
          <w:color w:val="000000"/>
          <w:sz w:val="24"/>
          <w:szCs w:val="24"/>
          <w:highlight w:val="none"/>
          <w:lang w:val="zh-TW" w:eastAsia="zh-TW" w:bidi="zh-TW"/>
        </w:rPr>
        <w:t xml:space="preserve">政府采购网</w:t>
      </w:r>
      <w:r>
        <w:rPr>
          <w:rFonts w:hint="eastAsia" w:ascii="宋体" w:hAnsi="宋体" w:eastAsia="宋体" w:cs="宋体"/>
          <w:b/>
          <w:bCs/>
          <w:color w:val="000000"/>
          <w:sz w:val="24"/>
          <w:szCs w:val="24"/>
          <w:highlight w:val="none"/>
          <w:lang w:val="zh-TW" w:eastAsia="zh-TW" w:bidi="zh-TW"/>
        </w:rPr>
        <w:t xml:space="preserve">发布的内容为准。</w:t>
      </w:r>
      <w:r>
        <w:rPr>
          <w:rFonts w:ascii="宋体" w:hAnsi="宋体" w:eastAsia="宋体" w:cs="宋体"/>
          <w:b/>
          <w:bCs/>
          <w:color w:val="000000"/>
          <w:sz w:val="24"/>
          <w:szCs w:val="24"/>
          <w:highlight w:val="none"/>
          <w:lang w:val="zh-TW" w:eastAsia="zh-TW" w:bidi="zh-TW"/>
        </w:rPr>
      </w:r>
      <w: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r>
        <w:rPr>
          <w:rFonts w:ascii="宋体" w:hAnsi="宋体" w:eastAsia="宋体" w:cs="宋体"/>
          <w:b/>
          <w:bCs/>
          <w:color w:val="000000"/>
          <w:sz w:val="24"/>
          <w:szCs w:val="24"/>
          <w:highlight w:val="none"/>
          <w:lang w:val="zh-TW" w:eastAsia="zh-TW" w:bidi="zh-TW"/>
        </w:rPr>
      </w:r>
    </w:p>
    <w:p>
      <w:pPr>
        <w:pStyle w:val="698"/>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t xml:space="preserve">第五章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合同主要条款</w:t>
      </w:r>
      <w:r>
        <w:rPr>
          <w:rFonts w:ascii="宋体" w:hAnsi="宋体" w:eastAsia="宋体" w:cs="黑体"/>
          <w:b/>
          <w:bCs/>
          <w:color w:val="000000"/>
          <w:sz w:val="32"/>
          <w:szCs w:val="32"/>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lang w:eastAsia="zh-CN"/>
        </w:rPr>
      </w:pPr>
      <w:r/>
      <w:bookmarkStart w:id="10" w:name="_Toc3995"/>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浒墅关智慧垃圾分类信息化采购项目</w:t>
      </w:r>
      <w:r>
        <w:rPr>
          <w:rFonts w:hint="eastAsia" w:ascii="宋体" w:hAnsi="宋体" w:eastAsia="宋体" w:cs="宋体"/>
          <w:color w:val="000000"/>
          <w:sz w:val="24"/>
          <w:szCs w:val="24"/>
          <w:highlight w:val="none"/>
          <w:lang w:eastAsia="zh-CN"/>
        </w:rPr>
      </w:r>
      <w:r/>
    </w:p>
    <w:p>
      <w:pPr>
        <w:pStyle w:val="698"/>
        <w:ind w:left="0" w:firstLine="426"/>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98"/>
        <w:ind w:left="0" w:firstLine="426"/>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根据《中华人民共和国民法典》等相关法律法规的规定，甲乙双方就此次成交的【</w:t>
      </w:r>
      <w:r>
        <w:rPr>
          <w:rFonts w:hint="eastAsia" w:ascii="宋体" w:hAnsi="宋体" w:eastAsia="宋体" w:cs="宋体"/>
          <w:color w:val="000000"/>
          <w:sz w:val="24"/>
          <w:szCs w:val="24"/>
          <w:highlight w:val="none"/>
          <w:lang w:eastAsia="zh-CN"/>
        </w:rPr>
        <w:t xml:space="preserve">浒墅关智慧垃圾分类信息化采购项目</w:t>
      </w:r>
      <w:r>
        <w:rPr>
          <w:rFonts w:hint="eastAsia" w:ascii="宋体" w:hAnsi="宋体" w:eastAsia="宋体" w:cs="宋体"/>
          <w:color w:val="000000"/>
          <w:sz w:val="24"/>
          <w:szCs w:val="24"/>
          <w:highlight w:val="none"/>
        </w:rPr>
        <w:t xml:space="preserve">】项目（以下简称“本项目”）购销事宜，签订本合同书，以兹共同遵守。</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（1）本合同书及本合同书签署后各方以书面形式确认的补充协议等；</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（3）采购文件；</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（4）投标文件；</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（5）乙方在招标过程中所作的其它承诺、声明、书面澄清等。</w:t>
      </w:r>
      <w:r>
        <w:rPr>
          <w:rFonts w:hint="eastAsia" w:ascii="宋体" w:hAnsi="宋体" w:eastAsia="宋体" w:cs="宋体"/>
          <w:color w:val="000000"/>
          <w:sz w:val="24"/>
          <w:szCs w:val="24"/>
          <w:highlight w:val="none"/>
        </w:rPr>
      </w:r>
      <w:r/>
    </w:p>
    <w:p>
      <w:pPr>
        <w:pStyle w:val="698"/>
        <w:ind w:left="0" w:firstLine="426"/>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以上文件视为是能互相说明的，如上述文件之间存在冲突或不一致的，以排列序位在前的文件为准，同一序位的文件以形成时间在后的为准。</w:t>
      </w:r>
      <w:r>
        <w:rPr>
          <w:rFonts w:hint="eastAsia" w:ascii="宋体" w:hAnsi="宋体" w:eastAsia="宋体" w:cs="宋体"/>
          <w:b/>
          <w:bCs/>
          <w:color w:val="000000"/>
          <w:sz w:val="24"/>
          <w:szCs w:val="24"/>
          <w:highlight w:val="none"/>
        </w:rPr>
      </w:r>
      <w:r/>
    </w:p>
    <w:p>
      <w:pPr>
        <w:pStyle w:val="698"/>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二、合同内容</w:t>
      </w:r>
      <w:r>
        <w:rPr>
          <w:rFonts w:hint="eastAsia" w:ascii="宋体" w:hAnsi="宋体" w:eastAsia="宋体" w:cs="宋体"/>
          <w:color w:val="000000"/>
          <w:sz w:val="24"/>
          <w:szCs w:val="24"/>
          <w:highlight w:val="none"/>
        </w:rPr>
      </w:r>
      <w:r/>
    </w:p>
    <w:p>
      <w:pPr>
        <w:pStyle w:val="698"/>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（一）项目内容：乙方负责完成甲方的“</w:t>
      </w:r>
      <w:r>
        <w:rPr>
          <w:rFonts w:hint="eastAsia" w:ascii="宋体" w:hAnsi="宋体" w:eastAsia="宋体" w:cs="宋体"/>
          <w:color w:val="000000"/>
          <w:sz w:val="24"/>
          <w:szCs w:val="24"/>
          <w:highlight w:val="none"/>
          <w:lang w:eastAsia="zh-CN"/>
        </w:rPr>
        <w:t xml:space="preserve">浒墅关智慧垃圾分类信息化采购项目</w:t>
      </w:r>
      <w:r>
        <w:rPr>
          <w:rFonts w:hint="eastAsia" w:ascii="宋体" w:hAnsi="宋体" w:eastAsia="宋体" w:cs="宋体"/>
          <w:color w:val="000000"/>
          <w:sz w:val="24"/>
          <w:szCs w:val="24"/>
          <w:highlight w:val="none"/>
        </w:rPr>
        <w:t xml:space="preserve">”，具体内容见下表：</w:t>
      </w:r>
      <w:r>
        <w:rPr>
          <w:rFonts w:hint="eastAsia" w:ascii="宋体" w:hAnsi="宋体" w:eastAsia="宋体" w:cs="宋体"/>
          <w:color w:val="000000"/>
          <w:sz w:val="24"/>
          <w:szCs w:val="24"/>
          <w:highlight w:val="none"/>
        </w:rPr>
      </w:r>
      <w:r/>
    </w:p>
    <w:tbl>
      <w:tblPr>
        <w:tblW w:w="4998" w:type="pct"/>
        <w:jc w:val="center"/>
        <w:tblInd w:w="-10" w:type="dxa"/>
        <w:tblLayout w:type="autofit"/>
        <w:tblCellMar>
          <w:left w:w="10" w:type="dxa"/>
          <w:top w:w="10" w:type="dxa"/>
          <w:right w:w="10" w:type="dxa"/>
          <w:bottom w:w="0" w:type="dxa"/>
        </w:tblCellMar>
        <w:tblLook w:val="04A0" w:firstRow="1" w:lastRow="0" w:firstColumn="1" w:lastColumn="0" w:noHBand="0" w:noVBand="1"/>
      </w:tblPr>
      <w:tblGrid>
        <w:gridCol w:w="674"/>
        <w:gridCol w:w="1324"/>
        <w:gridCol w:w="2318"/>
        <w:gridCol w:w="675"/>
        <w:gridCol w:w="675"/>
        <w:gridCol w:w="1651"/>
        <w:gridCol w:w="1651"/>
        <w:gridCol w:w="673"/>
      </w:tblGrid>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87"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2" w:type="dxa"/>
            <w:vAlign w:val="center"/>
            <w:textDirection w:val="lrTb"/>
            <w:noWrap w:val="false"/>
          </w:tcPr>
          <w:p>
            <w:pPr>
              <w:pStyle w:val="698"/>
              <w:ind w:left="0" w:firstLine="42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品牌、型号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87" w:type="dxa"/>
            <w:vAlign w:val="center"/>
            <w:textDirection w:val="lrTb"/>
            <w:noWrap w:val="false"/>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2" w:type="dxa"/>
            <w:vAlign w:val="center"/>
            <w:textDirection w:val="lrTb"/>
            <w:noWrap w:val="false"/>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87" w:type="dxa"/>
            <w:vAlign w:val="center"/>
            <w:textDirection w:val="lrTb"/>
            <w:noWrap w:val="false"/>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2" w:type="dxa"/>
            <w:vAlign w:val="center"/>
            <w:textDirection w:val="lrTb"/>
            <w:noWrap w:val="false"/>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98"/>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41" w:type="dxa"/>
            <w:vAlign w:val="center"/>
            <w:textDirection w:val="lrTb"/>
            <w:noWrap/>
          </w:tcPr>
          <w:p>
            <w:pPr>
              <w:pStyle w:val="698"/>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总价（含税）：</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tc>
      </w:tr>
    </w:tbl>
    <w:p>
      <w:pPr>
        <w:pStyle w:val="698"/>
        <w:numPr>
          <w:ilvl w:val="0"/>
          <w:numId w:val="2"/>
        </w:numPr>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交付期限：自本合同签订生效之日起【  】日内，乙方应完成本项目全部采购内容的安装、调试并交付甲方正常使用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具体时间以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要求为准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（三）交付地点：甲方指定地点。</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（四）质保期：不少于【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rPr>
        <w:t xml:space="preserve">，清单中约定的设备质保期长于本条约定的，以质保期较长者为准。所有设备质保期均自甲方最终验收通过之日起开始计算。</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三、价格与支付</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（一）本合同金额按此次中标（成交）价格执行，本合同总金额（含税）为人民币（大写）（¥：  ）。上述合同总金额已包括设备</w:t>
      </w:r>
      <w:r>
        <w:rPr>
          <w:rFonts w:hint="eastAsia" w:ascii="宋体" w:hAnsi="宋体" w:eastAsia="宋体" w:cs="宋体"/>
          <w:color w:val="000000"/>
          <w:sz w:val="24"/>
          <w:szCs w:val="24"/>
          <w:highlight w:val="none"/>
          <w:lang w:val="zh-CN"/>
        </w:rPr>
        <w:t xml:space="preserve">、安装辅材及其备品备件和专用工具费用、税费、包装、运至最终目的地的运输、保险、现场安装调试、检测验收、</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指定部门的检测费、技术支持与培训、质保和售后服务及相关劳务支出等</w:t>
      </w:r>
      <w:r>
        <w:rPr>
          <w:rFonts w:hint="eastAsia" w:ascii="宋体" w:hAnsi="宋体" w:eastAsia="宋体" w:cs="宋体"/>
          <w:color w:val="000000"/>
          <w:sz w:val="24"/>
          <w:szCs w:val="24"/>
          <w:highlight w:val="none"/>
        </w:rPr>
        <w:t xml:space="preserve">履行本合同</w:t>
      </w:r>
      <w:r>
        <w:rPr>
          <w:rFonts w:hint="eastAsia" w:ascii="宋体" w:hAnsi="宋体" w:eastAsia="宋体" w:cs="宋体"/>
          <w:color w:val="000000"/>
          <w:sz w:val="24"/>
          <w:szCs w:val="24"/>
          <w:highlight w:val="none"/>
          <w:lang w:val="zh-CN"/>
        </w:rPr>
        <w:t xml:space="preserve">所发生的全部费用以及</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zh-CN"/>
        </w:rPr>
        <w:t xml:space="preserve">的企业利润、税金和政策性文件规定及合同包含的所有风险、责任等各项应有费用</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除非本合同另有约定或经甲乙双方协商同意，乙方不得再要求追加任何其他费用。同时，除本合同另有约定外，本合同价格在本合同实施期间不因市场变化因素而变动。</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（二）合同价款的支付及付款方式：</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1.付款方式：</w:t>
      </w:r>
      <w:r>
        <w:rPr>
          <w:rFonts w:hint="eastAsia" w:ascii="宋体" w:hAnsi="宋体" w:eastAsia="宋体" w:cs="宋体"/>
          <w:bCs/>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本合同签订后30日内，甲方向</w:t>
      </w:r>
      <w:r>
        <w:rPr>
          <w:rFonts w:hint="eastAsia" w:ascii="宋体" w:hAnsi="宋体" w:eastAsia="宋体" w:cs="宋体"/>
          <w:color w:val="000000"/>
          <w:sz w:val="24"/>
          <w:szCs w:val="24"/>
          <w:highlight w:val="none"/>
        </w:rPr>
        <w:t xml:space="preserve">乙</w:t>
      </w:r>
      <w:r>
        <w:rPr>
          <w:rFonts w:hint="eastAsia" w:ascii="宋体" w:hAnsi="宋体" w:eastAsia="宋体" w:cs="宋体"/>
          <w:color w:val="000000"/>
          <w:sz w:val="24"/>
          <w:szCs w:val="24"/>
          <w:highlight w:val="none"/>
          <w:lang w:val="zh-CN"/>
        </w:rPr>
        <w:t xml:space="preserve">方支付本合同总金额的30%作为预付款；在签订合同时，乙方明确表示无需预付款或者主动要求降低预付款比例的，甲方可不适用</w:t>
      </w:r>
      <w:r>
        <w:rPr>
          <w:rFonts w:hint="eastAsia" w:ascii="宋体" w:hAnsi="宋体" w:eastAsia="宋体" w:cs="宋体"/>
          <w:color w:val="000000"/>
          <w:sz w:val="24"/>
          <w:szCs w:val="24"/>
          <w:highlight w:val="none"/>
          <w:lang w:val="en-US" w:eastAsia="zh-CN"/>
        </w:rPr>
        <w:t xml:space="preserve">关于</w:t>
      </w:r>
      <w:r>
        <w:rPr>
          <w:rFonts w:hint="eastAsia" w:ascii="宋体" w:hAnsi="宋体" w:eastAsia="宋体" w:cs="宋体"/>
          <w:color w:val="000000"/>
          <w:sz w:val="24"/>
          <w:szCs w:val="24"/>
          <w:highlight w:val="none"/>
          <w:lang w:val="zh-CN"/>
        </w:rPr>
        <w:t xml:space="preserve">支付预付款30%</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规定。</w:t>
      </w:r>
      <w:r>
        <w:rPr>
          <w:rFonts w:hint="eastAsia" w:ascii="宋体" w:hAnsi="宋体" w:eastAsia="宋体" w:cs="宋体"/>
          <w:color w:val="000000"/>
          <w:sz w:val="24"/>
          <w:szCs w:val="24"/>
          <w:highlight w:val="none"/>
          <w:lang w:val="zh-CN"/>
        </w:rPr>
      </w:r>
      <w:r/>
    </w:p>
    <w:p>
      <w:pPr>
        <w:pStyle w:val="698"/>
        <w:ind w:left="0" w:firstLine="31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乙方完成全部合同标的的运输、搬运、安装、调试等工作，通过甲方组织的履约验收后，甲方向乙方支付合同金额的20%；</w:t>
      </w:r>
      <w:r>
        <w:rPr>
          <w:rFonts w:hint="eastAsia" w:ascii="宋体" w:hAnsi="宋体" w:eastAsia="宋体" w:cs="宋体"/>
          <w:color w:val="000000"/>
          <w:sz w:val="24"/>
          <w:szCs w:val="24"/>
          <w:highlight w:val="none"/>
        </w:rPr>
      </w:r>
      <w:r/>
    </w:p>
    <w:p>
      <w:pPr>
        <w:pStyle w:val="698"/>
        <w:ind w:left="0" w:firstLine="31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项目审计完成后，甲方向乙方支付至审计金额的9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%，尾款在免费质保期满后结清。</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2.乙方提请甲方付款前，应提供以下资料：</w:t>
      </w:r>
      <w:r>
        <w:rPr>
          <w:rFonts w:hint="eastAsia" w:ascii="宋体" w:hAnsi="宋体" w:eastAsia="宋体" w:cs="宋体"/>
          <w:color w:val="000000"/>
          <w:sz w:val="24"/>
          <w:szCs w:val="24"/>
          <w:highlight w:val="none"/>
          <w:lang w:val="en-US" w:eastAsia="zh-CN"/>
        </w:rPr>
      </w:r>
      <w:r/>
    </w:p>
    <w:p>
      <w:pPr>
        <w:pStyle w:val="698"/>
        <w:ind w:left="0" w:firstLine="319"/>
        <w:spacing w:line="360" w:lineRule="auto"/>
        <w:widowControl w:val="off"/>
        <w:tabs>
          <w:tab w:val="left" w:pos="70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（1）合法有效且符合甲方要求的发票；</w:t>
      </w:r>
      <w:r>
        <w:rPr>
          <w:rFonts w:hint="eastAsia" w:ascii="宋体" w:hAnsi="宋体" w:eastAsia="宋体" w:cs="宋体"/>
          <w:color w:val="000000"/>
          <w:sz w:val="24"/>
          <w:szCs w:val="24"/>
          <w:highlight w:val="none"/>
        </w:rPr>
      </w:r>
      <w:r/>
    </w:p>
    <w:p>
      <w:pPr>
        <w:pStyle w:val="698"/>
        <w:ind w:left="0" w:firstLine="319"/>
        <w:spacing w:line="360" w:lineRule="auto"/>
        <w:widowControl w:val="off"/>
        <w:tabs>
          <w:tab w:val="left" w:pos="70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（2）随设备附带的所有有关资料（如质量保证书等）；</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（3）由甲乙双方签章的《政府采购合同履行验收报告》（《政府采购合同履行验收报告》于本项目经甲方终验后提供）。</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若乙方未按要求提供上述资料导致甲方迟延付款的，甲方不承担逾期付款的违约责任。</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3.付款方式：本次货款以数字人民币形式或银行转账支付。</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乙方账户信息如下：</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数字人民币钱包ID：</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bCs/>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四、保密条款</w:t>
      </w:r>
      <w:r>
        <w:rPr>
          <w:rFonts w:hint="eastAsia" w:ascii="宋体" w:hAnsi="宋体" w:eastAsia="宋体" w:cs="宋体"/>
          <w:b/>
          <w:bCs/>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合作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3.乙方服务人员等凡是有机会接触到保密信息的主体，均负有前述保密义务，乙方应当采取充足措施保障前述主体履行保密义务，否则视为乙方违反保密义务。</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5.无论本合同是否变更、解除或终止，合同的保密条款不受其限制而继续有效，乙方都应继续承担保密条款约定的保密义务。保密义务的期限为永久。</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五、质量保证</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应保证其向甲方提供的设备是全新的、未使用过的，并且不是长期积压的库存商品，完全符合合同规定的质量、规格和性能的要求。乙方应保证其提供的设备在正确安装、正常使用和保养条件下，在其标称的使用寿命期内应具有良好的性能。在乙方承诺的质量保证期限内，乙方应对由于设计、工艺或材料的缺陷及伴随服务等非甲方原因而造成的任何不足或故障负责。质保期内设备出现质量问题的，乙方应负责包修、包退、包换，由此产生的一切费用均由乙方承担。</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应按照本合同约定的质量标准提供合格的设备，如未约定质量标准的，应按照强制性国家标准履行;没有强制性国家标准的,按照推荐性国家标准履行;没有推荐性国家标准的,按照行业标准履行;没有国家标准、行业标准的,按照通常标准或者符合合同目的的特定标准履行；同时存在不同标准的，以最高标准为准。</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通知乙方并提出索赔。</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保证对其提供的设备享有合法的权利和其他必要的授权，在其提供的设备、系统上不存在任何未曾向甲方书面披露的担保物权或其他权利负担，如抵押权、质押权、留置权、查封、转让限制等，不存在任何知识产权侵权行为。乙方应保证甲方在使用本合同项下设备、系统或其任何一部分时不受第三方提出侵犯其专利权、版权、商标权或其他权利主张。如甲方在使用乙方提供的设备构成上述侵权的，乙方应承担全部责任，并赔偿由此给甲方造成的一切直接、间接损失。</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六、包装</w:t>
      </w:r>
      <w:r>
        <w:rPr>
          <w:rFonts w:hint="eastAsia" w:ascii="宋体" w:hAnsi="宋体" w:eastAsia="宋体" w:cs="宋体"/>
          <w:b/>
          <w:bCs/>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应当按照约定的包装方式交付设备。对包装方式没有约定或约定不明确的，应当按照双方补充协议约定的方式包装，或按照通用的方式包装；没有补充协议或通用方式的，应当采取足以保护设备且有利于节约资源、保护生态环境的包装方式。因乙方未采取合理包装方式致使设备损毁、灭失或无法正常使用，给甲方造成损失的，乙方应赔偿甲方一切直接、间接损失。</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（二）乙方应保证其提供的设备是原包装未拆封的商品，在交付甲方验收前不得拆箱。</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七、设备的交付</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（一）本项目设备的所有权自设备由乙方交付甲方时转移。</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（二）乙方应当按照本合同约定的期限和约定的地点交付设备。</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（三）乙方应当按照本合同约定或者交易习惯向甲方交付提取设备单证以外的有关单证和资料。</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（四）本合同中所称“交付”，除根据上下文明显指设备到货时的交货外，均指完成安装调试后的交付。</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八、伴随服务</w:t>
      </w:r>
      <w:r>
        <w:rPr>
          <w:rFonts w:hint="eastAsia" w:ascii="宋体" w:hAnsi="宋体" w:eastAsia="宋体" w:cs="宋体"/>
          <w:b/>
          <w:bCs/>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（一）乙方除应按照本合同约定及甲方的要求履行按期按量交付合格设备的义务外，还应当提供下列服务：</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1.设备的现场安装、调试、监督等（如须安装、调试的）；</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2.提供设备组装和一般维修所必需的工具；</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3.在本合同规定的期限内对所提供的设备实行运行监督、维修服务的前提条件是该服务并不能免除乙方在质量保证期内应承担的义务；</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4.对甲方技术人员进行技术指导或培训服务。</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（二）除本合同另有规定外，伴随服务的费用均已包含在本合同总价款中，甲方不再另行向乙方支付任何其他费用。</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九、设备的检验和验收</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付本合同设备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验收期限自所有安装完成之日起三十个工作日内。特殊情况需延长的，双方应特别约定。</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如双方对验收结果有分歧，则以苏州市技术监督局的检验结果为准，检验费由有过失的一方支付。</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由于甲方自身能力、检验方法和检验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项目验收以甲方要求的方式、程序、标准为准，乙方应当配合甲方的验收要求，因乙方不配合甲方验收要求导致验收无法进行或验收不通过的，乙方自行承担后果。乙方不可撤销地承诺认可甲方的验收结果及审计部门的审计程序和结果。</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）项目终验方案</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项目验收分为外观检查、功能检验、资料审查三部分，任何一部分的验收不通过均属于验收不合格。</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外观检查根据各系统的设计文件及相关规范为依据，以现场查看、复核安装记录及隐蔽施工记录的方式进行；</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功能检验根据各系统的设计文件、用户需求及相关规范为依据，以现场测试、询问、复核调试记录的方式进行；</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资料审查以现场查阅项目资料的方式进行；</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若项目验收过程中产生争议项，可选择第三方检测机构对争议项进行检测，如果检测结果证明存在质量问题或不符合要求，检测认定为乙方责任，解决争议项问题产生的费用由乙方承担。</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1.外观检查</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（1）设备型号、数量与合同相关文件相符；</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（2）安装位置与设计文件相符；</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（3）安装规范、牢固、整洁、美观，便于维修维护；</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（4）设备接地保护应牢固，接地电阻应符合设备要求；</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（5）设备连接线应清晰明确，接触良好，无松脱状态；</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（6）线缆应绑扎整齐，有明显编号、标识规范、易查看并牢靠；</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（7）设备通电可正常启动；</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）监控摄像机：</w:t>
      </w:r>
      <w:r>
        <w:rPr>
          <w:rFonts w:hint="eastAsia" w:ascii="宋体" w:hAnsi="宋体" w:eastAsia="宋体" w:cs="宋体"/>
          <w:color w:val="000000"/>
          <w:sz w:val="24"/>
          <w:szCs w:val="24"/>
          <w:highlight w:val="none"/>
        </w:rPr>
      </w:r>
      <w:r/>
    </w:p>
    <w:p>
      <w:pPr>
        <w:pStyle w:val="698"/>
        <w:ind w:left="0"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1)尽量避免强光直射、逆光安装；</w:t>
      </w:r>
      <w:r>
        <w:rPr>
          <w:rFonts w:hint="eastAsia" w:ascii="宋体" w:hAnsi="宋体" w:eastAsia="宋体" w:cs="宋体"/>
          <w:color w:val="000000"/>
          <w:sz w:val="24"/>
          <w:szCs w:val="24"/>
          <w:highlight w:val="none"/>
        </w:rPr>
      </w:r>
      <w:r/>
    </w:p>
    <w:p>
      <w:pPr>
        <w:pStyle w:val="698"/>
        <w:ind w:left="0"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2)在光源不足的场景应有辅助光源等；</w:t>
      </w:r>
      <w:r>
        <w:rPr>
          <w:rFonts w:hint="eastAsia" w:ascii="宋体" w:hAnsi="宋体" w:eastAsia="宋体" w:cs="宋体"/>
          <w:color w:val="000000"/>
          <w:sz w:val="24"/>
          <w:szCs w:val="24"/>
          <w:highlight w:val="none"/>
        </w:rPr>
      </w:r>
      <w:r/>
    </w:p>
    <w:p>
      <w:pPr>
        <w:pStyle w:val="698"/>
        <w:ind w:left="0"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3)安装在室外环境的设备应做好符合要求的防雷、防水措施；</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2.功能检验</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）监控摄像机及监控系统：</w:t>
      </w:r>
      <w:r>
        <w:rPr>
          <w:rFonts w:hint="eastAsia" w:ascii="宋体" w:hAnsi="宋体" w:eastAsia="宋体" w:cs="宋体"/>
          <w:color w:val="000000"/>
          <w:sz w:val="24"/>
          <w:szCs w:val="24"/>
          <w:highlight w:val="none"/>
        </w:rPr>
      </w:r>
      <w:r/>
    </w:p>
    <w:p>
      <w:pPr>
        <w:pStyle w:val="698"/>
        <w:ind w:left="0"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1)图像质量清晰、稳定，无“雪花干扰”、波浪状条纹、上下移动的水平横条、不规则闪烁等；</w:t>
      </w:r>
      <w:r>
        <w:rPr>
          <w:rFonts w:hint="eastAsia" w:ascii="宋体" w:hAnsi="宋体" w:eastAsia="宋体" w:cs="宋体"/>
          <w:color w:val="000000"/>
          <w:sz w:val="24"/>
          <w:szCs w:val="24"/>
          <w:highlight w:val="none"/>
        </w:rPr>
      </w:r>
      <w:r/>
    </w:p>
    <w:p>
      <w:pPr>
        <w:pStyle w:val="698"/>
        <w:ind w:left="0"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2)网络信号正常，能实时回传视频监控画面，不出现延时，如画面卡、闪烁等；</w:t>
      </w:r>
      <w:r>
        <w:rPr>
          <w:rFonts w:hint="eastAsia" w:ascii="宋体" w:hAnsi="宋体" w:eastAsia="宋体" w:cs="宋体"/>
          <w:color w:val="000000"/>
          <w:sz w:val="24"/>
          <w:szCs w:val="24"/>
          <w:highlight w:val="none"/>
        </w:rPr>
      </w:r>
      <w:r/>
    </w:p>
    <w:p>
      <w:pPr>
        <w:pStyle w:val="698"/>
        <w:ind w:left="0"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3)调阅录像回放，抽查夜间录像资料；</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3.资料审查（包括但不限于以下材料）</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（1）资料清单</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（2）项目合同书</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（3）项目设备/材料报审表</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（4）项目变更资料(或项目洽商资料)</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（5）系统调试报告(含各子系统调试及系统联调记录)</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（6）项目质量检验、验收资料</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）使用/维护手册</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）技术培训文件</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）竣工图纸</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）项目竣工报告</w:t>
      </w:r>
      <w:r>
        <w:rPr>
          <w:rFonts w:hint="eastAsia" w:ascii="宋体" w:hAnsi="宋体" w:eastAsia="宋体" w:cs="宋体"/>
          <w:color w:val="000000"/>
          <w:sz w:val="24"/>
          <w:szCs w:val="24"/>
          <w:highlight w:val="none"/>
        </w:rPr>
      </w:r>
      <w:r/>
    </w:p>
    <w:p>
      <w:pPr>
        <w:pStyle w:val="698"/>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实施变更</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项目实施过程中，如因现场基础环境原因导致无法按照设计方案、实施工艺、技术指标要求进行实施，需要对相应设计方案、实施工艺、技术指标进行修改的，应当向甲方提交书面的变更请求，并在取得甲方同意后，方可进行相应变更，项目验收时，以甲方签字确认的书面变更请求作为验收标准变更依据。</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十、设备提出异议的时间和办法</w:t>
      </w:r>
      <w:r>
        <w:rPr>
          <w:rFonts w:hint="eastAsia" w:ascii="宋体" w:hAnsi="宋体" w:eastAsia="宋体" w:cs="宋体"/>
          <w:b/>
          <w:bCs/>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在验收过程中，应当于双方约定的验收期间内将设备的数量或质量不符合约定的情况及处理方式以书面形式通知乙方。若设备存在甲方无法检验的质量问题，则对该设备的检验不受验收期间的限制，但甲方应在发现质量问题后及时提出。</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如果甲方在终验完成后【30】日内既不出具验收合格证明又未提出书面异议的，乙方可在上述期满后【15】日内对甲方进行催告，经乙方催告后甲方在【30】日内仍未出具验收合格证明或提出书面异议的，视为验收合格。</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（三）甲方在验收过程中向乙方发出异议通知的，乙方应自收到甲方书面异议通知后24小时内将处理意见与办法书面答复甲方，并于3日内负责解决问题，否则将视为乙方默认甲方提出的异议和处理意见。</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十一、安全责任</w:t>
      </w:r>
      <w:r>
        <w:rPr>
          <w:rFonts w:hint="eastAsia" w:ascii="宋体" w:hAnsi="宋体" w:eastAsia="宋体" w:cs="宋体"/>
          <w:b/>
          <w:bCs/>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1.在项目实施期间，乙方应当配备必要的安全生产管理人员，并对项目实施人员强化安全教育和安全管理，如施工过程中存在安全风险的，乙方应当为实施人员购买必要的人身安全保险。</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项目实施人员在实施现场受到的一切人身伤害，一律由乙方自行承担，甲方不对乙方项目实施人员负任何安全责任。乙方项目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十二、售后服务</w:t>
      </w:r>
      <w:r>
        <w:rPr>
          <w:rFonts w:hint="eastAsia" w:ascii="宋体" w:hAnsi="宋体" w:eastAsia="宋体" w:cs="宋体"/>
          <w:b/>
          <w:bCs/>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在质量保证期内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应无偿提供系统维护、维修服务。</w:t>
      </w:r>
      <w:r>
        <w:rPr>
          <w:rFonts w:hint="eastAsia" w:ascii="宋体" w:hAnsi="宋体"/>
          <w:color w:val="000000"/>
          <w:sz w:val="24"/>
          <w:szCs w:val="24"/>
          <w:highlight w:val="none"/>
        </w:rPr>
        <w:t xml:space="preserve">维修响应及恢复时间要求，当设备及其承载的系统发生故障，</w:t>
      </w:r>
      <w:r>
        <w:rPr>
          <w:rFonts w:hint="eastAsia" w:ascii="宋体" w:hAnsi="宋体" w:eastAsia="宋体" w:cs="宋体"/>
          <w:color w:val="000000"/>
          <w:sz w:val="24"/>
          <w:szCs w:val="24"/>
          <w:highlight w:val="none"/>
          <w:lang w:val="en-US" w:eastAsia="zh-CN"/>
        </w:rPr>
        <w:t xml:space="preserve">乙方</w:t>
      </w:r>
      <w:r>
        <w:rPr>
          <w:rFonts w:hint="eastAsia" w:ascii="宋体" w:hAnsi="宋体"/>
          <w:color w:val="000000"/>
          <w:sz w:val="24"/>
          <w:szCs w:val="24"/>
          <w:highlight w:val="none"/>
        </w:rPr>
        <w:t xml:space="preserve">需2小时内响应，同时需满足下列要求：</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（1）维修人员应在3小时内到达现场并及时解决问题。现场解决不了的故障或可能超出24小时解决不了的问题；</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color w:val="000000"/>
          <w:sz w:val="24"/>
          <w:szCs w:val="24"/>
          <w:highlight w:val="none"/>
        </w:rPr>
        <w:t xml:space="preserve">应承担因操作失误而造成故障扩大、数据损坏、误操作等的赔偿和安全责任；</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rPr>
        <w:t xml:space="preserve">）每次维修必须进行详细记录并经</w:t>
      </w:r>
      <w:r>
        <w:rPr>
          <w:rFonts w:hint="eastAsia" w:ascii="宋体" w:hAnsi="宋体" w:eastAsia="宋体"/>
          <w:color w:val="000000"/>
          <w:sz w:val="24"/>
          <w:szCs w:val="24"/>
          <w:highlight w:val="none"/>
          <w:lang w:val="en-US" w:eastAsia="zh-CN"/>
        </w:rPr>
        <w:t xml:space="preserve">甲方</w:t>
      </w:r>
      <w:r>
        <w:rPr>
          <w:rFonts w:hint="eastAsia" w:ascii="宋体" w:hAnsi="宋体"/>
          <w:color w:val="000000"/>
          <w:sz w:val="24"/>
          <w:szCs w:val="24"/>
          <w:highlight w:val="none"/>
        </w:rPr>
        <w:t xml:space="preserve">确认，每月向</w:t>
      </w:r>
      <w:r>
        <w:rPr>
          <w:rFonts w:hint="eastAsia" w:ascii="宋体" w:hAnsi="宋体" w:eastAsia="宋体"/>
          <w:color w:val="000000"/>
          <w:sz w:val="24"/>
          <w:szCs w:val="24"/>
          <w:highlight w:val="none"/>
          <w:lang w:val="en-US" w:eastAsia="zh-CN"/>
        </w:rPr>
        <w:t xml:space="preserve">甲方</w:t>
      </w:r>
      <w:r>
        <w:rPr>
          <w:rFonts w:hint="eastAsia" w:ascii="宋体" w:hAnsi="宋体"/>
          <w:color w:val="000000"/>
          <w:sz w:val="24"/>
          <w:szCs w:val="24"/>
          <w:highlight w:val="none"/>
        </w:rPr>
        <w:t xml:space="preserve">报送维修报表。</w:t>
      </w:r>
      <w:r>
        <w:rPr>
          <w:rFonts w:hint="eastAsia" w:ascii="宋体" w:hAnsi="宋体"/>
          <w:color w:val="000000"/>
          <w:sz w:val="24"/>
          <w:szCs w:val="24"/>
          <w:highlight w:val="none"/>
        </w:rPr>
      </w:r>
      <w:r/>
    </w:p>
    <w:p>
      <w:pPr>
        <w:pStyle w:val="943"/>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（4）除人为损坏和不可抗拒因素外，修理、更换或退货，费用由乙方负责。</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（5）质保期间设备的一切质量问题，更换部件及设备本身质量原因造成的直接经济损失应全部由乙方负责</w:t>
      </w:r>
      <w:r>
        <w:rPr>
          <w:rFonts w:hint="eastAsia" w:ascii="宋体" w:hAnsi="宋体"/>
          <w:color w:val="000000"/>
          <w:sz w:val="24"/>
          <w:szCs w:val="24"/>
          <w:highlight w:val="none"/>
        </w:rPr>
        <w:t xml:space="preserve">（人为因素导致的损坏除外）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乙方</w:t>
      </w:r>
      <w:r>
        <w:rPr>
          <w:rFonts w:hint="eastAsia" w:ascii="宋体" w:hAnsi="宋体"/>
          <w:color w:val="000000"/>
          <w:sz w:val="24"/>
          <w:szCs w:val="24"/>
          <w:highlight w:val="none"/>
        </w:rPr>
        <w:t xml:space="preserve">拒绝维修响应的，</w:t>
      </w:r>
      <w:r>
        <w:rPr>
          <w:rFonts w:hint="eastAsia" w:ascii="宋体" w:hAnsi="宋体" w:eastAsia="宋体"/>
          <w:color w:val="000000"/>
          <w:sz w:val="24"/>
          <w:szCs w:val="24"/>
          <w:highlight w:val="none"/>
          <w:lang w:val="en-US" w:eastAsia="zh-CN"/>
        </w:rPr>
        <w:t xml:space="preserve">甲方</w:t>
      </w:r>
      <w:r>
        <w:rPr>
          <w:rFonts w:hint="eastAsia" w:ascii="宋体" w:hAnsi="宋体"/>
          <w:color w:val="000000"/>
          <w:sz w:val="24"/>
          <w:szCs w:val="24"/>
          <w:highlight w:val="none"/>
        </w:rPr>
        <w:t xml:space="preserve">有权邀请第三方进行维修服务，所发生的相关费用由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质量保证期</w:t>
      </w:r>
      <w:r>
        <w:rPr>
          <w:rFonts w:hint="eastAsia" w:ascii="宋体" w:hAnsi="宋体"/>
          <w:color w:val="000000"/>
          <w:sz w:val="24"/>
          <w:szCs w:val="24"/>
          <w:highlight w:val="none"/>
        </w:rPr>
        <w:t xml:space="preserve">内</w:t>
      </w:r>
      <w:r>
        <w:rPr>
          <w:rFonts w:hint="eastAsia" w:ascii="宋体" w:hAnsi="宋体" w:eastAsia="宋体"/>
          <w:color w:val="000000"/>
          <w:sz w:val="24"/>
          <w:szCs w:val="24"/>
          <w:highlight w:val="none"/>
          <w:lang w:val="en-US" w:eastAsia="zh-CN"/>
        </w:rPr>
        <w:t xml:space="preserve">对</w:t>
      </w:r>
      <w:r>
        <w:rPr>
          <w:rFonts w:hint="eastAsia" w:ascii="宋体" w:hAnsi="宋体"/>
          <w:color w:val="000000"/>
          <w:sz w:val="24"/>
          <w:szCs w:val="24"/>
          <w:highlight w:val="none"/>
        </w:rPr>
        <w:t xml:space="preserve">所有设备进行定期巡检服务</w:t>
      </w:r>
      <w:r>
        <w:rPr>
          <w:rFonts w:hint="eastAsia" w:ascii="宋体" w:hAnsi="宋体" w:eastAsia="宋体"/>
          <w:color w:val="000000"/>
          <w:sz w:val="24"/>
          <w:szCs w:val="24"/>
          <w:highlight w:val="none"/>
          <w:lang w:val="en-US" w:eastAsia="zh-CN"/>
        </w:rPr>
        <w:t xml:space="preserve">和</w:t>
      </w:r>
      <w:r>
        <w:rPr>
          <w:rFonts w:hint="eastAsia" w:ascii="宋体" w:hAnsi="宋体"/>
          <w:color w:val="000000"/>
          <w:sz w:val="24"/>
          <w:szCs w:val="24"/>
          <w:highlight w:val="none"/>
        </w:rPr>
        <w:t xml:space="preserve">必要的定期保养服务，及时发现设备的损坏或系统的功能异常。日常巡检和保养</w:t>
      </w:r>
      <w:r>
        <w:rPr>
          <w:rFonts w:hint="eastAsia" w:ascii="宋体" w:hAnsi="宋体" w:eastAsia="宋体"/>
          <w:color w:val="000000"/>
          <w:sz w:val="24"/>
          <w:szCs w:val="24"/>
          <w:highlight w:val="none"/>
          <w:lang w:val="en-US" w:eastAsia="zh-CN"/>
        </w:rPr>
        <w:t xml:space="preserve">要求如下：</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（1）定期对服务期限范围内设备的网络、硬件设备、软件系统、存储数据进行巡检、保养；</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（2）定期对所有外场设备进行巡检、保养；</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（3）定期对所有外场设备的金属部件进行防锈保养；</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（4）每次巡检、保养必须进行详细记录并经</w:t>
      </w:r>
      <w:r>
        <w:rPr>
          <w:rFonts w:hint="eastAsia" w:ascii="宋体" w:hAnsi="宋体" w:eastAsia="宋体"/>
          <w:color w:val="000000"/>
          <w:sz w:val="24"/>
          <w:szCs w:val="24"/>
          <w:highlight w:val="none"/>
          <w:lang w:val="en-US" w:eastAsia="zh-CN"/>
        </w:rPr>
        <w:t xml:space="preserve">甲方</w:t>
      </w:r>
      <w:r>
        <w:rPr>
          <w:rFonts w:hint="eastAsia" w:ascii="宋体" w:hAnsi="宋体"/>
          <w:color w:val="000000"/>
          <w:sz w:val="24"/>
          <w:szCs w:val="24"/>
          <w:highlight w:val="none"/>
        </w:rPr>
        <w:t xml:space="preserve">确认，每月向</w:t>
      </w:r>
      <w:r>
        <w:rPr>
          <w:rFonts w:hint="eastAsia" w:ascii="宋体" w:hAnsi="宋体" w:eastAsia="宋体"/>
          <w:color w:val="000000"/>
          <w:sz w:val="24"/>
          <w:szCs w:val="24"/>
          <w:highlight w:val="none"/>
          <w:lang w:val="en-US" w:eastAsia="zh-CN"/>
        </w:rPr>
        <w:t xml:space="preserve">甲方</w:t>
      </w:r>
      <w:r>
        <w:rPr>
          <w:rFonts w:hint="eastAsia" w:ascii="宋体" w:hAnsi="宋体"/>
          <w:color w:val="000000"/>
          <w:sz w:val="24"/>
          <w:szCs w:val="24"/>
          <w:highlight w:val="none"/>
        </w:rPr>
        <w:t xml:space="preserve">报送巡检、保养报表。</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color w:val="000000"/>
          <w:sz w:val="24"/>
          <w:szCs w:val="24"/>
          <w:highlight w:val="none"/>
        </w:rPr>
        <w:t xml:space="preserve">对</w:t>
      </w:r>
      <w:r>
        <w:rPr>
          <w:rFonts w:hint="eastAsia" w:ascii="宋体" w:hAnsi="宋体" w:eastAsia="宋体"/>
          <w:color w:val="000000"/>
          <w:sz w:val="24"/>
          <w:szCs w:val="24"/>
          <w:highlight w:val="none"/>
          <w:lang w:val="en-US" w:eastAsia="zh-CN"/>
        </w:rPr>
        <w:t xml:space="preserve">甲方</w:t>
      </w:r>
      <w:r>
        <w:rPr>
          <w:rFonts w:hint="eastAsia" w:ascii="宋体" w:hAnsi="宋体"/>
          <w:color w:val="000000"/>
          <w:sz w:val="24"/>
          <w:szCs w:val="24"/>
          <w:highlight w:val="none"/>
        </w:rPr>
        <w:t xml:space="preserve">的重大事件和重大活动提供技术支持和现场保障服务。</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4.</w:t>
      </w:r>
      <w:r>
        <w:rPr>
          <w:rFonts w:hint="eastAsia" w:ascii="宋体" w:hAnsi="宋体"/>
          <w:color w:val="000000"/>
          <w:sz w:val="24"/>
          <w:szCs w:val="24"/>
          <w:highlight w:val="none"/>
        </w:rPr>
        <w:t xml:space="preserve">因建设需要迁移或拆除的，</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olor w:val="000000"/>
          <w:sz w:val="24"/>
          <w:szCs w:val="24"/>
          <w:highlight w:val="none"/>
          <w:lang w:val="en-US" w:eastAsia="zh-CN"/>
        </w:rPr>
        <w:t xml:space="preserve">应积极配合</w:t>
      </w:r>
      <w:r>
        <w:rPr>
          <w:rFonts w:hint="eastAsia" w:ascii="宋体" w:hAnsi="宋体" w:eastAsia="宋体"/>
          <w:color w:val="000000"/>
          <w:sz w:val="24"/>
          <w:szCs w:val="24"/>
          <w:highlight w:val="none"/>
          <w:lang w:val="en-US" w:eastAsia="zh-CN"/>
        </w:rPr>
        <w:t xml:space="preserve">甲方</w:t>
      </w:r>
      <w:r>
        <w:rPr>
          <w:rFonts w:hint="eastAsia" w:ascii="宋体" w:hAnsi="宋体"/>
          <w:color w:val="000000"/>
          <w:sz w:val="24"/>
          <w:szCs w:val="24"/>
          <w:highlight w:val="none"/>
        </w:rPr>
        <w:t xml:space="preserve">进行修复以及数据对接要求。供应商不得擅自拆除、迁移维护设施。</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乙方</w:t>
      </w:r>
      <w:r>
        <w:rPr>
          <w:rFonts w:hint="eastAsia" w:ascii="宋体" w:hAnsi="宋体"/>
          <w:color w:val="000000"/>
          <w:sz w:val="24"/>
          <w:szCs w:val="24"/>
          <w:highlight w:val="none"/>
        </w:rPr>
        <w:t xml:space="preserve">要认真做好防盗工作，使偷盗现象降至最低。对于因偷盗、人为损坏等违法行为造成的损失，</w:t>
      </w:r>
      <w:r>
        <w:rPr>
          <w:rFonts w:hint="eastAsia" w:ascii="宋体" w:hAnsi="宋体" w:eastAsia="宋体" w:cs="宋体"/>
          <w:color w:val="000000"/>
          <w:sz w:val="24"/>
          <w:szCs w:val="24"/>
          <w:highlight w:val="none"/>
          <w:lang w:val="en-US" w:eastAsia="zh-CN"/>
        </w:rPr>
        <w:t xml:space="preserve">乙方</w:t>
      </w:r>
      <w:r>
        <w:rPr>
          <w:rFonts w:hint="eastAsia" w:ascii="宋体" w:hAnsi="宋体"/>
          <w:color w:val="000000"/>
          <w:sz w:val="24"/>
          <w:szCs w:val="24"/>
          <w:highlight w:val="none"/>
        </w:rPr>
        <w:t xml:space="preserve">发现后，应及时向公安机关报案，由派出所确认损失数量，并将确认的数量书面上报</w:t>
      </w:r>
      <w:r>
        <w:rPr>
          <w:rFonts w:hint="eastAsia" w:ascii="宋体" w:hAnsi="宋体" w:eastAsia="宋体"/>
          <w:color w:val="000000"/>
          <w:sz w:val="24"/>
          <w:szCs w:val="24"/>
          <w:highlight w:val="none"/>
          <w:lang w:val="en-US" w:eastAsia="zh-CN"/>
        </w:rPr>
        <w:t xml:space="preserve">甲方</w:t>
      </w:r>
      <w:r>
        <w:rPr>
          <w:rFonts w:hint="eastAsia" w:ascii="宋体" w:hAnsi="宋体"/>
          <w:color w:val="000000"/>
          <w:sz w:val="24"/>
          <w:szCs w:val="24"/>
          <w:highlight w:val="none"/>
        </w:rPr>
        <w:t xml:space="preserve">确认备案后采取措施在24小时内恢复。</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乙方</w:t>
      </w:r>
      <w:r>
        <w:rPr>
          <w:rFonts w:hint="eastAsia" w:ascii="宋体" w:hAnsi="宋体"/>
          <w:color w:val="000000"/>
          <w:sz w:val="24"/>
          <w:szCs w:val="24"/>
          <w:highlight w:val="none"/>
        </w:rPr>
        <w:t xml:space="preserve">应组织专业的管理队伍及晚上应急处置人员，加强日、夜间灯光设施的看护和日常维护。</w:t>
      </w:r>
      <w:r>
        <w:rPr>
          <w:rFonts w:hint="eastAsia" w:ascii="宋体" w:hAnsi="宋体"/>
          <w:color w:val="000000"/>
          <w:sz w:val="24"/>
          <w:szCs w:val="24"/>
          <w:highlight w:val="none"/>
        </w:rPr>
      </w:r>
      <w:r/>
    </w:p>
    <w:p>
      <w:pPr>
        <w:pStyle w:val="698"/>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color w:val="000000"/>
          <w:sz w:val="24"/>
          <w:szCs w:val="24"/>
          <w:highlight w:val="none"/>
        </w:rPr>
        <w:t xml:space="preserve">系统每月必须按</w:t>
      </w:r>
      <w:r>
        <w:rPr>
          <w:rFonts w:hint="eastAsia" w:ascii="宋体" w:hAnsi="宋体" w:eastAsia="宋体"/>
          <w:color w:val="000000"/>
          <w:sz w:val="24"/>
          <w:szCs w:val="24"/>
          <w:highlight w:val="none"/>
        </w:rPr>
        <w:t xml:space="preserve">招标</w:t>
      </w:r>
      <w:r>
        <w:rPr>
          <w:rFonts w:hint="eastAsia" w:ascii="宋体" w:hAnsi="宋体"/>
          <w:color w:val="000000"/>
          <w:sz w:val="24"/>
          <w:szCs w:val="24"/>
          <w:highlight w:val="none"/>
        </w:rPr>
        <w:t xml:space="preserve">要求进行</w:t>
      </w:r>
      <w:r>
        <w:rPr>
          <w:rFonts w:hint="eastAsia" w:ascii="宋体" w:hAnsi="宋体" w:eastAsia="宋体" w:cs="宋体"/>
          <w:color w:val="000000"/>
          <w:sz w:val="24"/>
          <w:szCs w:val="24"/>
          <w:highlight w:val="none"/>
          <w:lang w:val="en-US" w:eastAsia="zh-CN"/>
        </w:rPr>
        <w:t xml:space="preserve">由乙方</w:t>
      </w:r>
      <w:r>
        <w:rPr>
          <w:rFonts w:hint="eastAsia" w:ascii="宋体" w:hAnsi="宋体"/>
          <w:color w:val="000000"/>
          <w:sz w:val="24"/>
          <w:szCs w:val="24"/>
          <w:highlight w:val="none"/>
        </w:rPr>
        <w:t xml:space="preserve">巡查维修。</w:t>
      </w:r>
      <w:r>
        <w:rPr>
          <w:rFonts w:hint="eastAsia" w:ascii="宋体" w:hAnsi="宋体"/>
          <w:color w:val="000000"/>
          <w:sz w:val="24"/>
          <w:szCs w:val="24"/>
          <w:highlight w:val="none"/>
        </w:rPr>
      </w:r>
      <w:r/>
    </w:p>
    <w:p>
      <w:pPr>
        <w:pStyle w:val="698"/>
        <w:ind w:left="0" w:firstLine="480"/>
        <w:spacing w:line="360" w:lineRule="auto"/>
        <w:widowControl w:val="off"/>
        <w:rPr>
          <w:rFonts w:ascii="宋体" w:hAnsi="宋体" w:eastAsia="宋体" w:cs="Arial"/>
          <w:color w:val="000000"/>
          <w:sz w:val="24"/>
          <w:szCs w:val="24"/>
          <w:highlight w:val="none"/>
        </w:rPr>
      </w:pPr>
      <w:r>
        <w:rPr>
          <w:rFonts w:ascii="宋体" w:hAnsi="宋体" w:eastAsia="宋体" w:cs="Arial"/>
          <w:color w:val="000000"/>
          <w:sz w:val="24"/>
          <w:szCs w:val="24"/>
          <w:highlight w:val="none"/>
          <w:lang w:val="en-US" w:eastAsia="zh-CN"/>
        </w:rPr>
        <w:t xml:space="preserve">8.</w:t>
      </w:r>
      <w:r>
        <w:rPr>
          <w:rFonts w:ascii="宋体" w:hAnsi="宋体" w:eastAsia="宋体" w:cs="Arial"/>
          <w:color w:val="000000"/>
          <w:sz w:val="24"/>
          <w:szCs w:val="24"/>
          <w:highlight w:val="none"/>
        </w:rPr>
        <w:t xml:space="preserve">乙方未能按前述约定提供售后服务的，甲方有权自行聘请第三方进行维修，因此产生的费用由乙方承担，甲方有权直接从未支付的费用中扣除。未支付的费用不足以弥补甲方的实际损失的，乙方应予以补足。同时，乙方应向甲方支付本合同总金额10%的违约金，并赔偿甲方因此产生的全部损失。</w:t>
      </w:r>
      <w:r>
        <w:rPr>
          <w:rFonts w:ascii="宋体" w:hAnsi="宋体" w:eastAsia="宋体" w:cs="Arial"/>
          <w:color w:val="000000"/>
          <w:sz w:val="24"/>
          <w:szCs w:val="24"/>
          <w:highlight w:val="none"/>
        </w:rPr>
      </w:r>
      <w:r/>
    </w:p>
    <w:p>
      <w:pPr>
        <w:pStyle w:val="698"/>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十三、违约责任</w:t>
      </w:r>
      <w:r>
        <w:rPr>
          <w:rFonts w:hint="eastAsia" w:ascii="宋体" w:hAnsi="宋体" w:eastAsia="宋体" w:cs="宋体"/>
          <w:b/>
          <w:bCs/>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（一）甲方违约责任</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1.本合同生效后，甲方无正当理由要求退货的，应向乙方支付本合同总金额【10】%的违约金，违约金不足以弥补损失的，乙方有权要求甲方补足。    </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逾期支付合同价款的，每逾期1日，应向乙方支付逾期付款金额万分之四的违约金，但甲方支付的该项违约金总额以逾期付款金额的5%为限。甲方因国资监管要求、国资支付审批流程等原因履行必要手续的，不视为逾期付款，不承担任何责任。</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3.甲方违反本合同规定，无正当理由拒绝接收乙方交付的合格设备的，应当承担因此给乙方造成的损失。</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（二）乙方违约责任</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1.乙方未能按本合同约定的期限交付质量符合本合同约定设备的，甲方有权选择采取以下一种或多种措施：</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（1）每逾期一日，要求乙方按照本合同总金额的万分之四向甲方支付违约金，并在甲方指定期限内交付符合本合同约定的设备。</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（2）若乙方逾期交付质量符合本合同约定的设备超过【30】日的，甲方有权解除本合同，同时乙方应当立即退回已收取的全部款项并向甲方支付本合同总金额【10】%的违约金。</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有权另行采购本合同约定的设备，乙方应当支付甲方因此额外支付的采购费用，除乙方按照上述约定支付逾期交付的违约金外（交付时间以设备实际交付日期为准），乙方还应当按照甲方要求配合退货并支付所产生的运输、存储等费用。</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2.乙方未按合同规定的质量要求提供服务，或提供服务不合格从而影响甲方正常使用的，甲方有权要求乙方承担下列一项或多项违约责任：</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（1）乙方应按照甲方要求在【10】日内完成整改，因此产生的费用均由乙方承担；</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（2）乙方应向甲方支付合同总金额【10】%的违约金，并赔偿甲方因此产生的全部损失。</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本合同另有约定以外，若乙方违反本合同约定的，且经甲方催告后【10】日内仍未改正的或该违约情形无法改正的，甲方有权要求乙方立即向甲方支付本合同总金额【10】%的违约金，且甲方有权解除本合同，要求乙方立即退回本合同项下已收取的全部款项。</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4.乙方因履行本合同而需向甲方支付款项的（包括但不限于违约赔偿、退款等），甲方有权直接自未付款项中予以抵扣，不足部分甲方有权要求乙方补足。</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5.本合同约定的乙方应付违约金不足以弥补甲方一切直接或间接损失的，乙方应当足额赔偿。</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（三）本项目禁止任何形式的转包。如需分包，乙方应事先就分包的内容、分包的对</w:t>
      </w:r>
      <w:r>
        <w:rPr>
          <w:rFonts w:hint="eastAsia" w:ascii="宋体" w:hAnsi="宋体" w:eastAsia="宋体" w:cs="宋体"/>
          <w:color w:val="000000"/>
          <w:sz w:val="24"/>
          <w:szCs w:val="24"/>
          <w:highlight w:val="none"/>
        </w:rPr>
        <w:t xml:space="preserve">象、分包的必要性等主要事项向甲方说明，并征得甲方书面同意；经甲方同意而分包的，不影响乙方的义务，乙方就分包的部分仍然按照合同约定向甲方履行义务（包括但不限于质量、工期、保证通过验收、质保等义务）。甲方会同监理进行日常检查监督，如出现上述违反上述约定的情况，甲方有权要求乙方立即向甲方支付本合同总金额【20】%的违约金，同时乙方应当立即停止违约行为并消除影响，约定违约金不足以弥补甲方损失的，乙方应当足额赔偿；即便甲方事后同意乙方未经事先许可的分包行为，也不影响乙方违约责任的承担，甲方仍有权要求乙方承担违约责任。</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十四、不可抗力</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（一）合同一方因不可抗力不能履行合同的，根据不可抗力的影响，部分或者全部免除责任。但合同一方迟延履行后发生不可抗力的，不能免除责任。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（二）合同一方因不可抗力不能履行合同的，应当在不可抗力发生后3日内通知对方，以减轻可能给对方造成的损失，并应当不可抗力通知发出后的7日内提供书面证明文件。</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（三）不可抗力事由消除后，合同继续履行或解除等相关事宜，由合同双方协商解决。</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十五、索赔</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（一）乙方交付的本项目设备的质量、数量、规格、性能等经检验、验收不合格的，甲方有权根据产品质量检验机构或其他有关部门出具的检验、验收证书向乙方提出索赔。</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（二）在本合同规定的检验期限和质量保证期内，如果乙方对甲方提出的索赔或异议有责任，则乙方应按甲方同意的下列一种或多种方式解决索赔事宜：</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同意退货，并按本合同规定的货币形式将货款退还给甲方，并且承担由此发生的一切直接、间接损失和费用，包括利息、银行手续费、运费、总包配合费、保险费、检验费、仓储费、装卸费以及为保护退回设备所需的其他必要费用。</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2.根据设备的低劣程度、损坏程度以及甲方遭受损失的数额，经甲乙双方协商确定降低设备的价格。</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在收到甲方书面索赔通知后7日内，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十六、合同的解除</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（一）除《政府采购法》第49条、第50条第二款规定的情形及本合同约定的情形外，本合同签订后，甲乙双方不得擅自变更、解除或终止本合同。</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（二）有下列情形之一的，合同一方可以解除合同：</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1.因不可抗力致使不能实现合同目的的，未受不可抗力影响的一方有权解除合同；</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2.因合同一方违约导致合同不能履行的，另一方有权解除合同；</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3.有权解除合同的一方，应当在违约事实或不可抗力发生后30日内书面通知对方以主张解除本合同，本合同在书面通知到达对方时解除。</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违反本合同约定，导致本合同项目运行受到任何不利影响持续超过【48】小时的，甲方有权立即与乙方解除合同，且有权向第三方采购设备及服务以保证项目正常运行，因此产生的采购费用由乙方无异议接受、承担。</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乙方出现破产或丧失履行合同的能力，拒不配合验收与审计或其他甲方有权解除合同等情形的，甲方有权在任何时候以书面形式通知乙方终止合同并追究乙方违约责任，要求乙方返还合同款。该终止合同将不损害或影响甲方已经采取或将要采取任何补救措施的权利。 </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（六）未经甲方书面同意，乙方不得将本合同的部分或全部义务转让给任何第三方。</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十七、合同的生效</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本合同自甲乙双方法定（授权）代表人签字并盖章后生效，生效合同须进行公告备案。</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十八、争议解决</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rPr>
          <w:rFonts w:hint="eastAsia" w:ascii="宋体" w:hAnsi="宋体" w:eastAsia="宋体" w:cs="宋体"/>
          <w:color w:val="000000"/>
          <w:sz w:val="24"/>
          <w:szCs w:val="24"/>
          <w:highlight w:val="none"/>
        </w:rPr>
      </w:r>
      <w:r/>
    </w:p>
    <w:p>
      <w:pPr>
        <w:pStyle w:val="698"/>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十九、其他附则</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（一）合同份数：本合同一式【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各份合同具有同等法律效力。</w:t>
      </w:r>
      <w:r>
        <w:rPr>
          <w:rFonts w:hint="eastAsia" w:ascii="宋体" w:hAnsi="宋体" w:eastAsia="宋体" w:cs="宋体"/>
          <w:color w:val="000000"/>
          <w:sz w:val="24"/>
          <w:szCs w:val="24"/>
          <w:highlight w:val="none"/>
        </w:rPr>
      </w:r>
      <w:r/>
    </w:p>
    <w:p>
      <w:pPr>
        <w:pStyle w:val="698"/>
        <w:ind w:left="0" w:firstLine="31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（二）本合同未尽事宜应按《中华人民共和国民法典》《中华人民共和国政府采购法》以及其它法律、法规之规定解释，</w:t>
      </w:r>
      <w:r>
        <w:rPr>
          <w:rFonts w:hint="eastAsia" w:ascii="宋体" w:hAnsi="宋体" w:eastAsia="宋体" w:cs="宋体"/>
          <w:bCs/>
          <w:color w:val="000000"/>
          <w:sz w:val="24"/>
          <w:szCs w:val="24"/>
          <w:highlight w:val="none"/>
        </w:rPr>
        <w:t xml:space="preserve">在执行过程中甲乙双方应在不违背本合同和采购文件的原则下协商解决，协商结果以书面形式盖章记录，作为本合同的附件，与本合同具有同等效力，但须提交采购代理机构壹份备存。</w:t>
      </w:r>
      <w:r>
        <w:rPr>
          <w:rFonts w:hint="eastAsia" w:ascii="宋体" w:hAnsi="宋体" w:eastAsia="宋体" w:cs="宋体"/>
          <w:bCs/>
          <w:color w:val="000000"/>
          <w:sz w:val="24"/>
          <w:szCs w:val="24"/>
          <w:highlight w:val="none"/>
        </w:rPr>
      </w:r>
      <w:r/>
    </w:p>
    <w:p>
      <w:pPr>
        <w:pStyle w:val="698"/>
        <w:ind w:left="0" w:firstLine="31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（三）本合同首部所载明的双方地址为甲乙双方认可的相关文件、法律文书送达地址，任何一方如更换通信地址应于3日内书面通知另一方，未通知的自行承担送达不能等不利后果。</w:t>
      </w:r>
      <w:r>
        <w:rPr>
          <w:rFonts w:hint="eastAsia" w:ascii="宋体" w:hAnsi="宋体" w:eastAsia="宋体" w:cs="宋体"/>
          <w:bCs/>
          <w:color w:val="000000"/>
          <w:sz w:val="24"/>
          <w:szCs w:val="24"/>
          <w:highlight w:val="none"/>
        </w:rPr>
      </w:r>
      <w:r/>
    </w:p>
    <w:p>
      <w:pPr>
        <w:pStyle w:val="698"/>
        <w:ind w:left="0"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（以下无正文）</w:t>
      </w:r>
      <w:r>
        <w:rPr>
          <w:rFonts w:hint="eastAsia" w:ascii="宋体" w:hAnsi="宋体" w:eastAsia="宋体" w:cs="宋体"/>
          <w:bCs/>
          <w:color w:val="000000"/>
          <w:sz w:val="24"/>
          <w:szCs w:val="24"/>
          <w:highlight w:val="none"/>
        </w:rPr>
      </w:r>
      <w:r/>
    </w:p>
    <w:p>
      <w:pPr>
        <w:pStyle w:val="698"/>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乙方（盖章）： </w:t>
      </w:r>
      <w:r>
        <w:rPr>
          <w:rFonts w:hint="eastAsia" w:ascii="宋体" w:hAnsi="宋体" w:eastAsia="宋体" w:cs="宋体"/>
          <w:color w:val="000000"/>
          <w:sz w:val="24"/>
          <w:szCs w:val="24"/>
          <w:highlight w:val="none"/>
        </w:rPr>
      </w:r>
      <w:r/>
    </w:p>
    <w:p>
      <w:pPr>
        <w:pStyle w:val="698"/>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法定（授权）代表人（签字）：                        法定（授权）代表人（签字）： </w:t>
      </w:r>
      <w:r>
        <w:rPr>
          <w:rFonts w:hint="eastAsia" w:ascii="宋体" w:hAnsi="宋体" w:eastAsia="宋体" w:cs="宋体"/>
          <w:color w:val="000000"/>
          <w:sz w:val="24"/>
          <w:szCs w:val="24"/>
          <w:highlight w:val="none"/>
        </w:rPr>
      </w:r>
      <w:r/>
    </w:p>
    <w:p>
      <w:pPr>
        <w:pStyle w:val="698"/>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日期：   年   月   日 </w:t>
      </w:r>
      <w:r>
        <w:rPr>
          <w:rFonts w:hint="eastAsia" w:ascii="宋体" w:hAnsi="宋体" w:eastAsia="宋体" w:cs="宋体"/>
          <w:color w:val="000000"/>
          <w:sz w:val="24"/>
          <w:szCs w:val="24"/>
          <w:highlight w:val="none"/>
        </w:rPr>
      </w:r>
      <w:r/>
    </w:p>
    <w:p>
      <w:pPr>
        <w:pStyle w:val="69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bookmarkEnd w:id="10"/>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政府采购合同信用融资政策告知函</w:t>
      </w:r>
      <w:r>
        <w:rPr>
          <w:rFonts w:hint="eastAsia" w:ascii="宋体" w:hAnsi="宋体" w:eastAsia="宋体" w:cs="宋体"/>
          <w:b/>
          <w:bCs/>
          <w:color w:val="000000"/>
          <w:sz w:val="24"/>
          <w:szCs w:val="24"/>
          <w:highlight w:val="none"/>
        </w:rPr>
      </w:r>
      <w:r/>
    </w:p>
    <w:p>
      <w:pPr>
        <w:pStyle w:val="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各政府采购供应商：</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欢迎贵公司参加苏州市政府采购活动！</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highlight w:val="none"/>
        </w:rPr>
      </w:r>
      <w:r/>
    </w:p>
    <w:p>
      <w:pPr>
        <w:pStyle w:val="698"/>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98"/>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br w:type="page" w:clear="all"/>
      </w:r>
      <w:r>
        <w:rPr>
          <w:rFonts w:ascii="宋体" w:hAnsi="宋体" w:eastAsia="宋体" w:cs="黑体"/>
          <w:b/>
          <w:bCs/>
          <w:color w:val="000000"/>
          <w:sz w:val="32"/>
          <w:szCs w:val="32"/>
          <w:highlight w:val="none"/>
        </w:rPr>
        <w:t xml:space="preserve">第六章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评标方法、评分标准</w:t>
      </w:r>
      <w:r>
        <w:rPr>
          <w:rFonts w:ascii="宋体" w:hAnsi="宋体" w:eastAsia="宋体" w:cs="黑体"/>
          <w:b/>
          <w:bCs/>
          <w:color w:val="000000"/>
          <w:sz w:val="32"/>
          <w:szCs w:val="32"/>
          <w:highlight w:val="none"/>
        </w:rPr>
      </w:r>
      <w:r/>
    </w:p>
    <w:p>
      <w:pPr>
        <w:pStyle w:val="698"/>
        <w:ind w:firstLine="480"/>
        <w:jc w:val="both"/>
        <w:spacing w:line="400" w:lineRule="exact"/>
        <w:widowControl w:val="off"/>
        <w:rPr>
          <w:rFonts w:ascii="宋体" w:hAnsi="宋体" w:eastAsia="宋体" w:cs="宋体"/>
          <w:b/>
          <w:color w:val="000000"/>
          <w:sz w:val="24"/>
          <w:szCs w:val="24"/>
          <w:highlight w:val="none"/>
        </w:rPr>
      </w:pPr>
      <w:r>
        <w:rPr>
          <w:rFonts w:ascii="宋体" w:hAnsi="宋体" w:eastAsia="宋体" w:cs="宋体"/>
          <w:color w:val="000000"/>
          <w:sz w:val="24"/>
          <w:szCs w:val="24"/>
          <w:highlight w:val="none"/>
        </w:rPr>
        <w:t xml:space="preserve">一、</w:t>
      </w:r>
      <w:r>
        <w:rPr>
          <w:rFonts w:hint="eastAsia" w:ascii="宋体" w:hAnsi="宋体" w:eastAsia="宋体" w:cs="宋体"/>
          <w:b/>
          <w:color w:val="000000"/>
          <w:sz w:val="24"/>
          <w:szCs w:val="24"/>
          <w:highlight w:val="none"/>
        </w:rPr>
        <w:t xml:space="preserve">评标办法：</w:t>
      </w:r>
      <w:r>
        <w:rPr>
          <w:rFonts w:ascii="宋体" w:hAnsi="宋体" w:eastAsia="宋体" w:cs="宋体"/>
          <w:b/>
          <w:color w:val="000000"/>
          <w:sz w:val="24"/>
          <w:szCs w:val="24"/>
          <w:highlight w:val="none"/>
        </w:rPr>
      </w:r>
      <w:r/>
    </w:p>
    <w:p>
      <w:pPr>
        <w:pStyle w:val="69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rPr>
          <w:rFonts w:hint="eastAsia" w:ascii="宋体" w:hAnsi="宋体" w:eastAsia="宋体" w:cs="宋体"/>
          <w:color w:val="000000"/>
          <w:sz w:val="24"/>
          <w:szCs w:val="24"/>
          <w:highlight w:val="none"/>
        </w:rPr>
      </w:r>
      <w:r/>
    </w:p>
    <w:p>
      <w:pPr>
        <w:pStyle w:val="698"/>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rFonts w:hint="eastAsia" w:ascii="宋体" w:hAnsi="宋体" w:eastAsia="宋体" w:cs="宋体"/>
          <w:b/>
          <w:color w:val="000000"/>
          <w:sz w:val="24"/>
          <w:szCs w:val="24"/>
          <w:highlight w:val="none"/>
        </w:rPr>
      </w:r>
      <w:r/>
    </w:p>
    <w:p>
      <w:pPr>
        <w:pStyle w:val="698"/>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3.如投标人存在“苏财购字（2017）11号”文件中所列的失信或不良行为，按照文件规定执行。</w:t>
      </w:r>
      <w:r>
        <w:rPr>
          <w:rFonts w:hint="eastAsia" w:ascii="宋体" w:hAnsi="宋体" w:eastAsia="宋体" w:cs="宋体"/>
          <w:b/>
          <w:color w:val="000000"/>
          <w:sz w:val="24"/>
          <w:szCs w:val="24"/>
          <w:highlight w:val="none"/>
        </w:rPr>
      </w:r>
      <w:r/>
    </w:p>
    <w:p>
      <w:pPr>
        <w:pStyle w:val="69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4.针对中小型企业、残疾人福利企业和监狱企业的评审：</w:t>
      </w:r>
      <w:r>
        <w:rPr>
          <w:rFonts w:hint="eastAsia" w:ascii="宋体" w:hAnsi="宋体" w:eastAsia="宋体" w:cs="宋体"/>
          <w:color w:val="000000"/>
          <w:sz w:val="24"/>
          <w:szCs w:val="24"/>
          <w:highlight w:val="none"/>
        </w:rPr>
      </w:r>
      <w:r/>
    </w:p>
    <w:p>
      <w:pPr>
        <w:pStyle w:val="909"/>
        <w:ind w:firstLine="420"/>
        <w:spacing w:line="40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bCs/>
          <w:color w:val="000000"/>
          <w:szCs w:val="24"/>
          <w:highlight w:val="none"/>
        </w:rPr>
        <w:t xml:space="preserve">20%</w:t>
      </w:r>
      <w:r>
        <w:rPr>
          <w:rFonts w:hint="eastAsia" w:ascii="宋体" w:hAnsi="宋体" w:cs="宋体"/>
          <w:color w:val="000000"/>
          <w:szCs w:val="24"/>
          <w:highlight w:val="none"/>
        </w:rPr>
        <w:t xml:space="preserve">的扣除，用扣除后的价格参与评审。</w:t>
      </w:r>
      <w:r>
        <w:rPr>
          <w:rFonts w:hint="eastAsia" w:ascii="宋体" w:hAnsi="宋体" w:cs="宋体"/>
          <w:color w:val="000000"/>
          <w:szCs w:val="24"/>
          <w:highlight w:val="none"/>
        </w:rPr>
      </w:r>
      <w:r/>
    </w:p>
    <w:p>
      <w:pPr>
        <w:pStyle w:val="909"/>
        <w:ind w:firstLine="420"/>
        <w:spacing w:line="400" w:lineRule="exact"/>
        <w:widowControl w:val="off"/>
        <w:rPr>
          <w:rFonts w:ascii="宋体" w:hAnsi="宋体" w:cs="宋体"/>
          <w:color w:val="000000"/>
          <w:szCs w:val="24"/>
          <w:highlight w:val="none"/>
        </w:rPr>
      </w:pPr>
      <w:r>
        <w:rPr>
          <w:rFonts w:hint="eastAsia" w:ascii="宋体" w:hAnsi="宋体" w:cs="宋体"/>
          <w:color w:val="000000"/>
          <w:szCs w:val="24"/>
          <w:highlight w:val="none"/>
        </w:rPr>
        <w:t xml:space="preserve">（2）若</w:t>
      </w:r>
      <w:r>
        <w:rPr>
          <w:rFonts w:ascii="宋体" w:hAnsi="宋体" w:cs="宋体"/>
          <w:color w:val="000000"/>
          <w:szCs w:val="24"/>
          <w:highlight w:val="none"/>
        </w:rPr>
        <w:t xml:space="preserve">大中型企业与小微企业组成联合体，对于联合协议约定小微企业的合同份额占到合同总金额30%以上的，采购人、采购代理机构应当对联合体的报价给予</w:t>
      </w:r>
      <w:r>
        <w:rPr>
          <w:rFonts w:hint="eastAsia" w:ascii="宋体" w:hAnsi="宋体" w:cs="宋体"/>
          <w:color w:val="000000"/>
          <w:szCs w:val="24"/>
          <w:highlight w:val="none"/>
        </w:rPr>
        <w:t xml:space="preserve">6</w:t>
      </w:r>
      <w:r>
        <w:rPr>
          <w:rFonts w:ascii="宋体" w:hAnsi="宋体" w:cs="宋体"/>
          <w:color w:val="000000"/>
          <w:szCs w:val="24"/>
          <w:highlight w:val="none"/>
        </w:rPr>
        <w:t xml:space="preserve">%的扣除，用扣除后的价格参加评审。</w:t>
      </w:r>
      <w:r>
        <w:rPr>
          <w:rFonts w:ascii="宋体" w:hAnsi="宋体" w:cs="宋体"/>
          <w:color w:val="000000"/>
          <w:szCs w:val="24"/>
          <w:highlight w:val="none"/>
        </w:rPr>
      </w:r>
      <w:r/>
    </w:p>
    <w:p>
      <w:pPr>
        <w:pStyle w:val="909"/>
        <w:ind w:firstLine="420"/>
        <w:spacing w:line="40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（3）如扣除后的价格为最低价的，则作为评标基准价，中标金额则以实际投标报价为准。</w:t>
      </w:r>
      <w:r>
        <w:rPr>
          <w:rFonts w:hint="eastAsia" w:ascii="宋体" w:hAnsi="宋体" w:cs="宋体"/>
          <w:color w:val="000000"/>
          <w:szCs w:val="24"/>
          <w:highlight w:val="none"/>
        </w:rPr>
      </w:r>
      <w:r/>
    </w:p>
    <w:p>
      <w:pPr>
        <w:pStyle w:val="909"/>
        <w:ind w:firstLine="420"/>
        <w:spacing w:line="400" w:lineRule="exact"/>
        <w:widowControl w:val="off"/>
        <w:rPr>
          <w:rFonts w:ascii="宋体" w:hAnsi="宋体" w:cs="宋体"/>
          <w:color w:val="000000"/>
          <w:szCs w:val="24"/>
          <w:highlight w:val="none"/>
        </w:rPr>
      </w:pPr>
      <w:r>
        <w:rPr>
          <w:rFonts w:hint="eastAsia" w:ascii="宋体" w:hAnsi="宋体" w:cs="宋体"/>
          <w:color w:val="000000"/>
          <w:szCs w:val="24"/>
          <w:highlight w:val="none"/>
        </w:rPr>
        <w:t xml:space="preserve">（4）残疾人福利企业和监狱企业属于小型、微型企业的，不重复享受政策。</w:t>
      </w:r>
      <w:r>
        <w:rPr>
          <w:rFonts w:ascii="宋体" w:hAnsi="宋体" w:cs="宋体"/>
          <w:color w:val="000000"/>
          <w:szCs w:val="24"/>
          <w:highlight w:val="none"/>
        </w:rPr>
      </w:r>
      <w:r/>
    </w:p>
    <w:p>
      <w:pPr>
        <w:pStyle w:val="698"/>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（5）小微企业提供《中小企业声明函》；监狱企业提供由省级以上监狱管理局、戒毒管理局（含新疆生产建</w:t>
      </w:r>
      <w:r>
        <w:rPr>
          <w:rFonts w:hint="eastAsia" w:ascii="宋体" w:hAnsi="宋体" w:eastAsia="宋体" w:cs="宋体"/>
          <w:color w:val="000000"/>
          <w:sz w:val="24"/>
          <w:szCs w:val="24"/>
          <w:highlight w:val="none"/>
        </w:rPr>
        <w:t xml:space="preserve">设兵团）出具的属于监狱企业的证明文件；残疾人福利性单位提供《残疾人福利性单位声明函》。</w:t>
      </w:r>
      <w:r>
        <w:rPr>
          <w:rFonts w:ascii="宋体" w:hAnsi="宋体" w:eastAsia="宋体" w:cs="宋体"/>
          <w:b/>
          <w:color w:val="000000"/>
          <w:sz w:val="24"/>
          <w:szCs w:val="24"/>
          <w:highlight w:val="none"/>
        </w:rPr>
      </w:r>
      <w:r/>
    </w:p>
    <w:p>
      <w:pPr>
        <w:pStyle w:val="698"/>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rPr>
          <w:rFonts w:ascii="宋体" w:hAnsi="宋体" w:eastAsia="宋体" w:cs="宋体"/>
          <w:b/>
          <w:color w:val="000000"/>
          <w:sz w:val="24"/>
          <w:szCs w:val="24"/>
          <w:highlight w:val="none"/>
        </w:rPr>
      </w:r>
      <w:r/>
    </w:p>
    <w:p>
      <w:pPr>
        <w:pStyle w:val="698"/>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①填报“中小企业声明函”需严格按《</w:t>
      </w:r>
      <w:r>
        <w:rPr>
          <w:rFonts w:ascii="宋体" w:hAnsi="宋体" w:eastAsia="宋体" w:cs="宋体"/>
          <w:color w:val="000000"/>
          <w:sz w:val="24"/>
          <w:szCs w:val="24"/>
          <w:highlight w:val="none"/>
        </w:rPr>
        <w:t xml:space="preserve">关于印发中小企业划型标准规定的通知</w:t>
      </w:r>
      <w:r>
        <w:rPr>
          <w:rFonts w:hint="eastAsia" w:ascii="宋体" w:hAnsi="宋体" w:eastAsia="宋体" w:cs="宋体"/>
          <w:color w:val="000000"/>
          <w:sz w:val="24"/>
          <w:szCs w:val="24"/>
          <w:highlight w:val="none"/>
        </w:rPr>
        <w:t xml:space="preserve">》（工信部联企业〔2011〕300号）进行。</w:t>
      </w:r>
      <w:r>
        <w:rPr>
          <w:rFonts w:ascii="宋体" w:hAnsi="宋体" w:eastAsia="宋体" w:cs="宋体"/>
          <w:b/>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②若供应商提供的声明函或认定证明为虚假材料，按“政府采购法”相关规定处理并报请政府监管部门给予行政处罚。</w:t>
      </w:r>
      <w:r>
        <w:rPr>
          <w:rFonts w:ascii="宋体" w:hAnsi="宋体" w:eastAsia="宋体" w:cs="宋体"/>
          <w:color w:val="000000"/>
          <w:sz w:val="24"/>
          <w:szCs w:val="24"/>
          <w:highlight w:val="none"/>
        </w:rPr>
      </w:r>
      <w:r/>
    </w:p>
    <w:p>
      <w:pPr>
        <w:pStyle w:val="698"/>
        <w:ind w:firstLine="482"/>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③若为专门面向中小企业采购的项目或者采购包，不再执行价格评审优惠的扶持政策。</w:t>
      </w:r>
      <w:r>
        <w:rPr>
          <w:rFonts w:ascii="宋体" w:hAnsi="宋体" w:eastAsia="宋体" w:cs="宋体"/>
          <w:color w:val="000000"/>
          <w:sz w:val="24"/>
          <w:szCs w:val="24"/>
          <w:highlight w:val="none"/>
        </w:rPr>
      </w:r>
      <w:r/>
    </w:p>
    <w:p>
      <w:pPr>
        <w:pStyle w:val="698"/>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④中小企业依据预留项目和价格扣除等优惠政策获取政府采购合同后，小型、微型企业不得分包或转包给大型、中型企业，中型企业不得分包或转包给大型企业。</w:t>
      </w:r>
      <w:r>
        <w:rPr>
          <w:rFonts w:ascii="宋体" w:hAnsi="宋体" w:eastAsia="宋体" w:cs="宋体"/>
          <w:b/>
          <w:bCs/>
          <w:color w:val="000000"/>
          <w:sz w:val="24"/>
          <w:szCs w:val="24"/>
          <w:highlight w:val="none"/>
        </w:rPr>
      </w:r>
      <w:r/>
    </w:p>
    <w:p>
      <w:pPr>
        <w:pStyle w:val="698"/>
        <w:contextualSpacing/>
        <w:ind w:firstLine="48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二、评分标准</w:t>
      </w:r>
      <w:r>
        <w:rPr>
          <w:rFonts w:hint="eastAsia" w:ascii="宋体" w:hAnsi="宋体" w:eastAsia="宋体" w:cs="宋体"/>
          <w:b/>
          <w:bCs/>
          <w:color w:val="000000"/>
          <w:sz w:val="24"/>
          <w:szCs w:val="24"/>
          <w:highlight w:val="none"/>
        </w:rPr>
      </w:r>
      <w:r/>
    </w:p>
    <w:p>
      <w:pPr>
        <w:pStyle w:val="698"/>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(一）价格分 (</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r>
      <w:r/>
    </w:p>
    <w:p>
      <w:pPr>
        <w:pStyle w:val="698"/>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第一步：投标报价不高于采购预算或最高限价的，为有效投标报价。超财政预算的投标报价的为无效投标报价，</w:t>
      </w:r>
      <w:r>
        <w:rPr>
          <w:rFonts w:hint="eastAsia" w:ascii="宋体" w:hAnsi="宋体" w:eastAsia="宋体" w:cs="宋体"/>
          <w:color w:val="000000"/>
          <w:sz w:val="24"/>
          <w:szCs w:val="24"/>
          <w:highlight w:val="none"/>
          <w:lang w:val="zh-CN"/>
        </w:rPr>
        <w:t xml:space="preserve">其</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文件不进行评审，也不得标。</w:t>
      </w:r>
      <w:r>
        <w:rPr>
          <w:rFonts w:hint="eastAsia" w:ascii="宋体" w:hAnsi="宋体" w:eastAsia="宋体" w:cs="宋体"/>
          <w:b/>
          <w:color w:val="000000"/>
          <w:sz w:val="24"/>
          <w:szCs w:val="24"/>
          <w:highlight w:val="none"/>
        </w:rPr>
      </w:r>
      <w:r/>
    </w:p>
    <w:p>
      <w:pPr>
        <w:pStyle w:val="698"/>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第二步：在所有有效投标报价中满足招标文件要求，且投标价格最低的投标报价为评标基准价，</w:t>
      </w:r>
      <w:r>
        <w:rPr>
          <w:rFonts w:hint="eastAsia" w:ascii="宋体" w:hAnsi="宋体" w:eastAsia="宋体" w:cs="宋体"/>
          <w:color w:val="000000"/>
          <w:sz w:val="24"/>
          <w:szCs w:val="24"/>
          <w:highlight w:val="none"/>
          <w:lang w:val="zh-CN"/>
        </w:rPr>
        <w:t xml:space="preserve">其价格分为满分，</w:t>
      </w:r>
      <w:r>
        <w:rPr>
          <w:rFonts w:hint="eastAsia" w:ascii="宋体" w:hAnsi="宋体" w:eastAsia="宋体" w:cs="宋体"/>
          <w:color w:val="000000"/>
          <w:sz w:val="24"/>
          <w:szCs w:val="24"/>
          <w:highlight w:val="none"/>
        </w:rPr>
        <w:t xml:space="preserve">其他投标人的价格分</w:t>
      </w:r>
      <w:r>
        <w:rPr>
          <w:rFonts w:hint="eastAsia" w:ascii="宋体" w:hAnsi="宋体" w:eastAsia="宋体" w:cs="宋体"/>
          <w:color w:val="000000"/>
          <w:sz w:val="24"/>
          <w:szCs w:val="24"/>
          <w:highlight w:val="none"/>
          <w:lang w:val="zh-CN"/>
        </w:rPr>
        <w:t xml:space="preserve">统一</w:t>
      </w:r>
      <w:r>
        <w:rPr>
          <w:rFonts w:hint="eastAsia" w:ascii="宋体" w:hAnsi="宋体" w:eastAsia="宋体" w:cs="宋体"/>
          <w:color w:val="000000"/>
          <w:sz w:val="24"/>
          <w:szCs w:val="24"/>
          <w:highlight w:val="none"/>
        </w:rPr>
        <w:t xml:space="preserve">按照下列公式计算（计算结果四舍五入保留两位小数）。</w:t>
      </w:r>
      <w:r>
        <w:rPr>
          <w:rFonts w:hint="eastAsia" w:ascii="宋体" w:hAnsi="宋体" w:eastAsia="宋体" w:cs="宋体"/>
          <w:b/>
          <w:color w:val="000000"/>
          <w:sz w:val="24"/>
          <w:szCs w:val="24"/>
          <w:highlight w:val="none"/>
        </w:rPr>
      </w:r>
      <w:r/>
    </w:p>
    <w:p>
      <w:pPr>
        <w:pStyle w:val="698"/>
        <w:ind w:firstLine="480"/>
        <w:spacing w:line="40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z w:val="24"/>
          <w:szCs w:val="24"/>
          <w:highlight w:val="none"/>
        </w:rPr>
        <w:t xml:space="preserve">投标报价得分＝（评标基准价/有效投标报价）×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0％×100</w:t>
      </w:r>
      <w:r>
        <w:rPr>
          <w:rFonts w:hint="eastAsia" w:ascii="宋体" w:hAnsi="宋体" w:eastAsia="宋体" w:cs="宋体"/>
          <w:color w:val="000000"/>
          <w:sz w:val="24"/>
          <w:szCs w:val="24"/>
          <w:highlight w:val="none"/>
          <w:lang w:val="zh-CN"/>
        </w:rPr>
        <w:tab/>
      </w:r>
      <w:r>
        <w:rPr>
          <w:rFonts w:hint="eastAsia" w:ascii="宋体" w:hAnsi="宋体" w:eastAsia="宋体" w:cs="宋体"/>
          <w:color w:val="000000"/>
          <w:spacing w:val="2"/>
          <w:sz w:val="24"/>
          <w:szCs w:val="24"/>
          <w:highlight w:val="none"/>
        </w:rPr>
      </w:r>
      <w:r/>
    </w:p>
    <w:p>
      <w:pPr>
        <w:pStyle w:val="698"/>
        <w:ind w:firstLine="482"/>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（二）技术部分（</w:t>
      </w: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bl>
      <w:tblPr>
        <w:tblW w:w="5298" w:type="pct"/>
        <w:jc w:val="center"/>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901"/>
        <w:gridCol w:w="6654"/>
        <w:gridCol w:w="1170"/>
      </w:tblGrid>
      <w:tr>
        <w:trPr/>
        <w:tc>
          <w:tcPr>
            <w:tcW w:w="337" w:type="dxa"/>
            <w:vAlign w:val="center"/>
            <w:textDirection w:val="lrTb"/>
            <w:noWrap w:val="false"/>
          </w:tcPr>
          <w:p>
            <w:pPr>
              <w:pStyle w:val="698"/>
              <w:ind w:firstLine="2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技术要求符合性比较</w:t>
            </w:r>
            <w:r>
              <w:rPr>
                <w:rFonts w:hint="eastAsia" w:ascii="宋体" w:hAnsi="宋体" w:eastAsia="宋体" w:cs="宋体"/>
                <w:color w:val="000000"/>
                <w:sz w:val="24"/>
                <w:szCs w:val="24"/>
                <w:highlight w:val="none"/>
              </w:rPr>
            </w:r>
            <w:r/>
          </w:p>
        </w:tc>
        <w:tc>
          <w:tcPr>
            <w:tcW w:w="3189" w:type="dxa"/>
            <w:vAlign w:val="center"/>
            <w:textDirection w:val="lrTb"/>
            <w:noWrap w:val="false"/>
          </w:tcPr>
          <w:p>
            <w:pPr>
              <w:pStyle w:val="69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投标产品技术要求部分，全部满足或高于招标文件要求的得满分</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分，★号项为重要技术指标，每出现一个负偏离扣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分，共</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处，最高扣</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698"/>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注：①所有技术性能参数偏离均不得改变产品的性质和使用，偏离构成严重影响采购人实际使用的，则评标委员会有权认定为不实质性响应招标文件要求。</w:t>
            </w:r>
            <w:r>
              <w:rPr>
                <w:rFonts w:hint="eastAsia" w:ascii="宋体" w:hAnsi="宋体" w:eastAsia="宋体" w:cs="宋体"/>
                <w:b/>
                <w:bCs/>
                <w:color w:val="000000"/>
                <w:sz w:val="24"/>
                <w:szCs w:val="24"/>
                <w:highlight w:val="none"/>
              </w:rPr>
            </w:r>
            <w:r/>
          </w:p>
          <w:p>
            <w:pPr>
              <w:pStyle w:val="698"/>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②</w:t>
            </w:r>
            <w:r>
              <w:rPr>
                <w:rFonts w:hint="eastAsia" w:ascii="宋体" w:hAnsi="宋体" w:eastAsia="宋体" w:cs="宋体"/>
                <w:color w:val="000000"/>
                <w:sz w:val="24"/>
                <w:szCs w:val="24"/>
                <w:highlight w:val="none"/>
              </w:rPr>
              <w:t xml:space="preserve">带“★”项</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文件中提供</w:t>
            </w:r>
            <w:r>
              <w:rPr>
                <w:rFonts w:hint="eastAsia" w:ascii="宋体" w:hAnsi="宋体" w:eastAsia="宋体" w:cs="宋体"/>
                <w:b/>
                <w:bCs/>
                <w:color w:val="000000"/>
                <w:sz w:val="24"/>
                <w:szCs w:val="24"/>
                <w:highlight w:val="none"/>
              </w:rPr>
              <w:t xml:space="preserve">以下任意一种证明材料：（1）具有国家认可的第三方机构出具的检测报告复印件；（2）技术参数彩页；（3）产品说明书等。出具的证明材料须加盖公章，未按要求提供或未提供则不得分。</w:t>
            </w:r>
            <w:r>
              <w:rPr>
                <w:rFonts w:hint="eastAsia" w:ascii="宋体" w:hAnsi="宋体" w:eastAsia="宋体" w:cs="宋体"/>
                <w:color w:val="000000"/>
                <w:sz w:val="24"/>
                <w:szCs w:val="24"/>
                <w:highlight w:val="none"/>
              </w:rPr>
            </w:r>
            <w:r/>
          </w:p>
        </w:tc>
        <w:tc>
          <w:tcPr>
            <w:tcW w:w="561" w:type="dxa"/>
            <w:vAlign w:val="center"/>
            <w:textDirection w:val="lrTb"/>
            <w:noWrap w:val="false"/>
          </w:tcPr>
          <w:p>
            <w:pPr>
              <w:pStyle w:val="69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98"/>
              <w:ind w:firstLine="22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911"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拟投入针对本项目的称重采集系统实施方案比较</w:t>
            </w:r>
            <w:r>
              <w:rPr>
                <w:rFonts w:hint="eastAsia" w:ascii="宋体" w:hAnsi="宋体" w:eastAsia="宋体" w:cs="宋体"/>
                <w:color w:val="000000"/>
                <w:sz w:val="24"/>
                <w:szCs w:val="24"/>
                <w:highlight w:val="none"/>
              </w:rPr>
            </w:r>
            <w:r/>
          </w:p>
        </w:tc>
        <w:tc>
          <w:tcPr>
            <w:tcW w:w="3189" w:type="dxa"/>
            <w:vAlign w:val="center"/>
            <w:textDirection w:val="lrTb"/>
            <w:noWrap w:val="false"/>
          </w:tcPr>
          <w:p>
            <w:pPr>
              <w:pStyle w:val="698"/>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投标单位提供针对本项目的称重采集系统安装实施方案，评委根据方案是否完整、科学，进度安排是否合理、具备可操作性等方面进行比较。方案完整、科学，进度安排合理、可操作性强，完全满足项目需求的得</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分；方案较完整、科学，进度安排比较合理，具备可操作性，满足项目需求的得</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分；方案相对笼统，项目的进度安排不够合理，可操作性一般的得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szCs w:val="24"/>
                <w:highlight w:val="none"/>
              </w:rPr>
            </w:r>
            <w:r/>
          </w:p>
        </w:tc>
        <w:tc>
          <w:tcPr>
            <w:tcW w:w="561" w:type="dxa"/>
            <w:vAlign w:val="center"/>
            <w:textDirection w:val="lrTb"/>
            <w:noWrap w:val="false"/>
          </w:tcPr>
          <w:p>
            <w:pPr>
              <w:pStyle w:val="698"/>
              <w:jc w:val="center"/>
              <w:spacing w:line="40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rPr>
            </w:r>
            <w:r/>
          </w:p>
        </w:tc>
      </w:tr>
      <w:tr>
        <w:trPr/>
        <w:tc>
          <w:tcPr>
            <w:tcW w:w="337" w:type="dxa"/>
            <w:vAlign w:val="center"/>
            <w:textDirection w:val="lrTb"/>
            <w:noWrap w:val="false"/>
          </w:tcPr>
          <w:p>
            <w:pPr>
              <w:pStyle w:val="698"/>
              <w:ind w:firstLine="220"/>
              <w:spacing w:line="40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rPr>
            </w:r>
            <w:r/>
          </w:p>
        </w:tc>
        <w:tc>
          <w:tcPr>
            <w:tcW w:w="911"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拟投入针对本项目售后服务体系方案比较</w:t>
            </w:r>
            <w:r>
              <w:rPr>
                <w:rFonts w:hint="eastAsia" w:ascii="宋体" w:hAnsi="宋体" w:eastAsia="宋体" w:cs="宋体"/>
                <w:color w:val="000000"/>
                <w:sz w:val="24"/>
                <w:szCs w:val="24"/>
                <w:highlight w:val="none"/>
              </w:rPr>
            </w:r>
            <w:r/>
          </w:p>
        </w:tc>
        <w:tc>
          <w:tcPr>
            <w:tcW w:w="3189" w:type="dxa"/>
            <w:vAlign w:val="center"/>
            <w:textDirection w:val="lrTb"/>
            <w:noWrap w:val="false"/>
          </w:tcPr>
          <w:p>
            <w:pPr>
              <w:pStyle w:val="698"/>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投标单位提供针对本项目提供详细完整的售后保障服务体系，包含售后保障服务方案、综合调度系统方案、培训方案、安全文明实施方案、巡检方案，方案完善、科学合理、完全满足项目需求的得</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分；售后服务内容不全面、满足项目需求的得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分；售后服务内容阐述粗略不全面、基本满足项目需求的得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szCs w:val="24"/>
                <w:highlight w:val="none"/>
              </w:rPr>
            </w:r>
            <w:r/>
          </w:p>
        </w:tc>
        <w:tc>
          <w:tcPr>
            <w:tcW w:w="561"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98"/>
              <w:ind w:firstLine="22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911"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拟投入针对本项目与苏州市垃圾分类综合管理平台的拟定对接方案比较</w:t>
            </w:r>
            <w:r>
              <w:rPr>
                <w:rFonts w:hint="eastAsia" w:ascii="宋体" w:hAnsi="宋体" w:eastAsia="宋体" w:cs="宋体"/>
                <w:color w:val="000000"/>
                <w:sz w:val="24"/>
                <w:szCs w:val="24"/>
                <w:highlight w:val="none"/>
              </w:rPr>
            </w:r>
            <w:r/>
          </w:p>
        </w:tc>
        <w:tc>
          <w:tcPr>
            <w:tcW w:w="3189" w:type="dxa"/>
            <w:vAlign w:val="center"/>
            <w:textDirection w:val="lrTb"/>
            <w:noWrap w:val="false"/>
          </w:tcPr>
          <w:p>
            <w:pPr>
              <w:pStyle w:val="698"/>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投标单位提供针对本项目与市级平台的拟定对接方案，评委根据方案的全面性、科学性、合理性、可操作性等方面进行综合比较打分。方案全面、科学合理，可操作性强的得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分；方案较全面、合理、可操作性一般的得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分；方案不全面性、合理性差、可操作性差的得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szCs w:val="24"/>
                <w:highlight w:val="none"/>
              </w:rPr>
            </w:r>
            <w:r/>
          </w:p>
        </w:tc>
        <w:tc>
          <w:tcPr>
            <w:tcW w:w="561"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bl>
    <w:p>
      <w:pPr>
        <w:pStyle w:val="698"/>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（三）商务部分（</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 </w:t>
      </w:r>
      <w:r>
        <w:rPr>
          <w:rFonts w:hint="eastAsia" w:ascii="宋体" w:hAnsi="宋体" w:eastAsia="宋体" w:cs="宋体"/>
          <w:b/>
          <w:color w:val="000000"/>
          <w:sz w:val="24"/>
          <w:szCs w:val="24"/>
          <w:highlight w:val="none"/>
        </w:rPr>
      </w:r>
      <w:r/>
    </w:p>
    <w:tbl>
      <w:tblPr>
        <w:tblW w:w="5298" w:type="pct"/>
        <w:jc w:val="center"/>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936"/>
        <w:gridCol w:w="6644"/>
        <w:gridCol w:w="1145"/>
      </w:tblGrid>
      <w:tr>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8"/>
              <w:ind w:firstLine="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投标人拟派的项目负责人具有高级工程师、信息系统项目管理师、CISP证书、IT服务项目经理的每提供一项得1分，</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eastAsia="宋体" w:cs="宋体"/>
                <w:color w:val="000000"/>
                <w:sz w:val="24"/>
                <w:highlight w:val="none"/>
                <w:lang w:eastAsia="zh-CN"/>
              </w:rPr>
            </w:r>
            <w:r/>
          </w:p>
          <w:p>
            <w:pPr>
              <w:pStyle w:val="69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【投标文件中需提供上述人员证书复印件及本企业为该员工缴纳至少最近一期的社保证明复印件，不提供相关证明不得分。】</w:t>
            </w:r>
            <w:r>
              <w:rPr>
                <w:rFonts w:hint="eastAsia" w:ascii="宋体" w:hAnsi="宋体" w:eastAsia="宋体" w:cs="宋体"/>
                <w:color w:val="000000"/>
                <w:sz w:val="24"/>
                <w:szCs w:val="24"/>
                <w:highlight w:val="none"/>
              </w:rPr>
            </w:r>
            <w:r/>
          </w:p>
        </w:tc>
        <w:tc>
          <w:tcPr>
            <w:tcW w:w="54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98"/>
              <w:jc w:val="center"/>
              <w:spacing w:line="400" w:lineRule="exact"/>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信息安全负责人</w:t>
            </w:r>
            <w:r>
              <w:rPr>
                <w:rFonts w:hint="eastAsia" w:ascii="宋体" w:hAnsi="宋体" w:eastAsia="宋体" w:cs="宋体"/>
                <w:bCs/>
                <w:color w:val="000000"/>
                <w:sz w:val="24"/>
                <w:szCs w:val="24"/>
                <w:highlight w:val="none"/>
              </w:rPr>
            </w:r>
            <w:r/>
          </w:p>
        </w:tc>
        <w:tc>
          <w:tcPr>
            <w:tcW w:w="3185" w:type="dxa"/>
            <w:vAlign w:val="center"/>
            <w:textDirection w:val="lrTb"/>
            <w:noWrap w:val="false"/>
          </w:tcPr>
          <w:p>
            <w:pPr>
              <w:pStyle w:val="698"/>
              <w:ind w:firstLine="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投标人拟派的信息安全负责人具有CISAW信息安全保障人员认证、IT服务工程师、网络工程师的每提供一项得1分，</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eastAsia="宋体" w:cs="宋体"/>
                <w:color w:val="000000"/>
                <w:sz w:val="24"/>
                <w:highlight w:val="none"/>
                <w:lang w:eastAsia="zh-CN"/>
              </w:rPr>
            </w:r>
            <w:r/>
          </w:p>
          <w:p>
            <w:pPr>
              <w:pStyle w:val="698"/>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【投标文件中需提供上述人员证书复印件及本企业为该员工缴纳至少最近一期的社保证明复印件，不提供相关证明不得分。】</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928" w:type="dxa"/>
            <w:vAlign w:val="center"/>
            <w:textDirection w:val="lrTb"/>
            <w:noWrap w:val="false"/>
          </w:tcPr>
          <w:p>
            <w:pPr>
              <w:pStyle w:val="698"/>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项目技术负责人</w:t>
            </w:r>
            <w:r>
              <w:rPr>
                <w:rFonts w:hint="eastAsia" w:ascii="宋体" w:hAnsi="宋体" w:eastAsia="宋体" w:cs="宋体"/>
                <w:bCs/>
                <w:color w:val="000000"/>
                <w:sz w:val="24"/>
                <w:szCs w:val="24"/>
                <w:highlight w:val="none"/>
              </w:rPr>
            </w:r>
            <w:r/>
          </w:p>
        </w:tc>
        <w:tc>
          <w:tcPr>
            <w:tcW w:w="3185" w:type="dxa"/>
            <w:vAlign w:val="center"/>
            <w:textDirection w:val="lrTb"/>
            <w:noWrap w:val="false"/>
          </w:tcPr>
          <w:p>
            <w:pPr>
              <w:pStyle w:val="698"/>
              <w:ind w:firstLine="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投标人拟派的技术负责人具有PMP证书、系统</w:t>
            </w:r>
            <w:r>
              <w:rPr>
                <w:rFonts w:hint="eastAsia" w:ascii="宋体" w:hAnsi="宋体" w:cs="宋体"/>
                <w:color w:val="000000"/>
                <w:sz w:val="24"/>
                <w:highlight w:val="none"/>
                <w:lang w:val="en-US" w:eastAsia="zh-CN"/>
              </w:rPr>
              <w:t xml:space="preserve">集成项目</w:t>
            </w:r>
            <w:r>
              <w:rPr>
                <w:rFonts w:hint="eastAsia" w:ascii="宋体" w:hAnsi="宋体" w:cs="宋体"/>
                <w:color w:val="000000"/>
                <w:sz w:val="24"/>
                <w:highlight w:val="none"/>
              </w:rPr>
              <w:t xml:space="preserve">管理工程师、网络通信安全管理员的每提供一项得1分，</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rPr>
              <w:t xml:space="preserve">最高得3分。</w:t>
            </w:r>
            <w:r>
              <w:rPr>
                <w:rFonts w:hint="eastAsia" w:ascii="宋体" w:hAnsi="宋体" w:eastAsia="宋体" w:cs="宋体"/>
                <w:color w:val="000000"/>
                <w:sz w:val="24"/>
                <w:highlight w:val="none"/>
                <w:lang w:eastAsia="zh-CN"/>
              </w:rPr>
            </w:r>
            <w:r/>
          </w:p>
          <w:p>
            <w:pPr>
              <w:pStyle w:val="698"/>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【投标文件中需提供上述人员证书复印件及本企业为该员工缴纳至少最近一期的社保证明复印件，不提供相关证明不得分。】</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928" w:type="dxa"/>
            <w:vAlign w:val="center"/>
            <w:textDirection w:val="lrTb"/>
            <w:noWrap w:val="false"/>
          </w:tcPr>
          <w:p>
            <w:pPr>
              <w:pStyle w:val="698"/>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项目组成员（除项目负责人、项目技术负责人和</w:t>
            </w:r>
            <w:r>
              <w:rPr>
                <w:rFonts w:hint="eastAsia" w:ascii="宋体" w:hAnsi="宋体" w:cs="宋体"/>
                <w:color w:val="000000"/>
                <w:sz w:val="24"/>
                <w:highlight w:val="none"/>
              </w:rPr>
              <w:t xml:space="preserve">信息安全负责人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3185" w:type="dxa"/>
            <w:vAlign w:val="center"/>
            <w:textDirection w:val="lrTb"/>
            <w:noWrap w:val="false"/>
          </w:tcPr>
          <w:p>
            <w:pPr>
              <w:pStyle w:val="698"/>
              <w:ind w:firstLine="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rPr>
              <w:t xml:space="preserve">拟派的</w:t>
            </w:r>
            <w:r>
              <w:rPr>
                <w:rFonts w:hint="eastAsia" w:ascii="宋体" w:hAnsi="宋体" w:cs="宋体"/>
                <w:color w:val="000000"/>
                <w:sz w:val="24"/>
                <w:highlight w:val="none"/>
              </w:rPr>
              <w:t xml:space="preserve">项目组成员</w:t>
            </w:r>
            <w:r>
              <w:rPr>
                <w:rFonts w:hint="eastAsia" w:ascii="宋体" w:hAnsi="宋体" w:eastAsia="宋体" w:cs="宋体"/>
                <w:color w:val="000000"/>
                <w:sz w:val="24"/>
                <w:highlight w:val="none"/>
                <w:lang w:val="en-US" w:eastAsia="zh-CN"/>
              </w:rPr>
              <w:t xml:space="preserve">具</w:t>
            </w:r>
            <w:r>
              <w:rPr>
                <w:rFonts w:hint="eastAsia" w:ascii="宋体" w:hAnsi="宋体" w:cs="宋体"/>
                <w:color w:val="000000"/>
                <w:sz w:val="24"/>
                <w:highlight w:val="none"/>
              </w:rPr>
              <w:t xml:space="preserve">有网络规划设计师的得</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具</w:t>
            </w:r>
            <w:r>
              <w:rPr>
                <w:rFonts w:hint="eastAsia" w:ascii="宋体" w:hAnsi="宋体" w:cs="宋体"/>
                <w:color w:val="000000"/>
                <w:sz w:val="24"/>
                <w:highlight w:val="none"/>
              </w:rPr>
              <w:t xml:space="preserve">有系统</w:t>
            </w:r>
            <w:r>
              <w:rPr>
                <w:rFonts w:hint="eastAsia" w:ascii="宋体" w:hAnsi="宋体" w:cs="宋体"/>
                <w:color w:val="000000"/>
                <w:sz w:val="24"/>
                <w:highlight w:val="none"/>
                <w:lang w:val="en-US" w:eastAsia="zh-CN"/>
              </w:rPr>
              <w:t xml:space="preserve">架构设计</w:t>
            </w:r>
            <w:r>
              <w:rPr>
                <w:rFonts w:hint="eastAsia" w:ascii="宋体" w:hAnsi="宋体" w:cs="宋体"/>
                <w:color w:val="000000"/>
                <w:sz w:val="24"/>
                <w:highlight w:val="none"/>
              </w:rPr>
              <w:t xml:space="preserve">师</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具</w:t>
            </w:r>
            <w:r>
              <w:rPr>
                <w:rFonts w:hint="eastAsia" w:ascii="宋体" w:hAnsi="宋体" w:eastAsia="宋体" w:cs="宋体"/>
                <w:color w:val="000000"/>
                <w:sz w:val="24"/>
                <w:highlight w:val="none"/>
                <w:lang w:val="en-US" w:eastAsia="zh-CN"/>
              </w:rPr>
              <w:t xml:space="preserve">有容灾备份管理师证书的得1分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rPr>
              <w:t xml:space="preserve">最高得</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r>
            <w:r/>
          </w:p>
          <w:p>
            <w:pPr>
              <w:pStyle w:val="698"/>
              <w:ind w:firstLine="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【投标文件中需提供上述人员证书复印件及本企业为该员工缴纳至少最近一期的社保证明复印件，不提供相关证明不得分。项目组成员同一</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不重复计分。】</w:t>
            </w:r>
            <w:r>
              <w:rPr>
                <w:rFonts w:hint="eastAsia" w:ascii="宋体" w:hAnsi="宋体" w:cs="宋体"/>
                <w:b/>
                <w:bCs/>
                <w:color w:val="000000"/>
                <w:sz w:val="24"/>
                <w:szCs w:val="24"/>
                <w:highlight w:val="none"/>
              </w:rPr>
              <w:t xml:space="preserve">（注：项目负责人、</w:t>
            </w:r>
            <w:r>
              <w:rPr>
                <w:rFonts w:hint="eastAsia" w:ascii="宋体" w:hAnsi="宋体" w:cs="宋体"/>
                <w:b/>
                <w:bCs/>
                <w:color w:val="000000"/>
                <w:sz w:val="24"/>
                <w:szCs w:val="24"/>
                <w:highlight w:val="none"/>
                <w:lang w:val="en-US" w:eastAsia="zh-CN"/>
              </w:rPr>
              <w:t xml:space="preserve">信息安全负责人、</w:t>
            </w:r>
            <w:r>
              <w:rPr>
                <w:rFonts w:hint="eastAsia" w:ascii="宋体" w:hAnsi="宋体" w:cs="宋体"/>
                <w:b/>
                <w:bCs/>
                <w:color w:val="000000"/>
                <w:sz w:val="24"/>
                <w:szCs w:val="24"/>
                <w:highlight w:val="none"/>
              </w:rPr>
              <w:t xml:space="preserve">技术负责人资质不得用于项目</w:t>
            </w:r>
            <w:r>
              <w:rPr>
                <w:rFonts w:hint="eastAsia" w:ascii="宋体" w:hAnsi="宋体" w:cs="宋体"/>
                <w:b/>
                <w:bCs/>
                <w:color w:val="000000"/>
                <w:sz w:val="24"/>
                <w:szCs w:val="24"/>
                <w:highlight w:val="none"/>
                <w:lang w:val="en-US" w:eastAsia="zh-CN"/>
              </w:rPr>
              <w:t xml:space="preserve">组成员</w:t>
            </w:r>
            <w:r>
              <w:rPr>
                <w:rFonts w:hint="eastAsia" w:ascii="宋体" w:hAnsi="宋体" w:cs="宋体"/>
                <w:b/>
                <w:bCs/>
                <w:color w:val="000000"/>
                <w:sz w:val="24"/>
                <w:szCs w:val="24"/>
                <w:highlight w:val="none"/>
              </w:rPr>
              <w:t xml:space="preserve">评分，项目组成员同一人员限评一项证书，不重复计分。响应文件中须提供相关人员证书、证明复印件以及响应单位为其缴纳的最近一期社保证明复印件并加盖响应单位公章，未提供不得分。）</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rHeight w:val="2336"/>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928" w:type="dxa"/>
            <w:vAlign w:val="center"/>
            <w:textDirection w:val="lrTb"/>
            <w:noWrap w:val="false"/>
          </w:tcPr>
          <w:p>
            <w:pPr>
              <w:pStyle w:val="698"/>
              <w:jc w:val="center"/>
              <w:spacing w:line="400" w:lineRule="exact"/>
              <w:rPr>
                <w:rFonts w:hint="eastAsia" w:ascii="宋体" w:hAnsi="宋体" w:eastAsia="宋体" w:cs="宋体"/>
                <w:bCs/>
                <w:color w:val="000000"/>
                <w:sz w:val="24"/>
                <w:szCs w:val="24"/>
                <w:highlight w:val="none"/>
              </w:rPr>
            </w:pPr>
            <w:r>
              <w:rPr>
                <w:rFonts w:hint="eastAsia" w:ascii="宋体" w:hAnsi="宋体" w:cs="宋体"/>
                <w:color w:val="000000"/>
                <w:sz w:val="24"/>
                <w:highlight w:val="none"/>
                <w:lang w:val="en-US" w:eastAsia="zh-CN"/>
              </w:rPr>
              <w:t xml:space="preserve">信息安全服务认证资质（CCRC）认证“安全集成类”</w:t>
            </w:r>
            <w:r>
              <w:rPr>
                <w:rFonts w:hint="eastAsia" w:ascii="宋体" w:hAnsi="宋体" w:eastAsia="宋体" w:cs="宋体"/>
                <w:bCs/>
                <w:color w:val="000000"/>
                <w:sz w:val="24"/>
                <w:szCs w:val="24"/>
                <w:highlight w:val="none"/>
              </w:rPr>
            </w:r>
            <w:r/>
          </w:p>
        </w:tc>
        <w:tc>
          <w:tcPr>
            <w:tcW w:w="3185" w:type="dxa"/>
            <w:vAlign w:val="center"/>
            <w:textDirection w:val="lrTb"/>
            <w:noWrap w:val="false"/>
          </w:tcPr>
          <w:p>
            <w:pPr>
              <w:pStyle w:val="698"/>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投标人具有信息安全服务认证资质（CCRC）认证“安全集成类”一级及以上证书得3分；一级以下得1分，</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lang w:val="en-US" w:eastAsia="zh-CN"/>
              </w:rPr>
              <w:t xml:space="preserve">最高得3分。</w:t>
            </w:r>
            <w:r>
              <w:rPr>
                <w:rFonts w:hint="eastAsia" w:ascii="宋体" w:hAnsi="宋体" w:cs="宋体"/>
                <w:color w:val="000000"/>
                <w:sz w:val="24"/>
                <w:highlight w:val="none"/>
                <w:lang w:val="en-US" w:eastAsia="zh-CN"/>
              </w:rPr>
            </w:r>
            <w:r/>
          </w:p>
          <w:p>
            <w:pPr>
              <w:pStyle w:val="698"/>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中需提供证书的复印件并加盖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928" w:type="dxa"/>
            <w:vAlign w:val="center"/>
            <w:textDirection w:val="lrTb"/>
            <w:noWrap w:val="false"/>
          </w:tcPr>
          <w:p>
            <w:pPr>
              <w:pStyle w:val="698"/>
              <w:jc w:val="center"/>
              <w:spacing w:line="400" w:lineRule="exact"/>
              <w:rPr>
                <w:rFonts w:hint="eastAsia" w:ascii="宋体" w:hAnsi="宋体" w:eastAsia="宋体" w:cs="宋体"/>
                <w:bCs/>
                <w:color w:val="000000"/>
                <w:sz w:val="24"/>
                <w:szCs w:val="24"/>
                <w:highlight w:val="none"/>
              </w:rPr>
            </w:pPr>
            <w:r>
              <w:rPr>
                <w:rFonts w:hint="eastAsia" w:ascii="宋体" w:hAnsi="宋体" w:cs="宋体"/>
                <w:color w:val="000000"/>
                <w:sz w:val="24"/>
                <w:highlight w:val="none"/>
                <w:lang w:val="en-US" w:eastAsia="zh-CN"/>
              </w:rPr>
              <w:t xml:space="preserve">信息安全服务认证资质（CCRC）认证“安全运维类”</w:t>
            </w:r>
            <w:r>
              <w:rPr>
                <w:rFonts w:hint="eastAsia" w:ascii="宋体" w:hAnsi="宋体" w:eastAsia="宋体" w:cs="宋体"/>
                <w:bCs/>
                <w:color w:val="000000"/>
                <w:sz w:val="24"/>
                <w:szCs w:val="24"/>
                <w:highlight w:val="none"/>
              </w:rPr>
            </w:r>
            <w:r/>
          </w:p>
        </w:tc>
        <w:tc>
          <w:tcPr>
            <w:tcW w:w="3185" w:type="dxa"/>
            <w:vAlign w:val="center"/>
            <w:textDirection w:val="lrTb"/>
            <w:noWrap w:val="false"/>
          </w:tcPr>
          <w:p>
            <w:pPr>
              <w:pStyle w:val="698"/>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投标人具有信息安全服务认证资质（CCRC）认证“安全运维类”一级及以上证书得3分；一级以下得1分，</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lang w:val="en-US" w:eastAsia="zh-CN"/>
              </w:rPr>
              <w:t xml:space="preserve">最高得3分。</w:t>
            </w:r>
            <w:r>
              <w:rPr>
                <w:rFonts w:hint="eastAsia" w:ascii="宋体" w:hAnsi="宋体" w:cs="宋体"/>
                <w:color w:val="000000"/>
                <w:sz w:val="24"/>
                <w:highlight w:val="none"/>
                <w:lang w:val="en-US" w:eastAsia="zh-CN"/>
              </w:rPr>
            </w:r>
            <w:r/>
          </w:p>
          <w:p>
            <w:pPr>
              <w:pStyle w:val="698"/>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中需提供证书的复印件并加盖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928" w:type="dxa"/>
            <w:vAlign w:val="center"/>
            <w:textDirection w:val="lrTb"/>
            <w:noWrap w:val="false"/>
          </w:tcPr>
          <w:p>
            <w:pPr>
              <w:pStyle w:val="698"/>
              <w:jc w:val="center"/>
              <w:spacing w:line="400" w:lineRule="exact"/>
              <w:rPr>
                <w:rFonts w:hint="eastAsia" w:ascii="宋体" w:hAnsi="宋体" w:eastAsia="宋体" w:cs="宋体"/>
                <w:bCs/>
                <w:color w:val="000000"/>
                <w:sz w:val="24"/>
                <w:szCs w:val="24"/>
                <w:highlight w:val="none"/>
              </w:rPr>
            </w:pPr>
            <w:r>
              <w:rPr>
                <w:rFonts w:hint="eastAsia" w:ascii="宋体" w:hAnsi="宋体" w:cs="宋体"/>
                <w:color w:val="000000"/>
                <w:sz w:val="24"/>
                <w:highlight w:val="none"/>
                <w:lang w:val="en-US" w:eastAsia="zh-CN"/>
              </w:rPr>
              <w:t xml:space="preserve">信息技术服务运行维护（ITSS）资质证书</w:t>
            </w:r>
            <w:r>
              <w:rPr>
                <w:rFonts w:hint="eastAsia" w:ascii="宋体" w:hAnsi="宋体" w:eastAsia="宋体" w:cs="宋体"/>
                <w:bCs/>
                <w:color w:val="000000"/>
                <w:sz w:val="24"/>
                <w:szCs w:val="24"/>
                <w:highlight w:val="none"/>
              </w:rPr>
            </w:r>
            <w:r/>
          </w:p>
        </w:tc>
        <w:tc>
          <w:tcPr>
            <w:tcW w:w="3185" w:type="dxa"/>
            <w:vAlign w:val="center"/>
            <w:textDirection w:val="lrTb"/>
            <w:noWrap w:val="false"/>
          </w:tcPr>
          <w:p>
            <w:pPr>
              <w:pStyle w:val="698"/>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投标人具有信息技术服务运行维护（ITSS）资质证书得1分，</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lang w:val="en-US" w:eastAsia="zh-CN"/>
              </w:rPr>
              <w:t xml:space="preserve">最高得1分。</w:t>
            </w:r>
            <w:r>
              <w:rPr>
                <w:rFonts w:hint="eastAsia" w:ascii="宋体" w:hAnsi="宋体" w:cs="宋体"/>
                <w:color w:val="000000"/>
                <w:sz w:val="24"/>
                <w:highlight w:val="none"/>
                <w:lang w:val="en-US" w:eastAsia="zh-CN"/>
              </w:rPr>
            </w:r>
            <w:r/>
          </w:p>
          <w:p>
            <w:pPr>
              <w:pStyle w:val="698"/>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w:t>
            </w:r>
            <w:r>
              <w:rPr>
                <w:rFonts w:hint="eastAsia" w:ascii="宋体" w:hAnsi="宋体" w:eastAsia="宋体" w:cs="宋体"/>
                <w:bCs/>
                <w:color w:val="000000"/>
                <w:sz w:val="24"/>
                <w:szCs w:val="24"/>
                <w:highlight w:val="none"/>
                <w:lang w:val="en-US" w:eastAsia="zh-CN"/>
              </w:rPr>
              <w:t xml:space="preserve">需</w:t>
            </w:r>
            <w:r>
              <w:rPr>
                <w:rFonts w:hint="eastAsia" w:ascii="宋体" w:hAnsi="宋体" w:eastAsia="宋体" w:cs="宋体"/>
                <w:bCs/>
                <w:color w:val="000000"/>
                <w:sz w:val="24"/>
                <w:szCs w:val="24"/>
                <w:highlight w:val="none"/>
              </w:rPr>
              <w:t xml:space="preserve">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928"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rPr>
            </w:pPr>
            <w:r>
              <w:rPr>
                <w:rFonts w:hint="eastAsia" w:ascii="宋体" w:hAnsi="宋体" w:cs="宋体"/>
                <w:color w:val="000000"/>
                <w:sz w:val="24"/>
                <w:highlight w:val="none"/>
                <w:lang w:val="en-US" w:eastAsia="zh-CN"/>
              </w:rPr>
              <w:t xml:space="preserve">数据存储安全管理体系认证证书</w:t>
            </w:r>
            <w:r>
              <w:rPr>
                <w:rFonts w:hint="eastAsia" w:ascii="宋体" w:hAnsi="宋体" w:eastAsia="宋体" w:cs="宋体"/>
                <w:color w:val="000000"/>
                <w:sz w:val="24"/>
                <w:szCs w:val="24"/>
                <w:highlight w:val="none"/>
              </w:rPr>
            </w:r>
            <w:r/>
          </w:p>
        </w:tc>
        <w:tc>
          <w:tcPr>
            <w:tcW w:w="3185" w:type="dxa"/>
            <w:vAlign w:val="center"/>
            <w:textDirection w:val="lrTb"/>
            <w:noWrap w:val="false"/>
          </w:tcPr>
          <w:p>
            <w:pPr>
              <w:pStyle w:val="698"/>
              <w:spacing w:line="360" w:lineRule="auto"/>
              <w:widowControl w:val="off"/>
              <w:rPr>
                <w:rFonts w:hint="eastAsia" w:ascii="宋体" w:hAnsi="宋体" w:cs="宋体"/>
                <w:bCs/>
                <w:color w:val="000000"/>
                <w:sz w:val="24"/>
                <w:szCs w:val="24"/>
                <w:highlight w:val="none"/>
              </w:rPr>
            </w:pPr>
            <w:r>
              <w:rPr>
                <w:rFonts w:hint="eastAsia" w:ascii="宋体" w:hAnsi="宋体" w:cs="宋体"/>
                <w:color w:val="000000"/>
                <w:sz w:val="24"/>
                <w:highlight w:val="none"/>
                <w:lang w:val="en-US" w:eastAsia="zh-CN"/>
              </w:rPr>
              <w:t xml:space="preserve">投标人具有数据存储安全管理体系认证证书的得2分，</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lang w:val="en-US" w:eastAsia="zh-CN"/>
              </w:rPr>
              <w:t xml:space="preserve">最高得2分。</w:t>
            </w: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w:t>
            </w:r>
            <w:r>
              <w:rPr>
                <w:rFonts w:hint="eastAsia" w:ascii="宋体" w:hAnsi="宋体" w:eastAsia="宋体" w:cs="宋体"/>
                <w:bCs/>
                <w:color w:val="000000"/>
                <w:sz w:val="24"/>
                <w:szCs w:val="24"/>
                <w:highlight w:val="none"/>
                <w:lang w:val="en-US" w:eastAsia="zh-CN"/>
              </w:rPr>
              <w:t xml:space="preserve">需</w:t>
            </w:r>
            <w:r>
              <w:rPr>
                <w:rFonts w:hint="eastAsia" w:ascii="宋体" w:hAnsi="宋体" w:eastAsia="宋体" w:cs="宋体"/>
                <w:bCs/>
                <w:color w:val="000000"/>
                <w:sz w:val="24"/>
                <w:szCs w:val="24"/>
                <w:highlight w:val="none"/>
              </w:rPr>
              <w:t xml:space="preserve">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98"/>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8"/>
              <w:jc w:val="center"/>
              <w:spacing w:line="400" w:lineRule="exact"/>
              <w:rPr>
                <w:rFonts w:hint="eastAsia" w:ascii="宋体" w:hAnsi="宋体" w:eastAsia="宋体" w:cs="宋体"/>
                <w:bCs/>
                <w:color w:val="000000"/>
                <w:sz w:val="24"/>
                <w:szCs w:val="24"/>
                <w:highlight w:val="none"/>
              </w:rPr>
            </w:pPr>
            <w:r>
              <w:rPr>
                <w:rFonts w:hint="eastAsia" w:ascii="宋体" w:hAnsi="宋体" w:cs="宋体"/>
                <w:color w:val="000000"/>
                <w:sz w:val="24"/>
                <w:highlight w:val="none"/>
                <w:lang w:val="en-US" w:eastAsia="zh-CN"/>
              </w:rPr>
              <w:t xml:space="preserve">管理系列体系认证证书</w:t>
            </w:r>
            <w:r>
              <w:rPr>
                <w:rFonts w:hint="eastAsia" w:ascii="宋体" w:hAnsi="宋体" w:eastAsia="宋体" w:cs="宋体"/>
                <w:bCs/>
                <w:color w:val="000000"/>
                <w:sz w:val="24"/>
                <w:szCs w:val="24"/>
                <w:highlight w:val="none"/>
              </w:rPr>
            </w:r>
            <w:r/>
          </w:p>
        </w:tc>
        <w:tc>
          <w:tcPr>
            <w:tcW w:w="3185" w:type="dxa"/>
            <w:vAlign w:val="center"/>
            <w:textDirection w:val="lrTb"/>
            <w:noWrap w:val="false"/>
          </w:tcPr>
          <w:p>
            <w:pPr>
              <w:pStyle w:val="698"/>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投标人具有有效期内质量管理、环境管理、信息安全管理、信息技术服务管理系列体系认证证书，每提供一个得1分，</w:t>
            </w:r>
            <w:r>
              <w:rPr>
                <w:rFonts w:hint="eastAsia" w:ascii="宋体" w:hAnsi="宋体" w:eastAsia="宋体" w:cs="宋体"/>
                <w:color w:val="000000"/>
                <w:sz w:val="24"/>
                <w:highlight w:val="none"/>
                <w:lang w:val="en-US" w:eastAsia="zh-CN"/>
              </w:rPr>
              <w:t xml:space="preserve">本项</w:t>
            </w:r>
            <w:r>
              <w:rPr>
                <w:rFonts w:hint="eastAsia" w:ascii="宋体" w:hAnsi="宋体" w:cs="宋体"/>
                <w:color w:val="000000"/>
                <w:sz w:val="24"/>
                <w:highlight w:val="none"/>
                <w:lang w:val="en-US" w:eastAsia="zh-CN"/>
              </w:rPr>
              <w:t xml:space="preserve">最高得4分。</w:t>
            </w:r>
            <w:r>
              <w:rPr>
                <w:rFonts w:hint="eastAsia" w:ascii="宋体" w:hAnsi="宋体" w:cs="宋体"/>
                <w:color w:val="000000"/>
                <w:sz w:val="24"/>
                <w:highlight w:val="none"/>
                <w:lang w:val="en-US" w:eastAsia="zh-CN"/>
              </w:rPr>
            </w:r>
            <w:r/>
          </w:p>
          <w:p>
            <w:pPr>
              <w:pStyle w:val="698"/>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w:t>
            </w:r>
            <w:r>
              <w:rPr>
                <w:rFonts w:hint="eastAsia" w:ascii="宋体" w:hAnsi="宋体" w:eastAsia="宋体" w:cs="宋体"/>
                <w:bCs/>
                <w:color w:val="000000"/>
                <w:sz w:val="24"/>
                <w:szCs w:val="24"/>
                <w:highlight w:val="none"/>
                <w:lang w:val="en-US" w:eastAsia="zh-CN"/>
              </w:rPr>
              <w:t xml:space="preserve">需</w:t>
            </w:r>
            <w:r>
              <w:rPr>
                <w:rFonts w:hint="eastAsia" w:ascii="宋体" w:hAnsi="宋体" w:eastAsia="宋体" w:cs="宋体"/>
                <w:bCs/>
                <w:color w:val="000000"/>
                <w:sz w:val="24"/>
                <w:szCs w:val="24"/>
                <w:highlight w:val="none"/>
              </w:rPr>
              <w:t xml:space="preserve">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9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928" w:type="dxa"/>
            <w:vAlign w:val="center"/>
            <w:textDirection w:val="lrTb"/>
            <w:noWrap w:val="false"/>
          </w:tcPr>
          <w:p>
            <w:pPr>
              <w:pStyle w:val="698"/>
              <w:jc w:val="center"/>
              <w:spacing w:line="4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类似业绩</w:t>
            </w:r>
            <w:r>
              <w:rPr>
                <w:rFonts w:hint="eastAsia" w:ascii="宋体" w:hAnsi="宋体" w:cs="宋体"/>
                <w:color w:val="000000"/>
                <w:sz w:val="24"/>
                <w:highlight w:val="none"/>
                <w:lang w:val="en-US" w:eastAsia="zh-CN"/>
              </w:rPr>
            </w:r>
            <w:r/>
          </w:p>
        </w:tc>
        <w:tc>
          <w:tcPr>
            <w:tcW w:w="3185" w:type="dxa"/>
            <w:vAlign w:val="center"/>
            <w:textDirection w:val="lrTb"/>
            <w:noWrap w:val="false"/>
          </w:tcPr>
          <w:p>
            <w:pPr>
              <w:pStyle w:val="698"/>
              <w:ind w:firstLine="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投标人2021年1月1日（以合同签订日期为准）以来承担过类似项目业绩比较：每提供1份得2分，最高得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投标文件中</w:t>
            </w:r>
            <w:r>
              <w:rPr>
                <w:rFonts w:hint="eastAsia" w:ascii="宋体" w:hAnsi="宋体" w:eastAsia="宋体" w:cs="宋体"/>
                <w:bCs/>
                <w:color w:val="000000"/>
                <w:sz w:val="24"/>
                <w:szCs w:val="24"/>
                <w:highlight w:val="none"/>
                <w:lang w:val="en-US" w:eastAsia="zh-CN"/>
              </w:rPr>
              <w:t xml:space="preserve">需</w:t>
            </w:r>
            <w:r>
              <w:rPr>
                <w:rFonts w:hint="eastAsia" w:ascii="宋体" w:hAnsi="宋体" w:cs="宋体"/>
                <w:bCs/>
                <w:color w:val="000000"/>
                <w:sz w:val="24"/>
                <w:szCs w:val="24"/>
                <w:highlight w:val="none"/>
              </w:rPr>
              <w:t xml:space="preserve">提供业绩合同扫描件并加盖供应商公章，否则不得分。</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rPr>
            </w:r>
            <w:r/>
          </w:p>
        </w:tc>
        <w:tc>
          <w:tcPr>
            <w:tcW w:w="549" w:type="dxa"/>
            <w:vAlign w:val="center"/>
            <w:textDirection w:val="lrTb"/>
            <w:noWrap w:val="false"/>
          </w:tcPr>
          <w:p>
            <w:pPr>
              <w:pStyle w:val="69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bl>
    <w:p>
      <w:pPr>
        <w:pStyle w:val="929"/>
        <w:ind w:firstLine="0"/>
        <w:jc w:val="both"/>
        <w:spacing w:line="40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注：1、针对评分标准中评分的每一条，投标人均应提供相关资料并作出相应说明供评委评判，不提供相关资料的视为不具备该项得分的条件。</w:t>
      </w:r>
      <w:r>
        <w:rPr>
          <w:rFonts w:ascii="宋体" w:hAnsi="宋体" w:eastAsia="宋体" w:cs="宋体"/>
          <w:color w:val="000000"/>
          <w:sz w:val="24"/>
          <w:szCs w:val="24"/>
          <w:highlight w:val="none"/>
        </w:rPr>
      </w:r>
      <w:r/>
    </w:p>
    <w:p>
      <w:pPr>
        <w:pStyle w:val="698"/>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2、评标委员会可以书面方式要求投标人对投标文件中含义不明、对同类问题表述不一致或有明显文字及计算错误的内容作必要澄清、说明和补正。如投标人拒绝上述请求，评标委员会有权拒绝其响应。</w:t>
      </w:r>
      <w:r>
        <w:rPr>
          <w:rFonts w:ascii="宋体" w:hAnsi="宋体" w:eastAsia="宋体" w:cs="宋体"/>
          <w:color w:val="000000"/>
          <w:sz w:val="24"/>
          <w:szCs w:val="24"/>
          <w:highlight w:val="none"/>
        </w:rPr>
      </w:r>
      <w:r/>
    </w:p>
    <w:p>
      <w:pPr>
        <w:pStyle w:val="698"/>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firstLine="482"/>
        <w:jc w:val="right"/>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（全文完）</w:t>
      </w:r>
      <w:r/>
    </w:p>
    <w:sectPr>
      <w:headerReference w:type="default" r:id="rId9"/>
      <w:footerReference w:type="default" r:id="rId10"/>
      <w:footnotePr/>
      <w:endnotePr/>
      <w:type w:val="nextPage"/>
      <w:pgSz w:w="11905" w:h="16839" w:orient="portrait"/>
      <w:pgMar w:top="1327" w:right="1140" w:bottom="1327" w:left="1140" w:header="850"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fldChar w:fldCharType="begin"/>
    </w:r>
    <w:r>
      <w:instrText xml:space="preserve">PAGE \* MERGEFORMAT</w:instrText>
    </w:r>
    <w:r>
      <w:fldChar w:fldCharType="separate"/>
    </w:r>
    <w:r>
      <w:t xml:space="preserve">19</w:t>
    </w:r>
    <w:r>
      <w:fldChar w:fldCharType="end"/>
    </w:r>
    <w:r/>
  </w:p>
  <w:p>
    <w:pPr>
      <w:pStyle w:val="9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ind w:firstLine="360"/>
      <w:spacing w:line="219" w:lineRule="auto"/>
      <w:rPr>
        <w:rFonts w:ascii="Times New Roman" w:hAnsi="Times New Roman" w:eastAsia="楷体" w:cs="Times New Roman"/>
        <w:sz w:val="18"/>
        <w:szCs w:val="18"/>
      </w:rPr>
    </w:pPr>
    <w:r>
      <w:rPr>
        <w:rFonts w:ascii="Times New Roman" w:hAnsi="Times New Roman" w:eastAsia="楷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List Paragraph"/>
    <w:basedOn w:val="698"/>
    <w:uiPriority w:val="34"/>
    <w:qFormat/>
    <w:pPr>
      <w:contextualSpacing/>
      <w:ind w:left="720"/>
    </w:pPr>
  </w:style>
  <w:style w:type="paragraph" w:styleId="667">
    <w:name w:val="No Spacing"/>
    <w:uiPriority w:val="1"/>
    <w:qFormat/>
    <w:pPr>
      <w:spacing w:before="0" w:after="0" w:line="240" w:lineRule="auto"/>
    </w:pPr>
  </w:style>
  <w:style w:type="paragraph" w:styleId="668">
    <w:name w:val="Title"/>
    <w:basedOn w:val="698"/>
    <w:next w:val="698"/>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basedOn w:val="698"/>
    <w:next w:val="698"/>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basedOn w:val="698"/>
    <w:next w:val="698"/>
    <w:link w:val="673"/>
    <w:uiPriority w:val="29"/>
    <w:qFormat/>
    <w:pPr>
      <w:ind w:left="720" w:right="720"/>
    </w:pPr>
    <w:rPr>
      <w:i/>
    </w:rPr>
  </w:style>
  <w:style w:type="character" w:styleId="673">
    <w:name w:val="Quote Char"/>
    <w:link w:val="672"/>
    <w:uiPriority w:val="29"/>
    <w:rPr>
      <w:i/>
    </w:rPr>
  </w:style>
  <w:style w:type="paragraph" w:styleId="674">
    <w:name w:val="Intense Quote"/>
    <w:basedOn w:val="698"/>
    <w:next w:val="698"/>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basedOn w:val="698"/>
    <w:link w:val="770"/>
    <w:uiPriority w:val="99"/>
    <w:unhideWhenUsed/>
    <w:pPr>
      <w:spacing w:after="0" w:line="240" w:lineRule="auto"/>
      <w:tabs>
        <w:tab w:val="center" w:pos="7143" w:leader="none"/>
        <w:tab w:val="right" w:pos="14287" w:leader="none"/>
      </w:tabs>
    </w:pPr>
  </w:style>
  <w:style w:type="paragraph" w:styleId="677">
    <w:name w:val="Footer"/>
    <w:basedOn w:val="698"/>
    <w:link w:val="773"/>
    <w:uiPriority w:val="99"/>
    <w:unhideWhenUsed/>
    <w:pPr>
      <w:spacing w:after="0" w:line="240" w:lineRule="auto"/>
      <w:tabs>
        <w:tab w:val="center" w:pos="7143" w:leader="none"/>
        <w:tab w:val="right" w:pos="14287" w:leader="none"/>
      </w:tabs>
    </w:pPr>
  </w:style>
  <w:style w:type="paragraph" w:styleId="678">
    <w:name w:val="Caption"/>
    <w:basedOn w:val="698"/>
    <w:next w:val="698"/>
    <w:uiPriority w:val="35"/>
    <w:semiHidden/>
    <w:unhideWhenUsed/>
    <w:qFormat/>
    <w:pPr>
      <w:spacing w:line="276" w:lineRule="auto"/>
    </w:pPr>
    <w:rPr>
      <w:b/>
      <w:bCs/>
      <w:color w:val="4f81bd" w:themeColor="accent1"/>
      <w:sz w:val="18"/>
      <w:szCs w:val="18"/>
    </w:rPr>
  </w:style>
  <w:style w:type="table" w:styleId="6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Hyperlink"/>
    <w:uiPriority w:val="99"/>
    <w:unhideWhenUsed/>
    <w:rPr>
      <w:color w:val="0000ff" w:themeColor="hyperlink"/>
      <w:u w:val="single"/>
    </w:rPr>
  </w:style>
  <w:style w:type="paragraph" w:styleId="681">
    <w:name w:val="footnote text"/>
    <w:basedOn w:val="698"/>
    <w:link w:val="682"/>
    <w:uiPriority w:val="99"/>
    <w:semiHidden/>
    <w:unhideWhenUsed/>
    <w:pPr>
      <w:spacing w:after="40" w:line="240" w:lineRule="auto"/>
    </w:pPr>
    <w:rPr>
      <w:sz w:val="18"/>
    </w:rPr>
  </w:style>
  <w:style w:type="character" w:styleId="682">
    <w:name w:val="Footnote Text Char"/>
    <w:link w:val="681"/>
    <w:uiPriority w:val="99"/>
    <w:rPr>
      <w:sz w:val="18"/>
    </w:rPr>
  </w:style>
  <w:style w:type="character" w:styleId="683">
    <w:name w:val="footnote reference"/>
    <w:uiPriority w:val="99"/>
    <w:unhideWhenUsed/>
    <w:rPr>
      <w:vertAlign w:val="superscript"/>
    </w:rPr>
  </w:style>
  <w:style w:type="paragraph" w:styleId="684">
    <w:name w:val="endnote text"/>
    <w:basedOn w:val="698"/>
    <w:link w:val="685"/>
    <w:uiPriority w:val="99"/>
    <w:semiHidden/>
    <w:unhideWhenUsed/>
    <w:pPr>
      <w:spacing w:after="0" w:line="240" w:lineRule="auto"/>
    </w:pPr>
    <w:rPr>
      <w:sz w:val="20"/>
    </w:rPr>
  </w:style>
  <w:style w:type="character" w:styleId="685">
    <w:name w:val="Endnote Text Char"/>
    <w:link w:val="684"/>
    <w:uiPriority w:val="99"/>
    <w:rPr>
      <w:sz w:val="20"/>
    </w:rPr>
  </w:style>
  <w:style w:type="character" w:styleId="686">
    <w:name w:val="endnote reference"/>
    <w:uiPriority w:val="99"/>
    <w:semiHidden/>
    <w:unhideWhenUsed/>
    <w:rPr>
      <w:vertAlign w:val="superscript"/>
    </w:rPr>
  </w:style>
  <w:style w:type="paragraph" w:styleId="687">
    <w:name w:val="toc 1"/>
    <w:basedOn w:val="698"/>
    <w:next w:val="698"/>
    <w:uiPriority w:val="39"/>
    <w:unhideWhenUsed/>
    <w:pPr>
      <w:ind w:left="0" w:right="0" w:firstLine="0"/>
      <w:spacing w:after="57"/>
    </w:pPr>
  </w:style>
  <w:style w:type="paragraph" w:styleId="688">
    <w:name w:val="toc 2"/>
    <w:basedOn w:val="698"/>
    <w:next w:val="698"/>
    <w:uiPriority w:val="39"/>
    <w:unhideWhenUsed/>
    <w:pPr>
      <w:ind w:left="283" w:right="0" w:firstLine="0"/>
      <w:spacing w:after="57"/>
    </w:pPr>
  </w:style>
  <w:style w:type="paragraph" w:styleId="689">
    <w:name w:val="toc 3"/>
    <w:basedOn w:val="698"/>
    <w:next w:val="698"/>
    <w:uiPriority w:val="39"/>
    <w:unhideWhenUsed/>
    <w:pPr>
      <w:ind w:left="567" w:right="0" w:firstLine="0"/>
      <w:spacing w:after="57"/>
    </w:pPr>
  </w:style>
  <w:style w:type="paragraph" w:styleId="690">
    <w:name w:val="toc 4"/>
    <w:basedOn w:val="698"/>
    <w:next w:val="698"/>
    <w:uiPriority w:val="39"/>
    <w:unhideWhenUsed/>
    <w:pPr>
      <w:ind w:left="850" w:right="0" w:firstLine="0"/>
      <w:spacing w:after="57"/>
    </w:pPr>
  </w:style>
  <w:style w:type="paragraph" w:styleId="691">
    <w:name w:val="toc 5"/>
    <w:basedOn w:val="698"/>
    <w:next w:val="698"/>
    <w:uiPriority w:val="39"/>
    <w:unhideWhenUsed/>
    <w:pPr>
      <w:ind w:left="1134" w:right="0" w:firstLine="0"/>
      <w:spacing w:after="57"/>
    </w:pPr>
  </w:style>
  <w:style w:type="paragraph" w:styleId="692">
    <w:name w:val="toc 6"/>
    <w:basedOn w:val="698"/>
    <w:next w:val="698"/>
    <w:uiPriority w:val="39"/>
    <w:unhideWhenUsed/>
    <w:pPr>
      <w:ind w:left="1417" w:right="0" w:firstLine="0"/>
      <w:spacing w:after="57"/>
    </w:pPr>
  </w:style>
  <w:style w:type="paragraph" w:styleId="693">
    <w:name w:val="toc 7"/>
    <w:basedOn w:val="698"/>
    <w:next w:val="698"/>
    <w:uiPriority w:val="39"/>
    <w:unhideWhenUsed/>
    <w:pPr>
      <w:ind w:left="1701" w:right="0" w:firstLine="0"/>
      <w:spacing w:after="57"/>
    </w:pPr>
  </w:style>
  <w:style w:type="paragraph" w:styleId="694">
    <w:name w:val="toc 8"/>
    <w:basedOn w:val="698"/>
    <w:next w:val="698"/>
    <w:uiPriority w:val="39"/>
    <w:unhideWhenUsed/>
    <w:pPr>
      <w:ind w:left="1984" w:right="0" w:firstLine="0"/>
      <w:spacing w:after="57"/>
    </w:pPr>
  </w:style>
  <w:style w:type="paragraph" w:styleId="695">
    <w:name w:val="toc 9"/>
    <w:basedOn w:val="698"/>
    <w:next w:val="698"/>
    <w:uiPriority w:val="39"/>
    <w:unhideWhenUsed/>
    <w:pPr>
      <w:ind w:left="2268" w:right="0" w:firstLine="0"/>
      <w:spacing w:after="57"/>
    </w:pPr>
  </w:style>
  <w:style w:type="paragraph" w:styleId="696">
    <w:name w:val="TOC Heading"/>
    <w:uiPriority w:val="39"/>
    <w:unhideWhenUsed/>
  </w:style>
  <w:style w:type="paragraph" w:styleId="697">
    <w:name w:val="table of figures"/>
    <w:basedOn w:val="698"/>
    <w:next w:val="698"/>
    <w:uiPriority w:val="99"/>
    <w:unhideWhenUsed/>
    <w:pPr>
      <w:spacing w:after="0" w:afterAutospacing="0"/>
    </w:pPr>
  </w:style>
  <w:style w:type="paragraph" w:styleId="698" w:default="1">
    <w:name w:val="Normal"/>
    <w:next w:val="702"/>
    <w:link w:val="698"/>
    <w:qFormat/>
    <w:rPr>
      <w:rFonts w:ascii="Arial" w:hAnsi="Arial" w:eastAsia="Arial" w:cs="Arial"/>
      <w:color w:val="000000"/>
      <w:sz w:val="21"/>
      <w:szCs w:val="21"/>
      <w:lang w:val="en-US" w:eastAsia="zh-CN" w:bidi="ar-SA"/>
    </w:rPr>
  </w:style>
  <w:style w:type="paragraph" w:styleId="699">
    <w:name w:val="标题 2"/>
    <w:basedOn w:val="698"/>
    <w:next w:val="698"/>
    <w:link w:val="698"/>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700">
    <w:name w:val="默认段落字体"/>
    <w:next w:val="700"/>
    <w:link w:val="698"/>
    <w:uiPriority w:val="1"/>
    <w:unhideWhenUsed/>
    <w:qFormat/>
  </w:style>
  <w:style w:type="table" w:styleId="701">
    <w:name w:val="普通表格"/>
    <w:next w:val="701"/>
    <w:link w:val="698"/>
    <w:uiPriority w:val="99"/>
    <w:unhideWhenUsed/>
    <w:qFormat/>
    <w:tblPr/>
  </w:style>
  <w:style w:type="paragraph" w:styleId="702">
    <w:name w:val="正文文本缩进"/>
    <w:basedOn w:val="698"/>
    <w:next w:val="698"/>
    <w:link w:val="703"/>
    <w:qFormat/>
    <w:pPr>
      <w:ind w:left="420" w:firstLine="1188"/>
      <w:spacing w:line="360" w:lineRule="exact"/>
    </w:pPr>
    <w:rPr>
      <w:rFonts w:ascii="Times New Roman" w:hAnsi="Times New Roman" w:cs="Times New Roman"/>
    </w:rPr>
  </w:style>
  <w:style w:type="character" w:styleId="703">
    <w:name w:val="正文文本缩进 Char"/>
    <w:basedOn w:val="700"/>
    <w:next w:val="703"/>
    <w:link w:val="702"/>
    <w:qFormat/>
    <w:rPr>
      <w:sz w:val="21"/>
      <w:szCs w:val="24"/>
    </w:rPr>
  </w:style>
  <w:style w:type="paragraph" w:styleId="704">
    <w:name w:val="目录 7"/>
    <w:basedOn w:val="698"/>
    <w:next w:val="698"/>
    <w:link w:val="698"/>
    <w:uiPriority w:val="39"/>
    <w:unhideWhenUsed/>
    <w:pPr>
      <w:ind w:left="1701" w:right="0" w:firstLine="0"/>
      <w:spacing w:after="57"/>
    </w:pPr>
  </w:style>
  <w:style w:type="paragraph" w:styleId="705">
    <w:name w:val="引文目录"/>
    <w:basedOn w:val="698"/>
    <w:next w:val="698"/>
    <w:link w:val="698"/>
    <w:qFormat/>
    <w:pPr>
      <w:ind w:left="420"/>
    </w:pPr>
    <w:rPr>
      <w:rFonts w:ascii="Calibri" w:hAnsi="Calibri" w:cs="Times New Roman"/>
      <w:sz w:val="21"/>
      <w:szCs w:val="24"/>
    </w:rPr>
  </w:style>
  <w:style w:type="paragraph" w:styleId="706">
    <w:name w:val="正文缩进"/>
    <w:basedOn w:val="698"/>
    <w:next w:val="698"/>
    <w:link w:val="698"/>
    <w:uiPriority w:val="99"/>
    <w:qFormat/>
    <w:pPr>
      <w:ind w:firstLine="420"/>
    </w:pPr>
    <w:rPr>
      <w:sz w:val="24"/>
    </w:rPr>
  </w:style>
  <w:style w:type="paragraph" w:styleId="707">
    <w:name w:val="批注文字"/>
    <w:basedOn w:val="698"/>
    <w:next w:val="707"/>
    <w:link w:val="708"/>
    <w:qFormat/>
  </w:style>
  <w:style w:type="character" w:styleId="708">
    <w:name w:val="批注文字 Char"/>
    <w:basedOn w:val="700"/>
    <w:next w:val="708"/>
    <w:link w:val="707"/>
    <w:qFormat/>
    <w:rPr>
      <w:rFonts w:ascii="Arial" w:hAnsi="Arial" w:eastAsia="Arial" w:cs="Arial"/>
      <w:color w:val="000000"/>
      <w:sz w:val="21"/>
      <w:szCs w:val="21"/>
    </w:rPr>
  </w:style>
  <w:style w:type="paragraph" w:styleId="709">
    <w:name w:val="正文文本"/>
    <w:basedOn w:val="698"/>
    <w:next w:val="706"/>
    <w:link w:val="710"/>
    <w:qFormat/>
    <w:pPr>
      <w:spacing w:after="120"/>
    </w:pPr>
  </w:style>
  <w:style w:type="character" w:styleId="710">
    <w:name w:val="正文文本 Char"/>
    <w:basedOn w:val="700"/>
    <w:next w:val="710"/>
    <w:link w:val="709"/>
    <w:qFormat/>
    <w:rPr>
      <w:rFonts w:hint="eastAsia" w:ascii="楷体_GB2312" w:eastAsia="楷体_GB2312" w:cs="楷体_GB2312"/>
      <w:sz w:val="26"/>
    </w:rPr>
  </w:style>
  <w:style w:type="paragraph" w:styleId="711">
    <w:name w:val="文本块"/>
    <w:basedOn w:val="698"/>
    <w:next w:val="711"/>
    <w:link w:val="698"/>
    <w:qFormat/>
    <w:pPr>
      <w:ind w:left="630" w:right="-609" w:firstLine="420"/>
      <w:spacing w:line="360" w:lineRule="auto"/>
    </w:pPr>
    <w:rPr>
      <w:rFonts w:hint="eastAsia" w:ascii="仿宋_GB2312" w:eastAsia="仿宋_GB2312"/>
      <w:szCs w:val="20"/>
    </w:rPr>
  </w:style>
  <w:style w:type="paragraph" w:styleId="712">
    <w:name w:val="目录 5"/>
    <w:basedOn w:val="698"/>
    <w:next w:val="698"/>
    <w:link w:val="698"/>
    <w:uiPriority w:val="39"/>
    <w:unhideWhenUsed/>
    <w:pPr>
      <w:ind w:left="1134" w:right="0" w:firstLine="0"/>
      <w:spacing w:after="57"/>
    </w:pPr>
  </w:style>
  <w:style w:type="paragraph" w:styleId="713">
    <w:name w:val="目录 3"/>
    <w:basedOn w:val="698"/>
    <w:next w:val="698"/>
    <w:link w:val="698"/>
    <w:uiPriority w:val="39"/>
    <w:unhideWhenUsed/>
    <w:pPr>
      <w:ind w:left="567" w:right="0" w:firstLine="0"/>
      <w:spacing w:after="57"/>
    </w:pPr>
  </w:style>
  <w:style w:type="paragraph" w:styleId="714">
    <w:name w:val="纯文本"/>
    <w:basedOn w:val="698"/>
    <w:next w:val="714"/>
    <w:link w:val="698"/>
    <w:qFormat/>
    <w:rPr>
      <w:rFonts w:ascii="宋体" w:hAnsi="Courier New" w:cs="Courier New"/>
      <w:szCs w:val="21"/>
    </w:rPr>
  </w:style>
  <w:style w:type="paragraph" w:styleId="715">
    <w:name w:val="目录 8"/>
    <w:basedOn w:val="698"/>
    <w:next w:val="698"/>
    <w:link w:val="698"/>
    <w:uiPriority w:val="39"/>
    <w:unhideWhenUsed/>
    <w:pPr>
      <w:ind w:left="1984" w:right="0" w:firstLine="0"/>
      <w:spacing w:after="57"/>
    </w:pPr>
  </w:style>
  <w:style w:type="paragraph" w:styleId="716">
    <w:name w:val="尾注文本"/>
    <w:basedOn w:val="698"/>
    <w:next w:val="716"/>
    <w:link w:val="717"/>
    <w:uiPriority w:val="99"/>
    <w:unhideWhenUsed/>
    <w:pPr>
      <w:spacing w:after="0" w:line="240" w:lineRule="auto"/>
    </w:pPr>
    <w:rPr>
      <w:rFonts w:ascii="Times New Roman" w:hAnsi="Times New Roman" w:eastAsia="宋体" w:cs="Times New Roman"/>
      <w:color w:val="000000"/>
      <w:sz w:val="20"/>
      <w:szCs w:val="20"/>
    </w:rPr>
  </w:style>
  <w:style w:type="character" w:styleId="717">
    <w:name w:val="尾注文本 Char"/>
    <w:next w:val="717"/>
    <w:link w:val="716"/>
    <w:uiPriority w:val="99"/>
    <w:rPr>
      <w:sz w:val="20"/>
    </w:rPr>
  </w:style>
  <w:style w:type="paragraph" w:styleId="718">
    <w:name w:val="批注框文本"/>
    <w:basedOn w:val="698"/>
    <w:next w:val="718"/>
    <w:link w:val="719"/>
    <w:qFormat/>
    <w:rPr>
      <w:sz w:val="18"/>
      <w:szCs w:val="18"/>
    </w:rPr>
  </w:style>
  <w:style w:type="character" w:styleId="719">
    <w:name w:val="批注框文本 Char"/>
    <w:basedOn w:val="700"/>
    <w:next w:val="719"/>
    <w:link w:val="718"/>
    <w:qFormat/>
    <w:rPr>
      <w:rFonts w:eastAsia="Arial"/>
      <w:color w:val="000000"/>
      <w:sz w:val="18"/>
      <w:szCs w:val="18"/>
    </w:rPr>
  </w:style>
  <w:style w:type="paragraph" w:styleId="720">
    <w:name w:val="页脚"/>
    <w:basedOn w:val="698"/>
    <w:next w:val="720"/>
    <w:link w:val="698"/>
    <w:qFormat/>
    <w:pPr>
      <w:jc w:val="left"/>
      <w:tabs>
        <w:tab w:val="center" w:pos="4153" w:leader="none"/>
        <w:tab w:val="right" w:pos="8306" w:leader="none"/>
      </w:tabs>
    </w:pPr>
    <w:rPr>
      <w:sz w:val="18"/>
    </w:rPr>
  </w:style>
  <w:style w:type="paragraph" w:styleId="721">
    <w:name w:val="寄信人地址"/>
    <w:basedOn w:val="698"/>
    <w:next w:val="721"/>
    <w:link w:val="698"/>
    <w:qFormat/>
    <w:pPr>
      <w:widowControl w:val="off"/>
    </w:pPr>
    <w:rPr>
      <w:rFonts w:eastAsia="宋体" w:cs="Times New Roman"/>
      <w:sz w:val="26"/>
      <w:szCs w:val="24"/>
    </w:rPr>
  </w:style>
  <w:style w:type="paragraph" w:styleId="722">
    <w:name w:val="页眉"/>
    <w:basedOn w:val="698"/>
    <w:next w:val="722"/>
    <w:link w:val="698"/>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23">
    <w:name w:val="目录 1"/>
    <w:basedOn w:val="698"/>
    <w:next w:val="698"/>
    <w:link w:val="698"/>
    <w:qFormat/>
    <w:rPr>
      <w:rFonts w:eastAsia="楷体_GB2312"/>
      <w:szCs w:val="20"/>
    </w:rPr>
  </w:style>
  <w:style w:type="paragraph" w:styleId="724">
    <w:name w:val="目录 4"/>
    <w:basedOn w:val="698"/>
    <w:next w:val="698"/>
    <w:link w:val="698"/>
    <w:uiPriority w:val="39"/>
    <w:unhideWhenUsed/>
    <w:pPr>
      <w:ind w:left="850" w:right="0" w:firstLine="0"/>
      <w:spacing w:after="57"/>
    </w:pPr>
  </w:style>
  <w:style w:type="paragraph" w:styleId="725">
    <w:name w:val="副标题"/>
    <w:basedOn w:val="698"/>
    <w:next w:val="698"/>
    <w:link w:val="726"/>
    <w:uiPriority w:val="11"/>
    <w:qFormat/>
    <w:pPr>
      <w:spacing w:before="200" w:after="200"/>
    </w:pPr>
    <w:rPr>
      <w:sz w:val="24"/>
      <w:szCs w:val="24"/>
    </w:rPr>
  </w:style>
  <w:style w:type="character" w:styleId="726">
    <w:name w:val="副标题 Char"/>
    <w:basedOn w:val="700"/>
    <w:next w:val="726"/>
    <w:link w:val="725"/>
    <w:uiPriority w:val="11"/>
    <w:rPr>
      <w:sz w:val="24"/>
      <w:szCs w:val="24"/>
    </w:rPr>
  </w:style>
  <w:style w:type="paragraph" w:styleId="727">
    <w:name w:val="脚注文本"/>
    <w:basedOn w:val="698"/>
    <w:next w:val="727"/>
    <w:link w:val="728"/>
    <w:uiPriority w:val="99"/>
    <w:unhideWhenUsed/>
    <w:pPr>
      <w:spacing w:after="40" w:line="240" w:lineRule="auto"/>
    </w:pPr>
    <w:rPr>
      <w:rFonts w:ascii="Times New Roman" w:hAnsi="Times New Roman" w:eastAsia="宋体" w:cs="Times New Roman"/>
      <w:color w:val="000000"/>
      <w:sz w:val="18"/>
      <w:szCs w:val="20"/>
    </w:rPr>
  </w:style>
  <w:style w:type="character" w:styleId="728">
    <w:name w:val="脚注文本 Char"/>
    <w:next w:val="728"/>
    <w:link w:val="727"/>
    <w:uiPriority w:val="99"/>
    <w:rPr>
      <w:sz w:val="18"/>
    </w:rPr>
  </w:style>
  <w:style w:type="paragraph" w:styleId="729">
    <w:name w:val="目录 6"/>
    <w:basedOn w:val="698"/>
    <w:next w:val="698"/>
    <w:link w:val="698"/>
    <w:uiPriority w:val="39"/>
    <w:unhideWhenUsed/>
    <w:pPr>
      <w:ind w:left="1417" w:right="0" w:firstLine="0"/>
      <w:spacing w:after="57"/>
    </w:pPr>
  </w:style>
  <w:style w:type="paragraph" w:styleId="730">
    <w:name w:val="正文文本缩进 3"/>
    <w:basedOn w:val="698"/>
    <w:next w:val="730"/>
    <w:link w:val="698"/>
    <w:qFormat/>
    <w:pPr>
      <w:ind w:firstLine="492"/>
      <w:spacing w:line="360" w:lineRule="auto"/>
    </w:pPr>
    <w:rPr>
      <w:rFonts w:eastAsia="宋体"/>
      <w:sz w:val="24"/>
    </w:rPr>
  </w:style>
  <w:style w:type="paragraph" w:styleId="731">
    <w:name w:val="图表目录"/>
    <w:basedOn w:val="698"/>
    <w:next w:val="698"/>
    <w:link w:val="698"/>
    <w:uiPriority w:val="99"/>
    <w:unhideWhenUsed/>
    <w:pPr>
      <w:spacing w:after="0" w:afterAutospacing="0"/>
    </w:pPr>
  </w:style>
  <w:style w:type="paragraph" w:styleId="732">
    <w:name w:val="目录 2"/>
    <w:basedOn w:val="698"/>
    <w:next w:val="698"/>
    <w:link w:val="698"/>
    <w:uiPriority w:val="39"/>
    <w:unhideWhenUsed/>
    <w:pPr>
      <w:ind w:left="283" w:right="0" w:firstLine="0"/>
      <w:spacing w:after="57"/>
    </w:pPr>
  </w:style>
  <w:style w:type="paragraph" w:styleId="733">
    <w:name w:val="目录 9"/>
    <w:basedOn w:val="698"/>
    <w:next w:val="698"/>
    <w:link w:val="698"/>
    <w:uiPriority w:val="39"/>
    <w:unhideWhenUsed/>
    <w:pPr>
      <w:ind w:left="2268" w:right="0" w:firstLine="0"/>
      <w:spacing w:after="57"/>
    </w:pPr>
  </w:style>
  <w:style w:type="paragraph" w:styleId="734">
    <w:name w:val="普通(网站)"/>
    <w:basedOn w:val="698"/>
    <w:next w:val="734"/>
    <w:link w:val="698"/>
    <w:qFormat/>
    <w:pPr>
      <w:spacing w:beforeAutospacing="1" w:afterAutospacing="1"/>
    </w:pPr>
    <w:rPr>
      <w:rFonts w:cs="Times New Roman"/>
      <w:sz w:val="24"/>
    </w:rPr>
  </w:style>
  <w:style w:type="paragraph" w:styleId="735">
    <w:name w:val="标题"/>
    <w:basedOn w:val="698"/>
    <w:next w:val="698"/>
    <w:link w:val="736"/>
    <w:uiPriority w:val="10"/>
    <w:qFormat/>
    <w:pPr>
      <w:contextualSpacing/>
      <w:spacing w:before="300" w:after="200"/>
    </w:pPr>
    <w:rPr>
      <w:sz w:val="48"/>
      <w:szCs w:val="48"/>
    </w:rPr>
  </w:style>
  <w:style w:type="character" w:styleId="736">
    <w:name w:val="标题 Char"/>
    <w:basedOn w:val="700"/>
    <w:next w:val="736"/>
    <w:link w:val="735"/>
    <w:uiPriority w:val="10"/>
    <w:rPr>
      <w:sz w:val="48"/>
      <w:szCs w:val="48"/>
    </w:rPr>
  </w:style>
  <w:style w:type="paragraph" w:styleId="737">
    <w:name w:val="批注主题"/>
    <w:basedOn w:val="707"/>
    <w:next w:val="707"/>
    <w:link w:val="738"/>
    <w:qFormat/>
    <w:rPr>
      <w:b/>
      <w:bCs/>
    </w:rPr>
  </w:style>
  <w:style w:type="character" w:styleId="738">
    <w:name w:val="批注主题 Char"/>
    <w:basedOn w:val="708"/>
    <w:next w:val="738"/>
    <w:link w:val="737"/>
    <w:qFormat/>
    <w:rPr>
      <w:rFonts w:ascii="Arial" w:hAnsi="Arial" w:eastAsia="Arial" w:cs="Arial"/>
      <w:b/>
      <w:bCs/>
      <w:color w:val="000000"/>
      <w:sz w:val="21"/>
      <w:szCs w:val="21"/>
    </w:rPr>
  </w:style>
  <w:style w:type="paragraph" w:styleId="739">
    <w:name w:val="正文首行缩进 2"/>
    <w:basedOn w:val="702"/>
    <w:next w:val="698"/>
    <w:link w:val="698"/>
    <w:qFormat/>
    <w:pPr>
      <w:ind w:left="200" w:firstLine="420"/>
      <w:jc w:val="both"/>
      <w:spacing w:after="120"/>
    </w:pPr>
    <w:rPr>
      <w:rFonts w:ascii="Calibri" w:hAnsi="Calibri"/>
    </w:rPr>
  </w:style>
  <w:style w:type="table" w:styleId="740">
    <w:name w:val="网格型"/>
    <w:basedOn w:val="701"/>
    <w:next w:val="740"/>
    <w:link w:val="698"/>
    <w:qFormat/>
    <w:pPr>
      <w:jc w:val="both"/>
      <w:widowControl w:val="off"/>
    </w:pPr>
    <w:tblPr/>
  </w:style>
  <w:style w:type="character" w:styleId="741">
    <w:name w:val="要点"/>
    <w:basedOn w:val="700"/>
    <w:next w:val="741"/>
    <w:link w:val="698"/>
    <w:qFormat/>
    <w:rPr>
      <w:b/>
    </w:rPr>
  </w:style>
  <w:style w:type="character" w:styleId="742">
    <w:name w:val="尾注引用"/>
    <w:basedOn w:val="700"/>
    <w:next w:val="742"/>
    <w:link w:val="698"/>
    <w:uiPriority w:val="99"/>
    <w:unhideWhenUsed/>
    <w:rPr>
      <w:vertAlign w:val="superscript"/>
    </w:rPr>
  </w:style>
  <w:style w:type="character" w:styleId="743">
    <w:name w:val="超链接"/>
    <w:next w:val="743"/>
    <w:link w:val="698"/>
    <w:uiPriority w:val="99"/>
    <w:unhideWhenUsed/>
    <w:rPr>
      <w:color w:val="0000ff"/>
      <w:u w:val="single"/>
    </w:rPr>
  </w:style>
  <w:style w:type="character" w:styleId="744">
    <w:name w:val="批注引用"/>
    <w:basedOn w:val="700"/>
    <w:next w:val="744"/>
    <w:link w:val="698"/>
    <w:qFormat/>
    <w:rPr>
      <w:sz w:val="21"/>
      <w:szCs w:val="21"/>
    </w:rPr>
  </w:style>
  <w:style w:type="character" w:styleId="745">
    <w:name w:val="脚注引用"/>
    <w:basedOn w:val="700"/>
    <w:next w:val="745"/>
    <w:link w:val="698"/>
    <w:uiPriority w:val="99"/>
    <w:unhideWhenUsed/>
    <w:rPr>
      <w:vertAlign w:val="superscript"/>
    </w:rPr>
  </w:style>
  <w:style w:type="paragraph" w:styleId="746">
    <w:name w:val="正文文本缩进1"/>
    <w:basedOn w:val="698"/>
    <w:next w:val="698"/>
    <w:link w:val="698"/>
    <w:uiPriority w:val="99"/>
    <w:unhideWhenUsed/>
    <w:qFormat/>
    <w:pPr>
      <w:ind w:left="420" w:firstLine="1188"/>
      <w:spacing w:line="360" w:lineRule="exact"/>
    </w:pPr>
    <w:rPr>
      <w:rFonts w:ascii="Times New Roman" w:hAnsi="Times New Roman" w:eastAsia="宋体" w:cs="Times New Roman"/>
    </w:rPr>
  </w:style>
  <w:style w:type="paragraph" w:styleId="747">
    <w:name w:val="目录 51"/>
    <w:next w:val="698"/>
    <w:link w:val="698"/>
    <w:qFormat/>
    <w:pPr>
      <w:ind w:left="1275"/>
      <w:jc w:val="both"/>
    </w:pPr>
    <w:rPr>
      <w:sz w:val="21"/>
      <w:lang w:val="en-US" w:eastAsia="zh-CN" w:bidi="ar-SA"/>
    </w:rPr>
  </w:style>
  <w:style w:type="character" w:styleId="748">
    <w:name w:val="脚注引用1"/>
    <w:next w:val="748"/>
    <w:link w:val="698"/>
    <w:uiPriority w:val="99"/>
    <w:unhideWhenUsed/>
    <w:qFormat/>
    <w:rPr>
      <w:rFonts w:ascii="Arial" w:hAnsi="Arial" w:eastAsia="Arial" w:cs="Arial"/>
      <w:color w:val="000000"/>
      <w:sz w:val="21"/>
      <w:szCs w:val="21"/>
      <w:lang w:eastAsia="zh-CN"/>
    </w:rPr>
  </w:style>
  <w:style w:type="character" w:styleId="749">
    <w:name w:val="Heading 1 Char"/>
    <w:basedOn w:val="700"/>
    <w:next w:val="749"/>
    <w:link w:val="698"/>
    <w:uiPriority w:val="9"/>
    <w:rPr>
      <w:rFonts w:ascii="Arial" w:hAnsi="Arial" w:eastAsia="Arial" w:cs="Arial"/>
      <w:sz w:val="40"/>
      <w:szCs w:val="40"/>
    </w:rPr>
  </w:style>
  <w:style w:type="paragraph" w:styleId="750">
    <w:name w:val="Heading 2"/>
    <w:basedOn w:val="698"/>
    <w:next w:val="698"/>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basedOn w:val="700"/>
    <w:next w:val="751"/>
    <w:link w:val="750"/>
    <w:uiPriority w:val="9"/>
    <w:rPr>
      <w:rFonts w:ascii="Arial" w:hAnsi="Arial" w:eastAsia="Arial" w:cs="Arial"/>
      <w:sz w:val="34"/>
    </w:rPr>
  </w:style>
  <w:style w:type="character" w:styleId="752">
    <w:name w:val="Heading 3 Char"/>
    <w:basedOn w:val="700"/>
    <w:next w:val="752"/>
    <w:link w:val="698"/>
    <w:uiPriority w:val="9"/>
    <w:rPr>
      <w:rFonts w:ascii="Arial" w:hAnsi="Arial" w:eastAsia="Arial" w:cs="Arial"/>
      <w:sz w:val="30"/>
      <w:szCs w:val="30"/>
    </w:rPr>
  </w:style>
  <w:style w:type="paragraph" w:styleId="753">
    <w:name w:val="Heading 4"/>
    <w:basedOn w:val="698"/>
    <w:next w:val="698"/>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basedOn w:val="700"/>
    <w:next w:val="754"/>
    <w:link w:val="753"/>
    <w:uiPriority w:val="9"/>
    <w:rPr>
      <w:rFonts w:ascii="Arial" w:hAnsi="Arial" w:eastAsia="Arial" w:cs="Arial"/>
      <w:b/>
      <w:bCs/>
      <w:sz w:val="26"/>
      <w:szCs w:val="26"/>
    </w:rPr>
  </w:style>
  <w:style w:type="paragraph" w:styleId="755">
    <w:name w:val="Heading 5"/>
    <w:basedOn w:val="698"/>
    <w:next w:val="698"/>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basedOn w:val="700"/>
    <w:next w:val="756"/>
    <w:link w:val="755"/>
    <w:uiPriority w:val="9"/>
    <w:rPr>
      <w:rFonts w:ascii="Arial" w:hAnsi="Arial" w:eastAsia="Arial" w:cs="Arial"/>
      <w:b/>
      <w:bCs/>
      <w:sz w:val="24"/>
      <w:szCs w:val="24"/>
    </w:rPr>
  </w:style>
  <w:style w:type="paragraph" w:styleId="757">
    <w:name w:val="Heading 6"/>
    <w:basedOn w:val="698"/>
    <w:next w:val="698"/>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basedOn w:val="700"/>
    <w:next w:val="758"/>
    <w:link w:val="757"/>
    <w:uiPriority w:val="9"/>
    <w:rPr>
      <w:rFonts w:ascii="Arial" w:hAnsi="Arial" w:eastAsia="Arial" w:cs="Arial"/>
      <w:b/>
      <w:bCs/>
      <w:sz w:val="22"/>
      <w:szCs w:val="22"/>
    </w:rPr>
  </w:style>
  <w:style w:type="paragraph" w:styleId="759">
    <w:name w:val="Heading 7"/>
    <w:basedOn w:val="698"/>
    <w:next w:val="698"/>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700"/>
    <w:next w:val="760"/>
    <w:link w:val="759"/>
    <w:uiPriority w:val="9"/>
    <w:rPr>
      <w:rFonts w:ascii="Arial" w:hAnsi="Arial" w:eastAsia="Arial" w:cs="Arial"/>
      <w:b/>
      <w:bCs/>
      <w:i/>
      <w:iCs/>
      <w:sz w:val="22"/>
      <w:szCs w:val="22"/>
    </w:rPr>
  </w:style>
  <w:style w:type="paragraph" w:styleId="761">
    <w:name w:val="Heading 8"/>
    <w:basedOn w:val="698"/>
    <w:next w:val="698"/>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700"/>
    <w:next w:val="762"/>
    <w:link w:val="761"/>
    <w:uiPriority w:val="9"/>
    <w:rPr>
      <w:rFonts w:ascii="Arial" w:hAnsi="Arial" w:eastAsia="Arial" w:cs="Arial"/>
      <w:i/>
      <w:iCs/>
      <w:sz w:val="22"/>
      <w:szCs w:val="22"/>
    </w:rPr>
  </w:style>
  <w:style w:type="paragraph" w:styleId="763">
    <w:name w:val="Heading 9"/>
    <w:basedOn w:val="698"/>
    <w:next w:val="698"/>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700"/>
    <w:next w:val="764"/>
    <w:link w:val="763"/>
    <w:uiPriority w:val="9"/>
    <w:rPr>
      <w:rFonts w:ascii="Arial" w:hAnsi="Arial" w:eastAsia="Arial" w:cs="Arial"/>
      <w:i/>
      <w:iCs/>
      <w:sz w:val="21"/>
      <w:szCs w:val="21"/>
    </w:rPr>
  </w:style>
  <w:style w:type="paragraph" w:styleId="765">
    <w:name w:val="无间隔"/>
    <w:next w:val="765"/>
    <w:link w:val="698"/>
    <w:uiPriority w:val="1"/>
    <w:qFormat/>
    <w:rPr>
      <w:lang w:val="en-US" w:eastAsia="zh-CN" w:bidi="ar-SA"/>
    </w:rPr>
  </w:style>
  <w:style w:type="paragraph" w:styleId="766">
    <w:name w:val="引用"/>
    <w:basedOn w:val="698"/>
    <w:next w:val="698"/>
    <w:link w:val="767"/>
    <w:uiPriority w:val="29"/>
    <w:qFormat/>
    <w:pPr>
      <w:ind w:left="720" w:right="720"/>
    </w:pPr>
    <w:rPr>
      <w:rFonts w:ascii="Times New Roman" w:hAnsi="Times New Roman" w:eastAsia="宋体" w:cs="Times New Roman"/>
      <w:i/>
      <w:color w:val="000000"/>
      <w:sz w:val="20"/>
      <w:szCs w:val="20"/>
    </w:rPr>
  </w:style>
  <w:style w:type="character" w:styleId="767">
    <w:name w:val="引用 Char"/>
    <w:next w:val="767"/>
    <w:link w:val="766"/>
    <w:uiPriority w:val="29"/>
    <w:rPr>
      <w:i/>
    </w:rPr>
  </w:style>
  <w:style w:type="paragraph" w:styleId="768">
    <w:name w:val="明显引用"/>
    <w:basedOn w:val="698"/>
    <w:next w:val="698"/>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color w:val="000000"/>
      <w:sz w:val="20"/>
      <w:szCs w:val="20"/>
    </w:rPr>
  </w:style>
  <w:style w:type="character" w:styleId="769">
    <w:name w:val="明显引用 Char"/>
    <w:next w:val="769"/>
    <w:link w:val="768"/>
    <w:uiPriority w:val="30"/>
    <w:rPr>
      <w:i/>
    </w:rPr>
  </w:style>
  <w:style w:type="character" w:styleId="770">
    <w:name w:val="Header Char"/>
    <w:basedOn w:val="700"/>
    <w:next w:val="770"/>
    <w:link w:val="698"/>
    <w:uiPriority w:val="99"/>
  </w:style>
  <w:style w:type="character" w:styleId="771">
    <w:name w:val="Footer Char"/>
    <w:basedOn w:val="700"/>
    <w:next w:val="771"/>
    <w:link w:val="698"/>
    <w:uiPriority w:val="99"/>
  </w:style>
  <w:style w:type="paragraph" w:styleId="772">
    <w:name w:val="Caption1"/>
    <w:basedOn w:val="698"/>
    <w:next w:val="698"/>
    <w:link w:val="698"/>
    <w:uiPriority w:val="35"/>
    <w:unhideWhenUsed/>
    <w:qFormat/>
    <w:pPr>
      <w:spacing w:line="276" w:lineRule="auto"/>
    </w:pPr>
    <w:rPr>
      <w:b/>
      <w:bCs/>
      <w:color w:val="4f81bd"/>
      <w:sz w:val="18"/>
      <w:szCs w:val="18"/>
    </w:rPr>
  </w:style>
  <w:style w:type="character" w:styleId="773">
    <w:name w:val="Caption Char"/>
    <w:next w:val="773"/>
    <w:link w:val="698"/>
    <w:uiPriority w:val="99"/>
  </w:style>
  <w:style w:type="table" w:styleId="774">
    <w:name w:val="Table Grid Light"/>
    <w:basedOn w:val="701"/>
    <w:next w:val="774"/>
    <w:link w:val="698"/>
    <w:uiPriority w:val="59"/>
    <w:pPr>
      <w:spacing w:after="0" w:line="240" w:lineRule="auto"/>
    </w:pPr>
    <w:tblPr/>
  </w:style>
  <w:style w:type="table" w:styleId="775">
    <w:name w:val="Plain Table 1"/>
    <w:basedOn w:val="701"/>
    <w:next w:val="775"/>
    <w:link w:val="698"/>
    <w:uiPriority w:val="59"/>
    <w:pPr>
      <w:spacing w:after="0" w:line="240" w:lineRule="auto"/>
    </w:pPr>
    <w:tblPr/>
  </w:style>
  <w:style w:type="table" w:styleId="776">
    <w:name w:val="Plain Table 2"/>
    <w:basedOn w:val="701"/>
    <w:next w:val="776"/>
    <w:link w:val="698"/>
    <w:uiPriority w:val="59"/>
    <w:pPr>
      <w:spacing w:after="0" w:line="240" w:lineRule="auto"/>
    </w:pPr>
    <w:tblPr/>
  </w:style>
  <w:style w:type="table" w:styleId="777">
    <w:name w:val="Plain Table 3"/>
    <w:basedOn w:val="701"/>
    <w:next w:val="777"/>
    <w:link w:val="698"/>
    <w:uiPriority w:val="99"/>
    <w:pPr>
      <w:spacing w:after="0" w:line="240" w:lineRule="auto"/>
    </w:pPr>
    <w:tblPr/>
  </w:style>
  <w:style w:type="table" w:styleId="778">
    <w:name w:val="Plain Table 4"/>
    <w:basedOn w:val="701"/>
    <w:next w:val="778"/>
    <w:link w:val="698"/>
    <w:uiPriority w:val="99"/>
    <w:pPr>
      <w:spacing w:after="0" w:line="240" w:lineRule="auto"/>
    </w:pPr>
    <w:tblPr/>
  </w:style>
  <w:style w:type="table" w:styleId="779">
    <w:name w:val="Plain Table 5"/>
    <w:basedOn w:val="701"/>
    <w:next w:val="779"/>
    <w:link w:val="698"/>
    <w:uiPriority w:val="99"/>
    <w:pPr>
      <w:spacing w:after="0" w:line="240" w:lineRule="auto"/>
    </w:pPr>
    <w:tblPr/>
  </w:style>
  <w:style w:type="table" w:styleId="780">
    <w:name w:val="Grid Table 1 Light"/>
    <w:basedOn w:val="701"/>
    <w:next w:val="780"/>
    <w:link w:val="698"/>
    <w:uiPriority w:val="99"/>
    <w:pPr>
      <w:spacing w:after="0" w:line="240" w:lineRule="auto"/>
    </w:pPr>
    <w:tblPr/>
  </w:style>
  <w:style w:type="table" w:styleId="781">
    <w:name w:val="Grid Table 1 Light - Accent 1"/>
    <w:basedOn w:val="701"/>
    <w:next w:val="781"/>
    <w:link w:val="698"/>
    <w:uiPriority w:val="99"/>
    <w:pPr>
      <w:spacing w:after="0" w:line="240" w:lineRule="auto"/>
    </w:pPr>
    <w:tblPr/>
  </w:style>
  <w:style w:type="table" w:styleId="782">
    <w:name w:val="Grid Table 1 Light - Accent 2"/>
    <w:basedOn w:val="701"/>
    <w:next w:val="782"/>
    <w:link w:val="698"/>
    <w:uiPriority w:val="99"/>
    <w:pPr>
      <w:spacing w:after="0" w:line="240" w:lineRule="auto"/>
    </w:pPr>
    <w:tblPr/>
  </w:style>
  <w:style w:type="table" w:styleId="783">
    <w:name w:val="Grid Table 1 Light - Accent 3"/>
    <w:basedOn w:val="701"/>
    <w:next w:val="783"/>
    <w:link w:val="698"/>
    <w:uiPriority w:val="99"/>
    <w:pPr>
      <w:spacing w:after="0" w:line="240" w:lineRule="auto"/>
    </w:pPr>
    <w:tblPr/>
  </w:style>
  <w:style w:type="table" w:styleId="784">
    <w:name w:val="Grid Table 1 Light - Accent 4"/>
    <w:basedOn w:val="701"/>
    <w:next w:val="784"/>
    <w:link w:val="698"/>
    <w:uiPriority w:val="99"/>
    <w:pPr>
      <w:spacing w:after="0" w:line="240" w:lineRule="auto"/>
    </w:pPr>
    <w:tblPr/>
  </w:style>
  <w:style w:type="table" w:styleId="785">
    <w:name w:val="Grid Table 1 Light - Accent 5"/>
    <w:basedOn w:val="701"/>
    <w:next w:val="785"/>
    <w:link w:val="698"/>
    <w:uiPriority w:val="99"/>
    <w:pPr>
      <w:spacing w:after="0" w:line="240" w:lineRule="auto"/>
    </w:pPr>
    <w:tblPr/>
  </w:style>
  <w:style w:type="table" w:styleId="786">
    <w:name w:val="Grid Table 1 Light - Accent 6"/>
    <w:basedOn w:val="701"/>
    <w:next w:val="786"/>
    <w:link w:val="698"/>
    <w:uiPriority w:val="99"/>
    <w:pPr>
      <w:spacing w:after="0" w:line="240" w:lineRule="auto"/>
    </w:pPr>
    <w:tblPr/>
  </w:style>
  <w:style w:type="table" w:styleId="787">
    <w:name w:val="Grid Table 2"/>
    <w:basedOn w:val="701"/>
    <w:next w:val="787"/>
    <w:link w:val="698"/>
    <w:uiPriority w:val="99"/>
    <w:pPr>
      <w:spacing w:after="0" w:line="240" w:lineRule="auto"/>
    </w:pPr>
    <w:tblPr/>
  </w:style>
  <w:style w:type="table" w:styleId="788">
    <w:name w:val="Grid Table 2 - Accent 1"/>
    <w:basedOn w:val="701"/>
    <w:next w:val="788"/>
    <w:link w:val="698"/>
    <w:uiPriority w:val="99"/>
    <w:pPr>
      <w:spacing w:after="0" w:line="240" w:lineRule="auto"/>
    </w:pPr>
    <w:tblPr/>
  </w:style>
  <w:style w:type="table" w:styleId="789">
    <w:name w:val="Grid Table 2 - Accent 2"/>
    <w:basedOn w:val="701"/>
    <w:next w:val="789"/>
    <w:link w:val="698"/>
    <w:uiPriority w:val="99"/>
    <w:pPr>
      <w:spacing w:after="0" w:line="240" w:lineRule="auto"/>
    </w:pPr>
    <w:tblPr/>
  </w:style>
  <w:style w:type="table" w:styleId="790">
    <w:name w:val="Grid Table 2 - Accent 3"/>
    <w:basedOn w:val="701"/>
    <w:next w:val="790"/>
    <w:link w:val="698"/>
    <w:uiPriority w:val="99"/>
    <w:pPr>
      <w:spacing w:after="0" w:line="240" w:lineRule="auto"/>
    </w:pPr>
    <w:tblPr/>
  </w:style>
  <w:style w:type="table" w:styleId="791">
    <w:name w:val="Grid Table 2 - Accent 4"/>
    <w:basedOn w:val="701"/>
    <w:next w:val="791"/>
    <w:link w:val="698"/>
    <w:uiPriority w:val="99"/>
    <w:pPr>
      <w:spacing w:after="0" w:line="240" w:lineRule="auto"/>
    </w:pPr>
    <w:tblPr/>
  </w:style>
  <w:style w:type="table" w:styleId="792">
    <w:name w:val="Grid Table 2 - Accent 5"/>
    <w:basedOn w:val="701"/>
    <w:next w:val="792"/>
    <w:link w:val="698"/>
    <w:uiPriority w:val="99"/>
    <w:pPr>
      <w:spacing w:after="0" w:line="240" w:lineRule="auto"/>
    </w:pPr>
    <w:tblPr/>
  </w:style>
  <w:style w:type="table" w:styleId="793">
    <w:name w:val="Grid Table 2 - Accent 6"/>
    <w:basedOn w:val="701"/>
    <w:next w:val="793"/>
    <w:link w:val="698"/>
    <w:uiPriority w:val="99"/>
    <w:pPr>
      <w:spacing w:after="0" w:line="240" w:lineRule="auto"/>
    </w:pPr>
    <w:tblPr/>
  </w:style>
  <w:style w:type="table" w:styleId="794">
    <w:name w:val="Grid Table 3"/>
    <w:basedOn w:val="701"/>
    <w:next w:val="794"/>
    <w:link w:val="698"/>
    <w:uiPriority w:val="99"/>
    <w:pPr>
      <w:spacing w:after="0" w:line="240" w:lineRule="auto"/>
    </w:pPr>
    <w:tblPr/>
  </w:style>
  <w:style w:type="table" w:styleId="795">
    <w:name w:val="Grid Table 3 - Accent 1"/>
    <w:basedOn w:val="701"/>
    <w:next w:val="795"/>
    <w:link w:val="698"/>
    <w:uiPriority w:val="99"/>
    <w:pPr>
      <w:spacing w:after="0" w:line="240" w:lineRule="auto"/>
    </w:pPr>
    <w:tblPr/>
  </w:style>
  <w:style w:type="table" w:styleId="796">
    <w:name w:val="Grid Table 3 - Accent 2"/>
    <w:basedOn w:val="701"/>
    <w:next w:val="796"/>
    <w:link w:val="698"/>
    <w:uiPriority w:val="99"/>
    <w:pPr>
      <w:spacing w:after="0" w:line="240" w:lineRule="auto"/>
    </w:pPr>
    <w:tblPr/>
  </w:style>
  <w:style w:type="table" w:styleId="797">
    <w:name w:val="Grid Table 3 - Accent 3"/>
    <w:basedOn w:val="701"/>
    <w:next w:val="797"/>
    <w:link w:val="698"/>
    <w:uiPriority w:val="99"/>
    <w:pPr>
      <w:spacing w:after="0" w:line="240" w:lineRule="auto"/>
    </w:pPr>
    <w:tblPr/>
  </w:style>
  <w:style w:type="table" w:styleId="798">
    <w:name w:val="Grid Table 3 - Accent 4"/>
    <w:basedOn w:val="701"/>
    <w:next w:val="798"/>
    <w:link w:val="698"/>
    <w:uiPriority w:val="99"/>
    <w:pPr>
      <w:spacing w:after="0" w:line="240" w:lineRule="auto"/>
    </w:pPr>
    <w:tblPr/>
  </w:style>
  <w:style w:type="table" w:styleId="799">
    <w:name w:val="Grid Table 3 - Accent 5"/>
    <w:basedOn w:val="701"/>
    <w:next w:val="799"/>
    <w:link w:val="698"/>
    <w:uiPriority w:val="99"/>
    <w:pPr>
      <w:spacing w:after="0" w:line="240" w:lineRule="auto"/>
    </w:pPr>
    <w:tblPr/>
  </w:style>
  <w:style w:type="table" w:styleId="800">
    <w:name w:val="Grid Table 3 - Accent 6"/>
    <w:basedOn w:val="701"/>
    <w:next w:val="800"/>
    <w:link w:val="698"/>
    <w:uiPriority w:val="99"/>
    <w:pPr>
      <w:spacing w:after="0" w:line="240" w:lineRule="auto"/>
    </w:pPr>
    <w:tblPr/>
  </w:style>
  <w:style w:type="table" w:styleId="801">
    <w:name w:val="Grid Table 4"/>
    <w:basedOn w:val="701"/>
    <w:next w:val="801"/>
    <w:link w:val="698"/>
    <w:uiPriority w:val="59"/>
    <w:pPr>
      <w:spacing w:after="0" w:line="240" w:lineRule="auto"/>
    </w:pPr>
    <w:tblPr/>
  </w:style>
  <w:style w:type="table" w:styleId="802">
    <w:name w:val="Grid Table 4 - Accent 1"/>
    <w:basedOn w:val="701"/>
    <w:next w:val="802"/>
    <w:link w:val="698"/>
    <w:uiPriority w:val="59"/>
    <w:pPr>
      <w:spacing w:after="0" w:line="240" w:lineRule="auto"/>
    </w:pPr>
    <w:tblPr/>
  </w:style>
  <w:style w:type="table" w:styleId="803">
    <w:name w:val="Grid Table 4 - Accent 2"/>
    <w:basedOn w:val="701"/>
    <w:next w:val="803"/>
    <w:link w:val="698"/>
    <w:uiPriority w:val="59"/>
    <w:pPr>
      <w:spacing w:after="0" w:line="240" w:lineRule="auto"/>
    </w:pPr>
    <w:tblPr/>
  </w:style>
  <w:style w:type="table" w:styleId="804">
    <w:name w:val="Grid Table 4 - Accent 3"/>
    <w:basedOn w:val="701"/>
    <w:next w:val="804"/>
    <w:link w:val="698"/>
    <w:uiPriority w:val="59"/>
    <w:pPr>
      <w:spacing w:after="0" w:line="240" w:lineRule="auto"/>
    </w:pPr>
    <w:tblPr/>
  </w:style>
  <w:style w:type="table" w:styleId="805">
    <w:name w:val="Grid Table 4 - Accent 4"/>
    <w:basedOn w:val="701"/>
    <w:next w:val="805"/>
    <w:link w:val="698"/>
    <w:uiPriority w:val="59"/>
    <w:pPr>
      <w:spacing w:after="0" w:line="240" w:lineRule="auto"/>
    </w:pPr>
    <w:tblPr/>
  </w:style>
  <w:style w:type="table" w:styleId="806">
    <w:name w:val="Grid Table 4 - Accent 5"/>
    <w:basedOn w:val="701"/>
    <w:next w:val="806"/>
    <w:link w:val="698"/>
    <w:uiPriority w:val="59"/>
    <w:pPr>
      <w:spacing w:after="0" w:line="240" w:lineRule="auto"/>
    </w:pPr>
    <w:tblPr/>
  </w:style>
  <w:style w:type="table" w:styleId="807">
    <w:name w:val="Grid Table 4 - Accent 6"/>
    <w:basedOn w:val="701"/>
    <w:next w:val="807"/>
    <w:link w:val="698"/>
    <w:uiPriority w:val="59"/>
    <w:pPr>
      <w:spacing w:after="0" w:line="240" w:lineRule="auto"/>
    </w:pPr>
    <w:tblPr/>
  </w:style>
  <w:style w:type="table" w:styleId="808">
    <w:name w:val="Grid Table 5 Dark"/>
    <w:basedOn w:val="701"/>
    <w:next w:val="808"/>
    <w:link w:val="698"/>
    <w:uiPriority w:val="99"/>
    <w:pPr>
      <w:spacing w:after="0" w:line="240" w:lineRule="auto"/>
    </w:pPr>
    <w:tblPr/>
  </w:style>
  <w:style w:type="table" w:styleId="809">
    <w:name w:val="Grid Table 5 Dark- Accent 1"/>
    <w:basedOn w:val="701"/>
    <w:next w:val="809"/>
    <w:link w:val="698"/>
    <w:uiPriority w:val="99"/>
    <w:pPr>
      <w:spacing w:after="0" w:line="240" w:lineRule="auto"/>
    </w:pPr>
    <w:tblPr/>
  </w:style>
  <w:style w:type="table" w:styleId="810">
    <w:name w:val="Grid Table 5 Dark - Accent 2"/>
    <w:basedOn w:val="701"/>
    <w:next w:val="810"/>
    <w:link w:val="698"/>
    <w:uiPriority w:val="99"/>
    <w:pPr>
      <w:spacing w:after="0" w:line="240" w:lineRule="auto"/>
    </w:pPr>
    <w:tblPr/>
  </w:style>
  <w:style w:type="table" w:styleId="811">
    <w:name w:val="Grid Table 5 Dark - Accent 3"/>
    <w:basedOn w:val="701"/>
    <w:next w:val="811"/>
    <w:link w:val="698"/>
    <w:uiPriority w:val="99"/>
    <w:pPr>
      <w:spacing w:after="0" w:line="240" w:lineRule="auto"/>
    </w:pPr>
    <w:tblPr/>
  </w:style>
  <w:style w:type="table" w:styleId="812">
    <w:name w:val="Grid Table 5 Dark- Accent 4"/>
    <w:basedOn w:val="701"/>
    <w:next w:val="812"/>
    <w:link w:val="698"/>
    <w:uiPriority w:val="99"/>
    <w:pPr>
      <w:spacing w:after="0" w:line="240" w:lineRule="auto"/>
    </w:pPr>
    <w:tblPr/>
  </w:style>
  <w:style w:type="table" w:styleId="813">
    <w:name w:val="Grid Table 5 Dark - Accent 5"/>
    <w:basedOn w:val="701"/>
    <w:next w:val="813"/>
    <w:link w:val="698"/>
    <w:uiPriority w:val="99"/>
    <w:pPr>
      <w:spacing w:after="0" w:line="240" w:lineRule="auto"/>
    </w:pPr>
    <w:tblPr/>
  </w:style>
  <w:style w:type="table" w:styleId="814">
    <w:name w:val="Grid Table 5 Dark - Accent 6"/>
    <w:basedOn w:val="701"/>
    <w:next w:val="814"/>
    <w:link w:val="698"/>
    <w:uiPriority w:val="99"/>
    <w:pPr>
      <w:spacing w:after="0" w:line="240" w:lineRule="auto"/>
    </w:pPr>
    <w:tblPr/>
  </w:style>
  <w:style w:type="table" w:styleId="815">
    <w:name w:val="Grid Table 6 Colorful"/>
    <w:basedOn w:val="701"/>
    <w:next w:val="815"/>
    <w:link w:val="698"/>
    <w:uiPriority w:val="99"/>
    <w:pPr>
      <w:spacing w:after="0" w:line="240" w:lineRule="auto"/>
    </w:pPr>
    <w:tblPr/>
  </w:style>
  <w:style w:type="table" w:styleId="816">
    <w:name w:val="Grid Table 6 Colorful - Accent 1"/>
    <w:basedOn w:val="701"/>
    <w:next w:val="816"/>
    <w:link w:val="698"/>
    <w:uiPriority w:val="99"/>
    <w:pPr>
      <w:spacing w:after="0" w:line="240" w:lineRule="auto"/>
    </w:pPr>
    <w:tblPr/>
  </w:style>
  <w:style w:type="table" w:styleId="817">
    <w:name w:val="Grid Table 6 Colorful - Accent 2"/>
    <w:basedOn w:val="701"/>
    <w:next w:val="817"/>
    <w:link w:val="698"/>
    <w:uiPriority w:val="99"/>
    <w:pPr>
      <w:spacing w:after="0" w:line="240" w:lineRule="auto"/>
    </w:pPr>
    <w:tblPr/>
  </w:style>
  <w:style w:type="table" w:styleId="818">
    <w:name w:val="Grid Table 6 Colorful - Accent 3"/>
    <w:basedOn w:val="701"/>
    <w:next w:val="818"/>
    <w:link w:val="698"/>
    <w:uiPriority w:val="99"/>
    <w:pPr>
      <w:spacing w:after="0" w:line="240" w:lineRule="auto"/>
    </w:pPr>
    <w:tblPr/>
  </w:style>
  <w:style w:type="table" w:styleId="819">
    <w:name w:val="Grid Table 6 Colorful - Accent 4"/>
    <w:basedOn w:val="701"/>
    <w:next w:val="819"/>
    <w:link w:val="698"/>
    <w:uiPriority w:val="99"/>
    <w:pPr>
      <w:spacing w:after="0" w:line="240" w:lineRule="auto"/>
    </w:pPr>
    <w:tblPr/>
  </w:style>
  <w:style w:type="table" w:styleId="820">
    <w:name w:val="Grid Table 6 Colorful - Accent 5"/>
    <w:basedOn w:val="701"/>
    <w:next w:val="820"/>
    <w:link w:val="698"/>
    <w:uiPriority w:val="99"/>
    <w:pPr>
      <w:spacing w:after="0" w:line="240" w:lineRule="auto"/>
    </w:pPr>
    <w:tblPr/>
  </w:style>
  <w:style w:type="table" w:styleId="821">
    <w:name w:val="Grid Table 6 Colorful - Accent 6"/>
    <w:basedOn w:val="701"/>
    <w:next w:val="821"/>
    <w:link w:val="698"/>
    <w:uiPriority w:val="99"/>
    <w:pPr>
      <w:spacing w:after="0" w:line="240" w:lineRule="auto"/>
    </w:pPr>
    <w:tblPr/>
  </w:style>
  <w:style w:type="table" w:styleId="822">
    <w:name w:val="Grid Table 7 Colorful"/>
    <w:basedOn w:val="701"/>
    <w:next w:val="822"/>
    <w:link w:val="698"/>
    <w:uiPriority w:val="99"/>
    <w:pPr>
      <w:spacing w:after="0" w:line="240" w:lineRule="auto"/>
    </w:pPr>
    <w:tblPr/>
  </w:style>
  <w:style w:type="table" w:styleId="823">
    <w:name w:val="Grid Table 7 Colorful - Accent 1"/>
    <w:basedOn w:val="701"/>
    <w:next w:val="823"/>
    <w:link w:val="698"/>
    <w:uiPriority w:val="99"/>
    <w:pPr>
      <w:spacing w:after="0" w:line="240" w:lineRule="auto"/>
    </w:pPr>
    <w:tblPr/>
  </w:style>
  <w:style w:type="table" w:styleId="824">
    <w:name w:val="Grid Table 7 Colorful - Accent 2"/>
    <w:basedOn w:val="701"/>
    <w:next w:val="824"/>
    <w:link w:val="698"/>
    <w:uiPriority w:val="99"/>
    <w:pPr>
      <w:spacing w:after="0" w:line="240" w:lineRule="auto"/>
    </w:pPr>
    <w:tblPr/>
  </w:style>
  <w:style w:type="table" w:styleId="825">
    <w:name w:val="Grid Table 7 Colorful - Accent 3"/>
    <w:basedOn w:val="701"/>
    <w:next w:val="825"/>
    <w:link w:val="698"/>
    <w:uiPriority w:val="99"/>
    <w:pPr>
      <w:spacing w:after="0" w:line="240" w:lineRule="auto"/>
    </w:pPr>
    <w:tblPr/>
  </w:style>
  <w:style w:type="table" w:styleId="826">
    <w:name w:val="Grid Table 7 Colorful - Accent 4"/>
    <w:basedOn w:val="701"/>
    <w:next w:val="826"/>
    <w:link w:val="698"/>
    <w:uiPriority w:val="99"/>
    <w:pPr>
      <w:spacing w:after="0" w:line="240" w:lineRule="auto"/>
    </w:pPr>
    <w:tblPr/>
  </w:style>
  <w:style w:type="table" w:styleId="827">
    <w:name w:val="Grid Table 7 Colorful - Accent 5"/>
    <w:basedOn w:val="701"/>
    <w:next w:val="827"/>
    <w:link w:val="698"/>
    <w:uiPriority w:val="99"/>
    <w:pPr>
      <w:spacing w:after="0" w:line="240" w:lineRule="auto"/>
    </w:pPr>
    <w:tblPr/>
  </w:style>
  <w:style w:type="table" w:styleId="828">
    <w:name w:val="Grid Table 7 Colorful - Accent 6"/>
    <w:basedOn w:val="701"/>
    <w:next w:val="828"/>
    <w:link w:val="698"/>
    <w:uiPriority w:val="99"/>
    <w:pPr>
      <w:spacing w:after="0" w:line="240" w:lineRule="auto"/>
    </w:pPr>
    <w:tblPr/>
  </w:style>
  <w:style w:type="table" w:styleId="829">
    <w:name w:val="List Table 1 Light"/>
    <w:basedOn w:val="701"/>
    <w:next w:val="829"/>
    <w:link w:val="698"/>
    <w:uiPriority w:val="99"/>
    <w:pPr>
      <w:spacing w:after="0" w:line="240" w:lineRule="auto"/>
    </w:pPr>
    <w:tblPr/>
  </w:style>
  <w:style w:type="table" w:styleId="830">
    <w:name w:val="List Table 1 Light - Accent 1"/>
    <w:basedOn w:val="701"/>
    <w:next w:val="830"/>
    <w:link w:val="698"/>
    <w:uiPriority w:val="99"/>
    <w:pPr>
      <w:spacing w:after="0" w:line="240" w:lineRule="auto"/>
    </w:pPr>
    <w:tblPr/>
  </w:style>
  <w:style w:type="table" w:styleId="831">
    <w:name w:val="List Table 1 Light - Accent 2"/>
    <w:basedOn w:val="701"/>
    <w:next w:val="831"/>
    <w:link w:val="698"/>
    <w:uiPriority w:val="99"/>
    <w:pPr>
      <w:spacing w:after="0" w:line="240" w:lineRule="auto"/>
    </w:pPr>
    <w:tblPr/>
  </w:style>
  <w:style w:type="table" w:styleId="832">
    <w:name w:val="List Table 1 Light - Accent 3"/>
    <w:basedOn w:val="701"/>
    <w:next w:val="832"/>
    <w:link w:val="698"/>
    <w:uiPriority w:val="99"/>
    <w:pPr>
      <w:spacing w:after="0" w:line="240" w:lineRule="auto"/>
    </w:pPr>
    <w:tblPr/>
  </w:style>
  <w:style w:type="table" w:styleId="833">
    <w:name w:val="List Table 1 Light - Accent 4"/>
    <w:basedOn w:val="701"/>
    <w:next w:val="833"/>
    <w:link w:val="698"/>
    <w:uiPriority w:val="99"/>
    <w:pPr>
      <w:spacing w:after="0" w:line="240" w:lineRule="auto"/>
    </w:pPr>
    <w:tblPr/>
  </w:style>
  <w:style w:type="table" w:styleId="834">
    <w:name w:val="List Table 1 Light - Accent 5"/>
    <w:basedOn w:val="701"/>
    <w:next w:val="834"/>
    <w:link w:val="698"/>
    <w:uiPriority w:val="99"/>
    <w:pPr>
      <w:spacing w:after="0" w:line="240" w:lineRule="auto"/>
    </w:pPr>
    <w:tblPr/>
  </w:style>
  <w:style w:type="table" w:styleId="835">
    <w:name w:val="List Table 1 Light - Accent 6"/>
    <w:basedOn w:val="701"/>
    <w:next w:val="835"/>
    <w:link w:val="698"/>
    <w:uiPriority w:val="99"/>
    <w:pPr>
      <w:spacing w:after="0" w:line="240" w:lineRule="auto"/>
    </w:pPr>
    <w:tblPr/>
  </w:style>
  <w:style w:type="table" w:styleId="836">
    <w:name w:val="List Table 2"/>
    <w:basedOn w:val="701"/>
    <w:next w:val="836"/>
    <w:link w:val="698"/>
    <w:uiPriority w:val="99"/>
    <w:pPr>
      <w:spacing w:after="0" w:line="240" w:lineRule="auto"/>
    </w:pPr>
    <w:tblPr/>
  </w:style>
  <w:style w:type="table" w:styleId="837">
    <w:name w:val="List Table 2 - Accent 1"/>
    <w:basedOn w:val="701"/>
    <w:next w:val="837"/>
    <w:link w:val="698"/>
    <w:uiPriority w:val="99"/>
    <w:pPr>
      <w:spacing w:after="0" w:line="240" w:lineRule="auto"/>
    </w:pPr>
    <w:tblPr/>
  </w:style>
  <w:style w:type="table" w:styleId="838">
    <w:name w:val="List Table 2 - Accent 2"/>
    <w:basedOn w:val="701"/>
    <w:next w:val="838"/>
    <w:link w:val="698"/>
    <w:uiPriority w:val="99"/>
    <w:pPr>
      <w:spacing w:after="0" w:line="240" w:lineRule="auto"/>
    </w:pPr>
    <w:tblPr/>
  </w:style>
  <w:style w:type="table" w:styleId="839">
    <w:name w:val="List Table 2 - Accent 3"/>
    <w:basedOn w:val="701"/>
    <w:next w:val="839"/>
    <w:link w:val="698"/>
    <w:uiPriority w:val="99"/>
    <w:pPr>
      <w:spacing w:after="0" w:line="240" w:lineRule="auto"/>
    </w:pPr>
    <w:tblPr/>
  </w:style>
  <w:style w:type="table" w:styleId="840">
    <w:name w:val="List Table 2 - Accent 4"/>
    <w:basedOn w:val="701"/>
    <w:next w:val="840"/>
    <w:link w:val="698"/>
    <w:uiPriority w:val="99"/>
    <w:pPr>
      <w:spacing w:after="0" w:line="240" w:lineRule="auto"/>
    </w:pPr>
    <w:tblPr/>
  </w:style>
  <w:style w:type="table" w:styleId="841">
    <w:name w:val="List Table 2 - Accent 5"/>
    <w:basedOn w:val="701"/>
    <w:next w:val="841"/>
    <w:link w:val="698"/>
    <w:uiPriority w:val="99"/>
    <w:pPr>
      <w:spacing w:after="0" w:line="240" w:lineRule="auto"/>
    </w:pPr>
    <w:tblPr/>
  </w:style>
  <w:style w:type="table" w:styleId="842">
    <w:name w:val="List Table 2 - Accent 6"/>
    <w:basedOn w:val="701"/>
    <w:next w:val="842"/>
    <w:link w:val="698"/>
    <w:uiPriority w:val="99"/>
    <w:pPr>
      <w:spacing w:after="0" w:line="240" w:lineRule="auto"/>
    </w:pPr>
    <w:tblPr/>
  </w:style>
  <w:style w:type="table" w:styleId="843">
    <w:name w:val="List Table 3"/>
    <w:basedOn w:val="701"/>
    <w:next w:val="843"/>
    <w:link w:val="698"/>
    <w:uiPriority w:val="99"/>
    <w:pPr>
      <w:spacing w:after="0" w:line="240" w:lineRule="auto"/>
    </w:pPr>
    <w:tblPr/>
  </w:style>
  <w:style w:type="table" w:styleId="844">
    <w:name w:val="List Table 3 - Accent 1"/>
    <w:basedOn w:val="701"/>
    <w:next w:val="844"/>
    <w:link w:val="698"/>
    <w:uiPriority w:val="99"/>
    <w:pPr>
      <w:spacing w:after="0" w:line="240" w:lineRule="auto"/>
    </w:pPr>
    <w:tblPr/>
  </w:style>
  <w:style w:type="table" w:styleId="845">
    <w:name w:val="List Table 3 - Accent 2"/>
    <w:basedOn w:val="701"/>
    <w:next w:val="845"/>
    <w:link w:val="698"/>
    <w:uiPriority w:val="99"/>
    <w:pPr>
      <w:spacing w:after="0" w:line="240" w:lineRule="auto"/>
    </w:pPr>
    <w:tblPr/>
  </w:style>
  <w:style w:type="table" w:styleId="846">
    <w:name w:val="List Table 3 - Accent 3"/>
    <w:basedOn w:val="701"/>
    <w:next w:val="846"/>
    <w:link w:val="698"/>
    <w:uiPriority w:val="99"/>
    <w:pPr>
      <w:spacing w:after="0" w:line="240" w:lineRule="auto"/>
    </w:pPr>
    <w:tblPr/>
  </w:style>
  <w:style w:type="table" w:styleId="847">
    <w:name w:val="List Table 3 - Accent 4"/>
    <w:basedOn w:val="701"/>
    <w:next w:val="847"/>
    <w:link w:val="698"/>
    <w:uiPriority w:val="99"/>
    <w:pPr>
      <w:spacing w:after="0" w:line="240" w:lineRule="auto"/>
    </w:pPr>
    <w:tblPr/>
  </w:style>
  <w:style w:type="table" w:styleId="848">
    <w:name w:val="List Table 3 - Accent 5"/>
    <w:basedOn w:val="701"/>
    <w:next w:val="848"/>
    <w:link w:val="698"/>
    <w:uiPriority w:val="99"/>
    <w:pPr>
      <w:spacing w:after="0" w:line="240" w:lineRule="auto"/>
    </w:pPr>
    <w:tblPr/>
  </w:style>
  <w:style w:type="table" w:styleId="849">
    <w:name w:val="List Table 3 - Accent 6"/>
    <w:basedOn w:val="701"/>
    <w:next w:val="849"/>
    <w:link w:val="698"/>
    <w:uiPriority w:val="99"/>
    <w:pPr>
      <w:spacing w:after="0" w:line="240" w:lineRule="auto"/>
    </w:pPr>
    <w:tblPr/>
  </w:style>
  <w:style w:type="table" w:styleId="850">
    <w:name w:val="List Table 4"/>
    <w:basedOn w:val="701"/>
    <w:next w:val="850"/>
    <w:link w:val="698"/>
    <w:uiPriority w:val="99"/>
    <w:pPr>
      <w:spacing w:after="0" w:line="240" w:lineRule="auto"/>
    </w:pPr>
    <w:tblPr/>
  </w:style>
  <w:style w:type="table" w:styleId="851">
    <w:name w:val="List Table 4 - Accent 1"/>
    <w:basedOn w:val="701"/>
    <w:next w:val="851"/>
    <w:link w:val="698"/>
    <w:uiPriority w:val="99"/>
    <w:pPr>
      <w:spacing w:after="0" w:line="240" w:lineRule="auto"/>
    </w:pPr>
    <w:tblPr/>
  </w:style>
  <w:style w:type="table" w:styleId="852">
    <w:name w:val="List Table 4 - Accent 2"/>
    <w:basedOn w:val="701"/>
    <w:next w:val="852"/>
    <w:link w:val="698"/>
    <w:uiPriority w:val="99"/>
    <w:pPr>
      <w:spacing w:after="0" w:line="240" w:lineRule="auto"/>
    </w:pPr>
    <w:tblPr/>
  </w:style>
  <w:style w:type="table" w:styleId="853">
    <w:name w:val="List Table 4 - Accent 3"/>
    <w:basedOn w:val="701"/>
    <w:next w:val="853"/>
    <w:link w:val="698"/>
    <w:uiPriority w:val="99"/>
    <w:pPr>
      <w:spacing w:after="0" w:line="240" w:lineRule="auto"/>
    </w:pPr>
    <w:tblPr/>
  </w:style>
  <w:style w:type="table" w:styleId="854">
    <w:name w:val="List Table 4 - Accent 4"/>
    <w:basedOn w:val="701"/>
    <w:next w:val="854"/>
    <w:link w:val="698"/>
    <w:uiPriority w:val="99"/>
    <w:pPr>
      <w:spacing w:after="0" w:line="240" w:lineRule="auto"/>
    </w:pPr>
    <w:tblPr/>
  </w:style>
  <w:style w:type="table" w:styleId="855">
    <w:name w:val="List Table 4 - Accent 5"/>
    <w:basedOn w:val="701"/>
    <w:next w:val="855"/>
    <w:link w:val="698"/>
    <w:uiPriority w:val="99"/>
    <w:pPr>
      <w:spacing w:after="0" w:line="240" w:lineRule="auto"/>
    </w:pPr>
    <w:tblPr/>
  </w:style>
  <w:style w:type="table" w:styleId="856">
    <w:name w:val="List Table 4 - Accent 6"/>
    <w:basedOn w:val="701"/>
    <w:next w:val="856"/>
    <w:link w:val="698"/>
    <w:uiPriority w:val="99"/>
    <w:pPr>
      <w:spacing w:after="0" w:line="240" w:lineRule="auto"/>
    </w:pPr>
    <w:tblPr/>
  </w:style>
  <w:style w:type="table" w:styleId="857">
    <w:name w:val="List Table 5 Dark"/>
    <w:basedOn w:val="701"/>
    <w:next w:val="857"/>
    <w:link w:val="698"/>
    <w:uiPriority w:val="99"/>
    <w:pPr>
      <w:spacing w:after="0" w:line="240" w:lineRule="auto"/>
    </w:pPr>
    <w:tblPr/>
  </w:style>
  <w:style w:type="table" w:styleId="858">
    <w:name w:val="List Table 5 Dark - Accent 1"/>
    <w:basedOn w:val="701"/>
    <w:next w:val="858"/>
    <w:link w:val="698"/>
    <w:uiPriority w:val="99"/>
    <w:pPr>
      <w:spacing w:after="0" w:line="240" w:lineRule="auto"/>
    </w:pPr>
    <w:tblPr/>
  </w:style>
  <w:style w:type="table" w:styleId="859">
    <w:name w:val="List Table 5 Dark - Accent 2"/>
    <w:basedOn w:val="701"/>
    <w:next w:val="859"/>
    <w:link w:val="698"/>
    <w:uiPriority w:val="99"/>
    <w:pPr>
      <w:spacing w:after="0" w:line="240" w:lineRule="auto"/>
    </w:pPr>
    <w:tblPr/>
  </w:style>
  <w:style w:type="table" w:styleId="860">
    <w:name w:val="List Table 5 Dark - Accent 3"/>
    <w:basedOn w:val="701"/>
    <w:next w:val="860"/>
    <w:link w:val="698"/>
    <w:uiPriority w:val="99"/>
    <w:pPr>
      <w:spacing w:after="0" w:line="240" w:lineRule="auto"/>
    </w:pPr>
    <w:tblPr/>
  </w:style>
  <w:style w:type="table" w:styleId="861">
    <w:name w:val="List Table 5 Dark - Accent 4"/>
    <w:basedOn w:val="701"/>
    <w:next w:val="861"/>
    <w:link w:val="698"/>
    <w:uiPriority w:val="99"/>
    <w:pPr>
      <w:spacing w:after="0" w:line="240" w:lineRule="auto"/>
    </w:pPr>
    <w:tblPr/>
  </w:style>
  <w:style w:type="table" w:styleId="862">
    <w:name w:val="List Table 5 Dark - Accent 5"/>
    <w:basedOn w:val="701"/>
    <w:next w:val="862"/>
    <w:link w:val="698"/>
    <w:uiPriority w:val="99"/>
    <w:pPr>
      <w:spacing w:after="0" w:line="240" w:lineRule="auto"/>
    </w:pPr>
    <w:tblPr/>
  </w:style>
  <w:style w:type="table" w:styleId="863">
    <w:name w:val="List Table 5 Dark - Accent 6"/>
    <w:basedOn w:val="701"/>
    <w:next w:val="863"/>
    <w:link w:val="698"/>
    <w:uiPriority w:val="99"/>
    <w:pPr>
      <w:spacing w:after="0" w:line="240" w:lineRule="auto"/>
    </w:pPr>
    <w:tblPr/>
  </w:style>
  <w:style w:type="table" w:styleId="864">
    <w:name w:val="List Table 6 Colorful"/>
    <w:basedOn w:val="701"/>
    <w:next w:val="864"/>
    <w:link w:val="698"/>
    <w:uiPriority w:val="99"/>
    <w:pPr>
      <w:spacing w:after="0" w:line="240" w:lineRule="auto"/>
    </w:pPr>
    <w:tblPr/>
  </w:style>
  <w:style w:type="table" w:styleId="865">
    <w:name w:val="List Table 6 Colorful - Accent 1"/>
    <w:basedOn w:val="701"/>
    <w:next w:val="865"/>
    <w:link w:val="698"/>
    <w:uiPriority w:val="99"/>
    <w:pPr>
      <w:spacing w:after="0" w:line="240" w:lineRule="auto"/>
    </w:pPr>
    <w:tblPr/>
  </w:style>
  <w:style w:type="table" w:styleId="866">
    <w:name w:val="List Table 6 Colorful - Accent 2"/>
    <w:basedOn w:val="701"/>
    <w:next w:val="866"/>
    <w:link w:val="698"/>
    <w:uiPriority w:val="99"/>
    <w:pPr>
      <w:spacing w:after="0" w:line="240" w:lineRule="auto"/>
    </w:pPr>
    <w:tblPr/>
  </w:style>
  <w:style w:type="table" w:styleId="867">
    <w:name w:val="List Table 6 Colorful - Accent 3"/>
    <w:basedOn w:val="701"/>
    <w:next w:val="867"/>
    <w:link w:val="698"/>
    <w:uiPriority w:val="99"/>
    <w:pPr>
      <w:spacing w:after="0" w:line="240" w:lineRule="auto"/>
    </w:pPr>
    <w:tblPr/>
  </w:style>
  <w:style w:type="table" w:styleId="868">
    <w:name w:val="List Table 6 Colorful - Accent 4"/>
    <w:basedOn w:val="701"/>
    <w:next w:val="868"/>
    <w:link w:val="698"/>
    <w:uiPriority w:val="99"/>
    <w:pPr>
      <w:spacing w:after="0" w:line="240" w:lineRule="auto"/>
    </w:pPr>
    <w:tblPr/>
  </w:style>
  <w:style w:type="table" w:styleId="869">
    <w:name w:val="List Table 6 Colorful - Accent 5"/>
    <w:basedOn w:val="701"/>
    <w:next w:val="869"/>
    <w:link w:val="698"/>
    <w:uiPriority w:val="99"/>
    <w:pPr>
      <w:spacing w:after="0" w:line="240" w:lineRule="auto"/>
    </w:pPr>
    <w:tblPr/>
  </w:style>
  <w:style w:type="table" w:styleId="870">
    <w:name w:val="List Table 6 Colorful - Accent 6"/>
    <w:basedOn w:val="701"/>
    <w:next w:val="870"/>
    <w:link w:val="698"/>
    <w:uiPriority w:val="99"/>
    <w:pPr>
      <w:spacing w:after="0" w:line="240" w:lineRule="auto"/>
    </w:pPr>
    <w:tblPr/>
  </w:style>
  <w:style w:type="table" w:styleId="871">
    <w:name w:val="List Table 7 Colorful"/>
    <w:basedOn w:val="701"/>
    <w:next w:val="871"/>
    <w:link w:val="698"/>
    <w:uiPriority w:val="99"/>
    <w:pPr>
      <w:spacing w:after="0" w:line="240" w:lineRule="auto"/>
    </w:pPr>
    <w:tblPr/>
  </w:style>
  <w:style w:type="table" w:styleId="872">
    <w:name w:val="List Table 7 Colorful - Accent 1"/>
    <w:basedOn w:val="701"/>
    <w:next w:val="872"/>
    <w:link w:val="698"/>
    <w:uiPriority w:val="99"/>
    <w:pPr>
      <w:spacing w:after="0" w:line="240" w:lineRule="auto"/>
    </w:pPr>
    <w:tblPr/>
  </w:style>
  <w:style w:type="table" w:styleId="873">
    <w:name w:val="List Table 7 Colorful - Accent 2"/>
    <w:basedOn w:val="701"/>
    <w:next w:val="873"/>
    <w:link w:val="698"/>
    <w:uiPriority w:val="99"/>
    <w:pPr>
      <w:spacing w:after="0" w:line="240" w:lineRule="auto"/>
    </w:pPr>
    <w:tblPr/>
  </w:style>
  <w:style w:type="table" w:styleId="874">
    <w:name w:val="List Table 7 Colorful - Accent 3"/>
    <w:basedOn w:val="701"/>
    <w:next w:val="874"/>
    <w:link w:val="698"/>
    <w:uiPriority w:val="99"/>
    <w:pPr>
      <w:spacing w:after="0" w:line="240" w:lineRule="auto"/>
    </w:pPr>
    <w:tblPr/>
  </w:style>
  <w:style w:type="table" w:styleId="875">
    <w:name w:val="List Table 7 Colorful - Accent 4"/>
    <w:basedOn w:val="701"/>
    <w:next w:val="875"/>
    <w:link w:val="698"/>
    <w:uiPriority w:val="99"/>
    <w:pPr>
      <w:spacing w:after="0" w:line="240" w:lineRule="auto"/>
    </w:pPr>
    <w:tblPr/>
  </w:style>
  <w:style w:type="table" w:styleId="876">
    <w:name w:val="List Table 7 Colorful - Accent 5"/>
    <w:basedOn w:val="701"/>
    <w:next w:val="876"/>
    <w:link w:val="698"/>
    <w:uiPriority w:val="99"/>
    <w:pPr>
      <w:spacing w:after="0" w:line="240" w:lineRule="auto"/>
    </w:pPr>
    <w:tblPr/>
  </w:style>
  <w:style w:type="table" w:styleId="877">
    <w:name w:val="List Table 7 Colorful - Accent 6"/>
    <w:basedOn w:val="701"/>
    <w:next w:val="877"/>
    <w:link w:val="698"/>
    <w:uiPriority w:val="99"/>
    <w:pPr>
      <w:spacing w:after="0" w:line="240" w:lineRule="auto"/>
    </w:pPr>
    <w:tblPr/>
  </w:style>
  <w:style w:type="table" w:styleId="878">
    <w:name w:val="Lined - Accent"/>
    <w:basedOn w:val="701"/>
    <w:next w:val="878"/>
    <w:link w:val="698"/>
    <w:uiPriority w:val="99"/>
    <w:pPr>
      <w:spacing w:after="0" w:line="240" w:lineRule="auto"/>
    </w:pPr>
    <w:rPr>
      <w:color w:val="404040"/>
    </w:rPr>
    <w:tblPr/>
  </w:style>
  <w:style w:type="table" w:styleId="879">
    <w:name w:val="Lined - Accent 1"/>
    <w:basedOn w:val="701"/>
    <w:next w:val="879"/>
    <w:link w:val="698"/>
    <w:uiPriority w:val="99"/>
    <w:pPr>
      <w:spacing w:after="0" w:line="240" w:lineRule="auto"/>
    </w:pPr>
    <w:rPr>
      <w:color w:val="404040"/>
    </w:rPr>
    <w:tblPr/>
  </w:style>
  <w:style w:type="table" w:styleId="880">
    <w:name w:val="Lined - Accent 2"/>
    <w:basedOn w:val="701"/>
    <w:next w:val="880"/>
    <w:link w:val="698"/>
    <w:uiPriority w:val="99"/>
    <w:pPr>
      <w:spacing w:after="0" w:line="240" w:lineRule="auto"/>
    </w:pPr>
    <w:rPr>
      <w:color w:val="404040"/>
    </w:rPr>
    <w:tblPr/>
  </w:style>
  <w:style w:type="table" w:styleId="881">
    <w:name w:val="Lined - Accent 3"/>
    <w:basedOn w:val="701"/>
    <w:next w:val="881"/>
    <w:link w:val="698"/>
    <w:uiPriority w:val="99"/>
    <w:pPr>
      <w:spacing w:after="0" w:line="240" w:lineRule="auto"/>
    </w:pPr>
    <w:rPr>
      <w:color w:val="404040"/>
    </w:rPr>
    <w:tblPr/>
  </w:style>
  <w:style w:type="table" w:styleId="882">
    <w:name w:val="Lined - Accent 4"/>
    <w:basedOn w:val="701"/>
    <w:next w:val="882"/>
    <w:link w:val="698"/>
    <w:uiPriority w:val="99"/>
    <w:pPr>
      <w:spacing w:after="0" w:line="240" w:lineRule="auto"/>
    </w:pPr>
    <w:rPr>
      <w:color w:val="404040"/>
    </w:rPr>
    <w:tblPr/>
  </w:style>
  <w:style w:type="table" w:styleId="883">
    <w:name w:val="Lined - Accent 5"/>
    <w:basedOn w:val="701"/>
    <w:next w:val="883"/>
    <w:link w:val="698"/>
    <w:uiPriority w:val="99"/>
    <w:pPr>
      <w:spacing w:after="0" w:line="240" w:lineRule="auto"/>
    </w:pPr>
    <w:rPr>
      <w:color w:val="404040"/>
    </w:rPr>
    <w:tblPr/>
  </w:style>
  <w:style w:type="table" w:styleId="884">
    <w:name w:val="Lined - Accent 6"/>
    <w:basedOn w:val="701"/>
    <w:next w:val="884"/>
    <w:link w:val="698"/>
    <w:uiPriority w:val="99"/>
    <w:pPr>
      <w:spacing w:after="0" w:line="240" w:lineRule="auto"/>
    </w:pPr>
    <w:rPr>
      <w:color w:val="404040"/>
    </w:rPr>
    <w:tblPr/>
  </w:style>
  <w:style w:type="table" w:styleId="885">
    <w:name w:val="Bordered &amp; Lined - Accent"/>
    <w:basedOn w:val="701"/>
    <w:next w:val="885"/>
    <w:link w:val="698"/>
    <w:uiPriority w:val="99"/>
    <w:pPr>
      <w:spacing w:after="0" w:line="240" w:lineRule="auto"/>
    </w:pPr>
    <w:rPr>
      <w:color w:val="404040"/>
    </w:rPr>
    <w:tblPr/>
  </w:style>
  <w:style w:type="table" w:styleId="886">
    <w:name w:val="Bordered &amp; Lined - Accent 1"/>
    <w:basedOn w:val="701"/>
    <w:next w:val="886"/>
    <w:link w:val="698"/>
    <w:uiPriority w:val="99"/>
    <w:pPr>
      <w:spacing w:after="0" w:line="240" w:lineRule="auto"/>
    </w:pPr>
    <w:rPr>
      <w:color w:val="404040"/>
    </w:rPr>
    <w:tblPr/>
  </w:style>
  <w:style w:type="table" w:styleId="887">
    <w:name w:val="Bordered &amp; Lined - Accent 2"/>
    <w:basedOn w:val="701"/>
    <w:next w:val="887"/>
    <w:link w:val="698"/>
    <w:uiPriority w:val="99"/>
    <w:pPr>
      <w:spacing w:after="0" w:line="240" w:lineRule="auto"/>
    </w:pPr>
    <w:rPr>
      <w:color w:val="404040"/>
    </w:rPr>
    <w:tblPr/>
  </w:style>
  <w:style w:type="table" w:styleId="888">
    <w:name w:val="Bordered &amp; Lined - Accent 3"/>
    <w:basedOn w:val="701"/>
    <w:next w:val="888"/>
    <w:link w:val="698"/>
    <w:uiPriority w:val="99"/>
    <w:pPr>
      <w:spacing w:after="0" w:line="240" w:lineRule="auto"/>
    </w:pPr>
    <w:rPr>
      <w:color w:val="404040"/>
    </w:rPr>
    <w:tblPr/>
  </w:style>
  <w:style w:type="table" w:styleId="889">
    <w:name w:val="Bordered &amp; Lined - Accent 4"/>
    <w:basedOn w:val="701"/>
    <w:next w:val="889"/>
    <w:link w:val="698"/>
    <w:uiPriority w:val="99"/>
    <w:pPr>
      <w:spacing w:after="0" w:line="240" w:lineRule="auto"/>
    </w:pPr>
    <w:rPr>
      <w:color w:val="404040"/>
    </w:rPr>
    <w:tblPr/>
  </w:style>
  <w:style w:type="table" w:styleId="890">
    <w:name w:val="Bordered &amp; Lined - Accent 5"/>
    <w:basedOn w:val="701"/>
    <w:next w:val="890"/>
    <w:link w:val="698"/>
    <w:uiPriority w:val="99"/>
    <w:pPr>
      <w:spacing w:after="0" w:line="240" w:lineRule="auto"/>
    </w:pPr>
    <w:rPr>
      <w:color w:val="404040"/>
    </w:rPr>
    <w:tblPr/>
  </w:style>
  <w:style w:type="table" w:styleId="891">
    <w:name w:val="Bordered &amp; Lined - Accent 6"/>
    <w:basedOn w:val="701"/>
    <w:next w:val="891"/>
    <w:link w:val="698"/>
    <w:uiPriority w:val="99"/>
    <w:pPr>
      <w:spacing w:after="0" w:line="240" w:lineRule="auto"/>
    </w:pPr>
    <w:rPr>
      <w:color w:val="404040"/>
    </w:rPr>
    <w:tblPr/>
  </w:style>
  <w:style w:type="table" w:styleId="892">
    <w:name w:val="Bordered"/>
    <w:basedOn w:val="701"/>
    <w:next w:val="892"/>
    <w:link w:val="698"/>
    <w:uiPriority w:val="99"/>
    <w:pPr>
      <w:spacing w:after="0" w:line="240" w:lineRule="auto"/>
    </w:pPr>
    <w:tblPr/>
  </w:style>
  <w:style w:type="table" w:styleId="893">
    <w:name w:val="Bordered - Accent 1"/>
    <w:basedOn w:val="701"/>
    <w:next w:val="893"/>
    <w:link w:val="698"/>
    <w:uiPriority w:val="99"/>
    <w:pPr>
      <w:spacing w:after="0" w:line="240" w:lineRule="auto"/>
    </w:pPr>
    <w:tblPr/>
  </w:style>
  <w:style w:type="table" w:styleId="894">
    <w:name w:val="Bordered - Accent 2"/>
    <w:basedOn w:val="701"/>
    <w:next w:val="894"/>
    <w:link w:val="698"/>
    <w:uiPriority w:val="99"/>
    <w:pPr>
      <w:spacing w:after="0" w:line="240" w:lineRule="auto"/>
    </w:pPr>
    <w:tblPr/>
  </w:style>
  <w:style w:type="table" w:styleId="895">
    <w:name w:val="Bordered - Accent 3"/>
    <w:basedOn w:val="701"/>
    <w:next w:val="895"/>
    <w:link w:val="698"/>
    <w:uiPriority w:val="99"/>
    <w:pPr>
      <w:spacing w:after="0" w:line="240" w:lineRule="auto"/>
    </w:pPr>
    <w:tblPr/>
  </w:style>
  <w:style w:type="table" w:styleId="896">
    <w:name w:val="Bordered - Accent 4"/>
    <w:basedOn w:val="701"/>
    <w:next w:val="896"/>
    <w:link w:val="698"/>
    <w:uiPriority w:val="99"/>
    <w:pPr>
      <w:spacing w:after="0" w:line="240" w:lineRule="auto"/>
    </w:pPr>
    <w:tblPr/>
  </w:style>
  <w:style w:type="table" w:styleId="897">
    <w:name w:val="Bordered - Accent 5"/>
    <w:basedOn w:val="701"/>
    <w:next w:val="897"/>
    <w:link w:val="698"/>
    <w:uiPriority w:val="99"/>
    <w:pPr>
      <w:spacing w:after="0" w:line="240" w:lineRule="auto"/>
    </w:pPr>
    <w:tblPr/>
  </w:style>
  <w:style w:type="table" w:styleId="898">
    <w:name w:val="Bordered - Accent 6"/>
    <w:basedOn w:val="701"/>
    <w:next w:val="898"/>
    <w:link w:val="698"/>
    <w:uiPriority w:val="99"/>
    <w:pPr>
      <w:spacing w:after="0" w:line="240" w:lineRule="auto"/>
    </w:pPr>
    <w:tblPr/>
  </w:style>
  <w:style w:type="paragraph" w:styleId="899">
    <w:name w:val="TOC 标题"/>
    <w:next w:val="899"/>
    <w:link w:val="698"/>
    <w:uiPriority w:val="39"/>
    <w:qFormat/>
    <w:rPr>
      <w:lang w:val="en-US" w:eastAsia="zh-CN" w:bidi="ar-SA"/>
    </w:rPr>
  </w:style>
  <w:style w:type="paragraph" w:styleId="900">
    <w:name w:val="Heading 1"/>
    <w:basedOn w:val="698"/>
    <w:next w:val="698"/>
    <w:link w:val="901"/>
    <w:qFormat/>
    <w:pPr>
      <w:keepLines/>
      <w:keepNext/>
      <w:spacing w:before="340" w:after="330" w:line="576" w:lineRule="auto"/>
      <w:outlineLvl w:val="0"/>
    </w:pPr>
    <w:rPr>
      <w:rFonts w:ascii="Times New Roman" w:hAnsi="Times New Roman" w:eastAsia="宋体"/>
      <w:b/>
      <w:sz w:val="24"/>
    </w:rPr>
  </w:style>
  <w:style w:type="character" w:styleId="901">
    <w:name w:val="标题 1 字符"/>
    <w:basedOn w:val="700"/>
    <w:next w:val="901"/>
    <w:link w:val="900"/>
    <w:qFormat/>
    <w:rPr>
      <w:rFonts w:ascii="Calibri" w:hAnsi="Calibri" w:cs="Calibri"/>
      <w:b/>
      <w:bCs/>
      <w:sz w:val="44"/>
      <w:szCs w:val="44"/>
    </w:rPr>
  </w:style>
  <w:style w:type="paragraph" w:styleId="902">
    <w:name w:val="Heading 3"/>
    <w:basedOn w:val="698"/>
    <w:next w:val="698"/>
    <w:link w:val="698"/>
    <w:unhideWhenUsed/>
    <w:qFormat/>
    <w:pPr>
      <w:jc w:val="left"/>
      <w:spacing w:before="100" w:beforeAutospacing="1" w:after="100" w:afterAutospacing="1"/>
    </w:pPr>
    <w:rPr>
      <w:rFonts w:hint="eastAsia" w:ascii="宋体" w:hAnsi="宋体" w:eastAsia="宋体" w:cs="宋体"/>
      <w:b/>
      <w:bCs/>
      <w:sz w:val="27"/>
      <w:szCs w:val="27"/>
      <w:lang w:val="en-US" w:eastAsia="zh-CN" w:bidi="ar"/>
    </w:rPr>
  </w:style>
  <w:style w:type="paragraph" w:styleId="903">
    <w:name w:val="Footer1"/>
    <w:basedOn w:val="698"/>
    <w:next w:val="903"/>
    <w:link w:val="904"/>
    <w:qFormat/>
    <w:pPr>
      <w:tabs>
        <w:tab w:val="center" w:pos="4153" w:leader="none"/>
        <w:tab w:val="right" w:pos="8306" w:leader="none"/>
      </w:tabs>
    </w:pPr>
    <w:rPr>
      <w:sz w:val="18"/>
      <w:szCs w:val="18"/>
    </w:rPr>
  </w:style>
  <w:style w:type="character" w:styleId="904">
    <w:name w:val="页脚 字符"/>
    <w:basedOn w:val="700"/>
    <w:next w:val="904"/>
    <w:link w:val="903"/>
    <w:qFormat/>
    <w:rPr>
      <w:rFonts w:eastAsia="Arial"/>
      <w:color w:val="000000"/>
      <w:sz w:val="18"/>
      <w:szCs w:val="18"/>
    </w:rPr>
  </w:style>
  <w:style w:type="paragraph" w:styleId="905">
    <w:name w:val="Header1"/>
    <w:basedOn w:val="698"/>
    <w:next w:val="905"/>
    <w:link w:val="906"/>
    <w:qFormat/>
    <w:pPr>
      <w:jc w:val="center"/>
      <w:tabs>
        <w:tab w:val="center" w:pos="4153" w:leader="none"/>
        <w:tab w:val="right" w:pos="8306" w:leader="none"/>
      </w:tabs>
      <w:pBdr>
        <w:bottom w:val="single" w:color="000000" w:sz="6" w:space="1"/>
      </w:pBdr>
    </w:pPr>
    <w:rPr>
      <w:sz w:val="18"/>
      <w:szCs w:val="18"/>
    </w:rPr>
  </w:style>
  <w:style w:type="character" w:styleId="906">
    <w:name w:val="页眉 字符"/>
    <w:basedOn w:val="700"/>
    <w:next w:val="906"/>
    <w:link w:val="905"/>
    <w:qFormat/>
    <w:rPr>
      <w:rFonts w:eastAsia="Arial"/>
      <w:color w:val="000000"/>
      <w:sz w:val="18"/>
      <w:szCs w:val="18"/>
    </w:rPr>
  </w:style>
  <w:style w:type="table" w:styleId="907">
    <w:name w:val="Table Normal_0"/>
    <w:next w:val="907"/>
    <w:link w:val="698"/>
    <w:unhideWhenUsed/>
    <w:qFormat/>
    <w:rPr>
      <w:lang w:val="en-US" w:eastAsia="zh-CN" w:bidi="ar-SA"/>
    </w:rPr>
    <w:tblPr/>
  </w:style>
  <w:style w:type="paragraph" w:styleId="908">
    <w:name w:val="Body text|1"/>
    <w:basedOn w:val="698"/>
    <w:next w:val="908"/>
    <w:link w:val="698"/>
    <w:qFormat/>
    <w:pPr>
      <w:ind w:firstLine="400"/>
      <w:spacing w:line="430" w:lineRule="auto"/>
    </w:pPr>
    <w:rPr>
      <w:rFonts w:ascii="宋体" w:hAnsi="宋体" w:eastAsia="宋体" w:cs="宋体"/>
      <w:lang w:val="zh-TW" w:eastAsia="zh-TW" w:bidi="zh-TW"/>
    </w:rPr>
  </w:style>
  <w:style w:type="paragraph" w:styleId="909">
    <w:name w:val="段"/>
    <w:next w:val="698"/>
    <w:link w:val="698"/>
    <w:qFormat/>
    <w:pPr>
      <w:ind w:firstLine="200"/>
      <w:jc w:val="both"/>
      <w:spacing w:line="360" w:lineRule="auto"/>
    </w:pPr>
    <w:rPr>
      <w:sz w:val="24"/>
      <w:szCs w:val="22"/>
      <w:lang w:val="en-US" w:eastAsia="zh-CN" w:bidi="ar-SA"/>
    </w:rPr>
  </w:style>
  <w:style w:type="paragraph" w:styleId="910">
    <w:name w:val="修订1"/>
    <w:next w:val="910"/>
    <w:link w:val="698"/>
    <w:uiPriority w:val="99"/>
    <w:unhideWhenUsed/>
    <w:qFormat/>
    <w:rPr>
      <w:rFonts w:ascii="Arial" w:hAnsi="Arial" w:eastAsia="Arial" w:cs="Arial"/>
      <w:color w:val="000000"/>
      <w:sz w:val="21"/>
      <w:szCs w:val="21"/>
      <w:lang w:val="en-US" w:eastAsia="zh-CN" w:bidi="ar-SA"/>
    </w:rPr>
  </w:style>
  <w:style w:type="paragraph" w:styleId="911">
    <w:name w:val="修订2"/>
    <w:next w:val="911"/>
    <w:link w:val="698"/>
    <w:uiPriority w:val="99"/>
    <w:unhideWhenUsed/>
    <w:qFormat/>
    <w:rPr>
      <w:rFonts w:ascii="Arial" w:hAnsi="Arial" w:eastAsia="Arial" w:cs="Arial"/>
      <w:color w:val="000000"/>
      <w:sz w:val="21"/>
      <w:szCs w:val="21"/>
      <w:lang w:val="en-US" w:eastAsia="zh-CN" w:bidi="ar-SA"/>
    </w:rPr>
  </w:style>
  <w:style w:type="paragraph" w:styleId="912">
    <w:name w:val="列出段落"/>
    <w:basedOn w:val="698"/>
    <w:next w:val="912"/>
    <w:link w:val="698"/>
    <w:uiPriority w:val="99"/>
    <w:qFormat/>
    <w:pPr>
      <w:ind w:firstLine="420"/>
    </w:pPr>
  </w:style>
  <w:style w:type="paragraph" w:styleId="913">
    <w:name w:val="修订3"/>
    <w:next w:val="913"/>
    <w:link w:val="698"/>
    <w:uiPriority w:val="99"/>
    <w:unhideWhenUsed/>
    <w:qFormat/>
    <w:rPr>
      <w:rFonts w:ascii="Arial" w:hAnsi="Arial" w:eastAsia="Arial" w:cs="Arial"/>
      <w:color w:val="000000"/>
      <w:sz w:val="21"/>
      <w:szCs w:val="21"/>
      <w:lang w:val="en-US" w:eastAsia="zh-CN" w:bidi="ar-SA"/>
    </w:rPr>
  </w:style>
  <w:style w:type="paragraph" w:styleId="914">
    <w:name w:val="修订4"/>
    <w:next w:val="914"/>
    <w:link w:val="698"/>
    <w:uiPriority w:val="99"/>
    <w:unhideWhenUsed/>
    <w:qFormat/>
    <w:rPr>
      <w:rFonts w:ascii="Arial" w:hAnsi="Arial" w:eastAsia="Arial" w:cs="Arial"/>
      <w:color w:val="000000"/>
      <w:sz w:val="21"/>
      <w:szCs w:val="21"/>
      <w:lang w:val="en-US" w:eastAsia="zh-CN" w:bidi="ar-SA"/>
    </w:rPr>
  </w:style>
  <w:style w:type="paragraph" w:styleId="915">
    <w:name w:val="[正文行首缩进]"/>
    <w:next w:val="915"/>
    <w:link w:val="698"/>
    <w:qFormat/>
    <w:pPr>
      <w:ind w:firstLine="480"/>
      <w:jc w:val="both"/>
      <w:spacing w:line="360" w:lineRule="auto"/>
      <w:widowControl w:val="off"/>
    </w:pPr>
    <w:rPr>
      <w:bCs/>
      <w:color w:val="000000"/>
      <w:sz w:val="24"/>
      <w:szCs w:val="24"/>
      <w:lang w:val="en-US" w:eastAsia="zh-CN" w:bidi="ar-SA"/>
    </w:rPr>
  </w:style>
  <w:style w:type="paragraph" w:styleId="916">
    <w:name w:val="首行缩进"/>
    <w:basedOn w:val="698"/>
    <w:next w:val="916"/>
    <w:link w:val="698"/>
    <w:qFormat/>
    <w:pPr>
      <w:ind w:left="1024" w:firstLine="480"/>
      <w:jc w:val="both"/>
    </w:pPr>
    <w:rPr>
      <w:rFonts w:ascii="Calibri" w:hAnsi="Calibri" w:eastAsia="宋体" w:cs="Times New Roman"/>
      <w:sz w:val="20"/>
      <w:szCs w:val="20"/>
    </w:rPr>
  </w:style>
  <w:style w:type="character" w:styleId="917">
    <w:name w:val="Plain Text Char Char"/>
    <w:basedOn w:val="700"/>
    <w:next w:val="917"/>
    <w:link w:val="918"/>
    <w:qFormat/>
    <w:rPr>
      <w:rFonts w:hint="eastAsia" w:ascii="宋体" w:hAnsi="Courier New" w:eastAsia="楷体_GB2312" w:cs="宋体"/>
      <w:sz w:val="28"/>
    </w:rPr>
  </w:style>
  <w:style w:type="paragraph" w:styleId="918">
    <w:name w:val="Plain Text1"/>
    <w:basedOn w:val="698"/>
    <w:next w:val="918"/>
    <w:link w:val="917"/>
    <w:qFormat/>
    <w:pPr>
      <w:jc w:val="both"/>
      <w:widowControl w:val="off"/>
    </w:pPr>
    <w:rPr>
      <w:rFonts w:hint="eastAsia" w:ascii="宋体" w:hAnsi="Courier New" w:eastAsia="楷体_GB2312" w:cs="Times New Roman"/>
      <w:sz w:val="28"/>
      <w:szCs w:val="20"/>
    </w:rPr>
  </w:style>
  <w:style w:type="paragraph" w:styleId="919">
    <w:name w:val="纯文本1"/>
    <w:basedOn w:val="698"/>
    <w:next w:val="919"/>
    <w:link w:val="698"/>
    <w:qFormat/>
    <w:pPr>
      <w:ind w:firstLine="480"/>
      <w:spacing w:line="360" w:lineRule="auto"/>
      <w:widowControl w:val="off"/>
    </w:pPr>
    <w:rPr>
      <w:rFonts w:ascii="宋体" w:hAnsi="Courier New"/>
    </w:rPr>
  </w:style>
  <w:style w:type="paragraph" w:styleId="920">
    <w:name w:val="列出段落2"/>
    <w:basedOn w:val="698"/>
    <w:next w:val="920"/>
    <w:link w:val="698"/>
    <w:qFormat/>
    <w:pPr>
      <w:ind w:firstLine="200"/>
      <w:jc w:val="both"/>
      <w:widowControl w:val="off"/>
    </w:pPr>
    <w:rPr>
      <w:rFonts w:ascii="Times New Roman" w:hAnsi="Times New Roman" w:eastAsia="宋体" w:cs="Times New Roman"/>
      <w:szCs w:val="24"/>
    </w:rPr>
  </w:style>
  <w:style w:type="paragraph" w:styleId="921">
    <w:name w:val="msolistparagraph"/>
    <w:basedOn w:val="698"/>
    <w:next w:val="921"/>
    <w:link w:val="698"/>
    <w:qFormat/>
    <w:pPr>
      <w:ind w:firstLine="420"/>
      <w:jc w:val="both"/>
      <w:widowControl w:val="off"/>
    </w:pPr>
    <w:rPr>
      <w:rFonts w:hint="eastAsia" w:ascii="宋体" w:hAnsi="宋体" w:eastAsia="宋体" w:cs="Times New Roman"/>
      <w:sz w:val="24"/>
      <w:szCs w:val="24"/>
    </w:rPr>
  </w:style>
  <w:style w:type="character" w:styleId="922">
    <w:name w:val="列表段落 字符"/>
    <w:basedOn w:val="700"/>
    <w:next w:val="922"/>
    <w:link w:val="698"/>
    <w:qFormat/>
    <w:rPr>
      <w:rFonts w:hint="eastAsia" w:ascii="宋体" w:hAnsi="宋体" w:eastAsia="宋体" w:cs="宋体"/>
      <w:sz w:val="24"/>
      <w:szCs w:val="24"/>
    </w:rPr>
  </w:style>
  <w:style w:type="paragraph" w:styleId="923">
    <w:name w:val="修订5"/>
    <w:next w:val="923"/>
    <w:link w:val="698"/>
    <w:uiPriority w:val="99"/>
    <w:unhideWhenUsed/>
    <w:qFormat/>
    <w:rPr>
      <w:rFonts w:ascii="Arial" w:hAnsi="Arial" w:eastAsia="Arial" w:cs="Arial"/>
      <w:color w:val="000000"/>
      <w:sz w:val="21"/>
      <w:szCs w:val="21"/>
      <w:lang w:val="en-US" w:eastAsia="zh-CN" w:bidi="ar-SA"/>
    </w:rPr>
  </w:style>
  <w:style w:type="paragraph" w:styleId="924">
    <w:name w:val="修订6"/>
    <w:next w:val="924"/>
    <w:link w:val="698"/>
    <w:uiPriority w:val="99"/>
    <w:unhideWhenUsed/>
    <w:qFormat/>
    <w:rPr>
      <w:rFonts w:ascii="Arial" w:hAnsi="Arial" w:eastAsia="Arial" w:cs="Arial"/>
      <w:color w:val="000000"/>
      <w:sz w:val="21"/>
      <w:szCs w:val="21"/>
      <w:lang w:val="en-US" w:eastAsia="zh-CN" w:bidi="ar-SA"/>
    </w:rPr>
  </w:style>
  <w:style w:type="paragraph" w:styleId="925">
    <w:name w:val="纯文本6"/>
    <w:basedOn w:val="698"/>
    <w:next w:val="925"/>
    <w:link w:val="698"/>
    <w:qFormat/>
    <w:pPr>
      <w:jc w:val="both"/>
      <w:widowControl w:val="off"/>
    </w:pPr>
    <w:rPr>
      <w:rFonts w:hint="eastAsia" w:ascii="宋体" w:hAnsi="Courier New" w:eastAsia="楷体_GB2312" w:cs="Times New Roman"/>
      <w:sz w:val="28"/>
      <w:szCs w:val="20"/>
    </w:rPr>
  </w:style>
  <w:style w:type="character" w:styleId="926">
    <w:name w:val="正文文本首行缩进 2 字符"/>
    <w:next w:val="926"/>
    <w:link w:val="698"/>
    <w:qFormat/>
    <w:rPr>
      <w:rFonts w:hint="eastAsia" w:ascii="楷体_GB2312" w:eastAsia="楷体_GB2312" w:cs="楷体_GB2312"/>
      <w:sz w:val="26"/>
    </w:rPr>
  </w:style>
  <w:style w:type="paragraph" w:styleId="927">
    <w:name w:val="修订7"/>
    <w:next w:val="927"/>
    <w:link w:val="698"/>
    <w:uiPriority w:val="99"/>
    <w:unhideWhenUsed/>
    <w:qFormat/>
    <w:rPr>
      <w:rFonts w:ascii="Arial" w:hAnsi="Arial" w:eastAsia="Arial" w:cs="Arial"/>
      <w:color w:val="000000"/>
      <w:sz w:val="21"/>
      <w:szCs w:val="21"/>
      <w:lang w:val="en-US" w:eastAsia="zh-CN" w:bidi="ar-SA"/>
    </w:rPr>
  </w:style>
  <w:style w:type="paragraph" w:styleId="928">
    <w:name w:val="Revision"/>
    <w:next w:val="928"/>
    <w:link w:val="698"/>
    <w:uiPriority w:val="99"/>
    <w:unhideWhenUsed/>
    <w:qFormat/>
    <w:rPr>
      <w:rFonts w:ascii="Arial" w:hAnsi="Arial" w:eastAsia="Arial" w:cs="Arial"/>
      <w:color w:val="000000"/>
      <w:sz w:val="21"/>
      <w:szCs w:val="21"/>
      <w:lang w:val="en-US" w:eastAsia="zh-CN" w:bidi="ar-SA"/>
    </w:rPr>
  </w:style>
  <w:style w:type="paragraph" w:styleId="929">
    <w:name w:val="Table Paragraph"/>
    <w:basedOn w:val="698"/>
    <w:next w:val="929"/>
    <w:link w:val="698"/>
    <w:uiPriority w:val="1"/>
    <w:qFormat/>
    <w:rPr>
      <w:rFonts w:eastAsia="宋体"/>
    </w:rPr>
  </w:style>
  <w:style w:type="paragraph" w:styleId="930">
    <w:name w:val="纯文本8"/>
    <w:basedOn w:val="698"/>
    <w:next w:val="930"/>
    <w:link w:val="698"/>
    <w:qFormat/>
    <w:pPr>
      <w:spacing w:line="240" w:lineRule="auto"/>
      <w:widowControl w:val="off"/>
    </w:pPr>
    <w:rPr>
      <w:rFonts w:ascii="宋体" w:hAnsi="Courier New" w:eastAsia="宋体"/>
    </w:rPr>
  </w:style>
  <w:style w:type="paragraph" w:styleId="931">
    <w:name w:val="纯文本10"/>
    <w:basedOn w:val="698"/>
    <w:next w:val="931"/>
    <w:link w:val="698"/>
    <w:qFormat/>
    <w:pPr>
      <w:jc w:val="left"/>
      <w:spacing w:line="240" w:lineRule="auto"/>
    </w:pPr>
    <w:rPr>
      <w:rFonts w:ascii="宋体" w:hAnsi="Courier New" w:eastAsia="宋体"/>
      <w:sz w:val="28"/>
    </w:rPr>
  </w:style>
  <w:style w:type="paragraph" w:styleId="932">
    <w:name w:val="正文文本1"/>
    <w:basedOn w:val="698"/>
    <w:next w:val="932"/>
    <w:link w:val="698"/>
    <w:uiPriority w:val="99"/>
    <w:unhideWhenUsed/>
    <w:qFormat/>
    <w:pPr>
      <w:spacing w:after="120"/>
    </w:pPr>
    <w:rPr>
      <w:rFonts w:ascii="Times New Roman" w:hAnsi="Times New Roman" w:eastAsia="宋体" w:cs="Times New Roman"/>
    </w:rPr>
  </w:style>
  <w:style w:type="paragraph" w:styleId="933">
    <w:name w:val="纯文本3"/>
    <w:basedOn w:val="698"/>
    <w:next w:val="933"/>
    <w:link w:val="698"/>
    <w:qFormat/>
    <w:rPr>
      <w:rFonts w:ascii="宋体" w:hAnsi="Courier New" w:eastAsia="楷体_GB2312"/>
      <w:sz w:val="26"/>
      <w:szCs w:val="22"/>
    </w:rPr>
  </w:style>
  <w:style w:type="paragraph" w:styleId="934">
    <w:name w:val="脚注文本1"/>
    <w:basedOn w:val="935"/>
    <w:next w:val="936"/>
    <w:link w:val="698"/>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935">
    <w:name w:val="标题 11"/>
    <w:basedOn w:val="698"/>
    <w:next w:val="698"/>
    <w:link w:val="698"/>
    <w:uiPriority w:val="9"/>
    <w:qFormat/>
    <w:pPr>
      <w:keepLines/>
      <w:keepNext/>
      <w:spacing w:before="340" w:after="330" w:line="578" w:lineRule="auto"/>
      <w:outlineLvl w:val="0"/>
    </w:pPr>
    <w:rPr>
      <w:rFonts w:eastAsia="宋体"/>
      <w:b/>
      <w:bCs/>
      <w:sz w:val="44"/>
      <w:szCs w:val="44"/>
    </w:rPr>
  </w:style>
  <w:style w:type="paragraph" w:styleId="936">
    <w:name w:val="文本块1"/>
    <w:basedOn w:val="698"/>
    <w:next w:val="936"/>
    <w:link w:val="698"/>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937">
    <w:name w:val="正文文本缩进 31"/>
    <w:basedOn w:val="698"/>
    <w:next w:val="938"/>
    <w:link w:val="698"/>
    <w:uiPriority w:val="99"/>
    <w:unhideWhenUsed/>
    <w:qFormat/>
    <w:pPr>
      <w:ind w:firstLine="480"/>
      <w:jc w:val="left"/>
      <w:spacing w:line="440" w:lineRule="atLeast"/>
    </w:pPr>
    <w:rPr>
      <w:rFonts w:ascii="Times New Roman" w:hAnsi="Times New Roman" w:eastAsia="宋体" w:cs="Times New Roman"/>
      <w:sz w:val="24"/>
    </w:rPr>
  </w:style>
  <w:style w:type="paragraph" w:styleId="938">
    <w:name w:val="目录 61"/>
    <w:basedOn w:val="935"/>
    <w:next w:val="698"/>
    <w:link w:val="698"/>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table" w:styleId="939">
    <w:name w:val="网格型42"/>
    <w:basedOn w:val="701"/>
    <w:next w:val="939"/>
    <w:link w:val="698"/>
    <w:uiPriority w:val="59"/>
    <w:qFormat/>
    <w:rPr>
      <w:rFonts w:ascii="Calibri" w:hAnsi="Calibri"/>
    </w:rPr>
    <w:tblPr/>
  </w:style>
  <w:style w:type="paragraph" w:styleId="940">
    <w:name w:val="AONormal"/>
    <w:next w:val="940"/>
    <w:link w:val="698"/>
    <w:qFormat/>
    <w:pPr>
      <w:ind w:firstLine="440"/>
      <w:spacing w:line="400" w:lineRule="exact"/>
    </w:pPr>
    <w:rPr>
      <w:rFonts w:ascii="华文楷体" w:hAnsi="华文楷体" w:eastAsia="华文楷体" w:cs="华文楷体"/>
      <w:sz w:val="22"/>
      <w:szCs w:val="21"/>
      <w:lang w:val="en-US" w:eastAsia="zh-CN" w:bidi="ar-SA"/>
    </w:rPr>
  </w:style>
  <w:style w:type="paragraph" w:styleId="941">
    <w:name w:val="列出段落1"/>
    <w:basedOn w:val="698"/>
    <w:next w:val="941"/>
    <w:link w:val="698"/>
    <w:qFormat/>
    <w:pPr>
      <w:ind w:firstLine="420"/>
    </w:pPr>
    <w:rPr>
      <w:szCs w:val="21"/>
    </w:rPr>
  </w:style>
  <w:style w:type="paragraph" w:styleId="942">
    <w:name w:val="Plain Text2"/>
    <w:basedOn w:val="698"/>
    <w:next w:val="942"/>
    <w:link w:val="698"/>
    <w:uiPriority w:val="99"/>
    <w:qFormat/>
    <w:rPr>
      <w:rFonts w:ascii="宋体" w:hAnsi="Courier New" w:eastAsia="楷体_GB2312"/>
      <w:sz w:val="28"/>
    </w:rPr>
  </w:style>
  <w:style w:type="paragraph" w:styleId="943">
    <w:name w:val="方案正文"/>
    <w:basedOn w:val="698"/>
    <w:next w:val="943"/>
    <w:link w:val="698"/>
    <w:qFormat/>
    <w:pPr>
      <w:spacing w:line="440" w:lineRule="atLeast"/>
    </w:pPr>
    <w:rPr>
      <w:sz w:val="24"/>
    </w:rPr>
  </w:style>
  <w:style w:type="paragraph" w:styleId="944">
    <w:name w:val="纯文本2"/>
    <w:basedOn w:val="698"/>
    <w:next w:val="944"/>
    <w:link w:val="698"/>
    <w:qFormat/>
    <w:pPr>
      <w:jc w:val="both"/>
      <w:spacing w:after="0" w:line="240" w:lineRule="auto"/>
      <w:widowControl w:val="off"/>
    </w:pPr>
    <w:rPr>
      <w:rFonts w:ascii="宋体" w:hAnsi="Courier New" w:eastAsia="楷体_GB2312" w:cs="Times New Roman"/>
      <w:sz w:val="26"/>
      <w:szCs w:val="20"/>
      <w:lang w:eastAsia="zh-CN"/>
    </w:rPr>
  </w:style>
  <w:style w:type="character" w:styleId="945">
    <w:name w:val="font31"/>
    <w:basedOn w:val="700"/>
    <w:next w:val="945"/>
    <w:link w:val="698"/>
    <w:rPr>
      <w:rFonts w:hint="eastAsia" w:ascii="宋体" w:hAnsi="宋体" w:eastAsia="宋体" w:cs="宋体"/>
      <w:i w:val="0"/>
      <w:iCs w:val="0"/>
      <w:color w:val="000000"/>
      <w:sz w:val="22"/>
      <w:szCs w:val="22"/>
      <w:u w:val="none"/>
    </w:rPr>
  </w:style>
  <w:style w:type="paragraph" w:styleId="946">
    <w:name w:val="正文文本11"/>
    <w:basedOn w:val="698"/>
    <w:next w:val="947"/>
    <w:link w:val="698"/>
    <w:qFormat/>
    <w:pPr>
      <w:spacing w:after="120"/>
    </w:pPr>
  </w:style>
  <w:style w:type="paragraph" w:styleId="947">
    <w:name w:val="正文缩进1"/>
    <w:basedOn w:val="698"/>
    <w:next w:val="698"/>
    <w:link w:val="698"/>
    <w:uiPriority w:val="99"/>
    <w:qFormat/>
    <w:pPr>
      <w:ind w:firstLine="420"/>
    </w:pPr>
    <w:rPr>
      <w:sz w:val="24"/>
    </w:rPr>
  </w:style>
  <w:style w:type="character" w:styleId="948" w:default="1">
    <w:name w:val="Default Paragraph Font"/>
    <w:uiPriority w:val="1"/>
    <w:semiHidden/>
    <w:unhideWhenUsed/>
  </w:style>
  <w:style w:type="numbering" w:styleId="949" w:default="1">
    <w:name w:val="No List"/>
    <w:uiPriority w:val="99"/>
    <w:semiHidden/>
    <w:unhideWhenUsed/>
  </w:style>
  <w:style w:type="table" w:styleId="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邹雅琴</cp:lastModifiedBy>
  <cp:revision>6</cp:revision>
  <dcterms:created xsi:type="dcterms:W3CDTF">2023-02-25T14:29:00Z</dcterms:created>
  <dcterms:modified xsi:type="dcterms:W3CDTF">2024-08-23T06:17:19Z</dcterms:modified>
</cp:coreProperties>
</file>