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jc w:val="center"/>
        <w:spacing w:before="75" w:beforeAutospacing="0" w:after="75" w:afterAutospacing="0"/>
        <w:widowControl/>
        <w:rPr>
          <w:rStyle w:val="858"/>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88"/>
        <w:jc w:val="center"/>
        <w:spacing w:before="75" w:beforeAutospacing="0" w:after="75" w:afterAutospacing="0"/>
        <w:widowControl/>
        <w:rPr>
          <w:rStyle w:val="858"/>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88"/>
        <w:jc w:val="center"/>
        <w:spacing w:before="75" w:beforeAutospacing="0" w:after="75" w:afterAutospacing="0"/>
        <w:widowControl/>
        <w:rPr>
          <w:rStyle w:val="858"/>
          <w:rFonts w:hint="eastAsia" w:ascii="宋体" w:hAnsi="宋体" w:eastAsia="宋体" w:cs="宋体"/>
          <w:color w:val="auto"/>
          <w:sz w:val="72"/>
          <w:szCs w:val="72"/>
          <w:highlight w:val="none"/>
        </w:rPr>
      </w:pPr>
      <w:r>
        <w:rPr>
          <w:rStyle w:val="858"/>
          <w:rFonts w:hint="eastAsia" w:ascii="宋体" w:hAnsi="宋体" w:eastAsia="宋体" w:cs="宋体"/>
          <w:color w:val="auto"/>
          <w:sz w:val="72"/>
          <w:szCs w:val="72"/>
          <w:highlight w:val="none"/>
        </w:rPr>
        <w:t xml:space="preserve">苏州市</w:t>
      </w:r>
      <w:r>
        <w:rPr>
          <w:rStyle w:val="858"/>
          <w:rFonts w:hint="eastAsia" w:ascii="宋体" w:hAnsi="宋体" w:cs="宋体"/>
          <w:color w:val="auto"/>
          <w:sz w:val="72"/>
          <w:szCs w:val="72"/>
          <w:highlight w:val="none"/>
          <w:lang w:val="en-US" w:eastAsia="zh-CN"/>
        </w:rPr>
        <w:t xml:space="preserve">姑苏区</w:t>
      </w:r>
      <w:r>
        <w:rPr>
          <w:rStyle w:val="858"/>
          <w:rFonts w:hint="eastAsia" w:ascii="宋体" w:hAnsi="宋体" w:eastAsia="宋体" w:cs="宋体"/>
          <w:color w:val="auto"/>
          <w:sz w:val="72"/>
          <w:szCs w:val="72"/>
          <w:highlight w:val="none"/>
        </w:rPr>
        <w:t xml:space="preserve">政府采购</w:t>
      </w:r>
      <w:r/>
    </w:p>
    <w:p>
      <w:pPr>
        <w:pStyle w:val="888"/>
        <w:jc w:val="center"/>
        <w:spacing w:before="75" w:beforeAutospacing="0" w:after="75" w:afterAutospacing="0"/>
        <w:widowControl/>
        <w:rPr>
          <w:rStyle w:val="858"/>
          <w:rFonts w:hint="eastAsia" w:ascii="宋体" w:hAnsi="宋体" w:eastAsia="宋体" w:cs="宋体"/>
          <w:color w:val="auto"/>
          <w:sz w:val="72"/>
          <w:szCs w:val="72"/>
          <w:highlight w:val="none"/>
        </w:rPr>
      </w:pPr>
      <w:r>
        <w:rPr>
          <w:rStyle w:val="858"/>
          <w:rFonts w:hint="eastAsia" w:ascii="宋体" w:hAnsi="宋体" w:cs="宋体"/>
          <w:color w:val="auto"/>
          <w:sz w:val="72"/>
          <w:szCs w:val="72"/>
          <w:highlight w:val="none"/>
          <w:lang w:val="en-US" w:eastAsia="zh-CN"/>
        </w:rPr>
        <w:t xml:space="preserve">货物类</w:t>
      </w:r>
      <w:r>
        <w:rPr>
          <w:rStyle w:val="858"/>
          <w:rFonts w:hint="eastAsia" w:ascii="宋体" w:hAnsi="宋体" w:eastAsia="宋体" w:cs="宋体"/>
          <w:color w:val="auto"/>
          <w:sz w:val="72"/>
          <w:szCs w:val="72"/>
          <w:highlight w:val="none"/>
        </w:rPr>
        <w:t xml:space="preserve">公开招标项目</w:t>
      </w:r>
      <w:r/>
    </w:p>
    <w:p>
      <w:pPr>
        <w:pStyle w:val="888"/>
        <w:jc w:val="center"/>
        <w:spacing w:before="75" w:beforeAutospacing="0" w:after="75" w:afterAutospacing="0"/>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88"/>
        <w:jc w:val="center"/>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88"/>
        <w:spacing w:before="75" w:beforeAutospacing="0" w:after="75" w:afterAutospacing="0"/>
        <w:widowControl/>
        <w:rPr>
          <w:rStyle w:val="858"/>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88"/>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ind w:firstLine="1205"/>
        <w:spacing w:before="75" w:beforeAutospacing="0" w:after="75" w:afterAutospacing="0"/>
        <w:widowControl/>
        <w:rPr>
          <w:rStyle w:val="858"/>
          <w:rFonts w:hint="eastAsia" w:ascii="宋体" w:hAnsi="宋体" w:eastAsia="宋体" w:cs="宋体"/>
          <w:color w:val="auto"/>
          <w:sz w:val="30"/>
          <w:szCs w:val="30"/>
          <w:highlight w:val="none"/>
        </w:rPr>
      </w:pPr>
      <w:r>
        <w:rPr>
          <w:rStyle w:val="858"/>
          <w:rFonts w:hint="eastAsia" w:ascii="宋体" w:hAnsi="宋体" w:eastAsia="宋体" w:cs="宋体"/>
          <w:color w:val="auto"/>
          <w:sz w:val="30"/>
          <w:szCs w:val="30"/>
          <w:highlight w:val="none"/>
        </w:rPr>
        <w:t xml:space="preserve">采购编号：</w:t>
      </w:r>
      <w:r>
        <w:rPr>
          <w:rStyle w:val="858"/>
          <w:rFonts w:hint="eastAsia" w:ascii="宋体" w:hAnsi="宋体" w:eastAsia="宋体" w:cs="宋体"/>
          <w:color w:val="auto"/>
          <w:sz w:val="30"/>
          <w:szCs w:val="30"/>
          <w:highlight w:val="none"/>
          <w:u w:val="single"/>
        </w:rPr>
        <w:t xml:space="preserve">  </w:t>
      </w:r>
      <w:r>
        <w:rPr>
          <w:rStyle w:val="858"/>
          <w:rFonts w:hint="eastAsia" w:ascii="宋体" w:hAnsi="宋体" w:cs="宋体"/>
          <w:color w:val="auto"/>
          <w:sz w:val="30"/>
          <w:szCs w:val="30"/>
          <w:highlight w:val="none"/>
          <w:u w:val="single"/>
          <w:lang w:eastAsia="zh-CN"/>
        </w:rPr>
        <w:t xml:space="preserve">JSZC-320508-SZRQ-G2024-0039</w:t>
      </w:r>
      <w:r>
        <w:rPr>
          <w:rStyle w:val="858"/>
          <w:rFonts w:hint="eastAsia" w:ascii="宋体" w:hAnsi="宋体" w:eastAsia="宋体" w:cs="宋体"/>
          <w:color w:val="auto"/>
          <w:sz w:val="30"/>
          <w:szCs w:val="30"/>
          <w:highlight w:val="none"/>
          <w:u w:val="single"/>
        </w:rPr>
        <w:t xml:space="preserve">  </w:t>
      </w:r>
      <w:r/>
    </w:p>
    <w:p>
      <w:pPr>
        <w:pStyle w:val="888"/>
        <w:ind w:firstLine="1205"/>
        <w:spacing w:before="75" w:beforeAutospacing="0" w:after="75" w:afterAutospacing="0"/>
        <w:widowControl/>
        <w:rPr>
          <w:rFonts w:hint="eastAsia" w:ascii="宋体" w:hAnsi="宋体" w:eastAsia="宋体" w:cs="宋体"/>
          <w:color w:val="auto"/>
          <w:highlight w:val="none"/>
        </w:rPr>
      </w:pPr>
      <w:r>
        <w:rPr>
          <w:rStyle w:val="858"/>
          <w:rFonts w:hint="eastAsia" w:ascii="宋体" w:hAnsi="宋体" w:eastAsia="宋体" w:cs="宋体"/>
          <w:color w:val="auto"/>
          <w:sz w:val="30"/>
          <w:szCs w:val="30"/>
          <w:highlight w:val="none"/>
        </w:rPr>
        <w:t xml:space="preserve">项目名称：</w:t>
      </w:r>
      <w:r>
        <w:rPr>
          <w:rStyle w:val="858"/>
          <w:rFonts w:hint="eastAsia" w:ascii="宋体" w:hAnsi="宋体" w:eastAsia="宋体" w:cs="宋体"/>
          <w:color w:val="auto"/>
          <w:sz w:val="30"/>
          <w:szCs w:val="30"/>
          <w:highlight w:val="none"/>
          <w:u w:val="single"/>
        </w:rPr>
        <w:t xml:space="preserve"> </w:t>
      </w:r>
      <w:r>
        <w:rPr>
          <w:rStyle w:val="858"/>
          <w:rFonts w:hint="eastAsia" w:ascii="宋体" w:hAnsi="宋体" w:cs="宋体"/>
          <w:color w:val="auto"/>
          <w:sz w:val="30"/>
          <w:szCs w:val="30"/>
          <w:highlight w:val="none"/>
          <w:u w:val="single"/>
          <w:lang w:eastAsia="zh-CN"/>
        </w:rPr>
        <w:t xml:space="preserve">2024年市政设施维护所需声屏障</w:t>
      </w:r>
      <w:r>
        <w:rPr>
          <w:rStyle w:val="858"/>
          <w:rFonts w:hint="eastAsia" w:ascii="宋体" w:hAnsi="宋体" w:eastAsia="宋体" w:cs="宋体"/>
          <w:color w:val="auto"/>
          <w:sz w:val="30"/>
          <w:szCs w:val="30"/>
          <w:highlight w:val="none"/>
          <w:u w:val="single"/>
        </w:rPr>
        <w:t xml:space="preserve">   </w:t>
      </w:r>
      <w:r/>
    </w:p>
    <w:p>
      <w:pPr>
        <w:pStyle w:val="888"/>
        <w:ind w:firstLine="1205"/>
        <w:spacing w:before="75" w:beforeAutospacing="0" w:after="75" w:afterAutospacing="0"/>
        <w:widowControl/>
        <w:rPr>
          <w:rFonts w:hint="eastAsia" w:ascii="宋体" w:hAnsi="宋体" w:eastAsia="宋体" w:cs="宋体"/>
          <w:color w:val="auto"/>
          <w:highlight w:val="none"/>
        </w:rPr>
      </w:pPr>
      <w:r>
        <w:rPr>
          <w:rStyle w:val="858"/>
          <w:rFonts w:hint="eastAsia" w:ascii="宋体" w:hAnsi="宋体" w:eastAsia="宋体" w:cs="宋体"/>
          <w:color w:val="auto"/>
          <w:sz w:val="30"/>
          <w:szCs w:val="30"/>
          <w:highlight w:val="none"/>
        </w:rPr>
        <w:t xml:space="preserve">采 购 人：</w:t>
      </w:r>
      <w:r>
        <w:rPr>
          <w:rStyle w:val="858"/>
          <w:rFonts w:hint="eastAsia" w:ascii="宋体" w:hAnsi="宋体" w:eastAsia="宋体" w:cs="宋体"/>
          <w:color w:val="auto"/>
          <w:sz w:val="30"/>
          <w:szCs w:val="30"/>
          <w:highlight w:val="none"/>
          <w:u w:val="single"/>
        </w:rPr>
        <w:t xml:space="preserve">  </w:t>
      </w:r>
      <w:r>
        <w:rPr>
          <w:rStyle w:val="858"/>
          <w:rFonts w:hint="eastAsia" w:ascii="宋体" w:hAnsi="宋体" w:cs="宋体"/>
          <w:color w:val="auto"/>
          <w:sz w:val="30"/>
          <w:szCs w:val="30"/>
          <w:highlight w:val="none"/>
          <w:u w:val="single"/>
          <w:lang w:eastAsia="zh-CN"/>
        </w:rPr>
        <w:t xml:space="preserve">苏州市市政设施管理处</w:t>
      </w:r>
      <w:r>
        <w:rPr>
          <w:rStyle w:val="858"/>
          <w:rFonts w:hint="eastAsia" w:ascii="宋体" w:hAnsi="宋体" w:eastAsia="宋体" w:cs="宋体"/>
          <w:color w:val="auto"/>
          <w:sz w:val="30"/>
          <w:szCs w:val="30"/>
          <w:highlight w:val="none"/>
          <w:u w:val="single"/>
        </w:rPr>
        <w:t xml:space="preserve">     </w:t>
      </w:r>
      <w:r/>
    </w:p>
    <w:p>
      <w:pPr>
        <w:pStyle w:val="888"/>
        <w:ind w:firstLine="1205"/>
        <w:spacing w:before="75" w:beforeAutospacing="0" w:after="75" w:afterAutospacing="0"/>
        <w:widowControl/>
        <w:rPr>
          <w:rStyle w:val="858"/>
          <w:rFonts w:hint="eastAsia" w:ascii="宋体" w:hAnsi="宋体" w:eastAsia="宋体" w:cs="宋体"/>
          <w:color w:val="auto"/>
          <w:sz w:val="30"/>
          <w:szCs w:val="30"/>
          <w:highlight w:val="none"/>
        </w:rPr>
      </w:pPr>
      <w:r>
        <w:rPr>
          <w:rStyle w:val="858"/>
          <w:rFonts w:hint="eastAsia" w:ascii="宋体" w:hAnsi="宋体" w:eastAsia="宋体" w:cs="宋体"/>
          <w:color w:val="auto"/>
          <w:sz w:val="30"/>
          <w:szCs w:val="30"/>
          <w:highlight w:val="none"/>
        </w:rPr>
        <w:t xml:space="preserve">采购代理机构：</w:t>
      </w:r>
      <w:r>
        <w:rPr>
          <w:rStyle w:val="858"/>
          <w:rFonts w:hint="eastAsia" w:ascii="宋体" w:hAnsi="宋体" w:eastAsia="宋体" w:cs="宋体"/>
          <w:color w:val="auto"/>
          <w:sz w:val="30"/>
          <w:szCs w:val="30"/>
          <w:highlight w:val="none"/>
          <w:u w:val="single"/>
        </w:rPr>
        <w:t xml:space="preserve">苏州睿乔招投标咨询服务有限公司    </w:t>
      </w:r>
      <w:r/>
    </w:p>
    <w:p>
      <w:pPr>
        <w:pStyle w:val="888"/>
        <w:ind w:firstLine="1205"/>
        <w:spacing w:before="75" w:beforeAutospacing="0" w:after="75" w:afterAutospacing="0"/>
        <w:widowControl/>
        <w:rPr>
          <w:rFonts w:hint="eastAsia" w:ascii="宋体" w:hAnsi="宋体" w:eastAsia="宋体" w:cs="宋体"/>
          <w:color w:val="auto"/>
          <w:highlight w:val="none"/>
        </w:rPr>
      </w:pPr>
      <w:r>
        <w:rPr>
          <w:rStyle w:val="858"/>
          <w:rFonts w:hint="eastAsia" w:ascii="宋体" w:hAnsi="宋体" w:eastAsia="宋体" w:cs="宋体"/>
          <w:color w:val="auto"/>
          <w:sz w:val="30"/>
          <w:szCs w:val="30"/>
          <w:highlight w:val="none"/>
        </w:rPr>
        <w:t xml:space="preserve">采购类别：</w:t>
      </w:r>
      <w:r>
        <w:rPr>
          <w:rStyle w:val="858"/>
          <w:rFonts w:hint="eastAsia" w:ascii="宋体" w:hAnsi="宋体" w:eastAsia="宋体" w:cs="宋体"/>
          <w:color w:val="auto"/>
          <w:sz w:val="30"/>
          <w:szCs w:val="30"/>
          <w:highlight w:val="none"/>
          <w:u w:val="single"/>
        </w:rPr>
        <w:t xml:space="preserve">  </w:t>
      </w:r>
      <w:r>
        <w:rPr>
          <w:rStyle w:val="858"/>
          <w:rFonts w:hint="eastAsia" w:ascii="宋体" w:hAnsi="宋体" w:cs="宋体"/>
          <w:color w:val="auto"/>
          <w:sz w:val="30"/>
          <w:szCs w:val="30"/>
          <w:highlight w:val="none"/>
          <w:u w:val="single"/>
          <w:lang w:val="en-US" w:eastAsia="zh-CN"/>
        </w:rPr>
        <w:t xml:space="preserve">货物</w:t>
      </w:r>
      <w:r>
        <w:rPr>
          <w:rStyle w:val="858"/>
          <w:rFonts w:hint="eastAsia" w:ascii="宋体" w:hAnsi="宋体" w:eastAsia="宋体" w:cs="宋体"/>
          <w:color w:val="auto"/>
          <w:sz w:val="30"/>
          <w:szCs w:val="30"/>
          <w:highlight w:val="none"/>
          <w:u w:val="single"/>
        </w:rPr>
        <w:t xml:space="preserve">类    </w:t>
      </w:r>
      <w:r/>
    </w:p>
    <w:p>
      <w:pPr>
        <w:pStyle w:val="888"/>
        <w:spacing w:before="75" w:beforeAutospacing="0" w:after="75" w:afterAutospacing="0"/>
        <w:widowControl/>
        <w:rPr>
          <w:rStyle w:val="858"/>
          <w:rFonts w:hint="eastAsia" w:ascii="宋体" w:hAnsi="宋体" w:eastAsia="宋体" w:cs="宋体"/>
          <w:b w:val="0"/>
          <w:color w:val="auto"/>
          <w:highlight w:val="none"/>
        </w:rPr>
      </w:pPr>
      <w:r>
        <w:rPr>
          <w:rFonts w:hint="eastAsia" w:ascii="宋体" w:hAnsi="宋体" w:eastAsia="宋体" w:cs="宋体"/>
          <w:color w:val="auto"/>
          <w:highlight w:val="none"/>
        </w:rPr>
        <w:t xml:space="preserve"> </w:t>
      </w:r>
      <w:r/>
    </w:p>
    <w:p>
      <w:pPr>
        <w:pStyle w:val="888"/>
        <w:jc w:val="center"/>
        <w:spacing w:before="75" w:beforeAutospacing="0" w:after="75" w:afterAutospacing="0"/>
        <w:widowControl/>
        <w:rPr>
          <w:rStyle w:val="858"/>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8"/>
        <w:jc w:val="center"/>
        <w:spacing w:before="75" w:beforeAutospacing="0" w:after="75" w:afterAutospacing="0"/>
        <w:widowControl/>
        <w:rPr>
          <w:rStyle w:val="858"/>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8"/>
        <w:jc w:val="both"/>
        <w:spacing w:before="75" w:beforeAutospacing="0" w:after="75" w:afterAutospacing="0"/>
        <w:widowControl/>
        <w:rPr>
          <w:rStyle w:val="858"/>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8"/>
        <w:jc w:val="both"/>
        <w:spacing w:before="75" w:beforeAutospacing="0" w:after="75" w:afterAutospacing="0"/>
        <w:widowControl/>
        <w:rPr>
          <w:rStyle w:val="858"/>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8"/>
        <w:ind w:firstLine="3614"/>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color w:val="auto"/>
          <w:sz w:val="36"/>
          <w:highlight w:val="none"/>
        </w:rPr>
        <w:t xml:space="preserve">投标须知前附表</w:t>
      </w:r>
      <w:r/>
    </w:p>
    <w:p>
      <w:pPr>
        <w:ind w:firstLine="480"/>
        <w:jc w:val="left"/>
        <w:spacing w:line="360" w:lineRule="auto"/>
        <w:rPr>
          <w:rFonts w:hint="eastAsia" w:ascii="宋体" w:hAnsi="宋体" w:eastAsia="宋体" w:cs="宋体"/>
          <w:b/>
          <w:color w:val="auto"/>
          <w:sz w:val="36"/>
          <w:highlight w:val="none"/>
        </w:rPr>
      </w:pPr>
      <w:r>
        <w:rPr>
          <w:rFonts w:hint="eastAsia" w:ascii="宋体" w:hAnsi="宋体" w:eastAsia="宋体" w:cs="宋体"/>
          <w:color w:val="auto"/>
          <w:sz w:val="24"/>
          <w:highlight w:val="none"/>
        </w:rPr>
        <w:t xml:space="preserve">本表是本招标项目的具体资料，是对投标人须知的具体补充和修改，如有矛盾，应</w:t>
      </w:r>
      <w:r>
        <w:rPr>
          <w:rFonts w:hint="eastAsia" w:ascii="宋体" w:hAnsi="宋体" w:eastAsia="宋体" w:cs="宋体"/>
          <w:b/>
          <w:color w:val="auto"/>
          <w:sz w:val="24"/>
          <w:highlight w:val="none"/>
        </w:rPr>
        <w:t xml:space="preserve">以本表为准</w:t>
      </w:r>
      <w:r>
        <w:rPr>
          <w:rFonts w:hint="eastAsia" w:ascii="宋体" w:hAnsi="宋体" w:eastAsia="宋体" w:cs="宋体"/>
          <w:color w:val="auto"/>
          <w:sz w:val="24"/>
          <w:highlight w:val="none"/>
        </w:rPr>
        <w:t xml:space="preserve">。</w:t>
      </w:r>
      <w:r/>
    </w:p>
    <w:tbl>
      <w:tblPr>
        <w:tblStyle w:val="669"/>
        <w:tblW w:w="903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8041"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内容</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采购编号：</w:t>
            </w:r>
            <w:r>
              <w:rPr>
                <w:rFonts w:hint="eastAsia" w:ascii="宋体" w:hAnsi="宋体" w:cs="宋体"/>
                <w:color w:val="auto"/>
                <w:sz w:val="24"/>
                <w:highlight w:val="none"/>
                <w:lang w:eastAsia="zh-CN"/>
              </w:rPr>
              <w:t xml:space="preserve">JSZC-320508-SZRQ-G2024-0039</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采购内容：</w:t>
            </w:r>
            <w:r>
              <w:rPr>
                <w:rFonts w:hint="eastAsia" w:ascii="宋体" w:hAnsi="宋体" w:cs="宋体"/>
                <w:color w:val="auto"/>
                <w:sz w:val="24"/>
                <w:highlight w:val="none"/>
                <w:lang w:eastAsia="zh-CN"/>
              </w:rPr>
              <w:t xml:space="preserve">2024年市政设施维护所需声屏障</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rPr>
              <w:t xml:space="preserve">项目预算金额：</w:t>
            </w:r>
            <w:r>
              <w:rPr>
                <w:rFonts w:hint="eastAsia" w:ascii="宋体" w:hAnsi="宋体" w:cs="宋体"/>
                <w:color w:val="auto"/>
                <w:sz w:val="24"/>
                <w:highlight w:val="none"/>
                <w:lang w:eastAsia="zh-CN"/>
              </w:rPr>
              <w:t xml:space="preserve">肆佰万元整（¥：4000000.00）</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苏州市市政设施管理处</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苏州市姑苏区白洋湾大街121号</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魏平</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（0512）65890723</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业务联系人：</w:t>
            </w:r>
            <w:r>
              <w:rPr>
                <w:rFonts w:hint="eastAsia" w:ascii="宋体" w:hAnsi="宋体" w:cs="宋体"/>
                <w:color w:val="auto"/>
                <w:sz w:val="24"/>
                <w:highlight w:val="none"/>
                <w:lang w:eastAsia="zh-CN"/>
              </w:rPr>
              <w:t xml:space="preserve">潘凌、卞玥霏</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联系电话：（0512）67276332</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投标有效期：提交投标文件截止之日起　　</w:t>
            </w:r>
            <w:r>
              <w:rPr>
                <w:rFonts w:hint="eastAsia" w:ascii="宋体" w:hAnsi="宋体" w:eastAsia="宋体" w:cs="宋体"/>
                <w:color w:val="auto"/>
                <w:sz w:val="24"/>
                <w:highlight w:val="none"/>
              </w:rPr>
              <w:t xml:space="preserve">45</w:t>
            </w:r>
            <w:r>
              <w:rPr>
                <w:rFonts w:hint="eastAsia" w:ascii="宋体" w:hAnsi="宋体" w:eastAsia="宋体" w:cs="宋体"/>
                <w:color w:val="auto"/>
                <w:sz w:val="24"/>
                <w:highlight w:val="none"/>
                <w:lang w:val="zh-CN"/>
              </w:rPr>
              <w:t xml:space="preserve">　　日历日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网上报名截止时间：202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10月22日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截止时间</w:t>
            </w: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11月5日9</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30整（北京时间）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投标时间：202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11月5日9</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30整（北京时间）</w:t>
            </w:r>
            <w:r/>
          </w:p>
          <w:p>
            <w:pP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rPr>
              <w:t xml:space="preserve">地点：“苏采云”政府采购交易系统网上开标大厅。</w:t>
            </w:r>
            <w:r/>
          </w:p>
          <w:p>
            <w:pPr>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本项目为不见面</w:t>
            </w: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lang w:val="en-US" w:eastAsia="zh-CN"/>
              </w:rPr>
              <w:t xml:space="preserve">项目，开启阶段供应商在【供应商解密】环节必须使用 CA证书解密电子响应文件，如在系统规定的解密时间内未能完成解密的视为放弃参与本项目。</w:t>
            </w:r>
            <w:r>
              <w:rPr>
                <w:rFonts w:hint="eastAsia" w:ascii="宋体" w:hAnsi="宋体" w:eastAsia="宋体" w:cs="宋体"/>
                <w:color w:val="auto"/>
                <w:sz w:val="24"/>
                <w:highlight w:val="none"/>
              </w:rPr>
              <w:t xml:space="preserve">“苏采云”系统（网址：http://jszfcg.jsczt.cn/）</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9</w:t>
            </w:r>
            <w:r/>
          </w:p>
        </w:tc>
        <w:tc>
          <w:tcPr>
            <w:tcW w:w="8041"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val="zh-CN"/>
              </w:rPr>
              <w:t xml:space="preserve">服务费：</w:t>
            </w:r>
            <w:r>
              <w:rPr>
                <w:rFonts w:hint="eastAsia" w:ascii="宋体" w:hAnsi="宋体" w:eastAsia="宋体" w:cs="宋体"/>
                <w:bCs/>
                <w:color w:val="auto"/>
                <w:sz w:val="24"/>
                <w:highlight w:val="none"/>
              </w:rPr>
              <w:t xml:space="preserve">根据苏财购告【2017】23号文件的收取中标服务费。领取中标通知书时供应商向招标代理机构一次性付清。由中标供应商支付，按照采购预算100万元以内1.5%、100～500万元以1.1%、500~1000万元以0.8%，1000万元~5000万元以0.5%，差额定率累进法计算并支付中标服务费。本项目代理服务费按人民币￥</w:t>
            </w:r>
            <w:r>
              <w:rPr>
                <w:rFonts w:hint="eastAsia" w:ascii="宋体" w:hAnsi="宋体" w:cs="宋体"/>
                <w:bCs/>
                <w:color w:val="auto"/>
                <w:sz w:val="24"/>
                <w:highlight w:val="none"/>
                <w:lang w:val="en-US" w:eastAsia="zh-CN"/>
              </w:rPr>
              <w:t xml:space="preserve">48000.00</w:t>
            </w:r>
            <w:r>
              <w:rPr>
                <w:rFonts w:hint="eastAsia" w:ascii="宋体" w:hAnsi="宋体" w:eastAsia="宋体" w:cs="宋体"/>
                <w:bCs/>
                <w:color w:val="auto"/>
                <w:sz w:val="24"/>
                <w:highlight w:val="none"/>
              </w:rPr>
              <w:t xml:space="preserve">计收。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号：1102020209000937813</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开户行：中国工商银行苏州道前支行</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评标方法：综合评分法</w:t>
            </w:r>
            <w:r/>
          </w:p>
        </w:tc>
      </w:tr>
    </w:tbl>
    <w:p>
      <w:pPr>
        <w:pStyle w:val="888"/>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670"/>
        <w:rPr>
          <w:rFonts w:hint="eastAsia"/>
          <w:color w:val="auto"/>
          <w:highlight w:val="none"/>
        </w:rPr>
      </w:pPr>
      <w:r>
        <w:rPr>
          <w:rFonts w:hint="eastAsia"/>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目    录</w:t>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882"/>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  投标邀请函</w:t>
      </w:r>
      <w:r/>
    </w:p>
    <w:p>
      <w:pPr>
        <w:pStyle w:val="882"/>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882"/>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882"/>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882"/>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882"/>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  评标办法及评分标准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8"/>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8"/>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8"/>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8"/>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8"/>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8"/>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8"/>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88"/>
        <w:jc w:val="center"/>
        <w:spacing w:before="75" w:beforeAutospacing="0" w:after="75" w:afterAutospacing="0" w:line="405" w:lineRule="atLeast"/>
        <w:widowControl/>
        <w:rPr>
          <w:rFonts w:hint="eastAsia" w:ascii="宋体" w:hAnsi="宋体" w:eastAsia="宋体" w:cs="宋体"/>
          <w:color w:val="auto"/>
          <w:highlight w:val="none"/>
        </w:rPr>
      </w:pPr>
      <w:r>
        <w:rPr>
          <w:rFonts w:hint="eastAsia" w:ascii="宋体" w:hAnsi="宋体" w:eastAsia="宋体" w:cs="宋体"/>
          <w:color w:val="auto"/>
          <w:sz w:val="36"/>
          <w:highlight w:val="none"/>
        </w:rPr>
        <w:t xml:space="preserve">第一章  投标邀请函</w:t>
      </w:r>
      <w:r/>
    </w:p>
    <w:p>
      <w:pPr>
        <w:pStyle w:val="876"/>
        <w:ind w:firstLine="72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苏州睿乔招投标咨询服务有限公司受</w:t>
      </w:r>
      <w:r>
        <w:rPr>
          <w:rFonts w:hint="eastAsia" w:ascii="宋体" w:hAnsi="宋体" w:eastAsia="宋体" w:cs="宋体"/>
          <w:bCs/>
          <w:color w:val="auto"/>
          <w:highlight w:val="none"/>
          <w:u w:val="single"/>
        </w:rPr>
        <w:t xml:space="preserve">  </w:t>
      </w:r>
      <w:r>
        <w:rPr>
          <w:rFonts w:hint="eastAsia" w:ascii="宋体" w:hAnsi="宋体" w:cs="宋体"/>
          <w:bCs/>
          <w:color w:val="auto"/>
          <w:highlight w:val="none"/>
          <w:u w:val="single"/>
          <w:lang w:eastAsia="zh-CN"/>
        </w:rPr>
        <w:t xml:space="preserve">苏州市市政设施管理处</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委托，对</w:t>
      </w:r>
      <w:r>
        <w:rPr>
          <w:rFonts w:hint="eastAsia" w:ascii="宋体" w:hAnsi="宋体" w:cs="宋体"/>
          <w:bCs/>
          <w:color w:val="auto"/>
          <w:highlight w:val="none"/>
          <w:lang w:eastAsia="zh-CN"/>
        </w:rPr>
        <w:t xml:space="preserve">2024年市政设施维护所需声屏障</w:t>
      </w:r>
      <w:r>
        <w:rPr>
          <w:rFonts w:hint="eastAsia" w:ascii="宋体" w:hAnsi="宋体" w:eastAsia="宋体" w:cs="宋体"/>
          <w:bCs/>
          <w:color w:val="auto"/>
          <w:highlight w:val="none"/>
        </w:rPr>
        <w:t xml:space="preserve">进行国内公开招标，欢迎符合投标资格条件的供应商前来投标。</w:t>
      </w:r>
      <w:r/>
    </w:p>
    <w:p>
      <w:pPr>
        <w:pStyle w:val="876"/>
        <w:ind w:firstLine="482"/>
        <w:jc w:val="left"/>
        <w:keepLines w:val="0"/>
        <w:keepNext w:val="0"/>
        <w:pageBreakBefore w:val="0"/>
        <w:spacing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一、采购编号：</w:t>
      </w:r>
      <w:r>
        <w:rPr>
          <w:rFonts w:hint="eastAsia" w:ascii="宋体" w:hAnsi="宋体" w:cs="宋体"/>
          <w:b/>
          <w:bCs/>
          <w:color w:val="auto"/>
          <w:highlight w:val="none"/>
          <w:lang w:eastAsia="zh-CN"/>
        </w:rPr>
        <w:t xml:space="preserve">JSZC-320508-SZRQ-G2024-0039</w:t>
      </w:r>
      <w:r/>
    </w:p>
    <w:p>
      <w:pPr>
        <w:pStyle w:val="876"/>
        <w:ind w:firstLine="482"/>
        <w:jc w:val="left"/>
        <w:keepLines w:val="0"/>
        <w:keepNext w:val="0"/>
        <w:pageBreakBefore w:val="0"/>
        <w:spacing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二、项目名称：</w:t>
      </w:r>
      <w:r>
        <w:rPr>
          <w:rFonts w:hint="eastAsia" w:ascii="宋体" w:hAnsi="宋体" w:cs="宋体"/>
          <w:b/>
          <w:bCs/>
          <w:color w:val="auto"/>
          <w:highlight w:val="none"/>
          <w:lang w:eastAsia="zh-CN"/>
        </w:rPr>
        <w:t xml:space="preserve">2024年市政设施维护所需声屏障</w:t>
      </w:r>
      <w:r>
        <w:rPr>
          <w:rFonts w:hint="eastAsia" w:ascii="宋体" w:hAnsi="宋体" w:eastAsia="宋体" w:cs="宋体"/>
          <w:b/>
          <w:bCs/>
          <w:color w:val="auto"/>
          <w:highlight w:val="none"/>
        </w:rPr>
        <w:t xml:space="preserve"> </w:t>
      </w:r>
      <w:r/>
    </w:p>
    <w:p>
      <w:pPr>
        <w:ind w:firstLine="482"/>
        <w:jc w:val="left"/>
        <w:keepLines w:val="0"/>
        <w:keepNext w:val="0"/>
        <w:pageBreakBefore w:val="0"/>
        <w:spacing w:line="360" w:lineRule="auto"/>
        <w:widowControl w:val="off"/>
        <w:rPr>
          <w:rFonts w:hint="eastAsia" w:ascii="宋体" w:hAnsi="宋体" w:cs="宋体"/>
          <w:color w:val="auto"/>
          <w:sz w:val="24"/>
          <w:highlight w:val="none"/>
          <w:lang w:eastAsia="zh-CN"/>
        </w:rPr>
        <w:outlineLvl w:val="9"/>
      </w:pPr>
      <w:r>
        <w:rPr>
          <w:rFonts w:hint="eastAsia" w:ascii="宋体" w:hAnsi="宋体" w:eastAsia="宋体" w:cs="宋体"/>
          <w:b/>
          <w:bCs/>
          <w:color w:val="auto"/>
          <w:sz w:val="24"/>
          <w:highlight w:val="none"/>
        </w:rPr>
        <w:t xml:space="preserve">三、预算金额</w:t>
      </w:r>
      <w:r>
        <w:rPr>
          <w:rFonts w:hint="eastAsia" w:ascii="宋体" w:hAnsi="宋体" w:eastAsia="宋体" w:cs="宋体"/>
          <w:bCs/>
          <w:color w:val="auto"/>
          <w:sz w:val="24"/>
          <w:highlight w:val="none"/>
        </w:rPr>
        <w:t xml:space="preserve">：</w:t>
      </w:r>
      <w:r>
        <w:rPr>
          <w:rFonts w:hint="eastAsia" w:ascii="宋体" w:hAnsi="宋体" w:cs="宋体"/>
          <w:color w:val="auto"/>
          <w:sz w:val="24"/>
          <w:highlight w:val="none"/>
          <w:lang w:eastAsia="zh-CN"/>
        </w:rPr>
        <w:t xml:space="preserve">肆佰万元整（¥：4000000.00），</w:t>
      </w:r>
      <w:r>
        <w:rPr>
          <w:rFonts w:hint="eastAsia" w:ascii="宋体" w:hAnsi="宋体" w:cs="宋体"/>
          <w:color w:val="auto"/>
          <w:sz w:val="24"/>
          <w:highlight w:val="none"/>
          <w:lang w:val="en-US" w:eastAsia="zh-CN"/>
        </w:rPr>
        <w:t xml:space="preserve">其中单价采购预算详见招标文件第四章。</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rPr>
        <w:outlineLvl w:val="9"/>
      </w:pPr>
      <w:r>
        <w:rPr>
          <w:rFonts w:hint="eastAsia" w:ascii="宋体" w:hAnsi="宋体" w:eastAsia="宋体" w:cs="宋体"/>
          <w:color w:val="auto"/>
          <w:sz w:val="24"/>
          <w:highlight w:val="none"/>
        </w:rPr>
        <w:t xml:space="preserve">最高限价：</w:t>
      </w:r>
      <w:r>
        <w:rPr>
          <w:rFonts w:hint="eastAsia" w:ascii="宋体" w:hAnsi="宋体" w:cs="宋体"/>
          <w:color w:val="auto"/>
          <w:sz w:val="24"/>
          <w:highlight w:val="none"/>
          <w:lang w:eastAsia="zh-CN"/>
        </w:rPr>
        <w:t xml:space="preserve">肆佰万元整（¥：4000000.00）</w:t>
      </w:r>
      <w:r>
        <w:rPr>
          <w:rFonts w:hint="eastAsia" w:ascii="宋体" w:hAnsi="宋体" w:eastAsia="宋体" w:cs="宋体"/>
          <w:color w:val="auto"/>
          <w:sz w:val="24"/>
          <w:highlight w:val="none"/>
        </w:rPr>
        <w:t xml:space="preserve">，单价限价详见招标文件</w:t>
      </w:r>
      <w:r/>
    </w:p>
    <w:p>
      <w:pPr>
        <w:pStyle w:val="876"/>
        <w:ind w:firstLine="482"/>
        <w:jc w:val="left"/>
        <w:keepLines w:val="0"/>
        <w:keepNext w:val="0"/>
        <w:pageBreakBefore w:val="0"/>
        <w:spacing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四、采购需求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2024年市政设施维护所需声屏障</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rPr>
        <w:t xml:space="preserve">合同履行期限：</w:t>
      </w:r>
      <w:r>
        <w:rPr>
          <w:rFonts w:hint="eastAsia" w:ascii="宋体" w:hAnsi="宋体" w:cs="宋体"/>
          <w:color w:val="auto"/>
          <w:sz w:val="24"/>
          <w:highlight w:val="none"/>
          <w:lang w:eastAsia="zh-CN"/>
        </w:rPr>
        <w:t xml:space="preserve">自合同签订之日起至2024年12月31日</w:t>
      </w:r>
      <w:r/>
    </w:p>
    <w:p>
      <w:pPr>
        <w:pStyle w:val="876"/>
        <w:ind w:firstLine="48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五、供应商的资格要求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（一）供应商应当具备下列一般条件：</w:t>
      </w:r>
      <w:r/>
    </w:p>
    <w:p>
      <w:pPr>
        <w:pStyle w:val="876"/>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1.具有独立承担民事责任的能力；</w:t>
      </w:r>
      <w:r/>
    </w:p>
    <w:p>
      <w:pPr>
        <w:pStyle w:val="876"/>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2.具有良好的商业信誉和健全的财务会计制度；</w:t>
      </w:r>
      <w:r/>
    </w:p>
    <w:p>
      <w:pPr>
        <w:pStyle w:val="876"/>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3.具有履行合同所必需的设备和专业技术能力；</w:t>
      </w:r>
      <w:r/>
    </w:p>
    <w:p>
      <w:pPr>
        <w:pStyle w:val="876"/>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4.有依法缴纳税收和社会保障资金的良好记录；</w:t>
      </w:r>
      <w:r/>
    </w:p>
    <w:p>
      <w:pPr>
        <w:pStyle w:val="87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5.参加政府采购活动前三年内，在经营活动中没有重大违法记录；</w:t>
      </w:r>
      <w:r/>
    </w:p>
    <w:p>
      <w:pPr>
        <w:pStyle w:val="87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6.法律、行政法规规定的其他条件。</w:t>
      </w:r>
      <w:r/>
    </w:p>
    <w:p>
      <w:pPr>
        <w:pStyle w:val="87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（二）供应商应当具备下列特殊条件：无</w:t>
      </w:r>
      <w:r/>
    </w:p>
    <w:p>
      <w:pPr>
        <w:pStyle w:val="87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本项目落实政府采购政策需满足的资格要求：</w:t>
      </w:r>
      <w:r>
        <w:rPr>
          <w:rFonts w:hint="eastAsia" w:ascii="宋体" w:hAnsi="宋体"/>
          <w:color w:val="auto"/>
          <w:sz w:val="24"/>
          <w:highlight w:val="none"/>
          <w:lang w:val="en-US" w:eastAsia="zh-CN"/>
        </w:rPr>
        <w:t xml:space="preserve">根据《政府采购促进中小企业发展管理办法》的相关规定，本项目专门面向中小企业，所属行业为工业，供应商应为中小微企业、监狱企业、残疾人福利性单位。</w:t>
      </w:r>
      <w:r/>
    </w:p>
    <w:p>
      <w:pPr>
        <w:pStyle w:val="87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（三）拒绝下述供应商参加本次采购活动：</w:t>
      </w:r>
      <w:r/>
    </w:p>
    <w:p>
      <w:pPr>
        <w:pStyle w:val="87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highlight w:val="none"/>
        </w:rPr>
        <w:t xml:space="preserve">。</w:t>
      </w:r>
      <w:r/>
    </w:p>
    <w:p>
      <w:pPr>
        <w:pStyle w:val="87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pStyle w:val="87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（四）本项目不接受联合体投标。</w:t>
      </w:r>
      <w:r/>
    </w:p>
    <w:p>
      <w:pPr>
        <w:pStyle w:val="876"/>
        <w:ind w:firstLine="482"/>
        <w:spacing w:line="360" w:lineRule="auto"/>
        <w:rPr>
          <w:rFonts w:hint="eastAsia" w:ascii="宋体" w:hAnsi="宋体" w:eastAsia="宋体" w:cs="宋体"/>
          <w:color w:val="auto"/>
          <w:sz w:val="20"/>
          <w:highlight w:val="none"/>
        </w:rPr>
      </w:pPr>
      <w:r>
        <w:rPr>
          <w:rFonts w:hint="eastAsia" w:ascii="宋体" w:hAnsi="宋体" w:eastAsia="宋体" w:cs="宋体"/>
          <w:b/>
          <w:color w:val="auto"/>
          <w:highlight w:val="none"/>
        </w:rPr>
        <w:t xml:space="preserve">六、投标文件上传截止时间：</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投标文件上传截止时间：202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11月5日9:30</w:t>
      </w:r>
      <w:r>
        <w:rPr>
          <w:rFonts w:hint="eastAsia" w:ascii="宋体" w:hAnsi="宋体" w:eastAsia="宋体" w:cs="宋体"/>
          <w:color w:val="auto"/>
          <w:sz w:val="24"/>
          <w:highlight w:val="none"/>
        </w:rPr>
        <w:t xml:space="preserve">（北京时间）</w:t>
      </w:r>
      <w:r/>
    </w:p>
    <w:p>
      <w:pPr>
        <w:ind w:firstLine="482"/>
        <w:spacing w:line="360" w:lineRule="auto"/>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81"/>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881"/>
        <w:ind w:left="0" w:firstLine="482"/>
        <w:keepLines w:val="0"/>
        <w:keepNext w:val="0"/>
        <w:pageBreakBefore w:val="0"/>
        <w:spacing w:line="360" w:lineRule="auto"/>
        <w:rPr>
          <w:rFonts w:hint="eastAsia" w:ascii="宋体" w:hAnsi="宋体" w:eastAsia="宋体" w:cs="宋体"/>
          <w:b/>
          <w:bCs/>
          <w:color w:val="auto"/>
          <w:sz w:val="24"/>
          <w:szCs w:val="22"/>
          <w:highlight w:val="none"/>
          <w:lang w:val="en-US" w:eastAsia="zh-CN" w:bidi="ar-SA"/>
        </w:rPr>
        <w:outlineLvl w:val="9"/>
      </w:pPr>
      <w:r>
        <w:rPr>
          <w:rFonts w:hint="eastAsia" w:ascii="宋体" w:hAnsi="宋体" w:eastAsia="宋体" w:cs="宋体"/>
          <w:b/>
          <w:bCs/>
          <w:color w:val="auto"/>
          <w:sz w:val="24"/>
          <w:szCs w:val="22"/>
          <w:highlight w:val="none"/>
          <w:lang w:val="en-US" w:eastAsia="zh-CN" w:bidi="ar-SA"/>
        </w:rPr>
        <w:t xml:space="preserve">请供应商确保电脑、系统及其他设备（视频输入输出设备等）无误，且开标直至项目结束始终保持系统在线状态。</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、开标时间和地点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开标时间：202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11月5日9:30</w:t>
      </w:r>
      <w:r>
        <w:rPr>
          <w:rFonts w:hint="eastAsia" w:ascii="宋体" w:hAnsi="宋体" w:eastAsia="宋体" w:cs="宋体"/>
          <w:color w:val="auto"/>
          <w:sz w:val="24"/>
          <w:highlight w:val="none"/>
        </w:rPr>
        <w:t xml:space="preserve">（北京时间）</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lang w:val="en-US"/>
        </w:rPr>
        <w:outlineLvl w:val="9"/>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lang w:val="en-US" w:eastAsia="zh-CN"/>
        </w:rPr>
        <w:t xml:space="preserve">“苏采云”系统（网址：http://jszfcg.jsczt.cn/），响应文件网上递交，不需要现场参加采购活动，无需提供纸质响应文件。</w:t>
      </w:r>
      <w:r/>
    </w:p>
    <w:p>
      <w:pPr>
        <w:ind w:firstLine="482"/>
        <w:jc w:val="left"/>
        <w:keepLines w:val="0"/>
        <w:keepNext w:val="0"/>
        <w:pageBreakBefore w:val="0"/>
        <w:spacing w:line="360" w:lineRule="auto"/>
        <w:widowControl/>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八</w:t>
      </w:r>
      <w:r>
        <w:rPr>
          <w:rFonts w:hint="eastAsia" w:ascii="宋体" w:hAnsi="宋体" w:eastAsia="宋体" w:cs="宋体"/>
          <w:b/>
          <w:color w:val="auto"/>
          <w:sz w:val="24"/>
          <w:highlight w:val="none"/>
        </w:rPr>
        <w:t xml:space="preserve">、采购项目联系人及联系方式：</w:t>
      </w:r>
      <w:r/>
    </w:p>
    <w:p>
      <w:pPr>
        <w:ind w:firstLine="36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（一）采购人：</w:t>
      </w:r>
      <w:r>
        <w:rPr>
          <w:rFonts w:hint="eastAsia" w:ascii="宋体" w:hAnsi="宋体" w:cs="宋体"/>
          <w:color w:val="auto"/>
          <w:sz w:val="24"/>
          <w:highlight w:val="none"/>
          <w:lang w:eastAsia="zh-CN"/>
        </w:rPr>
        <w:t xml:space="preserve">苏州市市政设施管理处</w:t>
      </w:r>
      <w:r>
        <w:rPr>
          <w:rFonts w:hint="eastAsia" w:ascii="宋体" w:hAnsi="宋体" w:eastAsia="宋体" w:cs="宋体"/>
          <w:color w:val="auto"/>
          <w:sz w:val="24"/>
          <w:highlight w:val="none"/>
        </w:rPr>
        <w:t xml:space="preserve"> </w:t>
      </w:r>
      <w:r/>
    </w:p>
    <w:p>
      <w:pPr>
        <w:ind w:firstLine="36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苏州市姑苏区白洋湾大街121号</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魏平</w:t>
      </w:r>
      <w:r>
        <w:rPr>
          <w:rFonts w:hint="eastAsia" w:ascii="宋体" w:hAnsi="宋体" w:eastAsia="宋体" w:cs="宋体"/>
          <w:color w:val="auto"/>
          <w:sz w:val="24"/>
          <w:highlight w:val="none"/>
        </w:rPr>
        <w:t xml:space="preserve">  </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（0512）65890723</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（二）采购代理机构：苏州睿乔招投标咨询服务有限公司</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址：苏州市吴中区南湖路71号天贸大厦西9楼</w:t>
      </w:r>
      <w:r/>
    </w:p>
    <w:p>
      <w:pPr>
        <w:ind w:firstLine="36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业务联系人：</w:t>
      </w:r>
      <w:r>
        <w:rPr>
          <w:rFonts w:hint="eastAsia" w:ascii="宋体" w:hAnsi="宋体" w:cs="宋体"/>
          <w:color w:val="auto"/>
          <w:sz w:val="24"/>
          <w:highlight w:val="none"/>
          <w:lang w:eastAsia="zh-CN"/>
        </w:rPr>
        <w:t xml:space="preserve">潘凌、卞玥霏</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联系电话：（0512）67276332</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 215000</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请贵单位获取本次采购文件后，认真阅读各项内容，进行必要的投标准备，并按采购文件的要求详细填写和编制投标文件，准时参加投标。</w:t>
      </w:r>
      <w:r/>
    </w:p>
    <w:p>
      <w:pPr>
        <w:ind w:firstLine="360"/>
        <w:jc w:val="left"/>
        <w:spacing w:line="384"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7515" w:hanging="7200"/>
        <w:jc w:val="left"/>
        <w:spacing w:line="384"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888"/>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8"/>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8"/>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8"/>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8"/>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8"/>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8"/>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8"/>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8"/>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8"/>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8"/>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8"/>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8"/>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8"/>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88"/>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88"/>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88"/>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88"/>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88"/>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88"/>
        <w:jc w:val="center"/>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888"/>
        <w:jc w:val="center"/>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888"/>
        <w:jc w:val="center"/>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888"/>
        <w:jc w:val="both"/>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888"/>
        <w:jc w:val="both"/>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888"/>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color w:val="auto"/>
          <w:sz w:val="36"/>
          <w:szCs w:val="36"/>
          <w:highlight w:val="none"/>
        </w:rPr>
        <w:t xml:space="preserve">第二章  投标人须知</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一、说明和释义</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 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1.1本采购文件仅适用于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组织的采购活动。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1.2本次采购活动及因本次采购产生的合同受中国法律制约和保护。</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1.3本采购文件的解释权属于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 词语释义</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2.1采购人（甲方）：依法进行政府采购的国家机关、事业单位、团体组织。</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2.2采购代理机构：</w:t>
      </w:r>
      <w:r>
        <w:rPr>
          <w:rFonts w:hint="eastAsia" w:ascii="宋体" w:hAnsi="宋体" w:eastAsia="宋体" w:cs="宋体"/>
          <w:color w:val="auto"/>
          <w:sz w:val="24"/>
          <w:highlight w:val="none"/>
        </w:rPr>
        <w:t xml:space="preserve">依法接受采购人委托，从事货物、工程和服务等政府采购代理业务的社会中介机构。</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2.3投标人（供应商）：响应招标、参加投标竞争的法人、非法人组织或者自然人。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潜在投标人（供应商）：以招标文件规定的方式获取本项目招标文件的法人、非法人组织或者自然人。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2.4响应：投标人根据采购代理机构或采购代理机构发布的采购文件，编制投标文件并按规定投标的行为。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2.5中标人（乙方）：经评标委员会评定产生、采购合同中规定的向采购方提供货物或服务的法人或其他组织和自然人（中标人）。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服务：系指本次采购文件规定乙方应承担的</w:t>
      </w:r>
      <w:r>
        <w:rPr>
          <w:rFonts w:hint="eastAsia" w:ascii="宋体" w:hAnsi="宋体" w:eastAsia="宋体" w:cs="宋体"/>
          <w:color w:val="auto"/>
          <w:sz w:val="24"/>
          <w:highlight w:val="none"/>
        </w:rPr>
        <w:t xml:space="preserve">与提供货物和服务有关的辅助服务及合同中规定乙方应承担的其它义务。</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知识产权：指专利权、商标权、著作权等无形财产专有权的统称。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天：日历日。</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服务（</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zh-CN"/>
        </w:rPr>
        <w:t xml:space="preserve">）地点：合同中明确约定的</w:t>
      </w:r>
      <w:r>
        <w:rPr>
          <w:rFonts w:hint="eastAsia" w:ascii="宋体" w:hAnsi="宋体" w:eastAsia="宋体" w:cs="宋体"/>
          <w:color w:val="auto"/>
          <w:sz w:val="24"/>
          <w:highlight w:val="none"/>
        </w:rPr>
        <w:t xml:space="preserve">服务（交货）的项目所在地。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zh-CN"/>
        </w:rPr>
        <w:t xml:space="preserve">合同价款：根据合同规定，乙方在正确地履行合同义务后甲方应支付乙方的价款。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不可抗力：不能预见、不能避免并且不能克服的客观情况。</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2.13实质响应：</w:t>
      </w:r>
      <w:r>
        <w:rPr>
          <w:rFonts w:hint="eastAsia" w:ascii="宋体" w:hAnsi="宋体" w:eastAsia="宋体" w:cs="宋体"/>
          <w:color w:val="auto"/>
          <w:sz w:val="24"/>
          <w:highlight w:val="none"/>
          <w:lang w:val="zh-CN"/>
        </w:rPr>
        <w:t xml:space="preserve">满足有关本项目服务的具体要求，包括服务内容、履行期限、履行地点和方式、违约责任和解决争议方法等要求。</w:t>
      </w:r>
      <w:r/>
    </w:p>
    <w:p>
      <w:pPr>
        <w:pStyle w:val="67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2.14进口产品：指通过中国海关报关验放进入中国境内且产自境外的产品。</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2.15书面形式：指书面文字、合同书、信件和传真等可以有形地表现所载内容的形式。</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2.16小微企业：</w:t>
      </w:r>
      <w:r>
        <w:rPr>
          <w:rFonts w:hint="eastAsia" w:ascii="宋体" w:hAnsi="宋体" w:eastAsia="宋体" w:cs="宋体"/>
          <w:color w:val="auto"/>
          <w:sz w:val="24"/>
          <w:highlight w:val="none"/>
          <w:lang w:val="zh-CN"/>
        </w:rPr>
        <w:t xml:space="preserve">小型企业且提供自有服务的，视同为小型企业。微型企业且提供自有服务的，视同为微型企业。</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二、投标人（供应商）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 供应商资格要求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3.1供应商应当具备下列一般条件：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3.1.1具有独立承担民事责任的能力；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3.1.2具有良好的商业信誉和健全的财务会计制度；</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3.1.3具有履行合同所必需的设备和专业技术能力；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3.1.4有依法缴纳税收和社会保障资金的良好记录；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3.1.5参加政府采购活动前三年内，在经营活动中没有重大违法记录；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3.1.6法律、行政法规规定的其他条件；</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3.2本项目落实政府采购政策需满足的资格要求：根据《政府采购促进中小企业发展管理办法》的相关规定，本项目专门面向中小企业采购</w:t>
      </w:r>
      <w:r>
        <w:rPr>
          <w:rFonts w:hint="eastAsia" w:ascii="宋体" w:hAnsi="宋体" w:eastAsia="宋体" w:cs="宋体"/>
          <w:color w:val="auto"/>
          <w:sz w:val="24"/>
          <w:szCs w:val="22"/>
          <w:highlight w:val="none"/>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4、投标人代表</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5、投标费用 </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5.1无论投标过程中的做法和结果如何，投标人自行承担所有与参加投标有关的全部费用。</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6、联合体投标</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本采购项目</w:t>
      </w:r>
      <w:r>
        <w:rPr>
          <w:rFonts w:hint="eastAsia" w:ascii="宋体" w:hAnsi="宋体" w:eastAsia="宋体" w:cs="宋体"/>
          <w:i/>
          <w:color w:val="auto"/>
          <w:sz w:val="24"/>
          <w:highlight w:val="none"/>
        </w:rPr>
        <w:t xml:space="preserve">不</w:t>
      </w:r>
      <w:r>
        <w:rPr>
          <w:rFonts w:hint="eastAsia" w:ascii="宋体" w:hAnsi="宋体" w:eastAsia="宋体" w:cs="宋体"/>
          <w:bCs/>
          <w:color w:val="auto"/>
          <w:sz w:val="24"/>
          <w:highlight w:val="none"/>
          <w:lang w:val="zh-CN"/>
        </w:rPr>
        <w:t xml:space="preserve">接受联合体投标。</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三、采购文件的说明</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7、采购文件</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8、招标文件的澄清和修改</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江苏政府采购网、苏州政府采购网</w:t>
      </w:r>
      <w:r>
        <w:rPr>
          <w:rFonts w:hint="eastAsia" w:ascii="宋体" w:hAnsi="宋体" w:eastAsia="宋体" w:cs="宋体"/>
          <w:bCs/>
          <w:color w:val="auto"/>
          <w:sz w:val="24"/>
          <w:highlight w:val="none"/>
        </w:rPr>
        <w:t xml:space="preserve">对外进行发布。澄清或者修改的内容为招标文件的组成部分。</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8.2澄清或者修改的内容可能影响投标文件编制的，采购人或者采购代理机构应当在投标截止时间至少15日前，并通过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江苏政府采购网、苏州政府采购网</w:t>
      </w:r>
      <w:r>
        <w:rPr>
          <w:rFonts w:hint="eastAsia" w:ascii="宋体" w:hAnsi="宋体" w:eastAsia="宋体" w:cs="宋体"/>
          <w:bCs/>
          <w:color w:val="auto"/>
          <w:sz w:val="24"/>
          <w:highlight w:val="none"/>
        </w:rPr>
        <w:t xml:space="preserve">对外进行发布；不足15日的，采购人或者采购代理机构应当顺延提交投标文件的截止时间。</w:t>
      </w:r>
      <w:r/>
    </w:p>
    <w:p>
      <w:pPr>
        <w:ind w:firstLine="480"/>
        <w:spacing w:line="360" w:lineRule="auto"/>
        <w:rPr>
          <w:rFonts w:hint="eastAsia" w:ascii="宋体" w:hAnsi="宋体" w:eastAsia="宋体" w:cs="宋体"/>
          <w:b w:val="0"/>
          <w:bCs w:val="0"/>
          <w:color w:val="auto"/>
          <w:sz w:val="24"/>
          <w:szCs w:val="22"/>
          <w:highlight w:val="none"/>
          <w:lang w:val="en-US" w:eastAsia="zh-CN"/>
        </w:rPr>
        <w:outlineLvl w:val="0"/>
      </w:pPr>
      <w:r>
        <w:rPr>
          <w:rFonts w:hint="eastAsia" w:ascii="宋体" w:hAnsi="宋体" w:eastAsia="宋体" w:cs="宋体"/>
          <w:bCs/>
          <w:color w:val="auto"/>
          <w:sz w:val="24"/>
          <w:highlight w:val="none"/>
        </w:rPr>
        <w:t xml:space="preserve">8.3</w:t>
      </w:r>
      <w:r>
        <w:rPr>
          <w:rFonts w:hint="eastAsia" w:ascii="宋体" w:hAnsi="宋体" w:eastAsia="宋体" w:cs="宋体"/>
          <w:b w:val="0"/>
          <w:bCs w:val="0"/>
          <w:color w:val="auto"/>
          <w:sz w:val="24"/>
          <w:szCs w:val="22"/>
          <w:highlight w:val="none"/>
          <w:lang w:val="en-US" w:eastAsia="zh-CN"/>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8.4招标文件的澄清、修改、补充等内容均以网上发布的内容为准。</w:t>
      </w:r>
      <w:r/>
    </w:p>
    <w:p>
      <w:pPr>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9、勘察现场（</w:t>
      </w:r>
      <w:r>
        <w:rPr>
          <w:rFonts w:hint="eastAsia" w:ascii="宋体" w:hAnsi="宋体" w:cs="宋体"/>
          <w:bCs/>
          <w:color w:val="auto"/>
          <w:sz w:val="24"/>
          <w:highlight w:val="none"/>
          <w:lang w:val="en-US" w:eastAsia="zh-CN"/>
        </w:rPr>
        <w:t xml:space="preserve">若项目涉及</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bCs/>
          <w:color w:val="auto"/>
          <w:sz w:val="24"/>
          <w:highlight w:val="none"/>
          <w:lang w:val="zh-CN"/>
        </w:rPr>
        <w:t xml:space="preserve">10、质疑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auto"/>
          <w:sz w:val="24"/>
          <w:szCs w:val="24"/>
          <w:highlight w:val="none"/>
          <w:shd w:val="clear" w:color="auto" w:fill="auto"/>
        </w:rPr>
        <w:t xml:space="preserve">（即《投标供应商确认函》）</w:t>
      </w:r>
      <w:r>
        <w:rPr>
          <w:rFonts w:hint="eastAsia" w:ascii="宋体" w:hAnsi="宋体" w:eastAsia="宋体" w:cs="宋体"/>
          <w:color w:val="auto"/>
          <w:sz w:val="24"/>
          <w:highlight w:val="none"/>
          <w:lang w:val="zh-CN"/>
        </w:rPr>
        <w:t xml:space="preserve">与质疑函一起递交，否则不予受理。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（1）供应商的姓名或者名称（以营业执照副本复印件为准）、地址、邮编、联系人及联系电话；</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（2）质疑项目的名称、编号；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（3）具体、明确的质疑事项和与质疑事项相关的请求；</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（4）事实依据；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（5）必要的法律依据；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（6）提出质疑的日期。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供应商《投标供应商确认函》</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10.5</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接收质疑函的方式：书面形式（当场送达或邮寄方式）。</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质疑联系人：</w:t>
      </w:r>
      <w:r>
        <w:rPr>
          <w:rFonts w:hint="eastAsia" w:ascii="宋体" w:hAnsi="宋体" w:cs="宋体"/>
          <w:color w:val="auto"/>
          <w:sz w:val="24"/>
          <w:highlight w:val="none"/>
          <w:lang w:eastAsia="zh-CN"/>
        </w:rPr>
        <w:t xml:space="preserve">卞玥霏</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rPr>
          <w:rFonts w:hint="eastAsia" w:ascii="宋体" w:hAnsi="宋体" w:eastAsia="宋体" w:cs="宋体"/>
          <w:color w:val="auto"/>
          <w:sz w:val="24"/>
          <w:highlight w:val="none"/>
          <w:u w:val="single"/>
          <w:lang w:val="zh-CN"/>
        </w:rPr>
        <w:t xml:space="preserve">（0512）67276332</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通讯地址：</w:t>
      </w:r>
      <w:r>
        <w:rPr>
          <w:rFonts w:hint="eastAsia" w:ascii="宋体" w:hAnsi="宋体" w:eastAsia="宋体" w:cs="宋体"/>
          <w:color w:val="auto"/>
          <w:sz w:val="24"/>
          <w:highlight w:val="none"/>
          <w:u w:val="single"/>
          <w:lang w:val="zh-CN"/>
        </w:rPr>
        <w:t xml:space="preserve">苏州市吴中区南湖路71号天贸大厦西9楼</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四、投标文件说明</w:t>
      </w:r>
      <w:r/>
    </w:p>
    <w:p>
      <w:pPr>
        <w:ind w:left="459" w:hanging="45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11、提示与要求</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11.2无论是否递交投标文件，投标人都应将采购文件及相关的所有通知、文件等视为保密文件。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12、投标文件计量单位和使用文字</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12.1投标文件中所使用的计量单位，除采购文件中有特殊要求外，均应使用中华人民共和国法定计量单位。</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 投标文件的组成（</w:t>
      </w:r>
      <w:r>
        <w:rPr>
          <w:rFonts w:hint="eastAsia" w:ascii="宋体" w:hAnsi="宋体" w:eastAsia="宋体" w:cs="宋体"/>
          <w:b/>
          <w:color w:val="auto"/>
          <w:sz w:val="24"/>
          <w:highlight w:val="none"/>
        </w:rPr>
        <w:t xml:space="preserve">部分</w:t>
      </w:r>
      <w:r>
        <w:rPr>
          <w:rFonts w:hint="eastAsia" w:ascii="宋体" w:hAnsi="宋体" w:eastAsia="宋体" w:cs="宋体"/>
          <w:b/>
          <w:color w:val="auto"/>
          <w:sz w:val="24"/>
          <w:highlight w:val="none"/>
          <w:lang w:val="zh-CN"/>
        </w:rPr>
        <w:t xml:space="preserve">文件格式参见第三章）</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13.1</w:t>
      </w:r>
      <w:r>
        <w:rPr>
          <w:rFonts w:hint="eastAsia" w:ascii="宋体" w:hAnsi="宋体" w:eastAsia="宋体" w:cs="宋体"/>
          <w:b/>
          <w:color w:val="auto"/>
          <w:sz w:val="24"/>
          <w:highlight w:val="none"/>
          <w:lang w:val="en-US" w:eastAsia="zh-CN"/>
        </w:rPr>
        <w:t xml:space="preserve">封面</w:t>
      </w:r>
      <w:r>
        <w:rPr>
          <w:rFonts w:hint="eastAsia" w:ascii="宋体" w:hAnsi="宋体" w:eastAsia="宋体" w:cs="宋体"/>
          <w:b/>
          <w:color w:val="auto"/>
          <w:sz w:val="24"/>
          <w:highlight w:val="none"/>
          <w:lang w:val="zh-CN"/>
        </w:rPr>
        <w:t xml:space="preserve">：</w:t>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13.2</w:t>
      </w:r>
      <w:r>
        <w:rPr>
          <w:rFonts w:hint="eastAsia" w:ascii="宋体" w:hAnsi="宋体" w:eastAsia="宋体" w:cs="宋体"/>
          <w:b/>
          <w:bCs w:val="0"/>
          <w:color w:val="auto"/>
          <w:sz w:val="24"/>
          <w:highlight w:val="none"/>
        </w:rPr>
        <w:t xml:space="preserve">开标一览表(统一格式,用于唱标)；</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13.3公开分项报价</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13.4资格审查文件（资格审查文件中不可出现价格内容）</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13.4.1</w:t>
      </w:r>
      <w:r>
        <w:rPr>
          <w:rFonts w:hint="eastAsia" w:ascii="宋体" w:hAnsi="宋体" w:eastAsia="宋体" w:cs="宋体"/>
          <w:bCs/>
          <w:color w:val="auto"/>
          <w:sz w:val="24"/>
          <w:highlight w:val="none"/>
        </w:rPr>
        <w:t xml:space="preserve">关于资格文件的声明函；</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投标单位情况表；</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 投标单位《营业执照》</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 投标单位法定代表人身份证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投标单位代理人身份证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件及授权委托书（若有）；</w:t>
      </w:r>
      <w:r/>
    </w:p>
    <w:p>
      <w:pPr>
        <w:ind w:firstLine="51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具有独立承担民事责任的能力证明。包括法人或者其他组织的营业执照等证明文件，自然人的身份证明；</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13.4.7</w:t>
      </w:r>
      <w:r>
        <w:rPr>
          <w:rFonts w:hint="eastAsia" w:ascii="宋体" w:hAnsi="宋体" w:eastAsia="宋体" w:cs="宋体"/>
          <w:bCs/>
          <w:color w:val="auto"/>
          <w:sz w:val="24"/>
          <w:highlight w:val="none"/>
        </w:rPr>
        <w:t xml:space="preserve">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参加政府采购活动前三年内，在经营活动中没有重大违法记录的书面声明函</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rPr>
        <w:t xml:space="preserve">响应单位证明其满足合格投标人条件的证书、证明、文件等资料以及响应单位所具备的专业设备和专业技术能力</w:t>
      </w:r>
      <w:r>
        <w:rPr>
          <w:rFonts w:hint="eastAsia" w:ascii="宋体" w:hAnsi="宋体" w:cs="宋体"/>
          <w:bCs/>
          <w:color w:val="auto"/>
          <w:sz w:val="24"/>
          <w:highlight w:val="none"/>
          <w:lang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《中小企业声明函》或残疾人福利性单位声明函</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zh-CN"/>
        </w:rPr>
        <w:t xml:space="preserve">省级以上监狱管理局、戒毒管理局（含新疆生产建设兵团）出具的属于监狱企业的证明文件</w:t>
      </w:r>
      <w:r>
        <w:rPr>
          <w:rFonts w:hint="eastAsia" w:ascii="宋体" w:hAnsi="宋体" w:cs="宋体"/>
          <w:color w:val="auto"/>
          <w:sz w:val="24"/>
          <w:highlight w:val="none"/>
          <w:lang w:val="zh-CN"/>
        </w:rPr>
        <w:t xml:space="preserve">；</w:t>
      </w:r>
      <w:r/>
    </w:p>
    <w:p>
      <w:pPr>
        <w:ind w:firstLine="480"/>
        <w:spacing w:line="360" w:lineRule="auto"/>
        <w:tabs>
          <w:tab w:val="left" w:pos="8930" w:leader="none"/>
          <w:tab w:val="left" w:pos="9306"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13.4.12未被“信用中国”网站（www.creditchina.gov.cn）列入失信被执行人、重大税收违法案件当事人名单、政府采购严重失信行为记录名单；</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13.5符合性审查文件（符合性审查文件中不可出现价格内容）</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投标函</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cs="宋体"/>
          <w:color w:val="auto"/>
          <w:sz w:val="24"/>
          <w:highlight w:val="none"/>
          <w:lang w:val="en-US" w:eastAsia="zh-CN"/>
        </w:rPr>
        <w:t xml:space="preserve">5.2</w:t>
      </w:r>
      <w:r>
        <w:rPr>
          <w:rFonts w:hint="eastAsia" w:ascii="宋体" w:hAnsi="宋体" w:eastAsia="宋体" w:cs="宋体"/>
          <w:color w:val="auto"/>
          <w:sz w:val="24"/>
          <w:highlight w:val="none"/>
        </w:rPr>
        <w:t xml:space="preserve">响应货物性能、技术指标说明与描述及《技术要求偏离表》；</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cs="宋体"/>
          <w:color w:val="auto"/>
          <w:sz w:val="24"/>
          <w:highlight w:val="none"/>
          <w:lang w:val="en-US" w:eastAsia="zh-CN"/>
        </w:rPr>
        <w:t xml:space="preserve">5.3</w:t>
      </w:r>
      <w:r>
        <w:rPr>
          <w:rFonts w:hint="eastAsia" w:ascii="宋体" w:hAnsi="宋体" w:eastAsia="宋体" w:cs="宋体"/>
          <w:color w:val="auto"/>
          <w:sz w:val="24"/>
          <w:highlight w:val="none"/>
        </w:rPr>
        <w:t xml:space="preserve">技术服务、售中、售后服务方案等包括《售后服务承诺书》等；</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.5.4《投标货物数量、规格、交付期说明表》</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cs="宋体"/>
          <w:color w:val="auto"/>
          <w:sz w:val="24"/>
          <w:highlight w:val="none"/>
          <w:lang w:val="en-US" w:eastAsia="zh-CN"/>
        </w:rPr>
        <w:t xml:space="preserve">5.5</w:t>
      </w:r>
      <w:r>
        <w:rPr>
          <w:rFonts w:hint="eastAsia" w:ascii="宋体" w:hAnsi="宋体" w:eastAsia="宋体" w:cs="宋体"/>
          <w:color w:val="auto"/>
          <w:sz w:val="24"/>
          <w:highlight w:val="none"/>
        </w:rPr>
        <w:t xml:space="preserve">质量验收标准，质量承诺； </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其他有关符合性证明的文件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若有</w:t>
      </w:r>
      <w:r>
        <w:rPr>
          <w:rFonts w:hint="eastAsia" w:ascii="宋体" w:hAnsi="宋体" w:eastAsia="宋体" w:cs="宋体"/>
          <w:color w:val="auto"/>
          <w:sz w:val="24"/>
          <w:highlight w:val="none"/>
          <w:lang w:eastAsia="zh-CN"/>
        </w:rPr>
        <w:t xml:space="preserve">）；</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13.6</w:t>
      </w:r>
      <w:r>
        <w:rPr>
          <w:rFonts w:hint="eastAsia" w:ascii="宋体" w:hAnsi="宋体" w:eastAsia="宋体" w:cs="宋体"/>
          <w:b/>
          <w:bCs/>
          <w:color w:val="auto"/>
          <w:sz w:val="24"/>
          <w:szCs w:val="24"/>
          <w:highlight w:val="none"/>
          <w:lang w:val="en-US" w:eastAsia="zh-CN"/>
        </w:rPr>
        <w:t xml:space="preserve">综合评审文件：</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13.6.1评分标准中所涉及到的各项方案、相关制度及其他材料、证明等。</w:t>
      </w:r>
      <w:r/>
    </w:p>
    <w:p>
      <w:pPr>
        <w:pStyle w:val="896"/>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注：（1）以上13.4.1-</w:t>
      </w:r>
      <w:r>
        <w:rPr>
          <w:rFonts w:hint="eastAsia" w:ascii="宋体" w:hAnsi="宋体" w:eastAsia="宋体" w:cs="宋体"/>
          <w:b/>
          <w:bCs/>
          <w:color w:val="auto"/>
          <w:sz w:val="24"/>
          <w:szCs w:val="24"/>
          <w:highlight w:val="none"/>
          <w:lang w:val="zh-CN" w:eastAsia="zh-CN" w:bidi="ar-SA"/>
        </w:rPr>
        <w:t xml:space="preserve">13.</w:t>
      </w: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cs="宋体"/>
          <w:b/>
          <w:bCs/>
          <w:color w:val="auto"/>
          <w:sz w:val="24"/>
          <w:szCs w:val="24"/>
          <w:highlight w:val="none"/>
          <w:lang w:val="en-US" w:eastAsia="zh-CN" w:bidi="ar-SA"/>
        </w:rPr>
        <w:t xml:space="preserve">12</w:t>
      </w:r>
      <w:r>
        <w:rPr>
          <w:rFonts w:hint="eastAsia" w:ascii="宋体" w:hAnsi="宋体" w:eastAsia="宋体" w:cs="宋体"/>
          <w:b/>
          <w:bCs/>
          <w:color w:val="auto"/>
          <w:sz w:val="24"/>
          <w:szCs w:val="24"/>
          <w:highlight w:val="none"/>
          <w:lang w:val="en-US" w:eastAsia="zh-CN" w:bidi="ar-SA"/>
        </w:rPr>
        <w:t xml:space="preserve">为资格审查要求提供的材料，是作为对供应商资格审查、质疑身份认定的依据，投标人必须提供并加盖电子公章。否则，投标文件将被认定为不符合资格审查要求。</w:t>
      </w:r>
      <w:r/>
    </w:p>
    <w:p>
      <w:pPr>
        <w:pStyle w:val="896"/>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（2）以上13.5.1-13.5.</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为符合性审查须提供的资料，投标人必须提供并加盖电子公章。否则，投标文件将被认定为未实质性响应。</w:t>
      </w:r>
      <w:r/>
    </w:p>
    <w:p>
      <w:pPr>
        <w:pStyle w:val="896"/>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（3）制作电子投标文件时必须与投标文件制作软件目录一一对应，将相关资料上传至相应模块。</w:t>
      </w:r>
      <w:r/>
    </w:p>
    <w:p>
      <w:pPr>
        <w:pStyle w:val="896"/>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p>
    <w:p>
      <w:pPr>
        <w:ind w:firstLine="470"/>
        <w:spacing w:line="360" w:lineRule="auto"/>
        <w:rPr>
          <w:rFonts w:hint="eastAsia" w:ascii="宋体" w:hAnsi="宋体" w:eastAsia="宋体" w:cs="宋体"/>
          <w:b/>
          <w:color w:val="auto"/>
          <w:sz w:val="24"/>
          <w:szCs w:val="24"/>
          <w:highlight w:val="none"/>
          <w:lang w:val="en-US" w:eastAsia="zh-CN" w:bidi="ar-SA"/>
        </w:rPr>
        <w:outlineLvl w:val="0"/>
      </w:pP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lang w:eastAsia="zh-CN"/>
        </w:rPr>
        <w:t xml:space="preserve">）如投标（响应）文件制作机器码信息一致，视为不同投标供应商使用同一台电脑编制投标（响应）文件，投标（响应）无效。</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14、投标文件编制要求 </w:t>
      </w:r>
      <w:r/>
    </w:p>
    <w:p>
      <w:pPr>
        <w:ind w:firstLine="470"/>
        <w:spacing w:line="360" w:lineRule="auto"/>
        <w:rPr>
          <w:rFonts w:hint="eastAsia" w:ascii="宋体" w:hAnsi="宋体" w:eastAsia="宋体" w:cs="宋体"/>
          <w:color w:val="auto"/>
          <w:sz w:val="24"/>
          <w:szCs w:val="22"/>
          <w:highlight w:val="none"/>
          <w:lang w:eastAsia="zh-CN"/>
        </w:rPr>
        <w:outlineLvl w:val="0"/>
      </w:pPr>
      <w:r>
        <w:rPr>
          <w:rFonts w:hint="eastAsia" w:ascii="宋体" w:hAnsi="宋体" w:eastAsia="宋体" w:cs="宋体"/>
          <w:color w:val="auto"/>
          <w:sz w:val="24"/>
          <w:szCs w:val="22"/>
          <w:highlight w:val="none"/>
          <w:lang w:val="zh-CN" w:eastAsia="zh-CN"/>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14.2《开标一览表》为在开标仪式上唱标的内容，要求按格式填写，统一规范，不得自行增减内容。</w:t>
      </w:r>
      <w:r/>
    </w:p>
    <w:p>
      <w:pPr>
        <w:pStyle w:val="896"/>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b/>
          <w:bCs/>
          <w:color w:val="auto"/>
          <w:sz w:val="24"/>
          <w:szCs w:val="24"/>
          <w:highlight w:val="none"/>
          <w:lang w:val="en-US" w:eastAsia="zh-CN" w:bidi="ar-SA"/>
        </w:rPr>
        <w:t xml:space="preserve">电子投标文件制作完成后请于投标文件网上提交截止时间前成功上传至“苏采云”系统，否则视为放弃参加该采购项目。</w:t>
      </w:r>
      <w:bookmarkStart w:id="0" w:name="_Toc25608"/>
      <w:r/>
      <w:bookmarkStart w:id="1" w:name="_Toc31150"/>
      <w:r>
        <w:rPr>
          <w:rFonts w:hint="eastAsia" w:ascii="宋体" w:hAnsi="宋体" w:eastAsia="宋体" w:cs="宋体"/>
          <w:color w:val="auto"/>
          <w:sz w:val="24"/>
          <w:szCs w:val="22"/>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0"/>
      <w:r/>
      <w:bookmarkEnd w:id="1"/>
      <w:r/>
      <w:r/>
    </w:p>
    <w:p>
      <w:pPr>
        <w:ind w:firstLine="472"/>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
          <w:bCs/>
          <w:color w:val="auto"/>
          <w:sz w:val="24"/>
          <w:highlight w:val="none"/>
        </w:rPr>
        <w:t xml:space="preserve">14.3 投标报价（编制）要求的说明</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14.3.1除非合同中另有规定，投标人对《</w:t>
      </w:r>
      <w:r>
        <w:rPr>
          <w:rFonts w:hint="eastAsia" w:ascii="宋体" w:hAnsi="宋体" w:eastAsia="宋体" w:cs="宋体"/>
          <w:color w:val="auto"/>
          <w:sz w:val="24"/>
          <w:highlight w:val="none"/>
          <w:lang w:val="en-US" w:eastAsia="zh-CN"/>
        </w:rPr>
        <w:t xml:space="preserve">开标一览表</w:t>
      </w:r>
      <w:r>
        <w:rPr>
          <w:rFonts w:hint="eastAsia" w:ascii="宋体" w:hAnsi="宋体" w:eastAsia="宋体" w:cs="宋体"/>
          <w:color w:val="auto"/>
          <w:sz w:val="24"/>
          <w:highlight w:val="none"/>
          <w:lang w:val="zh-CN"/>
        </w:rPr>
        <w:t xml:space="preserve">》 中的全部内容的报价应</w:t>
      </w:r>
      <w:r>
        <w:rPr>
          <w:rFonts w:hint="eastAsia" w:ascii="宋体" w:hAnsi="宋体" w:cs="宋体"/>
          <w:color w:val="auto"/>
          <w:sz w:val="24"/>
          <w:szCs w:val="24"/>
          <w:highlight w:val="none"/>
          <w:lang w:val="en-US" w:eastAsia="zh-CN"/>
        </w:rPr>
        <w:t xml:space="preserve">包括完成该标的物的全部内容的成品、运至最终目的地的运输、装卸、保险、检测验收、售后服务、组合安装调试费用（包含安装所需机械设备、配件、耗材、人员费用等）、安全措施等工作所发生的全部费用以及投标人企业利润、代理服务费、税金和政策性文件规定及合同包含的所有风险、责任等各项应有费用。</w:t>
      </w:r>
      <w:r>
        <w:rPr>
          <w:rFonts w:hint="eastAsia" w:ascii="宋体" w:hAnsi="宋体" w:eastAsia="宋体" w:cs="宋体"/>
          <w:color w:val="auto"/>
          <w:sz w:val="24"/>
          <w:highlight w:val="none"/>
          <w:lang w:val="zh-CN"/>
        </w:rPr>
        <w:t xml:space="preserve">同时，除非合同条款中另有规定，否则，投标人所报价格在合同实施期间不因市场变化因素而变动。</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14.3.2投标人应按《</w:t>
      </w:r>
      <w:r>
        <w:rPr>
          <w:rFonts w:hint="eastAsia" w:ascii="宋体" w:hAnsi="宋体" w:eastAsia="宋体" w:cs="宋体"/>
          <w:color w:val="auto"/>
          <w:sz w:val="24"/>
          <w:highlight w:val="none"/>
          <w:lang w:val="zh-CN" w:eastAsia="zh-CN"/>
        </w:rPr>
        <w:t xml:space="preserve">公开分项报价</w:t>
      </w:r>
      <w:r>
        <w:rPr>
          <w:rFonts w:hint="eastAsia" w:ascii="宋体" w:hAnsi="宋体" w:eastAsia="宋体" w:cs="宋体"/>
          <w:color w:val="auto"/>
          <w:sz w:val="24"/>
          <w:highlight w:val="none"/>
          <w:lang w:val="zh-CN"/>
        </w:rPr>
        <w:t xml:space="preserve">》中的全部内容计算单价和总价。《</w:t>
      </w:r>
      <w:r>
        <w:rPr>
          <w:rFonts w:hint="eastAsia" w:ascii="宋体" w:hAnsi="宋体" w:eastAsia="宋体" w:cs="宋体"/>
          <w:color w:val="auto"/>
          <w:sz w:val="24"/>
          <w:highlight w:val="none"/>
          <w:lang w:val="zh-CN" w:eastAsia="zh-CN"/>
        </w:rPr>
        <w:t xml:space="preserve">公开分项报价</w:t>
      </w:r>
      <w:r>
        <w:rPr>
          <w:rFonts w:hint="eastAsia" w:ascii="宋体" w:hAnsi="宋体" w:eastAsia="宋体" w:cs="宋体"/>
          <w:color w:val="auto"/>
          <w:sz w:val="24"/>
          <w:highlight w:val="none"/>
          <w:lang w:val="zh-CN"/>
        </w:rPr>
        <w:t xml:space="preserve">》中的每一单项均应计算并填写单价和总价，并由法定代表人或代理人签署。</w:t>
      </w:r>
      <w:r/>
    </w:p>
    <w:p>
      <w:pPr>
        <w:ind w:firstLine="502"/>
        <w:keepLines w:val="0"/>
        <w:keepNext w:val="0"/>
        <w:pageBreakBefore w:val="0"/>
        <w:spacing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zh-CN"/>
        </w:rPr>
        <w:t xml:space="preserve">14.3.3投标人应对采购文件内所要采购的全部内容进行报价，只投其中部分内容者，其标书将被拒绝。但如果采购文件要求分标段投标的，则各标段应分别计算填写单价和总价。</w:t>
      </w:r>
      <w:r>
        <w:rPr>
          <w:rFonts w:hint="eastAsia" w:ascii="宋体" w:hAnsi="宋体" w:cs="宋体"/>
          <w:color w:val="auto"/>
          <w:sz w:val="24"/>
          <w:highlight w:val="none"/>
          <w:lang w:val="en-US" w:eastAsia="zh-CN"/>
        </w:rPr>
        <w:t xml:space="preserve">本项目不分标段。</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14.3.4 一项投标内容只允许一个报价，采购代理机构不接受任何有选择性的投标报价。</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14.3.5投标文件报价中的单价和总价全部采用人民币表示，除非合同的特殊条款另有规定。</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14.3.6最低的投标报价或最高的折扣比例是中标的重要条件，但不是中标的唯一条件。</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15、投标文件的签署</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    投标文件每一页均应加盖供应商电子签章.</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16、投标保证金</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本项目不收取投标保证金</w:t>
      </w:r>
      <w:r/>
    </w:p>
    <w:p>
      <w:pPr>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bCs/>
          <w:color w:val="auto"/>
          <w:sz w:val="24"/>
          <w:highlight w:val="none"/>
          <w:lang w:val="zh-CN"/>
        </w:rPr>
        <w:t xml:space="preserve">17、投标文件的有效期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17.1自投标截止时间之日起__</w:t>
      </w:r>
      <w:r>
        <w:rPr>
          <w:rFonts w:hint="eastAsia" w:ascii="宋体" w:hAnsi="宋体" w:eastAsia="宋体" w:cs="宋体"/>
          <w:color w:val="auto"/>
          <w:sz w:val="24"/>
          <w:highlight w:val="none"/>
          <w:u w:val="single"/>
        </w:rPr>
        <w:t xml:space="preserve">45</w:t>
      </w:r>
      <w:r>
        <w:rPr>
          <w:rFonts w:hint="eastAsia" w:ascii="宋体" w:hAnsi="宋体" w:eastAsia="宋体" w:cs="宋体"/>
          <w:color w:val="auto"/>
          <w:sz w:val="24"/>
          <w:highlight w:val="none"/>
          <w:lang w:val="zh-CN"/>
        </w:rPr>
        <w:t xml:space="preserve">__天，投标书应保持有效。有效期短于这个规定期限的投标，将被拒绝。</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17.2在特殊情况下，采购代理机构可与投标人协商延长投标书的有效期。这种要求和答复都应以书面、传真的形式进行。</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五、</w:t>
      </w:r>
      <w:r>
        <w:rPr>
          <w:rFonts w:hint="eastAsia" w:ascii="宋体" w:hAnsi="宋体" w:eastAsia="宋体" w:cs="宋体"/>
          <w:b/>
          <w:color w:val="auto"/>
          <w:sz w:val="24"/>
          <w:szCs w:val="24"/>
          <w:highlight w:val="none"/>
        </w:rPr>
        <w:t xml:space="preserve">投标文件的递交、补充、修改和撤回</w:t>
      </w:r>
      <w:r/>
    </w:p>
    <w:p>
      <w:pPr>
        <w:pStyle w:val="896"/>
        <w:ind w:lef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投标文件的递交</w:t>
      </w:r>
      <w:r/>
    </w:p>
    <w:p>
      <w:pPr>
        <w:pStyle w:val="896"/>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.1投标人应当在在投标截止时间前制作并上传电子投标文件。</w:t>
      </w:r>
      <w:r/>
    </w:p>
    <w:p>
      <w:pPr>
        <w:pStyle w:val="881"/>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.2投标人通过</w:t>
      </w:r>
      <w:r>
        <w:rPr>
          <w:rFonts w:hint="eastAsia" w:ascii="宋体" w:hAnsi="宋体" w:eastAsia="宋体" w:cs="宋体"/>
          <w:b/>
          <w:bCs/>
          <w:color w:val="auto"/>
          <w:sz w:val="24"/>
          <w:szCs w:val="24"/>
          <w:highlight w:val="none"/>
          <w:lang w:val="en-US" w:eastAsia="zh-CN" w:bidi="ar-SA"/>
        </w:rPr>
        <w:t xml:space="preserve">“苏采云”系统不见面开标大厅在线参与开标活动。（具体操作详见《苏采云系统供应商操作手册》，网址链接https://czju.suzhou.gov.cn/zfcg/html/content/20231220161910031.shtml）</w:t>
      </w:r>
      <w:r/>
    </w:p>
    <w:p>
      <w:pPr>
        <w:pStyle w:val="896"/>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投标截止时间</w:t>
      </w:r>
      <w:r/>
    </w:p>
    <w:p>
      <w:pPr>
        <w:pStyle w:val="896"/>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.1投标人应当在招标文件要求投标文件网上提交截止时间前，将投标文件完成提交（上传）。逾期提交（上传）的投标文件，采购人和采购代理机构拒绝接收。</w:t>
      </w:r>
      <w:r/>
    </w:p>
    <w:p>
      <w:pPr>
        <w:pStyle w:val="896"/>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.2采购人和采购代理机构推迟投标截止时间时，将按规定的更正公告的方式对外发布。在这种情况下，采购人、采购代理机构和投标人的权利和义务将受到新的截止期的约束。</w:t>
      </w:r>
      <w:r/>
    </w:p>
    <w:p>
      <w:pPr>
        <w:pStyle w:val="896"/>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.3在投标截止时间</w:t>
      </w:r>
      <w:r>
        <w:rPr>
          <w:rFonts w:hint="eastAsia" w:ascii="宋体" w:hAnsi="宋体" w:eastAsia="宋体" w:cs="宋体"/>
          <w:color w:val="auto"/>
          <w:sz w:val="24"/>
          <w:szCs w:val="24"/>
          <w:highlight w:val="none"/>
          <w:lang w:val="en-US" w:eastAsia="zh-CN"/>
        </w:rPr>
        <w:t xml:space="preserve">投标单位少于三家的</w:t>
      </w:r>
      <w:r>
        <w:rPr>
          <w:rFonts w:hint="eastAsia" w:ascii="宋体" w:hAnsi="宋体" w:eastAsia="宋体" w:cs="宋体"/>
          <w:color w:val="auto"/>
          <w:sz w:val="24"/>
          <w:szCs w:val="24"/>
          <w:highlight w:val="none"/>
        </w:rPr>
        <w:t xml:space="preserve">，采购代理机构有权宣布本次招标失败。</w:t>
      </w:r>
      <w:r/>
    </w:p>
    <w:p>
      <w:pPr>
        <w:pStyle w:val="896"/>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.投标文件的补充、修改和撤回</w:t>
      </w:r>
      <w:r/>
    </w:p>
    <w:p>
      <w:pPr>
        <w:pStyle w:val="896"/>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6"/>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六、开标和评标 </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21</w:t>
      </w:r>
      <w:r>
        <w:rPr>
          <w:rFonts w:hint="eastAsia" w:ascii="宋体" w:hAnsi="宋体" w:eastAsia="宋体" w:cs="宋体"/>
          <w:b/>
          <w:bCs/>
          <w:color w:val="auto"/>
          <w:sz w:val="24"/>
          <w:highlight w:val="none"/>
          <w:lang w:val="zh-CN"/>
        </w:rPr>
        <w:t xml:space="preserve">、开标</w:t>
      </w:r>
      <w:r/>
    </w:p>
    <w:p>
      <w:pPr>
        <w:pStyle w:val="896"/>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rPr>
        <w:t xml:space="preserve">投标人代表未参加开标的，视同认可开标结果。</w:t>
      </w:r>
      <w:r/>
    </w:p>
    <w:p>
      <w:pPr>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、资格审查</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.2.1查询时间：投标文件递交截止时间。</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.2.2查询渠道：</w:t>
      </w:r>
      <w:r>
        <w:rPr>
          <w:rFonts w:hint="eastAsia" w:ascii="宋体" w:hAnsi="宋体" w:eastAsia="宋体" w:cs="宋体"/>
          <w:bCs/>
          <w:color w:val="auto"/>
          <w:sz w:val="24"/>
          <w:highlight w:val="none"/>
        </w:rPr>
        <w:t xml:space="preserve">采购代理机构会在接收投标文件截止时间后，在中国政府采购网（www.ccgp.gov.cn）、信用中国（www.creditchina.gov.cn）、信用江苏（</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"http://www.jscredit.gov.cn/" </w:instrText>
      </w:r>
      <w:r>
        <w:rPr>
          <w:rFonts w:hint="eastAsia" w:ascii="宋体" w:hAnsi="宋体" w:eastAsia="宋体" w:cs="宋体"/>
          <w:color w:val="auto"/>
          <w:highlight w:val="none"/>
        </w:rPr>
        <w:fldChar w:fldCharType="separate"/>
      </w:r>
      <w:r>
        <w:rPr>
          <w:rStyle w:val="859"/>
          <w:rFonts w:hint="eastAsia" w:ascii="宋体" w:hAnsi="宋体" w:eastAsia="宋体" w:cs="宋体"/>
          <w:bCs/>
          <w:color w:val="auto"/>
          <w:sz w:val="24"/>
          <w:highlight w:val="none"/>
        </w:rPr>
        <w:t xml:space="preserve">www.jscredit.gov.cn</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）、诚信苏州（www.szcredit.gov.cn）的网站输入供应商全称或统一社会信用代码查询信用记录，并将查询结果递交评审小组</w:t>
      </w:r>
      <w:r>
        <w:rPr>
          <w:rFonts w:hint="eastAsia" w:ascii="宋体" w:hAnsi="宋体" w:eastAsia="宋体" w:cs="宋体"/>
          <w:color w:val="auto"/>
          <w:sz w:val="24"/>
          <w:highlight w:val="none"/>
          <w:lang w:val="zh-CN"/>
        </w:rPr>
        <w:t xml:space="preserve">。</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.4单位负责人为同一人或者存在直接控股、管理关系的不同供应商，不得参与同一合同项下的投标活动。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.5本项目通过上述资格审查的合格投标人不足</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家的，不得评标。</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val="zh-CN"/>
        </w:rPr>
        <w:t xml:space="preserve">、评标委员会</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.1评标委员会（以下简称评委会）成员依法组建；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.2评标委员会将对符合资格的投标人的投标文件进行符合性审查，以确定其是否满足采购文件的实质性要求。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.3评委会组负责具体的评标事务，并独立履行以下职责：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.3.1审查、评价投标文件是否符合采购文件的商务、技术等实质性要求；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.3.2要求投标人对投标文件有关事项作出澄清或者说明；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.3.3对投标文件进行比较和评价；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.3.4</w:t>
      </w:r>
      <w:r>
        <w:rPr>
          <w:rFonts w:hint="eastAsia" w:ascii="宋体" w:hAnsi="宋体" w:eastAsia="宋体" w:cs="宋体"/>
          <w:color w:val="auto"/>
          <w:sz w:val="24"/>
          <w:highlight w:val="none"/>
        </w:rPr>
        <w:t xml:space="preserve">签署评标报告、推荐中标候选人并根据采购方委托从中</w:t>
      </w:r>
      <w:r>
        <w:rPr>
          <w:rFonts w:hint="eastAsia" w:ascii="宋体" w:hAnsi="宋体" w:eastAsia="宋体" w:cs="宋体"/>
          <w:color w:val="auto"/>
          <w:sz w:val="24"/>
          <w:highlight w:val="none"/>
          <w:lang w:val="zh-CN"/>
        </w:rPr>
        <w:t xml:space="preserve">确定中标人；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.3.5向采购人、采购代理机构或者有关部门报告评标中发现的违法行为。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.4评委会成员应当履行下列义务：</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.4.1遵纪守法，客观、公正、廉洁地履行职责；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.4.2按照采购文件规定的评标办法和评标标准进行评标，对评审意见承担个人责任；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.4.3对评标过程和结果，以及投标人的商业秘密保密；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（一）招标公告刊登的媒体名称、开标日期和地点；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（二）投标人名单和评标委员会成员名单；</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（三）评标方法和标准；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（四）开标记录和评标情况及说明，包括无效投标人名单及原因；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（五）评标结果，确定的中标候选人名单或者经采购人委托直接确定的中标人；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.4.5配合招标采购人答复投标人提出的质疑；</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.4.6配合有关部门的投诉处理工作。</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zh-CN"/>
        </w:rPr>
        <w:t xml:space="preserve">、保密要求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.1评标将在严格保密的情况下进行。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、对投标文件初审</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lang w:val="zh-CN"/>
        </w:rPr>
        <w:t xml:space="preserve">    </w:t>
      </w: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80"/>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（一）投标文件未按招标文件要求签署、盖章的；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（二）不具备招标文件中规定的资格要求的；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（三）报价超过招标文件中规定的预算金额或者最高限价的；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（四）投标文件含有采购人不能接受的附加条件的；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（五）法律、法规和招标文件规定的其他无效情形。</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六</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在系统中出现供应商“机器码一致”情形的。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.3对于投标文件中含义不明确、同类问题表述不一致或者有明显文字和计算错误的</w:t>
      </w:r>
      <w:r>
        <w:rPr>
          <w:rFonts w:hint="eastAsia" w:ascii="宋体" w:hAnsi="宋体" w:eastAsia="宋体" w:cs="宋体"/>
          <w:color w:val="auto"/>
          <w:sz w:val="24"/>
          <w:szCs w:val="24"/>
          <w:highlight w:val="none"/>
          <w:lang w:val="zh-CN"/>
        </w:rPr>
        <w:t xml:space="preserve">内容，评标委员会应当以书面形式要求投标人作出必要的澄清、说明或者补正。</w:t>
      </w:r>
      <w:r/>
    </w:p>
    <w:p>
      <w:pPr>
        <w:pStyle w:val="896"/>
        <w:ind w:left="0" w:firstLine="422"/>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896"/>
        <w:ind w:left="0" w:firstLine="42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4"/>
          <w:szCs w:val="24"/>
          <w:highlight w:val="none"/>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.5投标文件报价出现前后不一致的，除采购文件另有规定外，按照下列规定修正：</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.5.2大写金额和小写金额不一致的，以大写金额为准；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.5.4总价金额与按单价汇总金额不一致的，以单价金额计算结果为准。</w:t>
      </w:r>
      <w:r/>
    </w:p>
    <w:p>
      <w:pPr>
        <w:ind w:firstLine="42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lang w:val="zh-CN"/>
        </w:rPr>
        <w:t xml:space="preserve">.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r>
        <w:rPr>
          <w:rFonts w:hint="eastAsia" w:ascii="宋体" w:hAnsi="宋体" w:eastAsia="宋体" w:cs="宋体"/>
          <w:b/>
          <w:color w:val="auto"/>
          <w:sz w:val="24"/>
          <w:szCs w:val="24"/>
          <w:highlight w:val="none"/>
        </w:rPr>
        <w:t xml:space="preserve">本项目投标人的澄清、说明或者补正采用线上澄清</w:t>
      </w:r>
      <w:r>
        <w:rPr>
          <w:rFonts w:hint="eastAsia" w:ascii="宋体" w:hAnsi="宋体" w:eastAsia="宋体" w:cs="宋体"/>
          <w:b/>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.7除上述情形外，对投标文件的判定，只依据投标文件本身，不依靠开标后的任何外来证明。</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.8采购代理机构将拒绝被确定为非实质性响应的投标，投标人不能通过修正或撤销不符之处而使其投标成为实质性响应的投标。</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.9对不同文字文本投标文件的解释发生异议的，以中文文本为准；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CN"/>
        </w:rPr>
        <w:t xml:space="preserve">、废标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.1.1符合专业条件的供应商或者对采购文件作实质响应的供应商不足三家的；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.1.4因重大变故，采购任务取消的； </w:t>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在系统中出现供应商“机器码一致”情形的。</w:t>
      </w:r>
      <w:r/>
    </w:p>
    <w:p>
      <w:pPr>
        <w:ind w:firstLine="420"/>
        <w:spacing w:line="360" w:lineRule="auto"/>
        <w:tabs>
          <w:tab w:val="left" w:pos="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.2 废标后，采购代理机构将发布废标公告。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val="zh-CN"/>
        </w:rPr>
        <w:t xml:space="preserve">、投标文件的评价和比较</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.1评标委员会将仅对按</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lang w:val="zh-CN"/>
        </w:rPr>
        <w:t xml:space="preserve">文件有关规定确定为实质上响应采购文件要求的投标文件进行评价和比较。</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.3 最低的投标报价或最高的折扣比例是中标的重要条件，但不是唯一条件。</w:t>
      </w:r>
      <w:r/>
    </w:p>
    <w:p>
      <w:pPr>
        <w:spacing w:line="360" w:lineRule="auto"/>
        <w:tabs>
          <w:tab w:val="left" w:pos="567" w:leader="none"/>
        </w:tabs>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七、确定中标原则：</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本次评标采用综合评分法</w:t>
      </w:r>
      <w:r/>
    </w:p>
    <w:p>
      <w:pPr>
        <w:ind w:firstLine="480"/>
        <w:spacing w:line="360" w:lineRule="auto"/>
        <w:tabs>
          <w:tab w:val="left" w:pos="567"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八、发出中标通知书</w:t>
      </w:r>
      <w:r/>
    </w:p>
    <w:p>
      <w:pPr>
        <w:pStyle w:val="896"/>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.1确定出中标人后，采购代理机构在法定时间内向中标人发出中标通知书。</w:t>
      </w: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.3</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九、中标单位的确认</w:t>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zh-CN"/>
        </w:rPr>
        <w:t xml:space="preserve">、告知招标结果</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.1 对未通过资格审查的投标人，告知其未通过的原因。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.2 在发放中标通知书的同时，</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val="zh-CN"/>
        </w:rPr>
        <w:t xml:space="preserve">、签订合同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3中标人无正当理由不得拒绝签订政府采购合同。</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二</w:t>
      </w:r>
      <w:r>
        <w:rPr>
          <w:rFonts w:hint="eastAsia" w:ascii="宋体" w:hAnsi="宋体" w:eastAsia="宋体" w:cs="宋体"/>
          <w:b/>
          <w:color w:val="auto"/>
          <w:sz w:val="24"/>
          <w:highlight w:val="none"/>
          <w:lang w:val="zh-CN"/>
        </w:rPr>
        <w:t xml:space="preserve">、其他事项</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zh-CN"/>
        </w:rPr>
        <w:t xml:space="preserve">中标服务费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根据苏财购告【2017】23号文件的收取中标服务费。领取中标通知书时各标段供应商向招标代理机构一次性付清。由各标段中标供应商支付，按照采购预算100万元以内1.5%、100～500万元以1.1%、500~1000万元以0.8%，1000万元~5000万元以0.5%，差额定率累进法计算并支付中标服务费。本项目代理服务费按人民币￥</w:t>
      </w:r>
      <w:r>
        <w:rPr>
          <w:rFonts w:hint="eastAsia" w:ascii="宋体" w:hAnsi="宋体" w:cs="宋体"/>
          <w:bCs/>
          <w:color w:val="auto"/>
          <w:sz w:val="24"/>
          <w:highlight w:val="none"/>
          <w:lang w:val="en-US" w:eastAsia="zh-CN"/>
        </w:rPr>
        <w:t xml:space="preserve">48000</w:t>
      </w:r>
      <w:r>
        <w:rPr>
          <w:rFonts w:hint="eastAsia" w:ascii="宋体" w:hAnsi="宋体" w:eastAsia="宋体" w:cs="宋体"/>
          <w:bCs/>
          <w:color w:val="auto"/>
          <w:sz w:val="24"/>
          <w:highlight w:val="none"/>
          <w:lang w:val="en-US" w:eastAsia="zh-CN"/>
        </w:rPr>
        <w:t xml:space="preserve">.00</w:t>
      </w:r>
      <w:r>
        <w:rPr>
          <w:rFonts w:hint="eastAsia" w:ascii="宋体" w:hAnsi="宋体" w:eastAsia="宋体" w:cs="宋体"/>
          <w:bCs/>
          <w:color w:val="auto"/>
          <w:sz w:val="24"/>
          <w:highlight w:val="none"/>
        </w:rPr>
        <w:t xml:space="preserve">计收。</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账户名：苏州睿乔招投标咨询服务有限公司 </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账  号：1102020209000937813</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开户行：中国工商银行苏州道前支行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zh-CN"/>
        </w:rPr>
        <w:t xml:space="preserve">监督和公证</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lang w:val="zh-CN"/>
        </w:rPr>
        <w:t xml:space="preserve">政府有关监督部门将对招投标全过程进行监督。</w:t>
      </w:r>
      <w:r/>
    </w:p>
    <w:p>
      <w:pPr>
        <w:ind w:left="420" w:firstLine="8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.2.2</w:t>
      </w:r>
      <w:r>
        <w:rPr>
          <w:rFonts w:hint="eastAsia" w:ascii="宋体" w:hAnsi="宋体" w:eastAsia="宋体" w:cs="宋体"/>
          <w:color w:val="auto"/>
          <w:sz w:val="24"/>
          <w:highlight w:val="none"/>
          <w:lang w:val="zh-CN"/>
        </w:rPr>
        <w:t xml:space="preserve">采购代理机构的开标、评标过程将通过公证机关进行公证。</w:t>
      </w:r>
      <w:r/>
    </w:p>
    <w:p>
      <w:p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未尽事宜</w:t>
      </w:r>
      <w:r/>
    </w:p>
    <w:p>
      <w:pPr>
        <w:ind w:firstLine="480"/>
        <w:spacing w:line="360" w:lineRule="auto"/>
        <w:rPr>
          <w:rStyle w:val="858"/>
          <w:rFonts w:hint="eastAsia" w:ascii="宋体" w:hAnsi="宋体" w:eastAsia="宋体" w:cs="宋体"/>
          <w:bCs/>
          <w:color w:val="auto"/>
          <w:sz w:val="24"/>
          <w:highlight w:val="none"/>
        </w:rPr>
      </w:pPr>
      <w:r>
        <w:rPr>
          <w:rFonts w:hint="eastAsia" w:ascii="宋体" w:hAnsi="宋体" w:eastAsia="宋体" w:cs="宋体"/>
          <w:color w:val="auto"/>
          <w:sz w:val="24"/>
          <w:highlight w:val="none"/>
          <w:lang w:val="zh-CN"/>
        </w:rPr>
        <w:t xml:space="preserve">按《中华人民共和国政府采购法》及其他有关政府采购的法律法规的规定执行。</w:t>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t xml:space="preserve">第三章 投标文件格式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对本章所有的投标书格式，投标方可根据自身情况进行补充和修改，但补充和修改不得造成与本格式内容有实质性的违背。</w:t>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1、（投标方）法定代表人授权委托</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w:t>
      </w:r>
      <w:r>
        <w:rPr>
          <w:rFonts w:hint="eastAsia" w:ascii="宋体" w:hAnsi="宋体" w:eastAsia="宋体" w:cs="宋体"/>
          <w:color w:val="auto"/>
          <w:sz w:val="24"/>
          <w:szCs w:val="24"/>
          <w:highlight w:val="none"/>
        </w:rPr>
        <w:t xml:space="preserve">为我方授权代表（即代理人），参加</w:t>
      </w:r>
      <w:r>
        <w:rPr>
          <w:rFonts w:hint="eastAsia" w:ascii="宋体" w:hAnsi="宋体" w:eastAsia="宋体" w:cs="宋体"/>
          <w:color w:val="auto"/>
          <w:sz w:val="24"/>
          <w:szCs w:val="24"/>
          <w:highlight w:val="none"/>
          <w:u w:val="single"/>
          <w:lang w:val="en-US" w:eastAsia="zh-CN"/>
        </w:rPr>
        <w:t xml:space="preserve">苏州睿乔招投标咨询服务有限公司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highlight w:val="none"/>
        </w:rPr>
        <w:t xml:space="preserve">的招标活动。代理人在开标、评标、</w:t>
      </w:r>
      <w:r>
        <w:rPr>
          <w:rFonts w:hint="eastAsia" w:ascii="宋体" w:hAnsi="宋体" w:eastAsia="宋体" w:cs="宋体"/>
          <w:color w:val="auto"/>
          <w:sz w:val="24"/>
          <w:szCs w:val="24"/>
          <w:highlight w:val="none"/>
        </w:rPr>
        <w:t xml:space="preserve">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                                    </w:t>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备注：供应商如有授权委托，必须提供该法人授权委托书及</w:t>
      </w:r>
      <w:r>
        <w:rPr>
          <w:rFonts w:hint="eastAsia" w:ascii="宋体" w:hAnsi="宋体" w:eastAsia="宋体" w:cs="宋体"/>
          <w:b/>
          <w:color w:val="auto"/>
          <w:sz w:val="24"/>
          <w:szCs w:val="24"/>
          <w:highlight w:val="none"/>
          <w:lang w:val="en-US" w:eastAsia="zh-CN"/>
        </w:rPr>
        <w:t xml:space="preserve">法人和</w:t>
      </w:r>
      <w:r>
        <w:rPr>
          <w:rFonts w:hint="eastAsia" w:ascii="宋体" w:hAnsi="宋体" w:eastAsia="宋体" w:cs="宋体"/>
          <w:b/>
          <w:color w:val="auto"/>
          <w:sz w:val="24"/>
          <w:szCs w:val="24"/>
          <w:highlight w:val="none"/>
        </w:rPr>
        <w:t xml:space="preserve">代理人</w:t>
      </w:r>
      <w:r>
        <w:rPr>
          <w:rFonts w:hint="eastAsia" w:ascii="宋体" w:hAnsi="宋体" w:eastAsia="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身份证，否则响应无效；</w:t>
      </w:r>
      <w:r/>
    </w:p>
    <w:p>
      <w:pPr>
        <w:pStyle w:val="697"/>
        <w:ind w:left="0" w:firstLine="482"/>
        <w:jc w:val="both"/>
        <w:keepLines w:val="0"/>
        <w:keepNext w:val="0"/>
        <w:pageBreakBefore w:val="0"/>
        <w:spacing w:before="0" w:beforeAutospacing="0" w:after="0" w:afterAutospacing="0" w:line="360" w:lineRule="auto"/>
        <w:widowControl/>
        <w:rPr>
          <w:rFonts w:hint="eastAsia" w:ascii="宋体" w:hAnsi="宋体" w:eastAsia="宋体" w:cs="宋体"/>
          <w:i w:val="0"/>
          <w:caps w:val="0"/>
          <w:color w:val="auto"/>
          <w:spacing w:val="0"/>
          <w:sz w:val="24"/>
          <w:szCs w:val="24"/>
          <w:highlight w:val="none"/>
          <w:lang w:eastAsia="zh-CN"/>
        </w:rPr>
        <w:outlineLvl w:val="9"/>
        <w:suppressLineNumbers w:val="0"/>
      </w:pPr>
      <w:r>
        <w:rPr>
          <w:rFonts w:hint="eastAsia" w:ascii="宋体" w:hAnsi="宋体" w:eastAsia="宋体" w:cs="宋体"/>
          <w:b/>
          <w:color w:val="auto"/>
          <w:sz w:val="24"/>
          <w:szCs w:val="24"/>
          <w:highlight w:val="none"/>
        </w:rPr>
        <w:t xml:space="preserve">供应商无授权委托的情况下，必须提供法定代表人身份证，否则响应无效。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w:t>
      </w:r>
      <w:r/>
    </w:p>
    <w:p>
      <w:pPr>
        <w:pStyle w:val="895"/>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我们收到贵公司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号招标文件，经仔细阅读和研究，我们决定参加投标。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1、我们愿意按照招标文件的一切要求，提供以上项目的所有内容，我们的投标</w:t>
      </w:r>
      <w:r>
        <w:rPr>
          <w:rFonts w:hint="eastAsia" w:ascii="宋体" w:hAnsi="宋体" w:eastAsia="宋体" w:cs="宋体"/>
          <w:bCs/>
          <w:color w:val="auto"/>
          <w:sz w:val="24"/>
          <w:highlight w:val="none"/>
        </w:rPr>
        <w:t xml:space="preserve">价格</w:t>
      </w:r>
      <w:r>
        <w:rPr>
          <w:rFonts w:hint="eastAsia" w:ascii="宋体" w:hAnsi="宋体" w:cs="宋体"/>
          <w:color w:val="auto"/>
          <w:sz w:val="24"/>
          <w:szCs w:val="24"/>
          <w:highlight w:val="none"/>
          <w:lang w:val="en-US" w:eastAsia="zh-CN"/>
        </w:rPr>
        <w:t xml:space="preserve">包括完成该标的物的全部内容的成品、运至最终目的地的运输、装卸、保险、检测验收、售后服务、组合安装调试费用（包含安装所需机械设备、配件、耗材、人员费用等）、安全措施等工作所发生的全部费用以及投标人企业利润、代理服务费、税金和政策性文件规定及合同包含的所有风险、责任等各项应有费用。</w:t>
      </w:r>
      <w:r/>
    </w:p>
    <w:p>
      <w:pPr>
        <w:pStyle w:val="8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2、如果我们的投标书被接受，我们将严格履行招标文件中规定的每一项要求，严格履行合同的责任和义务,保证按期、按质履行合同，完成招标文件要求的全部工作。</w:t>
      </w:r>
      <w:r/>
    </w:p>
    <w:p>
      <w:pPr>
        <w:pStyle w:val="892"/>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3、我们同意按招标文件规定，本投标书的有效期限为自提交投标文件截止日起</w:t>
      </w:r>
      <w:r/>
    </w:p>
    <w:p>
      <w:pPr>
        <w:pStyle w:val="892"/>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天如果我们在开标后规定的投标有效期内撤回投标。</w:t>
      </w:r>
      <w:r/>
    </w:p>
    <w:p>
      <w:pPr>
        <w:pStyle w:val="8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4、我们愿意提供招标方在招标文件中要求的所有资料。</w:t>
      </w:r>
      <w:r/>
    </w:p>
    <w:p>
      <w:pPr>
        <w:pStyle w:val="8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5、我们认为你们有权决定中标者，还认为你们有权接受或拒绝所有的投标者。</w:t>
      </w:r>
      <w:r/>
    </w:p>
    <w:p>
      <w:pPr>
        <w:pStyle w:val="8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6、我们承诺人员上岗按国家规定执行。</w:t>
      </w:r>
      <w:r/>
    </w:p>
    <w:p>
      <w:pPr>
        <w:pStyle w:val="8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7、我们愿意遵守招标文件中所列的收费标准。</w:t>
      </w:r>
      <w:r/>
    </w:p>
    <w:p>
      <w:pPr>
        <w:pStyle w:val="8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8、我们承诺该项投标在开标后的全过程中保持有效，不作任何更改和变动。我们同意中标后若不履行投标文件的内容要求和各项承诺及义务的即被视为违约。</w:t>
      </w:r>
      <w:r/>
    </w:p>
    <w:p>
      <w:pPr>
        <w:pStyle w:val="8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9、如果我们中标，我们愿意在签订合同时按招标文件规定的标准向招标代理机构支付中标服务费；</w:t>
      </w:r>
      <w:r/>
    </w:p>
    <w:p>
      <w:pPr>
        <w:pStyle w:val="8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所有有关标书的函电，请按下列地址联系：</w:t>
      </w:r>
      <w:r/>
    </w:p>
    <w:p>
      <w:pPr>
        <w:pStyle w:val="8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p>
      <w:pPr>
        <w:pStyle w:val="8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pStyle w:val="895"/>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p>
    <w:p>
      <w:pPr>
        <w:pStyle w:val="895"/>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邮政编码：</w:t>
      </w:r>
      <w:r/>
    </w:p>
    <w:p>
      <w:pPr>
        <w:pStyle w:val="895"/>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p>
    <w:p>
      <w:pPr>
        <w:pStyle w:val="895"/>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        邮箱：                                     </w:t>
      </w:r>
      <w:r/>
    </w:p>
    <w:p>
      <w:pPr>
        <w:pStyle w:val="895"/>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895"/>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895"/>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highlight w:val="none"/>
        </w:rPr>
        <w:t xml:space="preserve">3、开标一览表：</w:t>
      </w:r>
      <w:r>
        <w:rPr>
          <w:rFonts w:hint="eastAsia" w:ascii="宋体" w:hAnsi="宋体" w:eastAsia="宋体" w:cs="宋体"/>
          <w:b/>
          <w:color w:val="auto"/>
          <w:sz w:val="24"/>
          <w:highlight w:val="none"/>
        </w:rPr>
        <w:t xml:space="preserve">按投标系统内统一格式</w:t>
      </w:r>
      <w:r/>
    </w:p>
    <w:p>
      <w:pPr>
        <w:pStyle w:val="6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bCs/>
          <w:color w:val="auto"/>
          <w:sz w:val="24"/>
          <w:highlight w:val="none"/>
          <w:lang w:val="en-US" w:eastAsia="zh-CN"/>
        </w:rPr>
        <w:t xml:space="preserve">公开分项报价</w:t>
      </w:r>
      <w:r/>
    </w:p>
    <w:p>
      <w:pPr>
        <w:pStyle w:val="89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公开分项报价</w:t>
      </w:r>
      <w:r/>
    </w:p>
    <w:tbl>
      <w:tblPr>
        <w:tblStyle w:val="669"/>
        <w:tblW w:w="9439" w:type="dxa"/>
        <w:jc w:val="center"/>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9"/>
        <w:gridCol w:w="1604"/>
        <w:gridCol w:w="2757"/>
        <w:gridCol w:w="1189"/>
        <w:gridCol w:w="831"/>
        <w:gridCol w:w="784"/>
        <w:gridCol w:w="739"/>
        <w:gridCol w:w="796"/>
      </w:tblGrid>
      <w:tr>
        <w:trPr>
          <w:jc w:val="center"/>
          <w:trHeight w:val="566"/>
        </w:trPr>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auto"/>
              <w:rPr>
                <w:color w:val="auto"/>
                <w:sz w:val="24"/>
                <w:highlight w:val="none"/>
              </w:rPr>
            </w:pPr>
            <w:r>
              <w:rPr>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spacing w:line="360" w:lineRule="auto"/>
              <w:rPr>
                <w:color w:val="auto"/>
                <w:sz w:val="24"/>
                <w:highlight w:val="none"/>
              </w:rPr>
            </w:pPr>
            <w:r>
              <w:rPr>
                <w:color w:val="auto"/>
                <w:sz w:val="24"/>
                <w:highlight w:val="none"/>
                <w:lang w:val="zh-CN"/>
              </w:rPr>
              <w:t xml:space="preserve">标的物名称</w:t>
            </w:r>
            <w:r/>
          </w:p>
        </w:tc>
        <w:tc>
          <w:tcPr>
            <w:tcBorders>
              <w:top w:val="single" w:color="auto" w:sz="6" w:space="0"/>
              <w:left w:val="single" w:color="auto" w:sz="6" w:space="0"/>
              <w:bottom w:val="single" w:color="auto" w:sz="6" w:space="0"/>
              <w:right w:val="single" w:color="auto" w:sz="6" w:space="0"/>
            </w:tcBorders>
            <w:tcW w:w="2757" w:type="dxa"/>
            <w:vAlign w:val="center"/>
            <w:textDirection w:val="lrTb"/>
            <w:noWrap w:val="false"/>
          </w:tcPr>
          <w:p>
            <w:pPr>
              <w:jc w:val="center"/>
              <w:spacing w:line="360" w:lineRule="auto"/>
              <w:rPr>
                <w:color w:val="auto"/>
                <w:sz w:val="24"/>
                <w:highlight w:val="none"/>
              </w:rPr>
            </w:pPr>
            <w:r>
              <w:rPr>
                <w:color w:val="auto"/>
                <w:sz w:val="24"/>
                <w:highlight w:val="none"/>
                <w:lang w:val="zh-CN"/>
              </w:rPr>
              <w:t xml:space="preserve">规格</w:t>
            </w:r>
            <w:r/>
          </w:p>
        </w:tc>
        <w:tc>
          <w:tcPr>
            <w:tcBorders>
              <w:top w:val="single" w:color="auto" w:sz="6" w:space="0"/>
              <w:left w:val="single" w:color="auto" w:sz="6" w:space="0"/>
              <w:bottom w:val="single" w:color="auto" w:sz="6" w:space="0"/>
              <w:right w:val="single" w:color="auto" w:sz="4" w:space="0"/>
            </w:tcBorders>
            <w:tcW w:w="1189" w:type="dxa"/>
            <w:vAlign w:val="center"/>
            <w:textDirection w:val="lrTb"/>
            <w:noWrap w:val="false"/>
          </w:tcPr>
          <w:p>
            <w:pPr>
              <w:jc w:val="center"/>
              <w:spacing w:line="360" w:lineRule="auto"/>
              <w:rPr>
                <w:color w:val="auto"/>
                <w:sz w:val="24"/>
                <w:highlight w:val="none"/>
              </w:rPr>
            </w:pPr>
            <w:r>
              <w:rPr>
                <w:color w:val="auto"/>
                <w:sz w:val="24"/>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831" w:type="dxa"/>
            <w:vAlign w:val="center"/>
            <w:textDirection w:val="lrTb"/>
            <w:noWrap w:val="false"/>
          </w:tcPr>
          <w:p>
            <w:pPr>
              <w:jc w:val="center"/>
              <w:spacing w:line="360" w:lineRule="auto"/>
              <w:rPr>
                <w:color w:val="auto"/>
                <w:sz w:val="24"/>
                <w:highlight w:val="none"/>
              </w:rPr>
            </w:pPr>
            <w:r>
              <w:rPr>
                <w:color w:val="auto"/>
                <w:sz w:val="24"/>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84" w:type="dxa"/>
            <w:vAlign w:val="center"/>
            <w:textDirection w:val="lrTb"/>
            <w:noWrap w:val="false"/>
          </w:tcPr>
          <w:p>
            <w:pPr>
              <w:jc w:val="center"/>
              <w:spacing w:line="360" w:lineRule="auto"/>
              <w:rPr>
                <w:color w:val="auto"/>
                <w:sz w:val="24"/>
                <w:highlight w:val="none"/>
              </w:rPr>
            </w:pPr>
            <w:r>
              <w:rPr>
                <w:color w:val="auto"/>
                <w:sz w:val="24"/>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739" w:type="dxa"/>
            <w:vAlign w:val="center"/>
            <w:textDirection w:val="lrTb"/>
            <w:noWrap w:val="false"/>
          </w:tcPr>
          <w:p>
            <w:pPr>
              <w:jc w:val="center"/>
              <w:spacing w:line="360" w:lineRule="auto"/>
              <w:rPr>
                <w:color w:val="auto"/>
                <w:sz w:val="24"/>
                <w:highlight w:val="none"/>
              </w:rPr>
            </w:pPr>
            <w:r>
              <w:rPr>
                <w:color w:val="auto"/>
                <w:sz w:val="24"/>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796" w:type="dxa"/>
            <w:vAlign w:val="center"/>
            <w:textDirection w:val="lrTb"/>
            <w:noWrap w:val="false"/>
          </w:tcPr>
          <w:p>
            <w:pPr>
              <w:jc w:val="center"/>
              <w:spacing w:line="360" w:lineRule="auto"/>
              <w:rPr>
                <w:color w:val="auto"/>
                <w:sz w:val="24"/>
                <w:highlight w:val="none"/>
              </w:rPr>
            </w:pPr>
            <w:r>
              <w:rPr>
                <w:rFonts w:hint="eastAsia"/>
                <w:color w:val="auto"/>
                <w:sz w:val="24"/>
                <w:highlight w:val="none"/>
                <w:lang w:val="zh-CN"/>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auto"/>
              <w:rPr>
                <w:rFonts w:hint="eastAsia"/>
                <w:color w:val="auto"/>
                <w:sz w:val="24"/>
                <w:highlight w:val="none"/>
              </w:rPr>
            </w:pPr>
            <w:r>
              <w:rPr>
                <w:rFonts w:hint="eastAsia"/>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1189" w:type="dxa"/>
            <w:vAlign w:val="center"/>
            <w:textDirection w:val="lrTb"/>
            <w:noWrap w:val="false"/>
          </w:tcPr>
          <w:p>
            <w:pPr>
              <w:jc w:val="center"/>
              <w:spacing w:line="360" w:lineRule="auto"/>
              <w:rPr>
                <w:rFonts w:hint="eastAsia"/>
                <w:color w:val="auto"/>
                <w:sz w:val="24"/>
                <w:highlight w:val="none"/>
              </w:rPr>
            </w:pPr>
            <w:r>
              <w:rPr>
                <w:rFonts w:hint="eastAsia"/>
                <w:color w:val="auto"/>
                <w:sz w:val="24"/>
                <w:highlight w:val="none"/>
              </w:rPr>
            </w:r>
            <w:r/>
          </w:p>
        </w:tc>
        <w:tc>
          <w:tcPr>
            <w:tcBorders>
              <w:top w:val="single" w:color="auto" w:sz="6" w:space="0"/>
              <w:left w:val="single" w:color="auto" w:sz="4" w:space="0"/>
              <w:bottom w:val="single" w:color="auto" w:sz="6" w:space="0"/>
              <w:right w:val="single" w:color="auto" w:sz="6" w:space="0"/>
            </w:tcBorders>
            <w:tcW w:w="83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784"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739"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796"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auto"/>
              <w:rPr>
                <w:rFonts w:hint="eastAsia"/>
                <w:color w:val="auto"/>
                <w:sz w:val="24"/>
                <w:highlight w:val="none"/>
              </w:rPr>
            </w:pPr>
            <w:r>
              <w:rPr>
                <w:rFonts w:hint="eastAsia"/>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1189" w:type="dxa"/>
            <w:vAlign w:val="center"/>
            <w:textDirection w:val="lrTb"/>
            <w:noWrap w:val="false"/>
          </w:tcPr>
          <w:p>
            <w:pPr>
              <w:jc w:val="center"/>
              <w:spacing w:line="360" w:lineRule="auto"/>
              <w:rPr>
                <w:rFonts w:hint="eastAsia"/>
                <w:color w:val="auto"/>
                <w:sz w:val="24"/>
                <w:highlight w:val="none"/>
              </w:rPr>
            </w:pPr>
            <w:r>
              <w:rPr>
                <w:rFonts w:hint="eastAsia"/>
                <w:color w:val="auto"/>
                <w:sz w:val="24"/>
                <w:highlight w:val="none"/>
              </w:rPr>
            </w:r>
            <w:r/>
          </w:p>
        </w:tc>
        <w:tc>
          <w:tcPr>
            <w:tcBorders>
              <w:top w:val="single" w:color="auto" w:sz="6" w:space="0"/>
              <w:left w:val="single" w:color="auto" w:sz="4" w:space="0"/>
              <w:bottom w:val="single" w:color="auto" w:sz="6" w:space="0"/>
              <w:right w:val="single" w:color="auto" w:sz="6" w:space="0"/>
            </w:tcBorders>
            <w:tcW w:w="83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784"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739"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796"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auto"/>
              <w:rPr>
                <w:rFonts w:hint="eastAsia"/>
                <w:color w:val="auto"/>
                <w:sz w:val="24"/>
                <w:highlight w:val="none"/>
              </w:rPr>
            </w:pPr>
            <w:r>
              <w:rPr>
                <w:rFonts w:hint="eastAsia"/>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1189" w:type="dxa"/>
            <w:vAlign w:val="center"/>
            <w:textDirection w:val="lrTb"/>
            <w:noWrap w:val="false"/>
          </w:tcPr>
          <w:p>
            <w:pPr>
              <w:jc w:val="center"/>
              <w:spacing w:line="360" w:lineRule="auto"/>
              <w:rPr>
                <w:rFonts w:hint="eastAsia"/>
                <w:color w:val="auto"/>
                <w:sz w:val="24"/>
                <w:highlight w:val="none"/>
              </w:rPr>
            </w:pPr>
            <w:r>
              <w:rPr>
                <w:rFonts w:hint="eastAsia"/>
                <w:color w:val="auto"/>
                <w:sz w:val="24"/>
                <w:highlight w:val="none"/>
              </w:rPr>
            </w:r>
            <w:r/>
          </w:p>
        </w:tc>
        <w:tc>
          <w:tcPr>
            <w:tcBorders>
              <w:top w:val="single" w:color="auto" w:sz="6" w:space="0"/>
              <w:left w:val="single" w:color="auto" w:sz="4" w:space="0"/>
              <w:bottom w:val="single" w:color="auto" w:sz="6" w:space="0"/>
              <w:right w:val="single" w:color="auto" w:sz="6" w:space="0"/>
            </w:tcBorders>
            <w:tcW w:w="83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784"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739"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796" w:type="dxa"/>
            <w:vAlign w:val="center"/>
            <w:textDirection w:val="lrTb"/>
            <w:noWrap w:val="false"/>
          </w:tcPr>
          <w:p>
            <w:pPr>
              <w:spacing w:line="360" w:lineRule="auto"/>
              <w:rPr>
                <w:color w:val="auto"/>
                <w:sz w:val="24"/>
                <w:highlight w:val="none"/>
              </w:rPr>
            </w:pPr>
            <w:r>
              <w:rPr>
                <w:color w:val="auto"/>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auto"/>
              <w:rPr>
                <w:rFonts w:hint="eastAsia"/>
                <w:color w:val="auto"/>
                <w:sz w:val="24"/>
                <w:highlight w:val="none"/>
              </w:rPr>
            </w:pPr>
            <w:r>
              <w:rPr>
                <w:rFonts w:hint="eastAsia"/>
                <w:color w:val="auto"/>
                <w:sz w:val="24"/>
                <w:highlight w:val="none"/>
              </w:rPr>
              <w:t xml:space="preserve">……</w:t>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widowControl/>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7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1189" w:type="dxa"/>
            <w:vAlign w:val="center"/>
            <w:textDirection w:val="lrTb"/>
            <w:noWrap w:val="false"/>
          </w:tcPr>
          <w:p>
            <w:pPr>
              <w:jc w:val="center"/>
              <w:spacing w:line="360" w:lineRule="auto"/>
              <w:rPr>
                <w:rFonts w:hint="eastAsia"/>
                <w:color w:val="auto"/>
                <w:sz w:val="24"/>
                <w:highlight w:val="none"/>
              </w:rPr>
            </w:pPr>
            <w:r>
              <w:rPr>
                <w:rFonts w:hint="eastAsia"/>
                <w:color w:val="auto"/>
                <w:sz w:val="24"/>
                <w:highlight w:val="none"/>
              </w:rPr>
            </w:r>
            <w:r/>
          </w:p>
        </w:tc>
        <w:tc>
          <w:tcPr>
            <w:tcBorders>
              <w:top w:val="single" w:color="auto" w:sz="6" w:space="0"/>
              <w:left w:val="single" w:color="auto" w:sz="4" w:space="0"/>
              <w:bottom w:val="single" w:color="auto" w:sz="6" w:space="0"/>
              <w:right w:val="single" w:color="auto" w:sz="6" w:space="0"/>
            </w:tcBorders>
            <w:tcW w:w="83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784"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739"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4" w:space="0"/>
            </w:tcBorders>
            <w:tcW w:w="796" w:type="dxa"/>
            <w:vAlign w:val="center"/>
            <w:textDirection w:val="lrTb"/>
            <w:noWrap w:val="false"/>
          </w:tcPr>
          <w:p>
            <w:pPr>
              <w:spacing w:line="360" w:lineRule="auto"/>
              <w:rPr>
                <w:color w:val="auto"/>
                <w:sz w:val="24"/>
                <w:highlight w:val="none"/>
              </w:rPr>
            </w:pPr>
            <w:r>
              <w:rPr>
                <w:color w:val="auto"/>
                <w:sz w:val="24"/>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343" w:type="dxa"/>
            <w:vAlign w:val="center"/>
            <w:textDirection w:val="lrTb"/>
            <w:noWrap w:val="false"/>
          </w:tcPr>
          <w:p>
            <w:pPr>
              <w:spacing w:line="360" w:lineRule="auto"/>
              <w:rPr>
                <w:color w:val="auto"/>
                <w:sz w:val="24"/>
                <w:highlight w:val="none"/>
              </w:rPr>
            </w:pPr>
            <w:r>
              <w:rPr>
                <w:rFonts w:hint="eastAsia"/>
                <w:color w:val="auto"/>
                <w:sz w:val="24"/>
                <w:highlight w:val="none"/>
                <w:lang w:val="zh-CN"/>
              </w:rPr>
              <w:t xml:space="preserve">投标总报价：</w:t>
            </w:r>
            <w:r/>
          </w:p>
        </w:tc>
        <w:tc>
          <w:tcPr>
            <w:gridSpan w:val="6"/>
            <w:tcBorders>
              <w:top w:val="single" w:color="auto" w:sz="6" w:space="0"/>
              <w:left w:val="single" w:color="auto" w:sz="6" w:space="0"/>
              <w:bottom w:val="single" w:color="auto" w:sz="6" w:space="0"/>
              <w:right w:val="single" w:color="auto" w:sz="6" w:space="0"/>
            </w:tcBorders>
            <w:tcW w:w="7096" w:type="dxa"/>
            <w:vAlign w:val="center"/>
            <w:textDirection w:val="lrTb"/>
            <w:noWrap w:val="false"/>
          </w:tcPr>
          <w:p>
            <w:pPr>
              <w:spacing w:line="360" w:lineRule="auto"/>
              <w:rPr>
                <w:color w:val="auto"/>
                <w:sz w:val="24"/>
                <w:highlight w:val="none"/>
              </w:rPr>
            </w:pPr>
            <w:r>
              <w:rPr>
                <w:color w:val="auto"/>
                <w:sz w:val="24"/>
                <w:highlight w:val="none"/>
                <w:lang w:val="zh-CN"/>
              </w:rPr>
              <w:t xml:space="preserve">大写</w:t>
            </w:r>
            <w:r>
              <w:rPr>
                <w:rFonts w:hint="eastAsia"/>
                <w:color w:val="auto"/>
                <w:sz w:val="24"/>
                <w:highlight w:val="none"/>
                <w:lang w:val="zh-CN"/>
              </w:rPr>
              <w:t xml:space="preserve">：</w:t>
            </w:r>
            <w:r>
              <w:rPr>
                <w:color w:val="auto"/>
                <w:sz w:val="24"/>
                <w:highlight w:val="none"/>
                <w:lang w:val="zh-CN"/>
              </w:rPr>
              <w:t xml:space="preserve">       </w:t>
            </w:r>
            <w:r>
              <w:rPr>
                <w:rFonts w:hint="eastAsia"/>
                <w:color w:val="auto"/>
                <w:sz w:val="24"/>
                <w:highlight w:val="none"/>
                <w:lang w:val="zh-CN"/>
              </w:rPr>
              <w:t xml:space="preserve">                       </w:t>
            </w:r>
            <w:r>
              <w:rPr>
                <w:color w:val="auto"/>
                <w:sz w:val="24"/>
                <w:highlight w:val="none"/>
                <w:lang w:val="zh-CN"/>
              </w:rPr>
              <w:t xml:space="preserve">             元</w:t>
            </w:r>
            <w:r/>
          </w:p>
        </w:tc>
      </w:tr>
      <w:tr>
        <w:trPr>
          <w:jc w:val="center"/>
          <w:trHeight w:val="561"/>
        </w:trPr>
        <w:tc>
          <w:tcPr>
            <w:gridSpan w:val="8"/>
            <w:tcBorders>
              <w:top w:val="single" w:color="auto" w:sz="6" w:space="0"/>
              <w:left w:val="single" w:color="auto" w:sz="6" w:space="0"/>
              <w:bottom w:val="single" w:color="auto" w:sz="6" w:space="0"/>
              <w:right w:val="single" w:color="auto" w:sz="6" w:space="0"/>
            </w:tcBorders>
            <w:tcW w:w="9439" w:type="dxa"/>
            <w:vAlign w:val="center"/>
            <w:textDirection w:val="lrTb"/>
            <w:noWrap w:val="false"/>
          </w:tcPr>
          <w:p>
            <w:pPr>
              <w:spacing w:line="360" w:lineRule="auto"/>
              <w:rPr>
                <w:color w:val="auto"/>
                <w:sz w:val="24"/>
                <w:highlight w:val="none"/>
                <w:lang w:val="zh-CN"/>
              </w:rPr>
            </w:pPr>
            <w:r>
              <w:rPr>
                <w:rFonts w:hint="eastAsia"/>
                <w:bCs/>
                <w:color w:val="auto"/>
                <w:sz w:val="24"/>
                <w:highlight w:val="none"/>
              </w:rPr>
              <w:t xml:space="preserve">交付期</w:t>
            </w:r>
            <w:r>
              <w:rPr>
                <w:rFonts w:hint="eastAsia"/>
                <w:color w:val="auto"/>
                <w:sz w:val="24"/>
                <w:highlight w:val="none"/>
                <w:lang w:val="zh-CN"/>
              </w:rPr>
              <w:t xml:space="preserve">时间：</w:t>
            </w:r>
            <w:r/>
          </w:p>
        </w:tc>
      </w:tr>
    </w:tbl>
    <w:p>
      <w:pPr>
        <w:pStyle w:val="881"/>
        <w:ind w:left="0" w:firstLine="0"/>
        <w:rPr>
          <w:rFonts w:hint="eastAsia" w:ascii="宋体" w:hAnsi="宋体" w:eastAsia="宋体" w:cs="宋体"/>
          <w:bCs/>
          <w:color w:val="auto"/>
          <w:szCs w:val="24"/>
          <w:highlight w:val="none"/>
        </w:rPr>
        <w:outlineLvl w:val="1"/>
      </w:pPr>
      <w:r>
        <w:rPr>
          <w:rFonts w:hint="eastAsia" w:ascii="宋体" w:hAnsi="宋体" w:eastAsia="宋体" w:cs="宋体"/>
          <w:bCs/>
          <w:color w:val="auto"/>
          <w:szCs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5"/>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897"/>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hAnsi="宋体" w:eastAsia="宋体" w:cs="宋体"/>
          <w:color w:val="auto"/>
          <w:sz w:val="24"/>
          <w:highlight w:val="none"/>
        </w:rPr>
        <w:t xml:space="preserve">5、技术要求偏离表</w:t>
      </w:r>
      <w:r/>
    </w:p>
    <w:p>
      <w:pPr>
        <w:pStyle w:val="680"/>
        <w:jc w:val="center"/>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p>
      <w:pPr>
        <w:pStyle w:val="680"/>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t xml:space="preserve">技术要求偏离表</w:t>
      </w:r>
      <w:r/>
    </w:p>
    <w:p>
      <w:pPr>
        <w:pStyle w:val="680"/>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t xml:space="preserve">采购编号：</w:t>
      </w:r>
      <w:r>
        <w:rPr>
          <w:rFonts w:hint="eastAsia" w:hAnsi="宋体" w:eastAsia="宋体" w:cs="宋体"/>
          <w:color w:val="auto"/>
          <w:sz w:val="24"/>
          <w:highlight w:val="none"/>
          <w:u w:val="single"/>
        </w:rPr>
        <w:t xml:space="preserve">                      </w:t>
      </w:r>
      <w:r/>
    </w:p>
    <w:tbl>
      <w:tblPr>
        <w:tblStyle w:val="669"/>
        <w:tblW w:w="949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92"/>
        <w:gridCol w:w="2206"/>
        <w:gridCol w:w="1742"/>
        <w:gridCol w:w="2190"/>
        <w:gridCol w:w="2268"/>
      </w:tblGrid>
      <w:tr>
        <w:trPr>
          <w:jc w:val="center"/>
          <w:trHeight w:val="849" w:hRule="exact"/>
        </w:trPr>
        <w:tc>
          <w:tcPr>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pStyle w:val="680"/>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pStyle w:val="680"/>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t xml:space="preserve">规格</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pStyle w:val="680"/>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t xml:space="preserve">采购文件技术要求</w:t>
            </w:r>
            <w:r/>
          </w:p>
        </w:tc>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pStyle w:val="680"/>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t xml:space="preserve">供应商所投内容指标</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680"/>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t xml:space="preserve">备注说明（负偏离、符合、正偏离）</w:t>
            </w:r>
            <w:r/>
          </w:p>
        </w:tc>
      </w:tr>
      <w:tr>
        <w:trPr>
          <w:jc w:val="center"/>
          <w:trHeight w:val="468"/>
        </w:trPr>
        <w:tc>
          <w:tcPr>
            <w:tcBorders>
              <w:top w:val="single" w:color="auto" w:sz="4" w:space="0"/>
              <w:left w:val="single" w:color="auto" w:sz="4" w:space="0"/>
              <w:bottom w:val="single" w:color="auto" w:sz="4" w:space="0"/>
              <w:right w:val="single" w:color="auto" w:sz="4" w:space="0"/>
            </w:tcBorders>
            <w:tcW w:w="1092" w:type="dxa"/>
            <w:vAlign w:val="top"/>
            <w:textDirection w:val="lrTb"/>
            <w:noWrap w:val="false"/>
          </w:tcPr>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06" w:type="dxa"/>
            <w:vAlign w:val="top"/>
            <w:textDirection w:val="lrTb"/>
            <w:noWrap w:val="false"/>
          </w:tcPr>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90" w:type="dxa"/>
            <w:vAlign w:val="top"/>
            <w:textDirection w:val="lrTb"/>
            <w:noWrap w:val="false"/>
          </w:tcPr>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top"/>
            <w:textDirection w:val="lrTb"/>
            <w:noWrap w:val="false"/>
          </w:tcPr>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r>
      <w:tr>
        <w:trPr>
          <w:jc w:val="center"/>
          <w:trHeight w:val="468"/>
        </w:trPr>
        <w:tc>
          <w:tcPr>
            <w:tcBorders>
              <w:top w:val="single" w:color="auto" w:sz="4" w:space="0"/>
              <w:left w:val="single" w:color="auto" w:sz="4" w:space="0"/>
              <w:bottom w:val="single" w:color="auto" w:sz="4" w:space="0"/>
              <w:right w:val="single" w:color="auto" w:sz="4" w:space="0"/>
            </w:tcBorders>
            <w:tcW w:w="1092" w:type="dxa"/>
            <w:vAlign w:val="top"/>
            <w:textDirection w:val="lrTb"/>
            <w:noWrap w:val="false"/>
          </w:tcPr>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06" w:type="dxa"/>
            <w:vAlign w:val="top"/>
            <w:textDirection w:val="lrTb"/>
            <w:noWrap w:val="false"/>
          </w:tcPr>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90" w:type="dxa"/>
            <w:vAlign w:val="top"/>
            <w:textDirection w:val="lrTb"/>
            <w:noWrap w:val="false"/>
          </w:tcPr>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top"/>
            <w:textDirection w:val="lrTb"/>
            <w:noWrap w:val="false"/>
          </w:tcPr>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r>
      <w:tr>
        <w:trPr>
          <w:jc w:val="center"/>
          <w:trHeight w:val="468"/>
        </w:trPr>
        <w:tc>
          <w:tcPr>
            <w:tcBorders>
              <w:top w:val="single" w:color="auto" w:sz="4" w:space="0"/>
              <w:left w:val="single" w:color="auto" w:sz="4" w:space="0"/>
              <w:bottom w:val="single" w:color="auto" w:sz="4" w:space="0"/>
              <w:right w:val="single" w:color="auto" w:sz="4" w:space="0"/>
            </w:tcBorders>
            <w:tcW w:w="1092" w:type="dxa"/>
            <w:vAlign w:val="top"/>
            <w:textDirection w:val="lrTb"/>
            <w:noWrap w:val="false"/>
          </w:tcPr>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06" w:type="dxa"/>
            <w:vAlign w:val="top"/>
            <w:textDirection w:val="lrTb"/>
            <w:noWrap w:val="false"/>
          </w:tcPr>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90" w:type="dxa"/>
            <w:vAlign w:val="top"/>
            <w:textDirection w:val="lrTb"/>
            <w:noWrap w:val="false"/>
          </w:tcPr>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top"/>
            <w:textDirection w:val="lrTb"/>
            <w:noWrap w:val="false"/>
          </w:tcPr>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tc>
      </w:tr>
    </w:tbl>
    <w:p>
      <w:pPr>
        <w:spacing w:line="360" w:lineRule="auto"/>
        <w:rPr>
          <w:bCs/>
          <w:color w:val="auto"/>
          <w:sz w:val="24"/>
          <w:highlight w:val="none"/>
        </w:rPr>
      </w:pPr>
      <w:r>
        <w:rPr>
          <w:rFonts w:hint="eastAsia"/>
          <w:bCs/>
          <w:color w:val="auto"/>
          <w:sz w:val="24"/>
          <w:highlight w:val="none"/>
        </w:rPr>
        <w:t xml:space="preserve">注：投标人应对照招标文件技术规格，逐条说明所提供货物和服务已对招标文件的技术规格做出了实质性的响应，并声明与技术规格条文的偏差和例外。特别对有具体参数要求的指标，投标人必须提供所投产品的具体参数值。未在上表中说明的，将被认为完全响应招标文件的规定。</w:t>
      </w:r>
      <w:r/>
    </w:p>
    <w:p>
      <w:pPr>
        <w:pStyle w:val="680"/>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p>
      <w:pPr>
        <w:pStyle w:val="895"/>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5"/>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897"/>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bCs/>
          <w:color w:val="auto"/>
          <w:sz w:val="24"/>
          <w:highlight w:val="none"/>
        </w:rPr>
      </w:pPr>
      <w:r>
        <w:rPr>
          <w:b/>
          <w:bCs/>
          <w:color w:val="auto"/>
          <w:sz w:val="24"/>
          <w:highlight w:val="none"/>
        </w:rPr>
        <w:br w:type="page" w:clear="all"/>
      </w:r>
      <w:r>
        <w:rPr>
          <w:rFonts w:hint="eastAsia"/>
          <w:bCs/>
          <w:color w:val="auto"/>
          <w:sz w:val="24"/>
          <w:highlight w:val="none"/>
        </w:rPr>
        <w:t xml:space="preserve">6</w:t>
      </w:r>
      <w:r>
        <w:rPr>
          <w:bCs/>
          <w:color w:val="auto"/>
          <w:sz w:val="24"/>
          <w:highlight w:val="none"/>
        </w:rPr>
        <w:t xml:space="preserve">、投标货物数量、</w:t>
      </w:r>
      <w:r>
        <w:rPr>
          <w:rFonts w:hint="eastAsia"/>
          <w:bCs/>
          <w:color w:val="auto"/>
          <w:sz w:val="24"/>
          <w:highlight w:val="none"/>
        </w:rPr>
        <w:t xml:space="preserve">规格</w:t>
      </w:r>
      <w:r>
        <w:rPr>
          <w:bCs/>
          <w:color w:val="auto"/>
          <w:sz w:val="24"/>
          <w:highlight w:val="none"/>
        </w:rPr>
        <w:t xml:space="preserve">、</w:t>
      </w:r>
      <w:r>
        <w:rPr>
          <w:rFonts w:hint="eastAsia"/>
          <w:bCs/>
          <w:color w:val="auto"/>
          <w:sz w:val="24"/>
          <w:highlight w:val="none"/>
        </w:rPr>
        <w:t xml:space="preserve">交付期</w:t>
      </w:r>
      <w:r/>
    </w:p>
    <w:p>
      <w:pPr>
        <w:jc w:val="center"/>
        <w:spacing w:line="360" w:lineRule="auto"/>
        <w:rPr>
          <w:color w:val="auto"/>
          <w:sz w:val="24"/>
          <w:highlight w:val="none"/>
        </w:rPr>
      </w:pPr>
      <w:r>
        <w:rPr>
          <w:rFonts w:hint="eastAsia"/>
          <w:color w:val="auto"/>
          <w:sz w:val="24"/>
          <w:highlight w:val="none"/>
        </w:rPr>
        <w:t xml:space="preserve">投标货物数量、规格、</w:t>
      </w:r>
      <w:r>
        <w:rPr>
          <w:rFonts w:hint="eastAsia"/>
          <w:bCs/>
          <w:color w:val="auto"/>
          <w:sz w:val="24"/>
          <w:highlight w:val="none"/>
        </w:rPr>
        <w:t xml:space="preserve">交付期</w:t>
      </w:r>
      <w:r>
        <w:rPr>
          <w:rFonts w:hint="eastAsia"/>
          <w:color w:val="auto"/>
          <w:sz w:val="24"/>
          <w:highlight w:val="none"/>
        </w:rPr>
        <w:t xml:space="preserve">说明表</w:t>
      </w:r>
      <w:r/>
    </w:p>
    <w:tbl>
      <w:tblPr>
        <w:tblStyle w:val="669"/>
        <w:tblW w:w="873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64"/>
        <w:gridCol w:w="1757"/>
        <w:gridCol w:w="2761"/>
        <w:gridCol w:w="1143"/>
        <w:gridCol w:w="1137"/>
        <w:gridCol w:w="977"/>
      </w:tblGrid>
      <w:tr>
        <w:trPr>
          <w:cantSplit/>
          <w:jc w:val="center"/>
        </w:trPr>
        <w:tc>
          <w:tcPr>
            <w:tcW w:w="964"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序号</w:t>
            </w:r>
            <w:r/>
          </w:p>
        </w:tc>
        <w:tc>
          <w:tcPr>
            <w:tcW w:w="1757"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标的物名称</w:t>
            </w:r>
            <w:r/>
          </w:p>
        </w:tc>
        <w:tc>
          <w:tcPr>
            <w:tcBorders>
              <w:bottom w:val="single" w:color="auto" w:sz="4" w:space="0"/>
            </w:tcBorders>
            <w:tcW w:w="2761" w:type="dxa"/>
            <w:vAlign w:val="top"/>
            <w:textDirection w:val="lrTb"/>
            <w:noWrap w:val="false"/>
          </w:tcPr>
          <w:p>
            <w:pPr>
              <w:jc w:val="center"/>
              <w:spacing w:line="360" w:lineRule="auto"/>
              <w:rPr>
                <w:bCs/>
                <w:color w:val="auto"/>
                <w:sz w:val="24"/>
                <w:highlight w:val="none"/>
              </w:rPr>
            </w:pPr>
            <w:r>
              <w:rPr>
                <w:rFonts w:hint="eastAsia"/>
                <w:bCs/>
                <w:color w:val="auto"/>
                <w:sz w:val="24"/>
                <w:highlight w:val="none"/>
              </w:rPr>
              <w:t xml:space="preserve">规格</w:t>
            </w:r>
            <w:r/>
          </w:p>
        </w:tc>
        <w:tc>
          <w:tcPr>
            <w:tcBorders>
              <w:right w:val="single" w:color="auto" w:sz="4" w:space="0"/>
            </w:tcBorders>
            <w:tcW w:w="1143"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单位</w:t>
            </w:r>
            <w:r/>
          </w:p>
        </w:tc>
        <w:tc>
          <w:tcPr>
            <w:tcBorders>
              <w:left w:val="single" w:color="auto" w:sz="4" w:space="0"/>
            </w:tcBorders>
            <w:tcW w:w="1137"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数量</w:t>
            </w:r>
            <w:r/>
          </w:p>
        </w:tc>
        <w:tc>
          <w:tcPr>
            <w:tcW w:w="977"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交付期</w:t>
            </w:r>
            <w:r/>
          </w:p>
        </w:tc>
      </w:tr>
      <w:tr>
        <w:trPr>
          <w:cantSplit/>
          <w:jc w:val="center"/>
        </w:trPr>
        <w:tc>
          <w:tcPr>
            <w:tcW w:w="964"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1</w:t>
            </w:r>
            <w:r/>
          </w:p>
        </w:tc>
        <w:tc>
          <w:tcPr>
            <w:tcW w:w="1757"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top w:val="single" w:color="auto" w:sz="4" w:space="0"/>
            </w:tcBorders>
            <w:tcW w:w="2761"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right w:val="single" w:color="auto" w:sz="4" w:space="0"/>
            </w:tcBorders>
            <w:tcW w:w="1143"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left w:val="single" w:color="auto" w:sz="4" w:space="0"/>
            </w:tcBorders>
            <w:tcW w:w="1137" w:type="dxa"/>
            <w:vAlign w:val="top"/>
            <w:textDirection w:val="lrTb"/>
            <w:noWrap w:val="false"/>
          </w:tcPr>
          <w:p>
            <w:pPr>
              <w:spacing w:line="360" w:lineRule="auto"/>
              <w:rPr>
                <w:bCs/>
                <w:color w:val="auto"/>
                <w:sz w:val="24"/>
                <w:highlight w:val="none"/>
              </w:rPr>
            </w:pPr>
            <w:r>
              <w:rPr>
                <w:bCs/>
                <w:color w:val="auto"/>
                <w:sz w:val="24"/>
                <w:highlight w:val="none"/>
              </w:rPr>
            </w:r>
            <w:r/>
          </w:p>
        </w:tc>
        <w:tc>
          <w:tcPr>
            <w:tcW w:w="977" w:type="dxa"/>
            <w:vAlign w:val="top"/>
            <w:textDirection w:val="lrTb"/>
            <w:noWrap w:val="false"/>
          </w:tcPr>
          <w:p>
            <w:pPr>
              <w:spacing w:line="360" w:lineRule="auto"/>
              <w:rPr>
                <w:bCs/>
                <w:color w:val="auto"/>
                <w:sz w:val="24"/>
                <w:highlight w:val="none"/>
              </w:rPr>
            </w:pPr>
            <w:r>
              <w:rPr>
                <w:bCs/>
                <w:color w:val="auto"/>
                <w:sz w:val="24"/>
                <w:highlight w:val="none"/>
              </w:rPr>
            </w:r>
            <w:r/>
          </w:p>
        </w:tc>
      </w:tr>
      <w:tr>
        <w:trPr>
          <w:cantSplit/>
          <w:jc w:val="center"/>
        </w:trPr>
        <w:tc>
          <w:tcPr>
            <w:tcW w:w="964"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2</w:t>
            </w:r>
            <w:r/>
          </w:p>
        </w:tc>
        <w:tc>
          <w:tcPr>
            <w:tcW w:w="1757" w:type="dxa"/>
            <w:vAlign w:val="top"/>
            <w:textDirection w:val="lrTb"/>
            <w:noWrap w:val="false"/>
          </w:tcPr>
          <w:p>
            <w:pPr>
              <w:spacing w:line="360" w:lineRule="auto"/>
              <w:rPr>
                <w:bCs/>
                <w:color w:val="auto"/>
                <w:sz w:val="24"/>
                <w:highlight w:val="none"/>
              </w:rPr>
            </w:pPr>
            <w:r>
              <w:rPr>
                <w:bCs/>
                <w:color w:val="auto"/>
                <w:sz w:val="24"/>
                <w:highlight w:val="none"/>
              </w:rPr>
            </w:r>
            <w:r/>
          </w:p>
        </w:tc>
        <w:tc>
          <w:tcPr>
            <w:tcW w:w="2761"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right w:val="single" w:color="auto" w:sz="4" w:space="0"/>
            </w:tcBorders>
            <w:tcW w:w="1143"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left w:val="single" w:color="auto" w:sz="4" w:space="0"/>
            </w:tcBorders>
            <w:tcW w:w="1137" w:type="dxa"/>
            <w:vAlign w:val="top"/>
            <w:textDirection w:val="lrTb"/>
            <w:noWrap w:val="false"/>
          </w:tcPr>
          <w:p>
            <w:pPr>
              <w:spacing w:line="360" w:lineRule="auto"/>
              <w:rPr>
                <w:bCs/>
                <w:color w:val="auto"/>
                <w:sz w:val="24"/>
                <w:highlight w:val="none"/>
              </w:rPr>
            </w:pPr>
            <w:r>
              <w:rPr>
                <w:bCs/>
                <w:color w:val="auto"/>
                <w:sz w:val="24"/>
                <w:highlight w:val="none"/>
              </w:rPr>
            </w:r>
            <w:r/>
          </w:p>
        </w:tc>
        <w:tc>
          <w:tcPr>
            <w:tcW w:w="977" w:type="dxa"/>
            <w:vAlign w:val="top"/>
            <w:textDirection w:val="lrTb"/>
            <w:noWrap w:val="false"/>
          </w:tcPr>
          <w:p>
            <w:pPr>
              <w:spacing w:line="360" w:lineRule="auto"/>
              <w:rPr>
                <w:bCs/>
                <w:color w:val="auto"/>
                <w:sz w:val="24"/>
                <w:highlight w:val="none"/>
              </w:rPr>
            </w:pPr>
            <w:r>
              <w:rPr>
                <w:bCs/>
                <w:color w:val="auto"/>
                <w:sz w:val="24"/>
                <w:highlight w:val="none"/>
              </w:rPr>
            </w:r>
            <w:r/>
          </w:p>
        </w:tc>
      </w:tr>
      <w:tr>
        <w:trPr>
          <w:cantSplit/>
          <w:jc w:val="center"/>
        </w:trPr>
        <w:tc>
          <w:tcPr>
            <w:tcW w:w="964"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3</w:t>
            </w:r>
            <w:r/>
          </w:p>
        </w:tc>
        <w:tc>
          <w:tcPr>
            <w:tcW w:w="1757" w:type="dxa"/>
            <w:vAlign w:val="top"/>
            <w:textDirection w:val="lrTb"/>
            <w:noWrap w:val="false"/>
          </w:tcPr>
          <w:p>
            <w:pPr>
              <w:spacing w:line="360" w:lineRule="auto"/>
              <w:rPr>
                <w:bCs/>
                <w:color w:val="auto"/>
                <w:sz w:val="24"/>
                <w:highlight w:val="none"/>
              </w:rPr>
            </w:pPr>
            <w:r>
              <w:rPr>
                <w:bCs/>
                <w:color w:val="auto"/>
                <w:sz w:val="24"/>
                <w:highlight w:val="none"/>
              </w:rPr>
            </w:r>
            <w:r/>
          </w:p>
        </w:tc>
        <w:tc>
          <w:tcPr>
            <w:tcW w:w="2761"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right w:val="single" w:color="auto" w:sz="4" w:space="0"/>
            </w:tcBorders>
            <w:tcW w:w="1143"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left w:val="single" w:color="auto" w:sz="4" w:space="0"/>
            </w:tcBorders>
            <w:tcW w:w="1137" w:type="dxa"/>
            <w:vAlign w:val="top"/>
            <w:textDirection w:val="lrTb"/>
            <w:noWrap w:val="false"/>
          </w:tcPr>
          <w:p>
            <w:pPr>
              <w:spacing w:line="360" w:lineRule="auto"/>
              <w:rPr>
                <w:bCs/>
                <w:color w:val="auto"/>
                <w:sz w:val="24"/>
                <w:highlight w:val="none"/>
              </w:rPr>
            </w:pPr>
            <w:r>
              <w:rPr>
                <w:bCs/>
                <w:color w:val="auto"/>
                <w:sz w:val="24"/>
                <w:highlight w:val="none"/>
              </w:rPr>
            </w:r>
            <w:r/>
          </w:p>
        </w:tc>
        <w:tc>
          <w:tcPr>
            <w:tcW w:w="977" w:type="dxa"/>
            <w:vAlign w:val="top"/>
            <w:textDirection w:val="lrTb"/>
            <w:noWrap w:val="false"/>
          </w:tcPr>
          <w:p>
            <w:pPr>
              <w:spacing w:line="360" w:lineRule="auto"/>
              <w:rPr>
                <w:bCs/>
                <w:color w:val="auto"/>
                <w:sz w:val="24"/>
                <w:highlight w:val="none"/>
              </w:rPr>
            </w:pPr>
            <w:r>
              <w:rPr>
                <w:bCs/>
                <w:color w:val="auto"/>
                <w:sz w:val="24"/>
                <w:highlight w:val="none"/>
              </w:rPr>
            </w:r>
            <w:r/>
          </w:p>
        </w:tc>
      </w:tr>
      <w:tr>
        <w:trPr>
          <w:cantSplit/>
          <w:jc w:val="center"/>
        </w:trPr>
        <w:tc>
          <w:tcPr>
            <w:tcW w:w="964"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w:t>
            </w:r>
            <w:r/>
          </w:p>
        </w:tc>
        <w:tc>
          <w:tcPr>
            <w:tcW w:w="1757" w:type="dxa"/>
            <w:vAlign w:val="top"/>
            <w:textDirection w:val="lrTb"/>
            <w:noWrap w:val="false"/>
          </w:tcPr>
          <w:p>
            <w:pPr>
              <w:spacing w:line="360" w:lineRule="auto"/>
              <w:rPr>
                <w:bCs/>
                <w:color w:val="auto"/>
                <w:sz w:val="24"/>
                <w:highlight w:val="none"/>
              </w:rPr>
            </w:pPr>
            <w:r>
              <w:rPr>
                <w:bCs/>
                <w:color w:val="auto"/>
                <w:sz w:val="24"/>
                <w:highlight w:val="none"/>
              </w:rPr>
            </w:r>
            <w:r/>
          </w:p>
        </w:tc>
        <w:tc>
          <w:tcPr>
            <w:tcW w:w="2761"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right w:val="single" w:color="auto" w:sz="4" w:space="0"/>
            </w:tcBorders>
            <w:tcW w:w="1143" w:type="dxa"/>
            <w:vAlign w:val="top"/>
            <w:textDirection w:val="lrTb"/>
            <w:noWrap w:val="false"/>
          </w:tcPr>
          <w:p>
            <w:pPr>
              <w:spacing w:line="360" w:lineRule="auto"/>
              <w:rPr>
                <w:bCs/>
                <w:color w:val="auto"/>
                <w:sz w:val="24"/>
                <w:highlight w:val="none"/>
              </w:rPr>
            </w:pPr>
            <w:r>
              <w:rPr>
                <w:bCs/>
                <w:color w:val="auto"/>
                <w:sz w:val="24"/>
                <w:highlight w:val="none"/>
              </w:rPr>
            </w:r>
            <w:r/>
          </w:p>
        </w:tc>
        <w:tc>
          <w:tcPr>
            <w:tcBorders>
              <w:left w:val="single" w:color="auto" w:sz="4" w:space="0"/>
            </w:tcBorders>
            <w:tcW w:w="1137" w:type="dxa"/>
            <w:vAlign w:val="top"/>
            <w:textDirection w:val="lrTb"/>
            <w:noWrap w:val="false"/>
          </w:tcPr>
          <w:p>
            <w:pPr>
              <w:spacing w:line="360" w:lineRule="auto"/>
              <w:rPr>
                <w:bCs/>
                <w:color w:val="auto"/>
                <w:sz w:val="24"/>
                <w:highlight w:val="none"/>
              </w:rPr>
            </w:pPr>
            <w:r>
              <w:rPr>
                <w:bCs/>
                <w:color w:val="auto"/>
                <w:sz w:val="24"/>
                <w:highlight w:val="none"/>
              </w:rPr>
            </w:r>
            <w:r/>
          </w:p>
        </w:tc>
        <w:tc>
          <w:tcPr>
            <w:tcW w:w="977" w:type="dxa"/>
            <w:vAlign w:val="top"/>
            <w:textDirection w:val="lrTb"/>
            <w:noWrap w:val="false"/>
          </w:tcPr>
          <w:p>
            <w:pPr>
              <w:spacing w:line="360" w:lineRule="auto"/>
              <w:rPr>
                <w:bCs/>
                <w:color w:val="auto"/>
                <w:sz w:val="24"/>
                <w:highlight w:val="none"/>
              </w:rPr>
            </w:pPr>
            <w:r>
              <w:rPr>
                <w:bCs/>
                <w:color w:val="auto"/>
                <w:sz w:val="24"/>
                <w:highlight w:val="none"/>
              </w:rPr>
            </w:r>
            <w:r/>
          </w:p>
        </w:tc>
      </w:tr>
      <w:tr>
        <w:trPr>
          <w:cantSplit/>
          <w:jc w:val="center"/>
        </w:trPr>
        <w:tc>
          <w:tcPr>
            <w:gridSpan w:val="6"/>
            <w:tcW w:w="8739" w:type="dxa"/>
            <w:vAlign w:val="top"/>
            <w:textDirection w:val="lrTb"/>
            <w:noWrap w:val="false"/>
          </w:tcPr>
          <w:p>
            <w:pPr>
              <w:spacing w:line="360" w:lineRule="auto"/>
              <w:rPr>
                <w:bCs/>
                <w:color w:val="auto"/>
                <w:sz w:val="24"/>
                <w:highlight w:val="none"/>
              </w:rPr>
            </w:pPr>
            <w:r>
              <w:rPr>
                <w:rFonts w:hint="eastAsia"/>
                <w:bCs/>
                <w:color w:val="auto"/>
                <w:sz w:val="24"/>
                <w:highlight w:val="none"/>
              </w:rPr>
              <w:t xml:space="preserve">注明最快交付使用期限</w:t>
            </w:r>
            <w:r/>
          </w:p>
        </w:tc>
      </w:tr>
    </w:tbl>
    <w:p>
      <w:pPr>
        <w:spacing w:line="360" w:lineRule="auto"/>
        <w:rPr>
          <w:bCs/>
          <w:color w:val="auto"/>
          <w:sz w:val="24"/>
          <w:highlight w:val="none"/>
        </w:rPr>
      </w:pPr>
      <w:r>
        <w:rPr>
          <w:bCs/>
          <w:color w:val="auto"/>
          <w:sz w:val="24"/>
          <w:highlight w:val="none"/>
        </w:rPr>
      </w:r>
      <w:r/>
    </w:p>
    <w:p>
      <w:pPr>
        <w:pStyle w:val="895"/>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5"/>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897"/>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b/>
          <w:bCs/>
          <w:color w:val="auto"/>
          <w:sz w:val="24"/>
          <w:highlight w:val="none"/>
        </w:rPr>
      </w:pPr>
      <w:r>
        <w:rPr>
          <w:b/>
          <w:bCs/>
          <w:color w:val="auto"/>
          <w:sz w:val="24"/>
          <w:highlight w:val="none"/>
        </w:rPr>
      </w:r>
      <w:r/>
    </w:p>
    <w:p>
      <w:pPr>
        <w:spacing w:line="360" w:lineRule="auto"/>
        <w:rPr>
          <w:rFonts w:hint="eastAsia"/>
          <w:b/>
          <w:bCs/>
          <w:color w:val="auto"/>
          <w:sz w:val="24"/>
          <w:highlight w:val="none"/>
        </w:rPr>
      </w:pPr>
      <w:r/>
      <w:bookmarkStart w:id="2" w:name="_Toc73427854"/>
      <w:r/>
      <w:r/>
    </w:p>
    <w:p>
      <w:pPr>
        <w:pStyle w:val="670"/>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670"/>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670"/>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670"/>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670"/>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670"/>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670"/>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670"/>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670"/>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670"/>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670"/>
        <w:ind w:firstLine="482"/>
        <w:rPr>
          <w:rFonts w:hint="eastAsia" w:hAnsi="宋体"/>
          <w:b/>
          <w:bCs/>
          <w:color w:val="auto"/>
          <w:sz w:val="24"/>
          <w:highlight w:val="none"/>
        </w:rPr>
      </w:pPr>
      <w:r>
        <w:rPr>
          <w:rFonts w:hint="eastAsia" w:hAnsi="宋体"/>
          <w:b/>
          <w:bCs/>
          <w:color w:val="auto"/>
          <w:sz w:val="24"/>
          <w:highlight w:val="none"/>
        </w:rPr>
      </w:r>
      <w:r/>
    </w:p>
    <w:p>
      <w:pPr>
        <w:rPr>
          <w:rFonts w:hint="eastAsia"/>
          <w:b/>
          <w:bCs/>
          <w:color w:val="auto"/>
          <w:sz w:val="24"/>
          <w:highlight w:val="none"/>
        </w:rPr>
      </w:pPr>
      <w:r>
        <w:rPr>
          <w:rFonts w:hint="eastAsia"/>
          <w:b/>
          <w:bCs/>
          <w:color w:val="auto"/>
          <w:sz w:val="24"/>
          <w:highlight w:val="none"/>
        </w:rPr>
      </w:r>
      <w:r/>
    </w:p>
    <w:p>
      <w:pPr>
        <w:pStyle w:val="670"/>
        <w:ind w:firstLine="420"/>
        <w:rPr>
          <w:rFonts w:hint="eastAsia"/>
          <w:color w:val="auto"/>
          <w:highlight w:val="none"/>
        </w:rPr>
      </w:pPr>
      <w:r>
        <w:rPr>
          <w:rFonts w:hint="eastAsia"/>
          <w:color w:val="auto"/>
          <w:highlight w:val="none"/>
        </w:rPr>
      </w:r>
      <w:r/>
    </w:p>
    <w:p>
      <w:pPr>
        <w:rPr>
          <w:rFonts w:hint="eastAsia"/>
          <w:b/>
          <w:bCs/>
          <w:color w:val="auto"/>
          <w:sz w:val="24"/>
          <w:highlight w:val="none"/>
        </w:rPr>
      </w:pPr>
      <w:r>
        <w:rPr>
          <w:rFonts w:hint="eastAsia"/>
          <w:b/>
          <w:bCs/>
          <w:color w:val="auto"/>
          <w:sz w:val="24"/>
          <w:highlight w:val="none"/>
        </w:rPr>
      </w:r>
      <w:r/>
    </w:p>
    <w:p>
      <w:pPr>
        <w:pStyle w:val="705"/>
        <w:rPr>
          <w:rFonts w:hint="eastAsia"/>
          <w:color w:val="auto"/>
          <w:highlight w:val="none"/>
        </w:rPr>
      </w:pPr>
      <w:r>
        <w:rPr>
          <w:rFonts w:hint="eastAsia"/>
          <w:color w:val="auto"/>
          <w:highlight w:val="none"/>
        </w:rPr>
      </w:r>
      <w:r/>
    </w:p>
    <w:p>
      <w:pPr>
        <w:pStyle w:val="670"/>
        <w:ind w:firstLine="420"/>
        <w:rPr>
          <w:rFonts w:hint="eastAsia"/>
          <w:color w:val="auto"/>
          <w:highlight w:val="none"/>
        </w:rPr>
      </w:pPr>
      <w:r>
        <w:rPr>
          <w:rFonts w:hint="eastAsia"/>
          <w:color w:val="auto"/>
          <w:highlight w:val="none"/>
        </w:rPr>
      </w:r>
      <w:bookmarkEnd w:id="2"/>
      <w:r/>
      <w:r/>
    </w:p>
    <w:p>
      <w:pPr>
        <w:spacing w:line="360" w:lineRule="auto"/>
        <w:rPr>
          <w:bCs/>
          <w:color w:val="auto"/>
          <w:sz w:val="24"/>
          <w:highlight w:val="none"/>
        </w:rPr>
      </w:pPr>
      <w:r>
        <w:rPr>
          <w:rFonts w:hint="eastAsia"/>
          <w:bCs/>
          <w:color w:val="auto"/>
          <w:sz w:val="24"/>
          <w:highlight w:val="none"/>
        </w:rPr>
        <w:t xml:space="preserve">7</w:t>
      </w:r>
      <w:r>
        <w:rPr>
          <w:bCs/>
          <w:color w:val="auto"/>
          <w:sz w:val="24"/>
          <w:highlight w:val="none"/>
        </w:rPr>
        <w:t xml:space="preserve">、售后服务承诺书</w:t>
      </w:r>
      <w:r/>
    </w:p>
    <w:p>
      <w:pPr>
        <w:spacing w:line="360" w:lineRule="auto"/>
        <w:rPr>
          <w:b/>
          <w:bCs/>
          <w:color w:val="auto"/>
          <w:sz w:val="24"/>
          <w:highlight w:val="none"/>
        </w:rPr>
      </w:pPr>
      <w:r>
        <w:rPr>
          <w:b/>
          <w:bCs/>
          <w:color w:val="auto"/>
          <w:sz w:val="24"/>
          <w:highlight w:val="none"/>
        </w:rPr>
      </w:r>
      <w:r/>
    </w:p>
    <w:p>
      <w:pPr>
        <w:jc w:val="center"/>
        <w:spacing w:line="360" w:lineRule="auto"/>
        <w:rPr>
          <w:bCs/>
          <w:color w:val="auto"/>
          <w:sz w:val="24"/>
          <w:highlight w:val="none"/>
        </w:rPr>
      </w:pPr>
      <w:r>
        <w:rPr>
          <w:rFonts w:hint="eastAsia"/>
          <w:bCs/>
          <w:color w:val="auto"/>
          <w:sz w:val="24"/>
          <w:highlight w:val="none"/>
        </w:rPr>
        <w:t xml:space="preserve">售后服务承诺书</w:t>
      </w:r>
      <w:r/>
    </w:p>
    <w:tbl>
      <w:tblPr>
        <w:tblStyle w:val="669"/>
        <w:tblW w:w="8522" w:type="dxa"/>
        <w:tblInd w:w="6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6"/>
        <w:gridCol w:w="3060"/>
        <w:gridCol w:w="1800"/>
        <w:gridCol w:w="2616"/>
      </w:tblGrid>
      <w:tr>
        <w:trPr>
          <w:trHeight w:val="538"/>
        </w:trPr>
        <w:tc>
          <w:tcPr>
            <w:tcW w:w="104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序号</w:t>
            </w:r>
            <w:r/>
          </w:p>
        </w:tc>
        <w:tc>
          <w:tcPr>
            <w:tcW w:w="3060"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售后服务内容</w:t>
            </w:r>
            <w:r/>
          </w:p>
        </w:tc>
        <w:tc>
          <w:tcPr>
            <w:tcW w:w="1800"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期限（时间）</w:t>
            </w:r>
            <w:r/>
          </w:p>
        </w:tc>
        <w:tc>
          <w:tcPr>
            <w:tcW w:w="261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备注</w:t>
            </w:r>
            <w:r/>
          </w:p>
        </w:tc>
      </w:tr>
      <w:tr>
        <w:trPr>
          <w:trHeight w:val="548"/>
        </w:trPr>
        <w:tc>
          <w:tcPr>
            <w:tcW w:w="104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1</w:t>
            </w:r>
            <w:r/>
          </w:p>
        </w:tc>
        <w:tc>
          <w:tcPr>
            <w:tcW w:w="306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免费更换</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369"/>
        </w:trPr>
        <w:tc>
          <w:tcPr>
            <w:tcW w:w="104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2</w:t>
            </w:r>
            <w:r/>
          </w:p>
        </w:tc>
        <w:tc>
          <w:tcPr>
            <w:tcW w:w="306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免费维修</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667"/>
        </w:trPr>
        <w:tc>
          <w:tcPr>
            <w:tcW w:w="104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3</w:t>
            </w:r>
            <w:r/>
          </w:p>
        </w:tc>
        <w:tc>
          <w:tcPr>
            <w:tcW w:w="306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免费更换及维修期满后</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优惠更换或维修</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375"/>
        </w:trPr>
        <w:tc>
          <w:tcPr>
            <w:tcW w:w="104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4</w:t>
            </w:r>
            <w:r/>
          </w:p>
        </w:tc>
        <w:tc>
          <w:tcPr>
            <w:tcW w:w="306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服务响应</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455"/>
        </w:trPr>
        <w:tc>
          <w:tcPr>
            <w:tcW w:w="104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5</w:t>
            </w:r>
            <w:r/>
          </w:p>
        </w:tc>
        <w:tc>
          <w:tcPr>
            <w:tcW w:w="306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到达现场</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373"/>
        </w:trPr>
        <w:tc>
          <w:tcPr>
            <w:tcW w:w="104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6</w:t>
            </w:r>
            <w:r/>
          </w:p>
        </w:tc>
        <w:tc>
          <w:tcPr>
            <w:tcW w:w="306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解决问题</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854"/>
        </w:trPr>
        <w:tc>
          <w:tcPr>
            <w:tcW w:w="104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7</w:t>
            </w:r>
            <w:r/>
          </w:p>
        </w:tc>
        <w:tc>
          <w:tcPr>
            <w:tcW w:w="306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t xml:space="preserve">……</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bl>
    <w:p>
      <w:pPr>
        <w:spacing w:line="360" w:lineRule="auto"/>
        <w:rPr>
          <w:rFonts w:ascii="宋体" w:hAnsi="宋体"/>
          <w:bCs/>
          <w:color w:val="auto"/>
          <w:sz w:val="24"/>
          <w:highlight w:val="none"/>
        </w:rPr>
      </w:pPr>
      <w:r>
        <w:rPr>
          <w:rFonts w:hint="eastAsia" w:ascii="宋体" w:hAnsi="宋体"/>
          <w:bCs/>
          <w:color w:val="auto"/>
          <w:sz w:val="24"/>
          <w:highlight w:val="none"/>
        </w:rPr>
        <w:t xml:space="preserve">注：1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上述1、2、3条请明确期限，4、5、6条请明确时间；</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针对服务内容有必须说明的事项，请在“备注”栏目内注明；</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如有其它售后服务内容，可自行参照填写。</w:t>
      </w:r>
      <w:r/>
    </w:p>
    <w:p>
      <w:pPr>
        <w:spacing w:line="360" w:lineRule="auto"/>
        <w:rPr>
          <w:bCs/>
          <w:color w:val="auto"/>
          <w:sz w:val="24"/>
          <w:highlight w:val="none"/>
        </w:rPr>
      </w:pPr>
      <w:r>
        <w:rPr>
          <w:bCs/>
          <w:color w:val="auto"/>
          <w:sz w:val="24"/>
          <w:highlight w:val="none"/>
        </w:rPr>
      </w:r>
      <w:r/>
    </w:p>
    <w:p>
      <w:pPr>
        <w:pStyle w:val="895"/>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5"/>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897"/>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cs="Arial"/>
          <w:bCs/>
          <w:color w:val="auto"/>
          <w:sz w:val="24"/>
          <w:highlight w:val="none"/>
        </w:rPr>
        <w:outlineLvl w:val="1"/>
      </w:pPr>
      <w:r>
        <w:rPr>
          <w:rFonts w:hint="eastAsia" w:cs="Arial"/>
          <w:bCs/>
          <w:color w:val="auto"/>
          <w:sz w:val="24"/>
          <w:highlight w:val="none"/>
        </w:rPr>
      </w:r>
      <w:r/>
    </w:p>
    <w:p>
      <w:pPr>
        <w:spacing w:line="360" w:lineRule="auto"/>
        <w:rPr>
          <w:rFonts w:hint="eastAsia" w:cs="Arial"/>
          <w:bCs/>
          <w:color w:val="auto"/>
          <w:sz w:val="24"/>
          <w:highlight w:val="none"/>
        </w:rPr>
        <w:outlineLvl w:val="1"/>
      </w:pPr>
      <w:r>
        <w:rPr>
          <w:rFonts w:hint="eastAsia" w:cs="Arial"/>
          <w:bCs/>
          <w:color w:val="auto"/>
          <w:sz w:val="24"/>
          <w:highlight w:val="none"/>
        </w:rPr>
      </w:r>
      <w:r/>
    </w:p>
    <w:p>
      <w:pPr>
        <w:spacing w:line="360" w:lineRule="auto"/>
        <w:rPr>
          <w:rFonts w:hint="eastAsia" w:cs="Arial"/>
          <w:bCs/>
          <w:color w:val="auto"/>
          <w:sz w:val="24"/>
          <w:highlight w:val="none"/>
        </w:rPr>
        <w:outlineLvl w:val="1"/>
      </w:pPr>
      <w:r>
        <w:rPr>
          <w:rFonts w:hint="eastAsia" w:cs="Arial"/>
          <w:bCs/>
          <w:color w:val="auto"/>
          <w:sz w:val="24"/>
          <w:highlight w:val="none"/>
        </w:rPr>
      </w:r>
      <w:r/>
    </w:p>
    <w:p>
      <w:pPr>
        <w:spacing w:line="360" w:lineRule="auto"/>
        <w:rPr>
          <w:rFonts w:hint="eastAsia" w:cs="Arial"/>
          <w:bCs/>
          <w:color w:val="auto"/>
          <w:sz w:val="24"/>
          <w:highlight w:val="none"/>
        </w:rPr>
        <w:outlineLvl w:val="1"/>
      </w:pPr>
      <w:r>
        <w:rPr>
          <w:rFonts w:hint="eastAsia" w:cs="Arial"/>
          <w:bCs/>
          <w:color w:val="auto"/>
          <w:sz w:val="24"/>
          <w:highlight w:val="none"/>
        </w:rPr>
      </w:r>
      <w:r/>
    </w:p>
    <w:p>
      <w:pPr>
        <w:pStyle w:val="662"/>
        <w:rPr>
          <w:rFonts w:hint="eastAsia" w:cs="Arial"/>
          <w:bCs/>
          <w:color w:val="auto"/>
          <w:sz w:val="24"/>
          <w:highlight w:val="none"/>
        </w:rPr>
      </w:pPr>
      <w:r>
        <w:rPr>
          <w:rFonts w:hint="eastAsia" w:cs="Arial"/>
          <w:bCs/>
          <w:color w:val="auto"/>
          <w:sz w:val="24"/>
          <w:highlight w:val="none"/>
        </w:rPr>
      </w:r>
      <w:r/>
    </w:p>
    <w:p>
      <w:pPr>
        <w:rPr>
          <w:rFonts w:hint="eastAsia" w:cs="Arial"/>
          <w:bCs/>
          <w:color w:val="auto"/>
          <w:sz w:val="24"/>
          <w:highlight w:val="none"/>
        </w:rPr>
      </w:pPr>
      <w:r>
        <w:rPr>
          <w:rFonts w:hint="eastAsia" w:cs="Arial"/>
          <w:bCs/>
          <w:color w:val="auto"/>
          <w:sz w:val="24"/>
          <w:highlight w:val="none"/>
        </w:rPr>
      </w:r>
      <w:r/>
    </w:p>
    <w:p>
      <w:pPr>
        <w:pStyle w:val="662"/>
        <w:rPr>
          <w:rFonts w:hint="eastAsia" w:cs="Arial"/>
          <w:bCs/>
          <w:color w:val="auto"/>
          <w:sz w:val="24"/>
          <w:highlight w:val="none"/>
        </w:rPr>
      </w:pPr>
      <w:r>
        <w:rPr>
          <w:rFonts w:hint="eastAsia" w:cs="Arial"/>
          <w:bCs/>
          <w:color w:val="auto"/>
          <w:sz w:val="24"/>
          <w:highlight w:val="none"/>
        </w:rPr>
      </w:r>
      <w:r/>
    </w:p>
    <w:p>
      <w:pPr>
        <w:rPr>
          <w:rFonts w:hint="eastAsia" w:cs="Arial"/>
          <w:bCs/>
          <w:color w:val="auto"/>
          <w:sz w:val="24"/>
          <w:highlight w:val="none"/>
        </w:rPr>
      </w:pPr>
      <w:r>
        <w:rPr>
          <w:rFonts w:hint="eastAsia" w:cs="Arial"/>
          <w:bCs/>
          <w:color w:val="auto"/>
          <w:sz w:val="24"/>
          <w:highlight w:val="none"/>
        </w:rPr>
      </w:r>
      <w:r/>
    </w:p>
    <w:p>
      <w:pPr>
        <w:pStyle w:val="662"/>
        <w:rPr>
          <w:rFonts w:hint="eastAsia" w:cs="Arial"/>
          <w:bCs/>
          <w:color w:val="auto"/>
          <w:sz w:val="24"/>
          <w:highlight w:val="none"/>
        </w:rPr>
      </w:pPr>
      <w:r>
        <w:rPr>
          <w:rFonts w:hint="eastAsia" w:cs="Arial"/>
          <w:bCs/>
          <w:color w:val="auto"/>
          <w:sz w:val="24"/>
          <w:highlight w:val="none"/>
        </w:rPr>
      </w:r>
      <w:r/>
    </w:p>
    <w:p>
      <w:pPr>
        <w:rPr>
          <w:rFonts w:hint="eastAsia" w:cs="Arial"/>
          <w:bCs/>
          <w:color w:val="auto"/>
          <w:sz w:val="24"/>
          <w:highlight w:val="none"/>
        </w:rPr>
      </w:pPr>
      <w:r>
        <w:rPr>
          <w:rFonts w:hint="eastAsia" w:cs="Arial"/>
          <w:bCs/>
          <w:color w:val="auto"/>
          <w:sz w:val="24"/>
          <w:highlight w:val="none"/>
        </w:rPr>
      </w:r>
      <w:r/>
    </w:p>
    <w:p>
      <w:pPr>
        <w:pStyle w:val="891"/>
        <w:spacing w:line="360" w:lineRule="auto"/>
        <w:tabs>
          <w:tab w:val="left" w:pos="8930" w:leader="none"/>
          <w:tab w:val="left" w:pos="9306" w:leader="none"/>
        </w:tabs>
        <w:rPr>
          <w:rStyle w:val="872"/>
          <w:rFonts w:hint="eastAsia" w:ascii="宋体" w:hAnsi="宋体" w:eastAsia="宋体" w:cs="宋体"/>
          <w:color w:val="auto"/>
          <w:sz w:val="24"/>
          <w:szCs w:val="24"/>
          <w:highlight w:val="none"/>
          <w:lang w:val="en-US" w:eastAsia="zh-CN"/>
        </w:rPr>
      </w:pPr>
      <w:r>
        <w:rPr>
          <w:rStyle w:val="872"/>
          <w:rFonts w:hint="eastAsia" w:hAnsi="宋体" w:eastAsia="宋体" w:cs="宋体"/>
          <w:color w:val="auto"/>
          <w:sz w:val="24"/>
          <w:szCs w:val="24"/>
          <w:highlight w:val="none"/>
          <w:lang w:val="en-US" w:eastAsia="zh-CN"/>
        </w:rPr>
        <w:t xml:space="preserve">8</w:t>
      </w:r>
      <w:r>
        <w:rPr>
          <w:rStyle w:val="872"/>
          <w:rFonts w:hint="eastAsia" w:ascii="宋体" w:hAnsi="宋体" w:eastAsia="宋体" w:cs="宋体"/>
          <w:color w:val="auto"/>
          <w:sz w:val="24"/>
          <w:szCs w:val="24"/>
          <w:highlight w:val="none"/>
          <w:lang w:val="en-US" w:eastAsia="zh-CN"/>
        </w:rPr>
        <w:t xml:space="preserve">、参加政府采购活动前三年内，在经营活动中没有重大违法记录声明</w:t>
      </w:r>
      <w:r/>
    </w:p>
    <w:p>
      <w:pPr>
        <w:pStyle w:val="891"/>
        <w:spacing w:line="360" w:lineRule="auto"/>
        <w:tabs>
          <w:tab w:val="left" w:pos="8930" w:leader="none"/>
          <w:tab w:val="left" w:pos="9306" w:leader="none"/>
        </w:tabs>
        <w:rPr>
          <w:rStyle w:val="872"/>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91"/>
        <w:spacing w:line="360" w:lineRule="auto"/>
        <w:tabs>
          <w:tab w:val="left" w:pos="8930" w:leader="none"/>
          <w:tab w:val="left" w:pos="9306" w:leader="none"/>
        </w:tabs>
        <w:rPr>
          <w:rStyle w:val="872"/>
          <w:rFonts w:hint="eastAsia" w:ascii="宋体" w:hAnsi="宋体" w:eastAsia="宋体" w:cs="宋体"/>
          <w:color w:val="auto"/>
          <w:sz w:val="24"/>
          <w:szCs w:val="24"/>
          <w:highlight w:val="none"/>
          <w:lang w:val="en-US" w:eastAsia="zh-CN"/>
        </w:rPr>
      </w:pPr>
      <w:r>
        <w:rPr>
          <w:rStyle w:val="872"/>
          <w:rFonts w:hint="eastAsia" w:ascii="宋体" w:hAnsi="宋体" w:eastAsia="宋体" w:cs="宋体"/>
          <w:color w:val="auto"/>
          <w:sz w:val="24"/>
          <w:szCs w:val="24"/>
          <w:highlight w:val="none"/>
          <w:u w:val="single"/>
          <w:lang w:val="en-US" w:eastAsia="zh-CN"/>
        </w:rPr>
        <w:t xml:space="preserve">苏州睿乔招投标咨询服务有限公司</w:t>
      </w:r>
      <w:r>
        <w:rPr>
          <w:rStyle w:val="872"/>
          <w:rFonts w:hint="eastAsia" w:ascii="宋体" w:hAnsi="宋体" w:eastAsia="宋体" w:cs="宋体"/>
          <w:color w:val="auto"/>
          <w:sz w:val="24"/>
          <w:szCs w:val="24"/>
          <w:highlight w:val="none"/>
          <w:lang w:val="en-US" w:eastAsia="zh-CN"/>
        </w:rPr>
        <w:t xml:space="preserve">：</w:t>
      </w:r>
      <w:r/>
    </w:p>
    <w:p>
      <w:pPr>
        <w:pStyle w:val="891"/>
        <w:ind w:firstLine="480"/>
        <w:keepLines w:val="0"/>
        <w:keepNext w:val="0"/>
        <w:pageBreakBefore w:val="0"/>
        <w:spacing w:line="360" w:lineRule="auto"/>
        <w:widowControl/>
        <w:tabs>
          <w:tab w:val="left" w:pos="8930" w:leader="none"/>
          <w:tab w:val="left" w:pos="9306" w:leader="none"/>
        </w:tabs>
        <w:rPr>
          <w:rStyle w:val="872"/>
          <w:rFonts w:hint="eastAsia" w:ascii="宋体" w:hAnsi="宋体" w:eastAsia="宋体" w:cs="宋体"/>
          <w:color w:val="auto"/>
          <w:sz w:val="24"/>
          <w:szCs w:val="24"/>
          <w:highlight w:val="none"/>
          <w:lang w:val="en-US" w:eastAsia="zh-CN"/>
        </w:rPr>
        <w:outlineLvl w:val="9"/>
      </w:pPr>
      <w:r>
        <w:rPr>
          <w:rStyle w:val="872"/>
          <w:rFonts w:hint="eastAsia" w:ascii="宋体" w:hAnsi="宋体" w:eastAsia="宋体" w:cs="宋体"/>
          <w:color w:val="auto"/>
          <w:sz w:val="24"/>
          <w:szCs w:val="24"/>
          <w:highlight w:val="none"/>
          <w:lang w:val="en-US" w:eastAsia="zh-CN"/>
        </w:rPr>
        <w:t xml:space="preserve">我单位</w:t>
      </w:r>
      <w:r>
        <w:rPr>
          <w:rStyle w:val="872"/>
          <w:rFonts w:hint="eastAsia" w:ascii="宋体" w:hAnsi="宋体" w:eastAsia="宋体" w:cs="宋体"/>
          <w:color w:val="auto"/>
          <w:sz w:val="24"/>
          <w:szCs w:val="24"/>
          <w:highlight w:val="none"/>
          <w:u w:val="single"/>
          <w:lang w:val="en-US" w:eastAsia="zh-CN"/>
        </w:rPr>
        <w:t xml:space="preserve">              </w:t>
      </w:r>
      <w:r>
        <w:rPr>
          <w:rStyle w:val="872"/>
          <w:rFonts w:hint="eastAsia" w:ascii="宋体" w:hAnsi="宋体" w:eastAsia="宋体" w:cs="宋体"/>
          <w:color w:val="auto"/>
          <w:sz w:val="24"/>
          <w:szCs w:val="24"/>
          <w:highlight w:val="none"/>
          <w:lang w:val="en-US" w:eastAsia="zh-CN"/>
        </w:rPr>
        <w:t xml:space="preserve">(供应商名称)在参加政府采购活动前三年内，没有重大违法记录，特此声明。</w:t>
      </w:r>
      <w:r/>
    </w:p>
    <w:p>
      <w:pPr>
        <w:ind w:firstLine="480"/>
        <w:spacing w:line="360" w:lineRule="auto"/>
        <w:rPr>
          <w:rFonts w:hint="eastAsia" w:ascii="宋体" w:hAnsi="宋体" w:eastAsia="宋体" w:cs="宋体"/>
          <w:color w:val="auto"/>
          <w:sz w:val="24"/>
          <w:szCs w:val="24"/>
          <w:highlight w:val="none"/>
          <w:lang w:val="en-US" w:eastAsia="zh-CN"/>
        </w:rPr>
      </w:pPr>
      <w:r>
        <w:rPr>
          <w:rStyle w:val="872"/>
          <w:rFonts w:hint="eastAsia" w:ascii="宋体" w:hAnsi="宋体" w:eastAsia="宋体" w:cs="宋体"/>
          <w:color w:val="auto"/>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79"/>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9"/>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9"/>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9"/>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9"/>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9"/>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9"/>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9"/>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9"/>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9"/>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9"/>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9"/>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br w:type="page" w:clear="all"/>
      </w:r>
      <w:r>
        <w:rPr>
          <w:rFonts w:hint="eastAsia" w:hAnsi="宋体" w:eastAsia="宋体" w:cs="宋体"/>
          <w:bCs/>
          <w:color w:val="auto"/>
          <w:sz w:val="24"/>
          <w:highlight w:val="none"/>
          <w:lang w:val="en-US" w:eastAsia="zh-CN"/>
        </w:rPr>
        <w:t xml:space="preserve">9</w:t>
      </w:r>
      <w:r>
        <w:rPr>
          <w:rFonts w:hint="eastAsia" w:ascii="宋体" w:hAnsi="宋体" w:eastAsia="宋体" w:cs="宋体"/>
          <w:color w:val="auto"/>
          <w:sz w:val="24"/>
          <w:highlight w:val="none"/>
        </w:rPr>
        <w:t xml:space="preserve">、资格证明文件</w:t>
      </w:r>
      <w:r/>
    </w:p>
    <w:p>
      <w:pPr>
        <w:pStyle w:val="881"/>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（1）关于资格文件的声明函</w:t>
      </w:r>
      <w:r/>
    </w:p>
    <w:p>
      <w:pPr>
        <w:pStyle w:val="881"/>
        <w:ind w:firstLine="480"/>
        <w:jc w:val="center"/>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关于资格文件的声明函</w:t>
      </w:r>
      <w:r/>
    </w:p>
    <w:p>
      <w:pPr>
        <w:pStyle w:val="881"/>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81"/>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p>
    <w:p>
      <w:pPr>
        <w:pStyle w:val="881"/>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left="479"/>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1"/>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ind w:firstLine="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（2）投标单位情况表</w:t>
      </w:r>
      <w:r/>
    </w:p>
    <w:p>
      <w:pPr>
        <w:ind w:firstLine="4226"/>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投标单位情况表</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669"/>
        <w:tblW w:w="94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成立日期</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企业地址</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注册资本</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经营范围</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职工人数</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36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其中：有中高级以上职称的人数</w:t>
            </w:r>
            <w:r/>
          </w:p>
        </w:tc>
        <w:tc>
          <w:tcPr>
            <w:tcW w:w="11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资产总计</w:t>
            </w:r>
            <w:r/>
          </w:p>
        </w:tc>
        <w:tc>
          <w:tcPr>
            <w:tcW w:w="180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净资产</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股东权益</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销售收入</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       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    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经营面积</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平方米</w:t>
            </w:r>
            <w:r/>
          </w:p>
        </w:tc>
        <w:tc>
          <w:tcPr>
            <w:tcW w:w="2160"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w:t>
            </w:r>
            <w:r/>
          </w:p>
        </w:tc>
        <w:tc>
          <w:tcPr>
            <w:gridSpan w:val="2"/>
            <w:tcW w:w="25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自有面积     平方米</w:t>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单位简历及内设机构情况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55"/>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近三年来完成或正在履行的重大合同情况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最近2年内在经营过程中受到何种奖励或处分</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（包括财政、工商、税务、物价、技监部门稽查情况和结果）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最近3年内有无因售假、售劣或是其他原因被消费者投诉或起诉的情况及说明</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（包括解决方式和结果）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最近3年内主要负责人有无经济犯罪被司法机关追究的情意及说明</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获得技术认证的工程师及简介</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其他需要说明的情况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left"/>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中小企业声明函（格式）</w:t>
      </w:r>
      <w:r/>
    </w:p>
    <w:p>
      <w:pPr>
        <w:numPr>
          <w:ilvl w:val="0"/>
          <w:numId w:val="0"/>
        </w:num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中小企业声明函（货物）</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 企业发展管理办法》（财库﹝2020﹞46 号）的规定，本公司 （联合体）参加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（单位名称）的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（项目名称）采购活动，提供的货物全部由符合政策要求的中小企业制造。相关企业（含联合体中的中小企业、签订分包意向协议的中小企业） 的具体情况如下：</w:t>
      </w:r>
      <w:r/>
    </w:p>
    <w:p>
      <w:pPr>
        <w:numPr>
          <w:ilvl w:val="0"/>
          <w:numId w:val="1"/>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（采购文件中明确的所属行业） 行业；制造商为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（中型企业、小 型企业、微型企业）； </w:t>
      </w:r>
      <w:r/>
    </w:p>
    <w:p>
      <w:pPr>
        <w:numPr>
          <w:ilvl w:val="0"/>
          <w:numId w:val="1"/>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（采购文件中明确的所属行业）行业；制造商为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（中型企业、小型 企业、微型企业）；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 法承担相应责任。</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企业名称（盖章）： </w:t>
      </w:r>
      <w:r/>
    </w:p>
    <w:p>
      <w:pPr>
        <w:ind w:firstLine="480"/>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注：从业人员、营业收入、资产总额填报上一年度数据，无上一年度数据的新成立企业可不填报。</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0"/>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中小企业声明函（工程、服务）</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（单位名称）的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2"/>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（采购文件中明确的所属行业）；承建（承接）企业为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（中型企业、小型企业、微型企业）； </w:t>
      </w:r>
      <w:r/>
    </w:p>
    <w:p>
      <w:pPr>
        <w:numPr>
          <w:ilvl w:val="0"/>
          <w:numId w:val="2"/>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（采购文件中明确的所属行业）；承建（承接）企业为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 小型企业、微型企业）；</w:t>
      </w:r>
      <w:r/>
    </w:p>
    <w:p>
      <w:pPr>
        <w:ind w:left="42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 </w:t>
      </w:r>
      <w:r/>
    </w:p>
    <w:p>
      <w:pPr>
        <w:ind w:firstLine="6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w:t>
      </w:r>
      <w:r/>
    </w:p>
    <w:p>
      <w:pPr>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注：从业人员、营业收入、资产总额填报上一年度数据，无上一年度数据的新成立企业可不填报。</w:t>
      </w:r>
      <w:r/>
    </w:p>
    <w:p>
      <w:pPr>
        <w:ind w:left="42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2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0"/>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0"/>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0"/>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42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、投标（响应）保证承诺书（参考格式）</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投标（响应）保证承诺书</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（采购代理机构名称）</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我（单位/本人，以下统称我单位）自愿参加</w:t>
      </w:r>
      <w:r>
        <w:rPr>
          <w:rFonts w:hint="eastAsia" w:ascii="宋体" w:hAnsi="宋体" w:eastAsia="宋体" w:cs="宋体"/>
          <w:color w:val="auto"/>
          <w:sz w:val="24"/>
          <w:highlight w:val="none"/>
          <w:u w:val="single"/>
        </w:rPr>
        <w:t xml:space="preserve">     （项目名称和采购编号）</w:t>
      </w:r>
      <w:r>
        <w:rPr>
          <w:rFonts w:hint="eastAsia" w:ascii="宋体" w:hAnsi="宋体" w:eastAsia="宋体" w:cs="宋体"/>
          <w:color w:val="auto"/>
          <w:sz w:val="24"/>
          <w:highlight w:val="none"/>
        </w:rPr>
        <w:t xml:space="preserve">的投标（响应）,并做出如下承诺：</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一、除不可抗力外，我单位如果发生以下行为，将在行为发生的10个工作日内，向贵方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支付本采购文件公布的预算金额（或最高限价）的2%作为违约赔偿金（数量不确定的单价采购须约定具体金额）。</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1、自投标（响应）截止时间至本项目发布中标（成交）公告为止，撤销投标（响应）；</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2、中标（成交）后不依法与采购人签订合同；</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3、中标（成交）后不按本采购文件规定向采购人提交履约保证金；</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4、中标（成交）后不按本采购文件规定向贵方缴纳采购代理费。</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二、我单位知晓上述行为的法律后果，承认本承诺书作为贵方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要求我单位履行违约赔偿义务的依据作用。</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投标（响应）人：（盖公章）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电子邮件：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spacing w:line="360" w:lineRule="auto"/>
        <w:tabs>
          <w:tab w:val="left" w:pos="8930" w:leader="none"/>
          <w:tab w:val="left" w:pos="9306"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法定代表人或委托代理人(签字或签章)：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0"/>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、残疾人福利性单位声明函</w:t>
      </w:r>
      <w:r/>
    </w:p>
    <w:p>
      <w:pPr>
        <w:jc w:val="left"/>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残疾人福利性单位声明函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供应商：（单位盖章）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jc w:val="center"/>
        <w:spacing w:before="75" w:beforeAutospacing="0" w:after="75" w:afterAutospacing="0"/>
        <w:widowControl/>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8"/>
        <w:jc w:val="center"/>
        <w:spacing w:before="75" w:beforeAutospacing="0" w:after="75" w:afterAutospacing="0"/>
        <w:widowControl/>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8"/>
        <w:jc w:val="center"/>
        <w:spacing w:before="75" w:beforeAutospacing="0" w:after="75" w:afterAutospacing="0"/>
        <w:widowControl/>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8"/>
        <w:jc w:val="center"/>
        <w:spacing w:before="75" w:beforeAutospacing="0" w:after="75" w:afterAutospacing="0"/>
        <w:widowControl/>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8"/>
        <w:jc w:val="center"/>
        <w:spacing w:before="75" w:beforeAutospacing="0" w:after="75" w:afterAutospacing="0"/>
        <w:widowControl/>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8"/>
        <w:jc w:val="center"/>
        <w:spacing w:before="75" w:beforeAutospacing="0" w:after="75" w:afterAutospacing="0"/>
        <w:widowControl/>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8"/>
        <w:jc w:val="center"/>
        <w:spacing w:before="75" w:beforeAutospacing="0" w:after="75" w:afterAutospacing="0"/>
        <w:widowControl/>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8"/>
        <w:jc w:val="center"/>
        <w:spacing w:before="75" w:beforeAutospacing="0" w:after="75" w:afterAutospacing="0"/>
        <w:widowControl/>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8"/>
        <w:jc w:val="center"/>
        <w:spacing w:before="75" w:beforeAutospacing="0" w:after="75" w:afterAutospacing="0"/>
        <w:widowControl/>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8"/>
        <w:jc w:val="center"/>
        <w:spacing w:before="75" w:beforeAutospacing="0" w:after="75" w:afterAutospacing="0"/>
        <w:widowControl/>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8"/>
        <w:jc w:val="center"/>
        <w:spacing w:before="75" w:beforeAutospacing="0" w:after="75" w:afterAutospacing="0"/>
        <w:widowControl/>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8"/>
        <w:jc w:val="center"/>
        <w:spacing w:before="75" w:beforeAutospacing="0" w:after="75" w:afterAutospacing="0"/>
        <w:widowControl/>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8"/>
        <w:jc w:val="center"/>
        <w:spacing w:before="75" w:beforeAutospacing="0" w:after="75" w:afterAutospacing="0"/>
        <w:widowControl/>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8"/>
        <w:jc w:val="center"/>
        <w:spacing w:before="75" w:beforeAutospacing="0" w:after="75" w:afterAutospacing="0"/>
        <w:widowControl/>
        <w:rPr>
          <w:rStyle w:val="858"/>
          <w:rFonts w:hint="eastAsia" w:ascii="宋体" w:hAnsi="宋体" w:eastAsia="宋体" w:cs="宋体"/>
          <w:b w:val="0"/>
          <w:bCs/>
          <w:color w:val="auto"/>
          <w:sz w:val="36"/>
          <w:szCs w:val="36"/>
          <w:highlight w:val="none"/>
        </w:rPr>
      </w:pPr>
      <w:r>
        <w:rPr>
          <w:rStyle w:val="858"/>
          <w:rFonts w:hint="eastAsia" w:ascii="宋体" w:hAnsi="宋体" w:eastAsia="宋体" w:cs="宋体"/>
          <w:b w:val="0"/>
          <w:bCs/>
          <w:color w:val="auto"/>
          <w:sz w:val="36"/>
          <w:szCs w:val="36"/>
          <w:highlight w:val="none"/>
        </w:rPr>
        <w:t xml:space="preserve">第四章 招标书</w:t>
      </w:r>
      <w:r/>
    </w:p>
    <w:p>
      <w:pPr>
        <w:pStyle w:val="886"/>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苏州睿乔招投标咨询服务有限公司</w:t>
      </w:r>
      <w:r>
        <w:rPr>
          <w:rFonts w:hint="eastAsia" w:ascii="宋体" w:hAnsi="宋体" w:eastAsia="宋体" w:cs="宋体"/>
          <w:color w:val="auto"/>
          <w:highlight w:val="none"/>
        </w:rPr>
        <w:t xml:space="preserve">受</w:t>
      </w:r>
      <w:r>
        <w:rPr>
          <w:rFonts w:hint="eastAsia" w:ascii="宋体" w:hAnsi="宋体" w:cs="宋体"/>
          <w:bCs/>
          <w:color w:val="auto"/>
          <w:highlight w:val="none"/>
          <w:lang w:eastAsia="zh-CN"/>
        </w:rPr>
        <w:t xml:space="preserve">苏州市市政设施管理处</w:t>
      </w:r>
      <w:r>
        <w:rPr>
          <w:rFonts w:hint="eastAsia" w:ascii="宋体" w:hAnsi="宋体" w:eastAsia="宋体" w:cs="宋体"/>
          <w:color w:val="auto"/>
          <w:highlight w:val="none"/>
        </w:rPr>
        <w:t xml:space="preserve">的委托，就</w:t>
      </w:r>
      <w:r>
        <w:rPr>
          <w:rFonts w:hint="eastAsia" w:ascii="宋体" w:hAnsi="宋体" w:cs="宋体"/>
          <w:bCs/>
          <w:color w:val="auto"/>
          <w:highlight w:val="none"/>
          <w:lang w:eastAsia="zh-CN"/>
        </w:rPr>
        <w:t xml:space="preserve">2024年市政设施维护所需声屏障</w:t>
      </w:r>
      <w:r>
        <w:rPr>
          <w:rFonts w:hint="eastAsia" w:ascii="宋体" w:hAnsi="宋体" w:eastAsia="宋体" w:cs="宋体"/>
          <w:color w:val="auto"/>
          <w:highlight w:val="none"/>
        </w:rPr>
        <w:t xml:space="preserve">进行公开招标，现欢迎符合相关条件的供应商参加投标。</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一、招标编号：</w:t>
      </w:r>
      <w:r>
        <w:rPr>
          <w:rFonts w:hint="eastAsia" w:ascii="宋体" w:hAnsi="宋体" w:cs="宋体"/>
          <w:color w:val="auto"/>
          <w:sz w:val="24"/>
          <w:highlight w:val="none"/>
          <w:lang w:eastAsia="zh-CN"/>
        </w:rPr>
        <w:t xml:space="preserve">JSZC-320508-SZRQ-G2024-0039</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二、招标项目：</w:t>
      </w:r>
      <w:r>
        <w:rPr>
          <w:rFonts w:hint="eastAsia" w:ascii="宋体" w:hAnsi="宋体" w:cs="宋体"/>
          <w:bCs/>
          <w:color w:val="auto"/>
          <w:sz w:val="24"/>
          <w:highlight w:val="none"/>
          <w:lang w:eastAsia="zh-CN"/>
        </w:rPr>
        <w:t xml:space="preserve">2024年市政设施维护所需声屏障</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三、招标项目内容：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bookmarkStart w:id="3" w:name="_Toc5922"/>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详细采购内容及单价预算</w:t>
      </w:r>
      <w:r/>
    </w:p>
    <w:tbl>
      <w:tblPr>
        <w:tblStyle w:val="669"/>
        <w:tblW w:w="9628" w:type="dxa"/>
        <w:tblInd w:w="0" w:type="dxa"/>
        <w:tblLayout w:type="fixed"/>
        <w:tblCellMar>
          <w:left w:w="108" w:type="dxa"/>
          <w:top w:w="0" w:type="dxa"/>
          <w:right w:w="108" w:type="dxa"/>
          <w:bottom w:w="0" w:type="dxa"/>
        </w:tblCellMar>
        <w:tblLook w:val="04A0" w:firstRow="1" w:lastRow="0" w:firstColumn="1" w:lastColumn="0" w:noHBand="0" w:noVBand="1"/>
      </w:tblPr>
      <w:tblGrid>
        <w:gridCol w:w="790"/>
        <w:gridCol w:w="1410"/>
        <w:gridCol w:w="3515"/>
        <w:gridCol w:w="1200"/>
        <w:gridCol w:w="933"/>
        <w:gridCol w:w="1780"/>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35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9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78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各项</w:t>
            </w:r>
            <w:r>
              <w:rPr>
                <w:rFonts w:hint="eastAsia" w:ascii="宋体" w:hAnsi="宋体" w:eastAsia="宋体" w:cs="宋体"/>
                <w:b/>
                <w:bCs/>
                <w:color w:val="auto"/>
                <w:sz w:val="24"/>
                <w:szCs w:val="24"/>
                <w:highlight w:val="none"/>
              </w:rPr>
              <w:t xml:space="preserve">单价预算（元）</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吸音板</w:t>
            </w:r>
            <w:r/>
          </w:p>
        </w:tc>
        <w:tc>
          <w:tcPr>
            <w:shd w:val="clear" w:color="auto" w:fill="auto"/>
            <w:tcBorders>
              <w:top w:val="none" w:color="000000" w:sz="4" w:space="0"/>
              <w:left w:val="none" w:color="000000" w:sz="4" w:space="0"/>
              <w:bottom w:val="single" w:color="auto" w:sz="4" w:space="0"/>
              <w:right w:val="single" w:color="auto" w:sz="4" w:space="0"/>
            </w:tcBorders>
            <w:tcW w:w="35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面板铝板1.2mm；背板镀锌板1.2mm</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9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700</w:t>
            </w:r>
            <w:r/>
          </w:p>
        </w:tc>
        <w:tc>
          <w:tcPr>
            <w:shd w:val="clear" w:color="auto" w:fill="auto"/>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640</w:t>
            </w:r>
            <w:r>
              <w:rPr>
                <w:rFonts w:hint="eastAsia" w:ascii="宋体" w:hAnsi="宋体" w:eastAsia="宋体" w:cs="宋体"/>
                <w:color w:val="auto"/>
                <w:sz w:val="24"/>
                <w:szCs w:val="24"/>
                <w:highlight w:val="none"/>
                <w:lang w:val="en-US" w:eastAsia="zh-CN"/>
              </w:rPr>
              <w:t xml:space="preserve">.00</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亚克力透明屏</w:t>
            </w:r>
            <w:r/>
          </w:p>
        </w:tc>
        <w:tc>
          <w:tcPr>
            <w:shd w:val="clear" w:color="auto" w:fill="auto"/>
            <w:tcBorders>
              <w:top w:val="none" w:color="000000" w:sz="4" w:space="0"/>
              <w:left w:val="none" w:color="000000" w:sz="4" w:space="0"/>
              <w:bottom w:val="single" w:color="auto" w:sz="4" w:space="0"/>
              <w:right w:val="single" w:color="auto" w:sz="4" w:space="0"/>
            </w:tcBorders>
            <w:tcW w:w="35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亚克力板厚度10mm;加1.2mm厚铝合金外框</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9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700</w:t>
            </w:r>
            <w:r/>
          </w:p>
        </w:tc>
        <w:tc>
          <w:tcPr>
            <w:shd w:val="clear" w:color="auto" w:fill="auto"/>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840</w:t>
            </w:r>
            <w:r>
              <w:rPr>
                <w:rFonts w:hint="eastAsia" w:ascii="宋体" w:hAnsi="宋体" w:eastAsia="宋体" w:cs="宋体"/>
                <w:color w:val="auto"/>
                <w:sz w:val="24"/>
                <w:szCs w:val="24"/>
                <w:highlight w:val="none"/>
                <w:lang w:val="en-US" w:eastAsia="zh-CN"/>
              </w:rPr>
              <w:t xml:space="preserve">.00</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加筋亚克力透明屏</w:t>
            </w:r>
            <w:r/>
          </w:p>
        </w:tc>
        <w:tc>
          <w:tcPr>
            <w:shd w:val="clear" w:color="auto" w:fill="auto"/>
            <w:tcBorders>
              <w:top w:val="none" w:color="000000" w:sz="4" w:space="0"/>
              <w:left w:val="none" w:color="000000" w:sz="4" w:space="0"/>
              <w:bottom w:val="single" w:color="auto" w:sz="4" w:space="0"/>
              <w:right w:val="single" w:color="auto" w:sz="4" w:space="0"/>
            </w:tcBorders>
            <w:tcW w:w="35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加筋亚克力板厚度15mm  </w:t>
            </w:r>
            <w:r>
              <w:rPr>
                <w:rFonts w:hint="eastAsia" w:ascii="宋体" w:hAnsi="宋体" w:eastAsia="宋体" w:cs="宋体"/>
                <w:color w:val="auto"/>
                <w:sz w:val="24"/>
                <w:szCs w:val="24"/>
                <w:highlight w:val="none"/>
              </w:rPr>
            </w:r>
            <w:r/>
          </w:p>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（含压条等附件）</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9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990</w:t>
            </w:r>
            <w:r>
              <w:rPr>
                <w:rFonts w:hint="eastAsia" w:ascii="宋体" w:hAnsi="宋体" w:eastAsia="宋体" w:cs="宋体"/>
                <w:color w:val="auto"/>
                <w:sz w:val="24"/>
                <w:szCs w:val="24"/>
                <w:highlight w:val="none"/>
                <w:lang w:val="en-US" w:eastAsia="zh-CN"/>
              </w:rPr>
              <w:t xml:space="preserve">.00</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H型钢立柱（长3米）</w:t>
            </w:r>
            <w:r/>
          </w:p>
        </w:tc>
        <w:tc>
          <w:tcPr>
            <w:shd w:val="clear" w:color="auto" w:fill="auto"/>
            <w:tcBorders>
              <w:top w:val="none" w:color="000000" w:sz="4" w:space="0"/>
              <w:left w:val="none" w:color="000000" w:sz="4" w:space="0"/>
              <w:bottom w:val="single" w:color="auto" w:sz="4" w:space="0"/>
              <w:right w:val="single" w:color="auto" w:sz="4" w:space="0"/>
            </w:tcBorders>
            <w:tcW w:w="35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150mm*150mm（含底板）</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9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2200</w:t>
            </w:r>
            <w:r>
              <w:rPr>
                <w:rFonts w:hint="eastAsia" w:ascii="宋体" w:hAnsi="宋体" w:eastAsia="宋体" w:cs="宋体"/>
                <w:color w:val="auto"/>
                <w:sz w:val="24"/>
                <w:szCs w:val="24"/>
                <w:highlight w:val="none"/>
                <w:lang w:val="en-US" w:eastAsia="zh-CN"/>
              </w:rPr>
              <w:t xml:space="preserve">.00</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异型焊接钢立柱</w:t>
            </w:r>
            <w:r/>
          </w:p>
        </w:tc>
        <w:tc>
          <w:tcPr>
            <w:shd w:val="clear" w:color="auto" w:fill="auto"/>
            <w:tcBorders>
              <w:top w:val="none" w:color="000000" w:sz="4" w:space="0"/>
              <w:left w:val="none" w:color="000000" w:sz="4" w:space="0"/>
              <w:bottom w:val="single" w:color="auto" w:sz="4" w:space="0"/>
              <w:right w:val="single" w:color="auto" w:sz="4" w:space="0"/>
            </w:tcBorders>
            <w:tcW w:w="35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150mm*210mm尖劈式    </w:t>
            </w:r>
            <w:r>
              <w:rPr>
                <w:rFonts w:hint="eastAsia" w:ascii="宋体" w:hAnsi="宋体" w:eastAsia="宋体" w:cs="宋体"/>
                <w:color w:val="auto"/>
                <w:sz w:val="24"/>
                <w:szCs w:val="24"/>
                <w:highlight w:val="none"/>
              </w:rPr>
            </w:r>
            <w:r/>
          </w:p>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（含底板）</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9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250</w:t>
            </w:r>
            <w:r/>
          </w:p>
        </w:tc>
        <w:tc>
          <w:tcPr>
            <w:shd w:val="clear" w:color="auto" w:fill="auto"/>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2180</w:t>
            </w:r>
            <w:r>
              <w:rPr>
                <w:rFonts w:hint="eastAsia" w:ascii="宋体" w:hAnsi="宋体" w:eastAsia="宋体" w:cs="宋体"/>
                <w:color w:val="auto"/>
                <w:sz w:val="24"/>
                <w:szCs w:val="24"/>
                <w:highlight w:val="none"/>
                <w:lang w:val="en-US" w:eastAsia="zh-CN"/>
              </w:rPr>
              <w:t xml:space="preserve">.00</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下罩板</w:t>
            </w:r>
            <w:r/>
          </w:p>
        </w:tc>
        <w:tc>
          <w:tcPr>
            <w:shd w:val="clear" w:color="auto" w:fill="auto"/>
            <w:tcBorders>
              <w:top w:val="none" w:color="000000" w:sz="4" w:space="0"/>
              <w:left w:val="none" w:color="000000" w:sz="4" w:space="0"/>
              <w:bottom w:val="single" w:color="auto" w:sz="4" w:space="0"/>
              <w:right w:val="single" w:color="auto" w:sz="4" w:space="0"/>
            </w:tcBorders>
            <w:tcW w:w="35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2mm厚镀锌板</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9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990</w:t>
            </w:r>
            <w:r/>
          </w:p>
        </w:tc>
        <w:tc>
          <w:tcPr>
            <w:shd w:val="clear" w:color="auto" w:fill="auto"/>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180</w:t>
            </w:r>
            <w:r>
              <w:rPr>
                <w:rFonts w:hint="eastAsia" w:ascii="宋体" w:hAnsi="宋体" w:eastAsia="宋体" w:cs="宋体"/>
                <w:color w:val="auto"/>
                <w:sz w:val="24"/>
                <w:szCs w:val="24"/>
                <w:highlight w:val="none"/>
                <w:lang w:val="en-US" w:eastAsia="zh-CN"/>
              </w:rPr>
              <w:t xml:space="preserve">.00</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植筋胶</w:t>
            </w:r>
            <w:r/>
          </w:p>
        </w:tc>
        <w:tc>
          <w:tcPr>
            <w:shd w:val="clear" w:color="auto" w:fill="auto"/>
            <w:tcBorders>
              <w:top w:val="none" w:color="000000" w:sz="4" w:space="0"/>
              <w:left w:val="none" w:color="000000" w:sz="4" w:space="0"/>
              <w:bottom w:val="single" w:color="auto" w:sz="4" w:space="0"/>
              <w:right w:val="single" w:color="auto" w:sz="4" w:space="0"/>
            </w:tcBorders>
            <w:tcW w:w="35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W w:w="9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178</w:t>
            </w:r>
            <w:r>
              <w:rPr>
                <w:rFonts w:hint="eastAsia" w:ascii="宋体" w:hAnsi="宋体" w:eastAsia="宋体" w:cs="宋体"/>
                <w:color w:val="auto"/>
                <w:sz w:val="24"/>
                <w:szCs w:val="24"/>
                <w:highlight w:val="none"/>
                <w:lang w:val="en-US" w:eastAsia="zh-CN"/>
              </w:rPr>
              <w:t xml:space="preserve">.00</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锚栓</w:t>
            </w:r>
            <w:r/>
          </w:p>
        </w:tc>
        <w:tc>
          <w:tcPr>
            <w:shd w:val="clear" w:color="auto" w:fill="auto"/>
            <w:tcBorders>
              <w:top w:val="none" w:color="000000" w:sz="4" w:space="0"/>
              <w:left w:val="none" w:color="000000" w:sz="4" w:space="0"/>
              <w:bottom w:val="single" w:color="auto" w:sz="4" w:space="0"/>
              <w:right w:val="single" w:color="auto" w:sz="4" w:space="0"/>
            </w:tcBorders>
            <w:tcW w:w="35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M22不锈钢螺杆          </w:t>
            </w:r>
            <w:r>
              <w:rPr>
                <w:rFonts w:hint="eastAsia" w:ascii="宋体" w:hAnsi="宋体" w:eastAsia="宋体" w:cs="宋体"/>
                <w:color w:val="auto"/>
                <w:sz w:val="24"/>
                <w:szCs w:val="24"/>
                <w:highlight w:val="none"/>
              </w:rPr>
            </w:r>
            <w:r/>
          </w:p>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（含螺母弹簧垫片）</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9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65</w:t>
            </w:r>
            <w:r>
              <w:rPr>
                <w:rFonts w:hint="eastAsia" w:ascii="宋体" w:hAnsi="宋体" w:eastAsia="宋体" w:cs="宋体"/>
                <w:color w:val="auto"/>
                <w:sz w:val="24"/>
                <w:szCs w:val="24"/>
                <w:highlight w:val="none"/>
                <w:lang w:val="en-US" w:eastAsia="zh-CN"/>
              </w:rPr>
              <w:t xml:space="preserve">.00</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7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安装费</w:t>
            </w:r>
            <w:r/>
          </w:p>
        </w:tc>
        <w:tc>
          <w:tcPr>
            <w:shd w:val="clear" w:color="auto" w:fill="auto"/>
            <w:tcBorders>
              <w:top w:val="none" w:color="000000" w:sz="4" w:space="0"/>
              <w:left w:val="none" w:color="000000" w:sz="4" w:space="0"/>
              <w:bottom w:val="single" w:color="auto" w:sz="4" w:space="0"/>
              <w:right w:val="single" w:color="auto" w:sz="4" w:space="0"/>
            </w:tcBorders>
            <w:tcW w:w="35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9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295</w:t>
            </w:r>
            <w:r>
              <w:rPr>
                <w:rFonts w:hint="eastAsia" w:ascii="宋体" w:hAnsi="宋体" w:eastAsia="宋体" w:cs="宋体"/>
                <w:color w:val="auto"/>
                <w:sz w:val="24"/>
                <w:szCs w:val="24"/>
                <w:highlight w:val="none"/>
                <w:lang w:val="en-US" w:eastAsia="zh-CN"/>
              </w:rPr>
              <w:t xml:space="preserve">.00</w:t>
            </w:r>
            <w:r/>
          </w:p>
        </w:tc>
      </w:tr>
    </w:tbl>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注：1、上述为估算数量，最终结算以实际使用数量为准。</w:t>
      </w:r>
      <w:r>
        <w:rPr>
          <w:rFonts w:hint="eastAsia" w:ascii="宋体" w:hAnsi="宋体" w:eastAsia="宋体" w:cs="宋体"/>
          <w:color w:val="auto"/>
          <w:sz w:val="24"/>
          <w:szCs w:val="24"/>
          <w:highlight w:val="none"/>
          <w:lang w:val="en-US" w:eastAsia="zh-CN"/>
        </w:rPr>
        <w:t xml:space="preserve">投标单位提供的投标文件中各项单价报价不可超上表中的单价预算。</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2、本项目不接受进口产品</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3、本项目核心产品：吸音板、亚克力透明屏、加筋亚克力透明屏</w:t>
      </w:r>
      <w:r/>
    </w:p>
    <w:p>
      <w:pPr>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）技术要求</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1、引用标准                                                                </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1）《声屏障声学设计和测量规范》HJ/T90-2004               </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2）《声环境质量标准》GB3096-2008                      </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3）《公路桥涵设计通用规范》JTG D60-2015                        </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4）《钢结构设计标准》GB50017-2017 </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5）《冷弯薄壁型钢结构技术规范》GB50018-2002                                     </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6）《钢结构焊接规范》GB 50661-2011</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7）《钢结构工程施工质量验收标准》GB 50205-2020                                </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2、声屏障主要技术要求</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★1）平均隔声量≥30dB </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★2）平均降噪系数≥0.85 </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★3）力学性能：能承受3秒阵风风压4Kpa，无损坏</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★4）声屏障主体使用寿命25年以上（提供4000小时的盐雾试验）</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★5）耐温性：±40℃表面无损坏</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★6）声学性能：平均降噪8分贝以上</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7）降噪效果：≥8-12dB（A）                                           </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8）耐冻融-50±2℃</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9）声屏障整体色彩及金属吸音板开孔类型：由业主确定</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10）声屏障表面氟碳喷涂为烘烤型。</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11）钢结构制作前必须进行彻底除锈，除锈质量等级为Sa2½。声屏障钢构件采用热镀锌后聚酯粉末喷涂防腐，镀锌层厚度需≥65μm，聚酯粉末喷涂厚度需≥40μm。</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各供应商投标文件中提供具有检验检测能力的权威机构出具的★部分技术参数检测报告，未提供视为无效响应。</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3、声屏障材料物理性能</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声屏障主要由金属吸隔声屏体、透明亚克力隔声屏、钢立柱以及连接件组成。其构件应能达到吸声降噪、防火、防腐蚀、防老化、防炫目、自洁防尘、耐冻融等要求。应保证声屏障能在雨、雪等恶劣自然条件下正常工作。</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4、声屏障的力学性能</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声屏障所在区域基本风压按Wo=0.45KN/m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，设计最大挠度为L/400。</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5、声屏障的环保性能</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声屏障吸隔声屏体在经雨淋、日晒等自然条件下，应能达到不下沉、不结块等耐候性，不能对大气环境造成二次污染。</w:t>
      </w:r>
      <w:r/>
    </w:p>
    <w:p>
      <w:pPr>
        <w:numPr>
          <w:ilvl w:val="0"/>
          <w:numId w:val="0"/>
        </w:numPr>
        <w:ind w:firstLine="480"/>
        <w:keepLines w:val="0"/>
        <w:keepNext w:val="0"/>
        <w:pageBreakBefore w:val="0"/>
        <w:spacing w:line="360" w:lineRule="auto"/>
        <w:widowControl w:val="off"/>
        <w:tabs>
          <w:tab w:val="left" w:pos="0" w:leader="none"/>
        </w:tabs>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声屏障屏体制作技术要求说明</w:t>
      </w:r>
      <w:r/>
    </w:p>
    <w:p>
      <w:pPr>
        <w:numPr>
          <w:ilvl w:val="0"/>
          <w:numId w:val="0"/>
        </w:num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1、声屏障屏体材料选用和结构形式                                       </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1）金属吸隔声屏体：面板采用优质铝合金穿孔板，厚度1.2mm，开孔率≥25％，开孔样式与高架现有款式保持一致或由采购人确定。背板及龙骨均采用优质镀锌钢板，板厚1.2mm, 龙骨1.5mm，内部采用离心法生产的48 kg/m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玻璃棉板外裹无碱憎水布。表面氟碳喷涂防腐处理（氟碳喷涂为烘烤型），穿孔面板双面喷涂，背板单面喷涂，本工程采用以上材料主要考虑到声屏障的整体强度、使用寿命、吸声性能的稳定性、以及美观等因素。</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2）透明亚克力隔声屏：为确保与高架现有款式一致，此次计划采购两种规格的透明隔声屏体：①厚度10mm亚克力板、外包1.2mm厚铝合金边框。②厚度15mm加筋亚克力板（含压条等附件）</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亚克力板 性能指标需满足下表要求：</w:t>
      </w:r>
      <w:r/>
    </w:p>
    <w:tbl>
      <w:tblPr>
        <w:tblStyle w:val="704"/>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2410"/>
        <w:gridCol w:w="4670"/>
        <w:gridCol w:w="1529"/>
      </w:tblGrid>
      <w:tr>
        <w:trPr>
          <w:trHeight w:val="340"/>
        </w:trPr>
        <w:tc>
          <w:tcPr>
            <w:tcW w:w="101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gridSpan w:val="2"/>
            <w:tcW w:w="7080"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w:t>
            </w:r>
            <w:r/>
          </w:p>
        </w:tc>
        <w:tc>
          <w:tcPr>
            <w:tcW w:w="152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指标</w:t>
            </w:r>
            <w:r/>
          </w:p>
        </w:tc>
      </w:tr>
      <w:tr>
        <w:trPr>
          <w:trHeight w:val="340"/>
        </w:trPr>
        <w:tc>
          <w:tcPr>
            <w:tcW w:w="101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gridSpan w:val="2"/>
            <w:tcW w:w="7080"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拉伸强度（MPa）</w:t>
            </w:r>
            <w:r/>
          </w:p>
        </w:tc>
        <w:tc>
          <w:tcPr>
            <w:tcW w:w="152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≥70</w:t>
            </w:r>
            <w:r/>
          </w:p>
        </w:tc>
      </w:tr>
      <w:tr>
        <w:trPr>
          <w:trHeight w:val="340"/>
        </w:trPr>
        <w:tc>
          <w:tcPr>
            <w:tcW w:w="101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gridSpan w:val="2"/>
            <w:tcW w:w="7080"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拉伸断裂应变（%）</w:t>
            </w:r>
            <w:r/>
          </w:p>
        </w:tc>
        <w:tc>
          <w:tcPr>
            <w:tcW w:w="152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r>
      <w:tr>
        <w:trPr>
          <w:trHeight w:val="340"/>
        </w:trPr>
        <w:tc>
          <w:tcPr>
            <w:tcW w:w="101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gridSpan w:val="2"/>
            <w:tcW w:w="7080"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弯曲强度（MPa）</w:t>
            </w:r>
            <w:r/>
          </w:p>
        </w:tc>
        <w:tc>
          <w:tcPr>
            <w:tcW w:w="152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≥98</w:t>
            </w:r>
            <w:r/>
          </w:p>
        </w:tc>
      </w:tr>
      <w:tr>
        <w:trPr>
          <w:trHeight w:val="340"/>
        </w:trPr>
        <w:tc>
          <w:tcPr>
            <w:tcW w:w="101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gridSpan w:val="2"/>
            <w:tcW w:w="7080"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弯曲弹性模量（MPa）</w:t>
            </w:r>
            <w:r/>
          </w:p>
        </w:tc>
        <w:tc>
          <w:tcPr>
            <w:tcW w:w="152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≥3100</w:t>
            </w:r>
            <w:r/>
          </w:p>
        </w:tc>
      </w:tr>
      <w:tr>
        <w:trPr>
          <w:trHeight w:val="340"/>
        </w:trPr>
        <w:tc>
          <w:tcPr>
            <w:tcW w:w="101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gridSpan w:val="2"/>
            <w:tcW w:w="7080"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荷支梁无缺口冲击强度（KJ/m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tc>
        <w:tc>
          <w:tcPr>
            <w:tcW w:w="152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w:t>
            </w:r>
            <w:r/>
          </w:p>
        </w:tc>
      </w:tr>
      <w:tr>
        <w:trPr>
          <w:trHeight w:val="340"/>
        </w:trPr>
        <w:tc>
          <w:tcPr>
            <w:tcW w:w="101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gridSpan w:val="2"/>
            <w:tcW w:w="7080"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维卡软化温度（℃）</w:t>
            </w:r>
            <w:r/>
          </w:p>
        </w:tc>
        <w:tc>
          <w:tcPr>
            <w:tcW w:w="152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≥100</w:t>
            </w:r>
            <w:r/>
          </w:p>
        </w:tc>
      </w:tr>
      <w:tr>
        <w:trPr>
          <w:trHeight w:val="340"/>
        </w:trPr>
        <w:tc>
          <w:tcPr>
            <w:tcW w:w="101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tc>
        <w:tc>
          <w:tcPr>
            <w:gridSpan w:val="2"/>
            <w:tcW w:w="7080"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透光率（%）</w:t>
            </w:r>
            <w:r/>
          </w:p>
        </w:tc>
        <w:tc>
          <w:tcPr>
            <w:tcW w:w="152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w:t>
            </w:r>
            <w:r/>
          </w:p>
        </w:tc>
      </w:tr>
      <w:tr>
        <w:trPr>
          <w:trHeight w:val="340"/>
        </w:trPr>
        <w:tc>
          <w:tcPr>
            <w:tcW w:w="1019" w:type="dxa"/>
            <w:vAlign w:val="center"/>
            <w:vMerge w:val="restart"/>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tcW w:w="2410" w:type="dxa"/>
            <w:vAlign w:val="center"/>
            <w:vMerge w:val="restart"/>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老化性能（氙弧灯照射6000h之后）</w:t>
            </w:r>
            <w:r/>
          </w:p>
        </w:tc>
        <w:tc>
          <w:tcPr>
            <w:tcW w:w="4670" w:type="dxa"/>
            <w:vAlign w:val="center"/>
            <w:textDirection w:val="lrTb"/>
            <w:noWrap w:val="false"/>
          </w:tcPr>
          <w:p>
            <w:pP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荷支梁无缺口冲击强度下降率（%）</w:t>
            </w:r>
            <w:r/>
          </w:p>
        </w:tc>
        <w:tc>
          <w:tcPr>
            <w:tcW w:w="152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≤30</w:t>
            </w:r>
            <w:r/>
          </w:p>
        </w:tc>
      </w:tr>
      <w:tr>
        <w:trPr>
          <w:trHeight w:val="340"/>
        </w:trPr>
        <w:tc>
          <w:tcPr>
            <w:tcW w:w="1019" w:type="dxa"/>
            <w:vAlign w:val="center"/>
            <w:vMerge w:val="continue"/>
            <w:textDirection w:val="lrTb"/>
            <w:noWrap w:val="false"/>
          </w:tcPr>
          <w:p>
            <w:pP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410" w:type="dxa"/>
            <w:vAlign w:val="center"/>
            <w:vMerge w:val="continue"/>
            <w:textDirection w:val="lrTb"/>
            <w:noWrap w:val="false"/>
          </w:tcPr>
          <w:p>
            <w:pP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4670" w:type="dxa"/>
            <w:vAlign w:val="center"/>
            <w:textDirection w:val="lrTb"/>
            <w:noWrap w:val="false"/>
          </w:tcPr>
          <w:p>
            <w:pP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总透光率下降率（%）</w:t>
            </w:r>
            <w:r/>
          </w:p>
        </w:tc>
        <w:tc>
          <w:tcPr>
            <w:tcW w:w="1529" w:type="dxa"/>
            <w:vAlign w:val="center"/>
            <w:textDirection w:val="lrTb"/>
            <w:noWrap w:val="false"/>
          </w:tcPr>
          <w:p>
            <w:pPr>
              <w:jc w:val="center"/>
              <w:keepLines w:val="0"/>
              <w:keepNext w:val="0"/>
              <w:pageBreakBefore w:val="0"/>
              <w:spacing w:after="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p>
        </w:tc>
      </w:tr>
    </w:tbl>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亚克力板其他方面要求及检测要求参照《浇铸型聚甲基丙烯酸甲酯声屏板》GB/T 29641-2013执行。</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3）钢立柱①：采用规格为150mm*150mm H型钢，钢立柱②：采用规格为150mm*210mm 异型（T型）焊接钢立柱（尖劈式）。遇桥梁伸缩缝处两端则采用相邻两侧钢立柱翼板加宽，通过预埋件与基础（防撞墙）连接，钢立柱整体构件防锈保护须采用热镀锌及氟炭喷涂处理（氟碳喷涂为烘烤型）。 </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2、本次采购的声屏障采用金属吸音板+透明隔声屏组成复合式声屏障。旨在利用离心法制成的具有优良中低频吸声性能的玻璃纤维，再与高效的透明隔声亚克力板组合构成。声屏障总高度均为3米。</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1）声屏障材料分两种款式进行组合安装。</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标准段（款式一）：上部2米高度采用厚度10mm亚克力板、外包1.2㎜厚铝合金边框，下部1米高度采用带开孔的金属吸音板，立柱中心间距3040㎜；</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尖劈式（款式二）：上部2.5米高度采用厚度15mm加筋亚克力板，下部0.5米高度采用带开孔的金属吸音板，立柱中心间距为2040mm。</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声屏障顶部装饰顶罩板、底部装饰盖板和立柱顶部背面弧型盖板均采用2mm镀锌钢板制作，防锈保护须采用氟碳喷涂面处理（氟碳喷涂为烘烤型）。金属吸隔声屏体及透明亚克力隔声屏在安装时是嵌入在钢立柱型腔槽口中以固定位置，并辅以防坠落装置。</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3、材料要求：1）综合技术指标须达到国家相关行业产品标准、规定。</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声学性能良好，高效吸声降噪，吸声材料的吸声性能按GBJ47-1983《混响室法吸声系数测量规范》测定，在125HZ，250HZ，500HZ，1000HZ，2000HZ，及4000HZ等频率下，吸声系数应分别不低于0.25，0.40，0.80，0.85,0.95;声屏障隔声量按GBJ75-1984《建筑隔声测量规范》测定,应不低于30dB。       </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2）吸声材料防火性能按GBJ624-1997《建筑材料燃烧性能分级方法》测定应为A级。 </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3)吸声材料应耐冻融；耐冻融性能按149-2003《膨胀聚苯板薄抹灰外墙外保温系统》中3.2.4耐冻融实验方式进行，循环30次后试件应无剥落、开裂、起层等现象。 </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吸声材料应耐腐蚀、耐老化；能在露天环境裸露使用；耐高低温、抗酸碱侵蚀；吸声材料耐候性能按JG149-2003《膨胀聚苯板薄抹灰外墙外保温系统》中附录C的实验方法测定，实验后，试件表面应无裂纹、粉化、剥落等现象。                                             </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吸声材料是影响降噪效果的主要因素，所以，很好的选择材料是至关重要的。综合考虑各种因素，要达到好的吸声降噪效果，同时又要有很好的物理性能及力学强度、耐候性，还要价格合理，所以本项目选择离心玻璃棉板，密度为48kg/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,这种离心玻璃棉具有容重轻，憎水性优良，吸声系数高、施工方便，属于不燃物等优点。                           </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声屏障承接的主要载荷是按1200N/㎡设计,对于声屏障需校核钢立柱的强度、地脚螺栓的强度。</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钢立柱强度：立柱在风压下承受剪切和弯矩，本项目选用H型钢及异型焊接型钢，对立柱进行受力分析后发现立柱的底端是危险截面，承受较大的剪应力和弯矩，经校核本设计选用的H型钢及异型焊接型钢能满足强度要求。</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地脚螺栓采用M22不锈钢螺栓，耐候环氧胶树脂粘合剂或耐温湿高强度植筋胶。单个螺栓最终抗拔力应在现场先做试验确定，其值不得小于100KN。</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4、声屏障连接系统要求 ：金属吸音板与下罩板连接处须布置加固条，再进行锚固连接。单元屏体之间、声屏障屏体与钢立柱的连接应紧密、可靠。连接处应贴热缩弹性体材料，以保证隔声性能良好。</w:t>
      </w:r>
      <w:r/>
    </w:p>
    <w:p>
      <w:pPr>
        <w:pStyle w:val="89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四</w:t>
      </w:r>
      <w:r>
        <w:rPr>
          <w:rFonts w:hint="eastAsia" w:ascii="宋体" w:hAnsi="宋体"/>
          <w:color w:val="auto"/>
          <w:sz w:val="24"/>
          <w:highlight w:val="none"/>
        </w:rPr>
        <w:t xml:space="preserve">、其他要求</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1、售后服务：</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次采购的免费质保期为36个月。质保期内中标方要及时响应采购方对产品提出三包要求，并提出相应的服务承诺，如因材料质量出现问题，中标方负责包修、包退、包换、一切费用由中标方承担。中标方应以优良的售后服务态度，提供1小时以内响应，2小时内到达现场，确认方案后4小时以内完成采购人提出的维修或更换要求。</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2）中标单位负责完成声屏障的组合安装及调试工作。在接到采购方的采购需求后，应在24</w:t>
      </w:r>
      <w:r>
        <w:rPr>
          <w:rFonts w:hint="eastAsia" w:ascii="宋体" w:hAnsi="宋体" w:cs="宋体"/>
          <w:color w:val="auto"/>
          <w:sz w:val="24"/>
          <w:szCs w:val="24"/>
          <w:highlight w:val="none"/>
          <w:lang w:val="en-US" w:eastAsia="zh-CN"/>
        </w:rPr>
        <w:t xml:space="preserve">小时</w:t>
      </w:r>
      <w:r>
        <w:rPr>
          <w:rFonts w:hint="eastAsia" w:ascii="宋体" w:hAnsi="宋体" w:eastAsia="宋体" w:cs="宋体"/>
          <w:color w:val="auto"/>
          <w:sz w:val="24"/>
          <w:szCs w:val="24"/>
          <w:highlight w:val="none"/>
        </w:rPr>
        <w:t xml:space="preserve">内安排发货并组织专业人员准备进场安装。如因安装不当造成声屏障材料或其他设施、车辆损坏，由中标单位负责赔偿。</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2、其他要求</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1）采购项目合同履行期限：自合同签订之日起至2024年12月31日。</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2）采购项目地点：采购方指定地点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、报价说明：</w:t>
      </w:r>
      <w:r>
        <w:rPr>
          <w:rFonts w:hint="eastAsia" w:ascii="宋体" w:hAnsi="宋体" w:cs="宋体"/>
          <w:color w:val="auto"/>
          <w:sz w:val="24"/>
          <w:szCs w:val="24"/>
          <w:highlight w:val="none"/>
          <w:lang w:val="en-US" w:eastAsia="zh-CN"/>
        </w:rPr>
        <w:t xml:space="preserve">包括完成该标的物的全部内容的成品、运至最终目的地的运输、装卸、保险、检测验收、售后服务、组合安装调试费用（包含安装所需机械设备、配件、耗材、人员费用等）、安全措施等工作所发生的全部费用以及投标人企业利润、代理服务费、税金和政策性文件规定及合同包含的所有风险、责任等各项应有费用。</w:t>
      </w:r>
      <w:r/>
    </w:p>
    <w:p>
      <w:pPr>
        <w:pStyle w:val="89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、综合说明：</w:t>
      </w:r>
      <w:r/>
    </w:p>
    <w:p>
      <w:pPr>
        <w:ind w:firstLine="480"/>
        <w:spacing w:line="360" w:lineRule="auto"/>
        <w:rPr>
          <w:rFonts w:hint="eastAsia"/>
          <w:color w:val="auto"/>
          <w:sz w:val="24"/>
          <w:highlight w:val="none"/>
        </w:rPr>
      </w:pPr>
      <w:r>
        <w:rPr>
          <w:rFonts w:hint="eastAsia"/>
          <w:color w:val="auto"/>
          <w:sz w:val="24"/>
          <w:highlight w:val="none"/>
        </w:rPr>
        <w:t xml:space="preserve">1、所有投标产品均需符合国家最新标准及行业要求。</w:t>
      </w:r>
      <w:r/>
    </w:p>
    <w:p>
      <w:pPr>
        <w:ind w:firstLine="480"/>
        <w:spacing w:line="360" w:lineRule="auto"/>
        <w:rPr>
          <w:rFonts w:hint="eastAsia"/>
          <w:color w:val="auto"/>
          <w:sz w:val="24"/>
          <w:highlight w:val="none"/>
        </w:rPr>
      </w:pPr>
      <w:r>
        <w:rPr>
          <w:rFonts w:hint="eastAsia"/>
          <w:color w:val="auto"/>
          <w:sz w:val="24"/>
          <w:highlight w:val="none"/>
        </w:rPr>
        <w:t xml:space="preserve">2、上述数量为估算数量，最终以实际使用数量为准。采购方按实际使用量支付价款，但不得违反相关法律法规。</w:t>
      </w:r>
      <w:r/>
    </w:p>
    <w:p>
      <w:pPr>
        <w:ind w:firstLine="480"/>
        <w:spacing w:line="360" w:lineRule="auto"/>
        <w:rPr>
          <w:rFonts w:hint="eastAsia"/>
          <w:color w:val="auto"/>
          <w:sz w:val="24"/>
          <w:highlight w:val="none"/>
        </w:rPr>
      </w:pPr>
      <w:r>
        <w:rPr>
          <w:rFonts w:hint="eastAsia"/>
          <w:color w:val="auto"/>
          <w:sz w:val="24"/>
          <w:highlight w:val="none"/>
        </w:rPr>
        <w:t xml:space="preserve">3、投标人必须承诺招标文件中提出的全部技术规格与要求，如果以其中某些条款不响应时，应在文件中逐条列出，未列出的视同响应。</w:t>
      </w:r>
      <w:r/>
    </w:p>
    <w:p>
      <w:pPr>
        <w:ind w:firstLine="480"/>
        <w:spacing w:line="360" w:lineRule="auto"/>
        <w:rPr>
          <w:rFonts w:hint="eastAsia"/>
          <w:color w:val="auto"/>
          <w:sz w:val="24"/>
          <w:highlight w:val="none"/>
        </w:rPr>
      </w:pPr>
      <w:r>
        <w:rPr>
          <w:rFonts w:hint="eastAsia"/>
          <w:color w:val="auto"/>
          <w:sz w:val="24"/>
          <w:highlight w:val="none"/>
        </w:rPr>
        <w:t xml:space="preserve">4、如双方对验收结果有分歧，则以苏州市技术质量监督局的检验结果为准，检验费用由有过失的一方支付。</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5</w:t>
      </w:r>
      <w:r>
        <w:rPr>
          <w:rFonts w:hint="eastAsia"/>
          <w:color w:val="auto"/>
          <w:sz w:val="24"/>
          <w:highlight w:val="none"/>
        </w:rPr>
        <w:t xml:space="preserve">、验收标准：根据标书要求及有关规定由采购方验收通过。</w:t>
      </w:r>
      <w:r/>
    </w:p>
    <w:p>
      <w:pPr>
        <w:ind w:firstLine="480"/>
        <w:spacing w:line="360" w:lineRule="auto"/>
        <w:rPr>
          <w:color w:val="auto"/>
          <w:sz w:val="24"/>
          <w:highlight w:val="none"/>
        </w:rPr>
      </w:pPr>
      <w:r>
        <w:rPr>
          <w:rFonts w:hint="eastAsia"/>
          <w:color w:val="auto"/>
          <w:sz w:val="24"/>
          <w:highlight w:val="none"/>
          <w:lang w:val="en-US" w:eastAsia="zh-CN"/>
        </w:rPr>
        <w:t xml:space="preserve">6</w:t>
      </w:r>
      <w:r>
        <w:rPr>
          <w:rFonts w:hint="eastAsia"/>
          <w:color w:val="auto"/>
          <w:sz w:val="24"/>
          <w:highlight w:val="none"/>
        </w:rPr>
        <w:t xml:space="preserve">、投标文件应如实进行响应，量化指标必须列明具体数值，否则其投标文件将被拒绝。投标单位在其投标文件中对于招标文件已提供以及未提供的货物或服务情况均须进行完整的阐述和说明，否则其投标文件将有被拒绝的可能。投标单位提供的技术资料必须真实、准确，如提供的参数虚假或对采购文件所要求说明的情况故意隐瞒或虚报，按《中华人民共和国政府采购法》第七十七条的相关办法处理。</w:t>
      </w:r>
      <w:r/>
    </w:p>
    <w:p>
      <w:pPr>
        <w:ind w:firstLine="480"/>
        <w:spacing w:line="360" w:lineRule="auto"/>
        <w:rPr>
          <w:color w:val="auto"/>
          <w:sz w:val="24"/>
          <w:highlight w:val="none"/>
        </w:rPr>
      </w:pPr>
      <w:r>
        <w:rPr>
          <w:rFonts w:hint="eastAsia"/>
          <w:color w:val="auto"/>
          <w:sz w:val="24"/>
          <w:highlight w:val="none"/>
          <w:lang w:val="en-US" w:eastAsia="zh-CN"/>
        </w:rPr>
        <w:t xml:space="preserve">7</w:t>
      </w:r>
      <w:r>
        <w:rPr>
          <w:rFonts w:hint="eastAsia"/>
          <w:color w:val="auto"/>
          <w:sz w:val="24"/>
          <w:highlight w:val="none"/>
        </w:rPr>
        <w:t xml:space="preserve">、招标文件提出的要求，并未对一切细节作出规定，也未充分引述全部有关标准和规范的条文，投标单位提供的所有响应内容都应符合已颁布的现行中华人民共和国认可的（部颁、行业）标准和国际标准化组织以及等效或更优的其他国家的权威性标准和规范的有关条文。如果这些标准内容有矛盾时，应按最高标准的条款执行。</w:t>
      </w:r>
      <w:bookmarkEnd w:id="3"/>
      <w:r/>
      <w:r/>
    </w:p>
    <w:p>
      <w:p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、根据苏州市财政局《关于贯彻执行绿色采购、促进残疾人就业和支持监狱企业发展有关政策的通知》（苏财购〔2019〕10号）规定：</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1、关于节能环保产品政府采购要求：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次招标所涉及的产品属于《节能产品政府采购清单》、《环境标志产品政府采购清单》中的品目范围之内的，要求采购清单中的产品（含强制采购和优先采购的产品），并须提供认证机构出具的、处于有效期之内的节能产品、环境标志产品认证证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1.2《节能产品政府采购清单》、《环境标志产品政府采购清单》以“中国政府采购网”（http://www.ccgp.gov.cn）公告的时间、内容为准，也可通过“苏州市政府采购网”（http://www.zfcg.suzhou.gov.cn）链接查询。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2、进一步明确政府采购促进残疾人就业政策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2.1本次招标中，投标单位如为残疾人福利性单位，则视同小型、微型企业。向残疾人福利性单位采购的金额，计入面向中小企业采购的统计数据。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2.3中标、成交供应商为残疾人福利性单位的，采购人或者其委托的采购代理机构应当随中标、成交结果同时公告其《残疾人福利性单位声明函》，接受社会监督。</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3、进一步明确政府采购支持监狱企业发展政策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3.1在本次招标中，投标单位如为监狱企业，则视同小型、微型企业。向监狱企业采购的金额，计入面向中小企业采购的统计数据。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、根据苏州市财政局《关于进一步做好政府采购正常贯彻执行工作的通知》（苏财购（2017）10号）文件规定：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1、关于政府采购促进中小企业发展政策要求：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1.1不同行业的中小微企业划分标准以工信部、国家统计局、国家发改委、财政部《关于印发中小企业划型标准规定的通知》（工信部联企业〔2011〕300号）为准。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1.2小微企业提供中型企业制造或使用中型企业注册商标的货物的，视同为中型企业。小微企业提供大型企业制造或使用大型企业注册商标的货物的，视同为大型企业。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bookmarkStart w:id="4" w:name="_Toc28359028"/>
      <w:r>
        <w:rPr>
          <w:rFonts w:hint="eastAsia" w:ascii="宋体" w:hAnsi="宋体" w:eastAsia="宋体" w:cs="宋体"/>
          <w:color w:val="auto"/>
          <w:sz w:val="24"/>
          <w:highlight w:val="none"/>
        </w:rPr>
        <w:t xml:space="preserve">中小微企业在投标（响应）文件中，签署《中小企业声明函》，并根据工信部联企业〔2011〕300号通知，未在投标（响应）文件中提供《中小企业声明函》的，不享受促进中小微企业发展的相关政府采购政策。</w:t>
      </w:r>
      <w:bookmarkEnd w:id="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1.4根据《关于印发&lt;苏州市政府采购促进中小企业发展实施意见&gt;的通知》（苏财购〔2022〕16号）相关要求，本项目为专门面向中小企业采购的项目，不再执行价格评审优惠的扶持政策。</w:t>
      </w:r>
      <w:r/>
    </w:p>
    <w:p>
      <w:pPr>
        <w:jc w:val="left"/>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、根据《政府采购促进中小企业发展管理办法》（财库〔2020〕46号）及《中小企业划型标准规定》（工信部联企业〔2011〕300号），</w:t>
      </w:r>
      <w:r>
        <w:rPr>
          <w:rFonts w:hint="eastAsia" w:ascii="宋体" w:hAnsi="宋体"/>
          <w:b/>
          <w:bCs w:val="0"/>
          <w:color w:val="auto"/>
          <w:sz w:val="24"/>
          <w:highlight w:val="none"/>
          <w:lang w:val="en-US" w:eastAsia="zh-CN"/>
        </w:rPr>
        <w:t xml:space="preserve">本项目属于专门面向中小企业采购，根据《政府采购促进中小企业发展管理办法》的相关规定，本项目所属行业为工业。</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1、关于对参与供应商信用记录的政府采购要求：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1.1采购代理机构会在接收响应文件截止时间后，在中国政府采购网（www.ccgp.gov.cn）、信用中国（www.creditchina.gov.cn）、信用江苏（</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"http://www.jscredit.gov.cn/"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www.jscredit.gov.cn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）、诚信苏州（www.szcredit.gov.cn）的网站输入供应商全称或统一社会信用代码查询信用记录，并将查询结果递交评审小组。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（一）政府采购严重违法记录，即供应商被全国各级财政部门列入“政府采购严重违法失信行为记录名单”，且在处罚有效期内的。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（二）财政部门与法院、工商、税务等部门联合惩戒的失信信息，包括：</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1）被列入失信被执行人名单；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2）被列入重大税收违法案件当事人名单；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pStyle w:val="895"/>
        <w:ind w:right="0"/>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十、凡涉及采购文件的补充说明和修改，均以</w:t>
      </w:r>
      <w:r>
        <w:rPr>
          <w:rFonts w:hint="eastAsia" w:ascii="宋体" w:hAnsi="宋体" w:eastAsia="宋体" w:cs="宋体"/>
          <w:bCs/>
          <w:color w:val="auto"/>
          <w:sz w:val="24"/>
          <w:highlight w:val="none"/>
        </w:rPr>
        <w:t xml:space="preserve">中国政府采购网中央主网、江苏政府采购网、苏州政府采购网</w:t>
      </w:r>
      <w:r>
        <w:rPr>
          <w:rFonts w:hint="eastAsia" w:ascii="宋体" w:hAnsi="宋体" w:eastAsia="宋体" w:cs="宋体"/>
          <w:color w:val="auto"/>
          <w:sz w:val="24"/>
          <w:szCs w:val="24"/>
          <w:highlight w:val="none"/>
        </w:rPr>
        <w:t xml:space="preserve">发布的文件为准。</w:t>
      </w:r>
      <w:r/>
    </w:p>
    <w:p>
      <w:pPr>
        <w:ind w:right="0"/>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r/>
    </w:p>
    <w:p>
      <w:pPr>
        <w:ind w:right="0"/>
        <w:keepLines w:val="0"/>
        <w:keepNext w:val="0"/>
        <w:pageBreakBefore w:val="0"/>
        <w:spacing w:line="360" w:lineRule="auto"/>
        <w:widowControl w:val="off"/>
        <w:rPr>
          <w:rFonts w:hint="eastAsia" w:ascii="宋体" w:hAnsi="宋体" w:eastAsia="宋体" w:cs="宋体"/>
          <w:b/>
          <w:bCs/>
          <w:color w:val="auto"/>
          <w:sz w:val="24"/>
          <w:highlight w:val="none"/>
        </w:rPr>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outlineLvl w:val="9"/>
      </w:pPr>
      <w:r>
        <w:rPr>
          <w:rFonts w:hint="eastAsia" w:ascii="宋体" w:hAnsi="宋体" w:eastAsia="宋体" w:cs="宋体"/>
          <w:b/>
          <w:bCs/>
          <w:color w:val="auto"/>
          <w:sz w:val="24"/>
          <w:highlight w:val="none"/>
        </w:rPr>
      </w:r>
      <w:r/>
    </w:p>
    <w:p>
      <w:pPr>
        <w:pStyle w:val="882"/>
        <w:jc w:val="center"/>
        <w:keepLines w:val="0"/>
        <w:keepNext w:val="0"/>
        <w:pageBreakBefore w:val="0"/>
        <w:spacing w:line="480" w:lineRule="auto"/>
        <w:widowControl w:val="off"/>
        <w:tabs>
          <w:tab w:val="right" w:pos="8302" w:leader="dot"/>
        </w:tabs>
        <w:rPr>
          <w:rStyle w:val="858"/>
          <w:rFonts w:hint="eastAsia" w:ascii="宋体" w:hAnsi="宋体" w:eastAsia="宋体" w:cs="宋体"/>
          <w:b w:val="0"/>
          <w:bCs/>
          <w:color w:val="auto"/>
          <w:sz w:val="36"/>
          <w:szCs w:val="36"/>
          <w:highlight w:val="none"/>
        </w:rPr>
        <w:outlineLvl w:val="9"/>
      </w:pPr>
      <w:r>
        <w:rPr>
          <w:rStyle w:val="858"/>
          <w:rFonts w:hint="eastAsia" w:ascii="宋体" w:hAnsi="宋体" w:eastAsia="宋体" w:cs="宋体"/>
          <w:b w:val="0"/>
          <w:bCs/>
          <w:color w:val="auto"/>
          <w:sz w:val="36"/>
          <w:szCs w:val="36"/>
          <w:highlight w:val="none"/>
        </w:rPr>
        <w:t xml:space="preserve">第五章  合同文本</w:t>
      </w:r>
      <w:r/>
    </w:p>
    <w:p>
      <w:pPr>
        <w:pStyle w:val="685"/>
        <w:ind w:firstLine="442"/>
        <w:rPr>
          <w:rFonts w:hint="eastAsia" w:eastAsia="宋体"/>
          <w:b/>
          <w:bCs/>
          <w:color w:val="auto"/>
          <w:sz w:val="24"/>
          <w:szCs w:val="24"/>
          <w:highlight w:val="none"/>
          <w:lang w:eastAsia="zh-CN"/>
        </w:rPr>
      </w:pPr>
      <w:r>
        <w:rPr>
          <w:rFonts w:hint="eastAsia"/>
          <w:b/>
          <w:bCs/>
          <w:color w:val="auto"/>
          <w:sz w:val="24"/>
          <w:szCs w:val="24"/>
          <w:highlight w:val="none"/>
        </w:rPr>
        <w:t xml:space="preserve">项目名称：</w:t>
      </w:r>
      <w:r>
        <w:rPr>
          <w:rFonts w:hint="eastAsia"/>
          <w:b/>
          <w:bCs/>
          <w:color w:val="auto"/>
          <w:sz w:val="24"/>
          <w:szCs w:val="24"/>
          <w:highlight w:val="none"/>
          <w:lang w:eastAsia="zh-CN"/>
        </w:rPr>
        <w:t xml:space="preserve">2024年市政设施维护所需声屏障</w:t>
      </w:r>
      <w:r/>
    </w:p>
    <w:p>
      <w:pPr>
        <w:pStyle w:val="685"/>
        <w:ind w:firstLine="442"/>
        <w:rPr>
          <w:rFonts w:hint="eastAsia" w:eastAsia="宋体"/>
          <w:b/>
          <w:bCs/>
          <w:color w:val="auto"/>
          <w:sz w:val="24"/>
          <w:szCs w:val="24"/>
          <w:highlight w:val="none"/>
          <w:lang w:eastAsia="zh-CN"/>
        </w:rPr>
      </w:pPr>
      <w:r>
        <w:rPr>
          <w:rFonts w:hint="eastAsia"/>
          <w:b/>
          <w:bCs/>
          <w:color w:val="auto"/>
          <w:sz w:val="24"/>
          <w:szCs w:val="24"/>
          <w:highlight w:val="none"/>
        </w:rPr>
        <w:t xml:space="preserve">项目编号：</w:t>
      </w:r>
      <w:r>
        <w:rPr>
          <w:rFonts w:hint="eastAsia"/>
          <w:b/>
          <w:bCs/>
          <w:color w:val="auto"/>
          <w:sz w:val="24"/>
          <w:szCs w:val="24"/>
          <w:highlight w:val="none"/>
          <w:lang w:eastAsia="zh-CN"/>
        </w:rPr>
        <w:t xml:space="preserve">JSZC-320508-SZRQ-G2024-0039</w:t>
      </w:r>
      <w:r/>
    </w:p>
    <w:p>
      <w:pPr>
        <w:pStyle w:val="685"/>
        <w:rPr>
          <w:color w:val="auto"/>
          <w:sz w:val="24"/>
          <w:szCs w:val="24"/>
          <w:highlight w:val="none"/>
        </w:rPr>
      </w:pPr>
      <w:r>
        <w:rPr>
          <w:rFonts w:hint="eastAsia"/>
          <w:color w:val="auto"/>
          <w:sz w:val="24"/>
          <w:szCs w:val="24"/>
          <w:highlight w:val="none"/>
        </w:rPr>
        <w:t xml:space="preserve">甲方：</w:t>
      </w:r>
      <w:r/>
    </w:p>
    <w:p>
      <w:pPr>
        <w:pStyle w:val="685"/>
        <w:rPr>
          <w:color w:val="auto"/>
          <w:sz w:val="24"/>
          <w:szCs w:val="24"/>
          <w:highlight w:val="none"/>
        </w:rPr>
      </w:pPr>
      <w:r>
        <w:rPr>
          <w:rFonts w:hint="eastAsia"/>
          <w:color w:val="auto"/>
          <w:sz w:val="24"/>
          <w:szCs w:val="24"/>
          <w:highlight w:val="none"/>
        </w:rPr>
        <w:t xml:space="preserve">地址：</w:t>
      </w:r>
      <w:r/>
    </w:p>
    <w:p>
      <w:pPr>
        <w:pStyle w:val="685"/>
        <w:rPr>
          <w:color w:val="auto"/>
          <w:sz w:val="24"/>
          <w:szCs w:val="24"/>
          <w:highlight w:val="none"/>
        </w:rPr>
      </w:pPr>
      <w:r>
        <w:rPr>
          <w:rFonts w:hint="eastAsia"/>
          <w:color w:val="auto"/>
          <w:sz w:val="24"/>
          <w:szCs w:val="24"/>
          <w:highlight w:val="none"/>
        </w:rPr>
        <w:t xml:space="preserve">电话：</w:t>
      </w:r>
      <w:r/>
    </w:p>
    <w:p>
      <w:pPr>
        <w:pStyle w:val="685"/>
        <w:rPr>
          <w:rFonts w:hint="eastAsia"/>
          <w:color w:val="auto"/>
          <w:sz w:val="24"/>
          <w:szCs w:val="24"/>
          <w:highlight w:val="none"/>
        </w:rPr>
      </w:pPr>
      <w:r>
        <w:rPr>
          <w:rFonts w:hint="eastAsia"/>
          <w:color w:val="auto"/>
          <w:sz w:val="24"/>
          <w:szCs w:val="24"/>
          <w:highlight w:val="none"/>
        </w:rPr>
      </w:r>
      <w:r/>
    </w:p>
    <w:p>
      <w:pPr>
        <w:pStyle w:val="685"/>
        <w:rPr>
          <w:color w:val="auto"/>
          <w:sz w:val="24"/>
          <w:szCs w:val="24"/>
          <w:highlight w:val="none"/>
        </w:rPr>
      </w:pPr>
      <w:r>
        <w:rPr>
          <w:rFonts w:hint="eastAsia"/>
          <w:color w:val="auto"/>
          <w:sz w:val="24"/>
          <w:szCs w:val="24"/>
          <w:highlight w:val="none"/>
        </w:rPr>
        <w:t xml:space="preserve">乙方：</w:t>
      </w:r>
      <w:r/>
    </w:p>
    <w:p>
      <w:pPr>
        <w:pStyle w:val="685"/>
        <w:rPr>
          <w:color w:val="auto"/>
          <w:sz w:val="24"/>
          <w:szCs w:val="24"/>
          <w:highlight w:val="none"/>
        </w:rPr>
      </w:pPr>
      <w:r>
        <w:rPr>
          <w:rFonts w:hint="eastAsia"/>
          <w:color w:val="auto"/>
          <w:sz w:val="24"/>
          <w:szCs w:val="24"/>
          <w:highlight w:val="none"/>
        </w:rPr>
        <w:t xml:space="preserve">地址：</w:t>
      </w:r>
      <w:r/>
    </w:p>
    <w:p>
      <w:pPr>
        <w:pStyle w:val="685"/>
        <w:rPr>
          <w:rFonts w:hint="eastAsia"/>
          <w:color w:val="auto"/>
          <w:sz w:val="24"/>
          <w:szCs w:val="24"/>
          <w:highlight w:val="none"/>
        </w:rPr>
      </w:pPr>
      <w:r>
        <w:rPr>
          <w:rFonts w:hint="eastAsia"/>
          <w:color w:val="auto"/>
          <w:sz w:val="24"/>
          <w:szCs w:val="24"/>
          <w:highlight w:val="none"/>
        </w:rPr>
        <w:t xml:space="preserve">电话：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根据苏州睿乔招投标咨询服务有限公司采购编号</w:t>
      </w:r>
      <w:r>
        <w:rPr>
          <w:rFonts w:hint="eastAsia" w:ascii="宋体" w:hAnsi="宋体" w:eastAsia="宋体" w:cs="宋体"/>
          <w:color w:val="auto"/>
          <w:sz w:val="24"/>
          <w:szCs w:val="24"/>
          <w:highlight w:val="none"/>
          <w:u w:val="single"/>
          <w:lang w:eastAsia="zh-CN"/>
        </w:rPr>
        <w:t xml:space="preserve">JSZC-320508-SZRQ-G2024-0039</w:t>
      </w:r>
      <w:r>
        <w:rPr>
          <w:rFonts w:hint="eastAsia" w:ascii="宋体" w:hAnsi="宋体" w:eastAsia="宋体" w:cs="宋体"/>
          <w:color w:val="auto"/>
          <w:sz w:val="24"/>
          <w:szCs w:val="24"/>
          <w:highlight w:val="none"/>
        </w:rPr>
        <w:t xml:space="preserve">政府采购文件及中标单位的投标文件和中标通知书，甲乙双方就此次成交项目的采购事宜，签订本合同书。</w:t>
      </w:r>
      <w:r/>
    </w:p>
    <w:p>
      <w:pPr>
        <w:pStyle w:val="693"/>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一、下列文件为本合同不可分割部分：</w:t>
      </w:r>
      <w:r/>
    </w:p>
    <w:p>
      <w:pPr>
        <w:pStyle w:val="693"/>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①中标通知书；</w:t>
      </w:r>
      <w:r/>
    </w:p>
    <w:p>
      <w:pPr>
        <w:pStyle w:val="693"/>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②招标文件；</w:t>
      </w:r>
      <w:r/>
    </w:p>
    <w:p>
      <w:pPr>
        <w:pStyle w:val="693"/>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乙方中标的投标文件；</w:t>
      </w:r>
      <w:r/>
    </w:p>
    <w:p>
      <w:pPr>
        <w:pStyle w:val="693"/>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④乙方在招投标过程中所作的其它承诺、声明、书面澄清等。</w:t>
      </w:r>
      <w:r/>
    </w:p>
    <w:p>
      <w:pPr>
        <w:pStyle w:val="693"/>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二、合同内容：</w:t>
      </w:r>
      <w:r/>
    </w:p>
    <w:p>
      <w:pPr>
        <w:pStyle w:val="693"/>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乙方负责提供甲方所需的</w:t>
      </w:r>
      <w:r>
        <w:rPr>
          <w:rFonts w:hint="eastAsia" w:ascii="宋体" w:hAnsi="宋体" w:cs="宋体"/>
          <w:color w:val="auto"/>
          <w:sz w:val="24"/>
          <w:szCs w:val="24"/>
          <w:highlight w:val="none"/>
          <w:lang w:eastAsia="zh-CN"/>
        </w:rPr>
        <w:t xml:space="preserve">2024年市政设施维护所需声屏障</w:t>
      </w:r>
      <w:r>
        <w:rPr>
          <w:rFonts w:hint="eastAsia" w:ascii="宋体" w:hAnsi="宋体" w:eastAsia="宋体" w:cs="宋体"/>
          <w:color w:val="auto"/>
          <w:sz w:val="24"/>
          <w:szCs w:val="24"/>
          <w:highlight w:val="none"/>
        </w:rPr>
        <w:t xml:space="preserve">，详见标的物清单。</w:t>
      </w:r>
      <w:r/>
    </w:p>
    <w:p>
      <w:pPr>
        <w:pStyle w:val="693"/>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采购项目合同履行期限：自合同签订之日起至2024年12月31日</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、项目名称、型号、规格和主要配置、单价、数量、金额。</w:t>
      </w:r>
      <w:r/>
    </w:p>
    <w:tbl>
      <w:tblPr>
        <w:tblStyle w:val="669"/>
        <w:tblW w:w="898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637"/>
        <w:gridCol w:w="1984"/>
        <w:gridCol w:w="709"/>
        <w:gridCol w:w="1276"/>
        <w:gridCol w:w="1262"/>
        <w:gridCol w:w="1148"/>
      </w:tblGrid>
      <w:tr>
        <w:trPr>
          <w:jc w:val="center"/>
          <w:trHeight w:val="285"/>
        </w:trPr>
        <w:tc>
          <w:tcPr>
            <w:tcW w:w="9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1637"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品种名称</w:t>
            </w:r>
            <w:r/>
          </w:p>
        </w:tc>
        <w:tc>
          <w:tcPr>
            <w:tcW w:w="1984"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规格、型号</w:t>
            </w:r>
            <w:r/>
          </w:p>
        </w:tc>
        <w:tc>
          <w:tcPr>
            <w:tcW w:w="709"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单位</w:t>
            </w:r>
            <w:r/>
          </w:p>
        </w:tc>
        <w:tc>
          <w:tcPr>
            <w:tcW w:w="127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数量</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单价（元）</w:t>
            </w:r>
            <w:r/>
          </w:p>
        </w:tc>
        <w:tc>
          <w:tcPr>
            <w:tcW w:w="1148"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总价（元）</w:t>
            </w:r>
            <w:r/>
          </w:p>
        </w:tc>
      </w:tr>
      <w:tr>
        <w:trPr>
          <w:jc w:val="center"/>
          <w:trHeight w:val="285"/>
        </w:trPr>
        <w:tc>
          <w:tcPr>
            <w:tcW w:w="9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637"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62"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148"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W w:w="9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637"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62"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148"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W w:w="966"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W w:w="1637"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62"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148" w:type="dxa"/>
            <w:vAlign w:val="center"/>
            <w:textDirection w:val="lrTb"/>
            <w:noWrap w:val="false"/>
          </w:tcPr>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gridSpan w:val="7"/>
            <w:tcW w:w="8982"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合计金额大写：</w:t>
            </w:r>
            <w:r/>
          </w:p>
        </w:tc>
      </w:tr>
    </w:tbl>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、售后服务：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次采购的免费质保期36个月（若中标单位投标文件中承诺优于36个月，按投标文件承诺时间为准）。质保期内乙方要及时响应甲方对产品提出三包要求，并提出相应的服务承诺，如质量出现问题成交商包修、包退、包换、一切费用由成交商承担。</w:t>
      </w:r>
      <w:bookmarkStart w:id="5" w:name="_Hlk177204111"/>
      <w:r>
        <w:rPr>
          <w:rFonts w:hint="eastAsia" w:ascii="宋体" w:hAnsi="宋体" w:eastAsia="宋体" w:cs="宋体"/>
          <w:color w:val="auto"/>
          <w:sz w:val="24"/>
          <w:szCs w:val="24"/>
          <w:highlight w:val="none"/>
        </w:rPr>
        <w:t xml:space="preserve">乙方应以优良的售后服务态度，提供1小时以内响应，接到甲方通知后，2小时到达施工现场，确定方案后4小时以内完成甲方提出的维修或更换要求。</w:t>
      </w:r>
      <w:bookmarkEnd w:id="5"/>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2、乙方负责完成该批声屏障材料的组合安装及调试工作。在接到采购方的采购需求后，应在24小时内内安排发货并组织专业人员准备进场安装。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未尽事项按招标文件及投标文件执行，如招标文件及投标文件中亦无约定，双方可另行协商达成书面文件并执行。书面补充协议与本合同具有同等效力，补充协议之间存在冲突的，应当以最新签订的为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、交货地点、方式：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1、交货地点：苏州市市政施设管理处指定地点。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2、乙方应在交货前向甲方提供交货计划、安装计划。</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3、运输、保险、装卸和组合安装调试的费用由乙方承担。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4、投标单位中标后，需在合同签订前向采购方提供★部分检测报告原件核查，若未能提供原件，采购方有权拒签合同。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、质量保证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根据甲方按检验标准自己检验的结果或当地质监部门的检验结果，或者在质量保证期内，如果标的物的数量、质量或规格与合同不符或证实标的物是有缺陷的，包括潜在缺陷或使用不符合要求的材料等，甲方应尽快以书面形式通知乙方并提出索赔。</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3、除特别约定外，合同条款成交的物的质量保证期均自标的物通过最终验收之日起计算。</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、验收标准：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1、在交货前，乙方应对标的物的质量、规格、性能、数量等进行详细而全面的检验，并出具一份收货证明，收货证明作为甲方验收的依据，但不能作为有关标的物质量、规格、数量或性能的最终检验结果。</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在准备进场安装前，须向甲方提供详细的安装计划书、交通导改方案、安装人员信息、在有效期内的特种作业人员证书、组合安装工艺要求及验收标准。经甲方审批通过后方可进场安装。安装调试完成后，甲方组织验收，验收结果须符合相关规范要求，验收不合格由乙方承担返工期间的一切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3、验收期限自标的物安装完成之日起15天内。特殊情况需延长的，双方应在合同的特殊条款中约定。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4、如双方对验收结果有分歧，则以苏州市技术质量监督局或第三方权威检测机构出具的检验结果为准，检验费用由有过失的一方支付。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5、验收合格后签署“政府采购合同履行验收报告”，甲方将验收报告上交本单位财务部门，同发票一起入帐，作为甲方执行了政府采购的凭证。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、价格与支付：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1、合同价格按此次成交价格执行，合同总金额为人民币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元整，报价应</w:t>
      </w:r>
      <w:r>
        <w:rPr>
          <w:rFonts w:hint="eastAsia" w:ascii="宋体" w:hAnsi="宋体" w:cs="宋体"/>
          <w:color w:val="auto"/>
          <w:sz w:val="24"/>
          <w:szCs w:val="24"/>
          <w:highlight w:val="none"/>
          <w:lang w:val="en-US" w:eastAsia="zh-CN"/>
        </w:rPr>
        <w:t xml:space="preserve">包括完成该标的物的全部内容的成品、运至最终目的地的运输、装卸、保险、检测验收、售后服务、组合安装调试费用（包含安装所需机械设备、配件、耗材、人员费用等）、安全措施等工作所发生的全部费用以及投标人企业利润、代理服务费、税金和政策性文件规定及合同包含的所有风险、责任等各项应有费用。</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2、付款步骤：</w:t>
      </w:r>
      <w:r/>
    </w:p>
    <w:p>
      <w:pPr>
        <w:ind w:left="0" w:firstLine="24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合同生效后按如下方式支付款项：甲方向乙方支付合同金额的30%作为项目预付款。在签订合同时，乙方明确表示无需预付款或者主动要求降低预付款比例的，甲方可不适用上述关于预付款的规定。具体实施要求按苏财购【2020】52号：一、建立政府采购资金预付款制度的相关规定。</w:t>
      </w:r>
      <w:r/>
    </w:p>
    <w:p>
      <w:pPr>
        <w:ind w:left="0" w:firstLine="37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（2）按实结算：乙方根据甲方要求供货，乙方凭验收单，送货单，由甲方核定当月实际送货量，在甲方验收合格后的次月起三个月内付清已核定货款。每月的送货量汇总单以甲方、乙方签字为依据。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3、付款前，乙方须先向甲方提供以下凭据：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A、甲乙双方签字的送货回单、安装调试验收合格单。</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B、国家规定合格的增值税专用发票。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C、由甲乙双方及招标代理机构签章的《苏州市政府采购合同履行验收报告》。</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4、付款方式：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（1）此项目货款以数字人民币形式支付。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bookmarkStart w:id="6" w:name="_Hlk167699224"/>
      <w:r>
        <w:rPr>
          <w:rFonts w:hint="eastAsia" w:ascii="宋体" w:hAnsi="宋体" w:eastAsia="宋体" w:cs="宋体"/>
          <w:color w:val="auto"/>
          <w:sz w:val="24"/>
          <w:szCs w:val="24"/>
          <w:highlight w:val="none"/>
        </w:rPr>
        <w:t xml:space="preserve">账户信息（数字人民币账户）</w:t>
      </w:r>
      <w:bookmarkEnd w:id="6"/>
      <w:r/>
      <w:r/>
    </w:p>
    <w:p>
      <w:pPr>
        <w:ind w:left="0" w:firstLine="72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乙方单位名称：</w:t>
      </w:r>
      <w:r/>
    </w:p>
    <w:p>
      <w:pPr>
        <w:ind w:left="0" w:firstLine="72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开户银行：</w:t>
      </w:r>
      <w:r/>
    </w:p>
    <w:p>
      <w:pPr>
        <w:ind w:left="0" w:firstLine="72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数字钱包ID：</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1、甲方违约责任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合同生效后，甲方非货物质量原因收货后退货的，应向乙方支付退货金额的10%，作为补偿金。该补偿金包含乙方退货来回运费、装卸等一切费用。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甲方逾期付款的应按照逾期付款金额的每天万分之四支付逾期付款违约金，但至多不超过逾期金额的5%。</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甲方违反合同规定，拒绝接收乙方交付的合格标的物，应当承担乙方由此造成的损失。</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不能交货（逾期超过十五天视为不能交货），或交货、安装不合格从而影响甲方正常使用的，甲方有权解除合同，乙方向甲方支付不能交货部分或者交货、安装质量不合格部分（单批次）所涉金额的10%违约金，如甲方解除合同的，乙方应向甲方支付合同未履行的交货部分所涉总额的5%违约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乙方逾期交货的，应在发货前与甲方和政府采购管理部门协商，甲方仍需求的，乙方应立即发货并应按照逾期交货部分货款的每天万分之四支付逾期交货违约金，同时承担甲方因此遭致的损失费用。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乙方在合同期限内不提供质保服务或提供质保服务不合格的，影响甲方正常使用货物的，应当向甲方支付合同总价款10%的违约金并赔偿甲方因此产生的损失。</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未能按照本合同约定提供伴随服务及售后服务的，甲方有权责令乙方于3日内予以改正，乙方逾期不改正的或者经甲方责令改正超过3次的，视为乙方违约，乙方应当向甲方支付合同总价款10%的违约金并赔偿甲方因此产生的损失。</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乙方有其他违反合同约定情形的，应当向甲方支付合同总价款5%的违约金。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、不可抗力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因不可抗力或政策变化不能履行合同的，根据不可抗力的影响，部分或者全部免除责任。但合同一方延迟履行后发生不可抗力的，不能免除责任。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2、合同一方因不可抗力或政策变化不能履行合同的，应当及时通知对方，以减轻可能给对方造成的损失，并应当在合理期限内提供证明。</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、索赔</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1、甲方有权根据当地产品质量检验机构或其他有权部门出具的检验证书向乙方提出索赔。</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2、在本合同规定的检验期限和质量保证期内，如果乙方对甲方提出的索赔或差异有责任，则乙方应按甲方同意的下列一种或多种方式解决索赔事宜：</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乙方同意退货，并按合同规定的货币将货款退还给甲方，并且承担由此发生的一切损失和费用，包括利息、银行手续费、运费、保险费、检验费、仓储费、装卸费以及为保护退回标的物所需的其他必要费用。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根据标的物的低劣程度、损坏程度以及甲方遭受损失的数额，经双方协商确定降低标的物的价格。</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用符合规格、质量和性能要求的新零件、部件或标的物来更换有缺陷的部分或修补缺陷部分，乙方应承担一切费用和风险并且负担甲方所发生的一切损失。同时，乙方应按合同规定，相应延长修补或被更换部件或标的物的质量保证期。</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、特别约定：乙方在履行合同过程中，应安排专人负责现场安全，期间发生的一切安全事故均由乙方自行承担全部责任，与甲方无关。</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、合同的解除和转让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1、甲方和乙方协商一致，可以解除合同。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2、有下列情形之一，合同一方可以解除合同：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因不可抗力或政策变化致使不能实现合同目的，未受不可抗力或政策变化影响的一方有权解除合同；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因合同一方违约导致合同不能履行，另一方有权解除合同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有权解除合同的一方，应当在违约事实或不可抗力发生之后三十天内书面通知对方以主张解除合同，合同在书面通知到达对方时解除。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3、合同的部分和全部都不得转让。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、合同生效及其它：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1、合同经甲乙双方代表签字并加盖公章（或合同章）后即生效，同时须上传网上公示。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2、苏州睿乔招投标咨询服务有限公司代理的项目编号为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JSZC-320508-SZRQ-G2024-0039</w:t>
      </w:r>
      <w:r>
        <w:rPr>
          <w:rFonts w:hint="eastAsia" w:ascii="宋体" w:hAnsi="宋体" w:eastAsia="宋体" w:cs="宋体"/>
          <w:color w:val="auto"/>
          <w:sz w:val="24"/>
          <w:szCs w:val="24"/>
          <w:highlight w:val="none"/>
        </w:rPr>
        <w:t xml:space="preserve">公开招标文件及该文件的响应文件是本合同不可分割的组成部分。如上述文件与本合同内容不一致，双方认可按照本合同约定内容执行。合同在执行过程中出现的未尽事宜，双方在不违背本合同和招标文件的原则下协商解决，协商结果以书面形式盖章记录在案，作为本合同的附件，与本合同具有同等效力，但需向甲方提交二份备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bookmarkStart w:id="7" w:name="_Hlk167699366"/>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份，甲方执两份，乙方执</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val="en-US" w:eastAsia="zh-CN"/>
        </w:rPr>
        <w:t xml:space="preserve">招标代理公司一份，财政监管部门一份</w:t>
      </w:r>
      <w:r>
        <w:rPr>
          <w:rFonts w:hint="eastAsia" w:ascii="宋体" w:hAnsi="宋体" w:eastAsia="宋体" w:cs="宋体"/>
          <w:color w:val="auto"/>
          <w:sz w:val="24"/>
          <w:szCs w:val="24"/>
          <w:highlight w:val="none"/>
        </w:rPr>
        <w:t xml:space="preserve">。</w:t>
      </w:r>
      <w:bookmarkEnd w:id="7"/>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合同签定地：苏州市市政施设管理处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乙方：（盖章）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代表签名：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代表签名：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pStyle w:val="882"/>
        <w:jc w:val="center"/>
        <w:spacing w:after="312" w:line="480" w:lineRule="auto"/>
        <w:tabs>
          <w:tab w:val="right" w:pos="8302" w:leader="dot"/>
        </w:tabs>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2"/>
        <w:jc w:val="center"/>
        <w:spacing w:after="312" w:line="480" w:lineRule="auto"/>
        <w:tabs>
          <w:tab w:val="right" w:pos="8302" w:leader="dot"/>
        </w:tabs>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2"/>
        <w:jc w:val="center"/>
        <w:spacing w:after="312" w:line="480" w:lineRule="auto"/>
        <w:tabs>
          <w:tab w:val="right" w:pos="8302" w:leader="dot"/>
        </w:tabs>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2"/>
        <w:jc w:val="center"/>
        <w:spacing w:after="312" w:line="480" w:lineRule="auto"/>
        <w:tabs>
          <w:tab w:val="right" w:pos="8302" w:leader="dot"/>
        </w:tabs>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2"/>
        <w:jc w:val="center"/>
        <w:spacing w:after="312" w:line="480" w:lineRule="auto"/>
        <w:tabs>
          <w:tab w:val="right" w:pos="8302" w:leader="dot"/>
        </w:tabs>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2"/>
        <w:jc w:val="center"/>
        <w:spacing w:after="312" w:line="480" w:lineRule="auto"/>
        <w:tabs>
          <w:tab w:val="right" w:pos="8302" w:leader="dot"/>
        </w:tabs>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2"/>
        <w:jc w:val="center"/>
        <w:spacing w:after="312" w:line="480" w:lineRule="auto"/>
        <w:tabs>
          <w:tab w:val="right" w:pos="8302" w:leader="dot"/>
        </w:tabs>
        <w:rPr>
          <w:rStyle w:val="858"/>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2"/>
        <w:jc w:val="center"/>
        <w:spacing w:after="312" w:line="480" w:lineRule="auto"/>
        <w:tabs>
          <w:tab w:val="right" w:pos="8302" w:leader="dot"/>
        </w:tabs>
        <w:rPr>
          <w:rFonts w:hint="eastAsia" w:ascii="宋体" w:hAnsi="宋体" w:eastAsia="宋体" w:cs="宋体"/>
          <w:b/>
          <w:color w:val="auto"/>
          <w:sz w:val="32"/>
          <w:szCs w:val="32"/>
          <w:highlight w:val="none"/>
        </w:rPr>
      </w:pPr>
      <w:r>
        <w:rPr>
          <w:rStyle w:val="858"/>
          <w:rFonts w:hint="eastAsia" w:ascii="宋体" w:hAnsi="宋体" w:eastAsia="宋体" w:cs="宋体"/>
          <w:color w:val="auto"/>
          <w:sz w:val="32"/>
          <w:szCs w:val="32"/>
          <w:highlight w:val="none"/>
        </w:rPr>
        <w:t xml:space="preserve">第六章  评标办法及评分标准</w:t>
      </w:r>
      <w:r/>
    </w:p>
    <w:p>
      <w:pPr>
        <w:spacing w:line="360" w:lineRule="auto"/>
        <w:rPr>
          <w:rFonts w:hint="eastAsia" w:ascii="宋体" w:hAnsi="宋体" w:eastAsia="宋体" w:cs="宋体"/>
          <w:bCs/>
          <w:color w:val="auto"/>
          <w:sz w:val="24"/>
          <w:highlight w:val="none"/>
        </w:rPr>
      </w:pPr>
      <w:r/>
      <w:bookmarkStart w:id="8" w:name="_Toc179806444"/>
      <w:r/>
      <w:bookmarkStart w:id="9" w:name="_Toc163571923"/>
      <w:r>
        <w:rPr>
          <w:rFonts w:hint="eastAsia" w:ascii="宋体" w:hAnsi="宋体" w:eastAsia="宋体" w:cs="宋体"/>
          <w:bCs/>
          <w:color w:val="auto"/>
          <w:sz w:val="24"/>
          <w:highlight w:val="none"/>
        </w:rPr>
        <w:t xml:space="preserve">一、评标办法</w:t>
      </w:r>
      <w:bookmarkEnd w:id="8"/>
      <w:r/>
      <w:bookmarkEnd w:id="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3、对评委的评分（除价格分外）进行统计汇总，评委人数在</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人的，直接算术平均计算得分。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5、针对小型、微型企业的价格评审办法：</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根据《关于印发&lt;苏州市政府采购促进中小企业发展实施意见&gt;的通知》（苏财购〔2022〕16号）相关要求，本项目为专门面向中小企业采购的项目，不再执行价格评审优惠的扶持政策。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本次招标中，投标单位如为残疾人福利性单位，则视同小型、微型企业。向残疾人福利性单位采购的金额，计入面向中小企业采购的统计数据。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本次招标中，投标单位如为监狱企业，则视同小型、微型企业。向监狱企业采购的金额，计入面向中小企业采购的统计数据。</w:t>
      </w:r>
      <w:r/>
    </w:p>
    <w:p>
      <w:pPr>
        <w:ind w:right="-15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①填报“中小企业声明函”需严格按“工信部联企业〔2011〕300号通知中的《中小企业划型标准规定》进行。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②若投标人提供的 “中小企业声明函” 或认定证明为虚假声明则视同提供虚假材料，按“政府采购法”相关规定处理并报请政府监管部门给予行政处罚。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③根据《关于印发&lt;苏州市政府采购促进中小企业发展实施意见&gt;的通知》（苏财购〔2022〕16号）相关要求，本项目为专门面向中小企业采购的项目，不再执行价格评审优惠的扶持政策。</w:t>
      </w:r>
      <w:r/>
    </w:p>
    <w:p>
      <w:pPr>
        <w:numPr>
          <w:ilvl w:val="0"/>
          <w:numId w:val="3"/>
        </w:numPr>
        <w:ind w:right="-15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评分标准</w:t>
      </w:r>
      <w:r/>
    </w:p>
    <w:p>
      <w:pPr>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（一）价格基准分</w:t>
      </w: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第一步：投标总报价低于或等于采购预算价格的，为有效投标报价。超采购预算的投标报价为无效投标报价。无效投标报价的投标文件不进行评审，也不得标。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第二步：价格分采用低价优先法计算，即满足招标文件要求且投标价格最低的投标报价为评标基准价，其价格分为满分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分。其他投标人的价格分统一按照下列公式计算：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投标报价得分=（评标基准价/投标报价）*价格权值*100，小数点后保留两位（价格权值为</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（二）综合实力比较（20分）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1、技术能力比较（5分）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（1）在满足招标文件★技术参数基础上，平均隔声量≥35dB的得1分。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（2）在满足招标文件★技术参数基础上，平均降噪系数＞0.9的得1分，平均降噪系数≥0.95的得2分。本项最高2分。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（3）在满足招标文件★技术参数基础上，提供4200小时及以上盐雾试验的得2分。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注：上述（1）-（3）需提供具有检验检测能力的权威机构出具的检测报告，未提供不得分。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2、投标人具有有效期内的质量管理、环境管理、职业健康管理体系认证证书，有一项得1分，本项最高3分，未提供不得分。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3、企业业绩：10分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投标人2019年1月1日（以签订的合同日期为准）至今类似项目供货及安装业绩，提供合同及竣工（交货）验收证明资料，有一份得2分，最高10分。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4、产品质保期限：在满足招标文件基础上，免费质保期每增加一年的得1分，最高得2分。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（三）技术质量（16分）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1、产品质量控制方案及质量承诺：8分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产品质量控制及承诺方案。内容包括不限于质量保证、制作工序质量控制、外观检验、声学性能检验、物理性能检验及产品质量承诺。提供方案完善、内容最齐全、控制最合理的得8分；提供方案完善的得4分；提供方案简单，配置一般的得1分；方案差和无方案不得分。</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2、产品质量保障：8分</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提供从原料到成品（含包装）的制造、加工流程及所使用设备的先进性和齐全性及现场生产环境布局等材料评定。对产品加工流程介绍详细、使用设备先进且齐全，现场生产环境布局整洁合理的得8分；对产品加工流程有部分介绍、但对使用设备介绍模糊，现场生产环境布局简单的得4分；对产品加工流程介绍简单、使用设备陈旧、现场生产环境局部差乱的得1分；未提供的不得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（四）投标产品质保及售后服务比较（26分）</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售后服务：根据所提供售后服务方案的完整性、可靠性、与本项目实际需要相适应等方面综合分析比较打分。提供售后服务方案完善、售后内容配置最齐全、流程最合理的得9分；提供售后服务方案较完善的得4分；提供售后服务方案简单，售后内容配置薄弱的得1分。</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承诺质保期备品备件保用年限及提供质保期满后常用配件、易损件比较，提供备品备件和常用配件、易损件品种丰富、配备齐全、符合实际使用情况、实用性强的得9分；提供配件较齐全、实用性较强的得4分；有备品备件明细，配备不齐全，实用性不强的得1分，未提供不得分。</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3、提供针对本项目的培训及技术支持,内容科学合理、针对性强、条理清晰的得8分；内容较为合理、有简单条理分析的得4分；内容有涉及但不合理、针对性不强的得1分，未提供不得分。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(五)产品安装服务能力（8分）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1、投标人提供主要安装方法，</w:t>
      </w:r>
      <w:bookmarkStart w:id="10" w:name="_GoBack"/>
      <w:r/>
      <w:bookmarkEnd w:id="10"/>
      <w:r>
        <w:rPr>
          <w:rFonts w:hint="eastAsia" w:ascii="宋体" w:hAnsi="宋体" w:eastAsia="宋体" w:cs="宋体"/>
          <w:color w:val="auto"/>
          <w:sz w:val="24"/>
          <w:szCs w:val="24"/>
          <w:highlight w:val="none"/>
        </w:rPr>
        <w:t xml:space="preserve">针对项目具体情况选择安装工艺，由评委会综合打分：全面、针对性强、可行性高的得4分；较全面、针对性较强、可行性较高的得2分；需要进一步完善的得 1 分；未提供相关内容的不得分。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2、投标人提供占道安装作业区域桥上、桥下道路封闭组织方案，隔离、警示、导流等安全设施布置措施及安装前封闭导改交通、安装撤场后放行交通的 现场组织实施流程，由评委会综合打分：方案科学完善、切实可行、针对性强、安全防护设施等布置完善的得4分；方案科学完善、切实可行、针对性强的得2分；方案有可实施性但需要 进一步完善的得1分；未提供相关内容不得分。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注：针对评分标准中评分的每一条，投标人在投标文件中均应提供真实的资料并做出相应说明供评委评判，不提供相关资料的视为不具备该项得分的条件。</w:t>
      </w:r>
      <w:r/>
    </w:p>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（全文完）</w:t>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libri Light">
    <w:panose1 w:val="020F0302020204030204"/>
  </w:font>
  <w:font w:name="Courier New">
    <w:panose1 w:val="02070309020205020404"/>
  </w:font>
  <w:font w:name="仿宋_GB2312">
    <w:panose1 w:val="02010609060101010101"/>
  </w:font>
  <w:font w:name="Arial">
    <w:panose1 w:val="020B0604020202020204"/>
  </w:font>
  <w:font w:name="Calibri">
    <w:panose1 w:val="020F0502020204030204"/>
  </w:font>
  <w:font w:name="华文仿宋">
    <w:panose1 w:val="02010600040101010101"/>
  </w:font>
  <w:font w:name="幼圆_GB2312">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etween w:val="none" w:color="000000" w:sz="0" w:space="0"/>
      </w:pBdr>
      <w:framePr w:wrap="around" w:vAnchor="text" w:hAnchor="margin" w:xAlign="center" w:y="1"/>
    </w:pPr>
    <w:r>
      <w:fldChar w:fldCharType="begin"/>
    </w:r>
    <w:r>
      <w:rPr>
        <w:rStyle w:val="864"/>
      </w:rPr>
      <w:instrText xml:space="preserve"> PAGE  </w:instrText>
    </w:r>
    <w:r>
      <w:fldChar w:fldCharType="separate"/>
    </w:r>
    <w:r>
      <w:rPr>
        <w:rStyle w:val="864"/>
      </w:rPr>
      <w:t xml:space="preserve">- 195 -</w:t>
    </w:r>
    <w:r>
      <w:fldChar w:fldCharType="end"/>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next w:val="670"/>
    <w:link w:val="875"/>
    <w:uiPriority w:val="0"/>
    <w:qFormat/>
    <w:pPr>
      <w:jc w:val="both"/>
      <w:widowControl w:val="off"/>
    </w:pPr>
    <w:rPr>
      <w:rFonts w:hint="default" w:ascii="Calibri" w:hAnsi="Calibri" w:eastAsia="宋体" w:cs="Times New Roman"/>
      <w:sz w:val="21"/>
      <w:szCs w:val="24"/>
      <w:lang w:val="en-US" w:eastAsia="zh-CN" w:bidi="ar-SA"/>
    </w:rPr>
  </w:style>
  <w:style w:type="paragraph" w:styleId="659">
    <w:name w:val="Heading 1"/>
    <w:basedOn w:val="658"/>
    <w:next w:val="658"/>
    <w:link w:val="707"/>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708"/>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link w:val="709"/>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710"/>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11"/>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12"/>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13"/>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14"/>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15"/>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Layout w:type="fixed"/>
      <w:tblCellMar>
        <w:left w:w="108" w:type="dxa"/>
        <w:top w:w="0" w:type="dxa"/>
        <w:right w:w="108" w:type="dxa"/>
        <w:bottom w:w="0" w:type="dxa"/>
      </w:tblCellMar>
    </w:tblPr>
  </w:style>
  <w:style w:type="paragraph" w:styleId="670" w:customStyle="1">
    <w:name w:val="段"/>
    <w:next w:val="658"/>
    <w:uiPriority w:val="0"/>
    <w:qFormat/>
    <w:pPr>
      <w:ind w:firstLine="200"/>
      <w:jc w:val="both"/>
    </w:pPr>
    <w:rPr>
      <w:rFonts w:hint="default" w:ascii="宋体" w:hAnsi="Calibri" w:eastAsia="宋体" w:cs="Times New Roman"/>
      <w:sz w:val="21"/>
      <w:lang w:val="en-US" w:eastAsia="zh-CN" w:bidi="ar-SA"/>
    </w:rPr>
  </w:style>
  <w:style w:type="paragraph" w:styleId="671">
    <w:name w:val="toc 7"/>
    <w:basedOn w:val="658"/>
    <w:next w:val="658"/>
    <w:uiPriority w:val="39"/>
    <w:unhideWhenUsed/>
    <w:qFormat/>
    <w:pPr>
      <w:ind w:left="1701" w:right="0" w:firstLine="0"/>
      <w:spacing w:after="57"/>
    </w:pPr>
  </w:style>
  <w:style w:type="paragraph" w:styleId="672">
    <w:name w:val="Normal Indent"/>
    <w:basedOn w:val="658"/>
    <w:next w:val="658"/>
    <w:uiPriority w:val="0"/>
    <w:qFormat/>
    <w:pPr>
      <w:ind w:firstLine="200"/>
    </w:pPr>
    <w:rPr>
      <w:sz w:val="24"/>
    </w:rPr>
  </w:style>
  <w:style w:type="paragraph" w:styleId="673">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4">
    <w:name w:val="Body Text"/>
    <w:basedOn w:val="658"/>
    <w:next w:val="672"/>
    <w:uiPriority w:val="0"/>
    <w:qFormat/>
    <w:pPr>
      <w:spacing w:after="120"/>
    </w:pPr>
  </w:style>
  <w:style w:type="paragraph" w:styleId="675">
    <w:name w:val="Body Text Indent"/>
    <w:basedOn w:val="658"/>
    <w:next w:val="676"/>
    <w:uiPriority w:val="0"/>
    <w:unhideWhenUsed/>
    <w:qFormat/>
    <w:pPr>
      <w:ind w:left="420"/>
      <w:spacing w:after="120"/>
    </w:pPr>
    <w:rPr>
      <w:rFonts w:ascii="宋体" w:hAnsi="宋体" w:cs="宋体"/>
    </w:rPr>
  </w:style>
  <w:style w:type="paragraph" w:styleId="676" w:customStyle="1">
    <w:name w:val="目录 51"/>
    <w:next w:val="658"/>
    <w:uiPriority w:val="0"/>
    <w:qFormat/>
    <w:pPr>
      <w:ind w:left="1275"/>
      <w:jc w:val="both"/>
    </w:pPr>
    <w:rPr>
      <w:rFonts w:hint="default" w:ascii="Calibri" w:hAnsi="Calibri" w:eastAsia="宋体" w:cs="Times New Roman"/>
      <w:sz w:val="21"/>
      <w:lang w:val="en-US" w:eastAsia="zh-CN" w:bidi="ar-SA"/>
    </w:rPr>
  </w:style>
  <w:style w:type="paragraph" w:styleId="677">
    <w:name w:val="Block Text"/>
    <w:basedOn w:val="658"/>
    <w:uiPriority w:val="0"/>
    <w:qFormat/>
    <w:pPr>
      <w:ind w:left="630" w:right="-609" w:firstLine="420"/>
      <w:spacing w:line="360" w:lineRule="auto"/>
    </w:pPr>
    <w:rPr>
      <w:rFonts w:hint="eastAsia" w:ascii="仿宋_GB2312" w:hAnsi="Times New Roman" w:eastAsia="仿宋_GB2312" w:cs="Times New Roman"/>
      <w:szCs w:val="20"/>
    </w:rPr>
  </w:style>
  <w:style w:type="paragraph" w:styleId="678">
    <w:name w:val="toc 5"/>
    <w:basedOn w:val="658"/>
    <w:next w:val="658"/>
    <w:uiPriority w:val="39"/>
    <w:unhideWhenUsed/>
    <w:qFormat/>
    <w:pPr>
      <w:ind w:left="1134" w:right="0" w:firstLine="0"/>
      <w:spacing w:after="57"/>
    </w:pPr>
  </w:style>
  <w:style w:type="paragraph" w:styleId="679">
    <w:name w:val="toc 3"/>
    <w:basedOn w:val="658"/>
    <w:next w:val="658"/>
    <w:uiPriority w:val="39"/>
    <w:unhideWhenUsed/>
    <w:qFormat/>
    <w:pPr>
      <w:ind w:left="567" w:right="0" w:firstLine="0"/>
      <w:spacing w:after="57"/>
    </w:pPr>
  </w:style>
  <w:style w:type="paragraph" w:styleId="680">
    <w:name w:val="Plain Text"/>
    <w:basedOn w:val="658"/>
    <w:uiPriority w:val="0"/>
    <w:qFormat/>
    <w:rPr>
      <w:rFonts w:ascii="宋体" w:hAnsi="Courier New" w:cs="Times New Roman"/>
    </w:rPr>
  </w:style>
  <w:style w:type="paragraph" w:styleId="681">
    <w:name w:val="toc 8"/>
    <w:basedOn w:val="658"/>
    <w:next w:val="658"/>
    <w:uiPriority w:val="39"/>
    <w:unhideWhenUsed/>
    <w:qFormat/>
    <w:pPr>
      <w:ind w:left="1984" w:right="0" w:firstLine="0"/>
      <w:spacing w:after="57"/>
    </w:pPr>
  </w:style>
  <w:style w:type="paragraph" w:styleId="682">
    <w:name w:val="Body Text Indent 2"/>
    <w:basedOn w:val="658"/>
    <w:uiPriority w:val="0"/>
    <w:qFormat/>
    <w:pPr>
      <w:ind w:left="1" w:firstLine="480"/>
      <w:spacing w:line="400" w:lineRule="exact"/>
      <w:tabs>
        <w:tab w:val="left" w:pos="360" w:leader="none"/>
      </w:tabs>
    </w:pPr>
    <w:rPr>
      <w:rFonts w:ascii="Times New Roman" w:hAnsi="Times New Roman" w:cs="Times New Roman"/>
      <w:sz w:val="24"/>
    </w:rPr>
  </w:style>
  <w:style w:type="paragraph" w:styleId="683">
    <w:name w:val="endnote text"/>
    <w:basedOn w:val="658"/>
    <w:link w:val="853"/>
    <w:uiPriority w:val="99"/>
    <w:semiHidden/>
    <w:unhideWhenUsed/>
    <w:qFormat/>
    <w:pPr>
      <w:spacing w:after="0" w:line="240" w:lineRule="auto"/>
    </w:pPr>
    <w:rPr>
      <w:sz w:val="20"/>
    </w:rPr>
  </w:style>
  <w:style w:type="paragraph" w:styleId="684">
    <w:name w:val="Footer"/>
    <w:basedOn w:val="658"/>
    <w:link w:val="726"/>
    <w:uiPriority w:val="99"/>
    <w:unhideWhenUsed/>
    <w:qFormat/>
    <w:pPr>
      <w:spacing w:after="0" w:line="240" w:lineRule="auto"/>
      <w:tabs>
        <w:tab w:val="center" w:pos="7143" w:leader="none"/>
        <w:tab w:val="right" w:pos="14287" w:leader="none"/>
      </w:tabs>
    </w:pPr>
  </w:style>
  <w:style w:type="paragraph" w:styleId="685">
    <w:name w:val="Body Text First Indent 2"/>
    <w:basedOn w:val="675"/>
    <w:uiPriority w:val="99"/>
    <w:unhideWhenUsed/>
    <w:qFormat/>
    <w:pPr>
      <w:ind w:firstLine="420"/>
    </w:pPr>
  </w:style>
  <w:style w:type="paragraph" w:styleId="686">
    <w:name w:val="Header"/>
    <w:basedOn w:val="658"/>
    <w:link w:val="724"/>
    <w:uiPriority w:val="99"/>
    <w:unhideWhenUsed/>
    <w:qFormat/>
    <w:pPr>
      <w:spacing w:after="0" w:line="240" w:lineRule="auto"/>
      <w:tabs>
        <w:tab w:val="center" w:pos="7143" w:leader="none"/>
        <w:tab w:val="right" w:pos="14287" w:leader="none"/>
      </w:tabs>
    </w:pPr>
  </w:style>
  <w:style w:type="paragraph" w:styleId="687">
    <w:name w:val="toc 1"/>
    <w:basedOn w:val="658"/>
    <w:next w:val="658"/>
    <w:uiPriority w:val="39"/>
    <w:unhideWhenUsed/>
    <w:qFormat/>
    <w:pPr>
      <w:ind w:left="0" w:right="0" w:firstLine="0"/>
      <w:spacing w:after="57"/>
    </w:pPr>
  </w:style>
  <w:style w:type="paragraph" w:styleId="688">
    <w:name w:val="toc 4"/>
    <w:basedOn w:val="658"/>
    <w:next w:val="658"/>
    <w:uiPriority w:val="39"/>
    <w:unhideWhenUsed/>
    <w:qFormat/>
    <w:pPr>
      <w:ind w:left="850" w:right="0" w:firstLine="0"/>
      <w:spacing w:after="57"/>
    </w:pPr>
  </w:style>
  <w:style w:type="paragraph" w:styleId="689">
    <w:name w:val="Subtitle"/>
    <w:basedOn w:val="658"/>
    <w:next w:val="658"/>
    <w:link w:val="719"/>
    <w:uiPriority w:val="11"/>
    <w:qFormat/>
    <w:pPr>
      <w:spacing w:before="200" w:after="200"/>
    </w:pPr>
    <w:rPr>
      <w:sz w:val="24"/>
      <w:szCs w:val="24"/>
    </w:rPr>
  </w:style>
  <w:style w:type="paragraph" w:styleId="690">
    <w:name w:val="List"/>
    <w:basedOn w:val="658"/>
    <w:uiPriority w:val="0"/>
    <w:qFormat/>
    <w:pPr>
      <w:jc w:val="center"/>
      <w:spacing w:line="20" w:lineRule="atLeast"/>
    </w:pPr>
    <w:rPr>
      <w:rFonts w:ascii="Arial" w:hAnsi="Arial" w:eastAsia="幼圆_GB2312"/>
      <w:sz w:val="18"/>
      <w:szCs w:val="24"/>
    </w:rPr>
  </w:style>
  <w:style w:type="paragraph" w:styleId="691">
    <w:name w:val="footnote text"/>
    <w:basedOn w:val="658"/>
    <w:link w:val="852"/>
    <w:uiPriority w:val="99"/>
    <w:semiHidden/>
    <w:unhideWhenUsed/>
    <w:qFormat/>
    <w:pPr>
      <w:spacing w:after="40" w:line="240" w:lineRule="auto"/>
    </w:pPr>
    <w:rPr>
      <w:sz w:val="18"/>
    </w:rPr>
  </w:style>
  <w:style w:type="paragraph" w:styleId="692">
    <w:name w:val="toc 6"/>
    <w:basedOn w:val="658"/>
    <w:next w:val="658"/>
    <w:uiPriority w:val="39"/>
    <w:unhideWhenUsed/>
    <w:qFormat/>
    <w:pPr>
      <w:ind w:left="1417" w:right="0" w:firstLine="0"/>
      <w:spacing w:after="57"/>
    </w:pPr>
  </w:style>
  <w:style w:type="paragraph" w:styleId="693">
    <w:name w:val="Body Text Indent 3"/>
    <w:basedOn w:val="658"/>
    <w:uiPriority w:val="0"/>
    <w:qFormat/>
    <w:pPr>
      <w:ind w:firstLine="480"/>
      <w:jc w:val="left"/>
      <w:spacing w:line="440" w:lineRule="atLeast"/>
    </w:pPr>
    <w:rPr>
      <w:rFonts w:ascii="Times New Roman" w:hAnsi="Times New Roman" w:cs="宋体"/>
      <w:sz w:val="24"/>
    </w:rPr>
  </w:style>
  <w:style w:type="paragraph" w:styleId="694">
    <w:name w:val="table of figures"/>
    <w:basedOn w:val="658"/>
    <w:next w:val="658"/>
    <w:uiPriority w:val="99"/>
    <w:unhideWhenUsed/>
    <w:qFormat/>
    <w:pPr>
      <w:spacing w:after="0" w:afterAutospacing="0"/>
    </w:pPr>
  </w:style>
  <w:style w:type="paragraph" w:styleId="695">
    <w:name w:val="toc 2"/>
    <w:basedOn w:val="658"/>
    <w:next w:val="658"/>
    <w:uiPriority w:val="39"/>
    <w:unhideWhenUsed/>
    <w:qFormat/>
    <w:pPr>
      <w:ind w:left="283" w:right="0" w:firstLine="0"/>
      <w:spacing w:after="57"/>
    </w:pPr>
  </w:style>
  <w:style w:type="paragraph" w:styleId="696">
    <w:name w:val="toc 9"/>
    <w:basedOn w:val="658"/>
    <w:next w:val="658"/>
    <w:uiPriority w:val="39"/>
    <w:unhideWhenUsed/>
    <w:qFormat/>
    <w:pPr>
      <w:ind w:left="2268" w:right="0" w:firstLine="0"/>
      <w:spacing w:after="57"/>
    </w:pPr>
  </w:style>
  <w:style w:type="paragraph" w:styleId="697">
    <w:name w:val="Normal (Web)"/>
    <w:basedOn w:val="658"/>
    <w:uiPriority w:val="0"/>
    <w:qFormat/>
    <w:pPr>
      <w:jc w:val="left"/>
      <w:spacing w:before="100" w:beforeAutospacing="1" w:after="100" w:afterAutospacing="1"/>
      <w:widowControl/>
    </w:pPr>
    <w:rPr>
      <w:rFonts w:ascii="宋体" w:hAnsi="宋体" w:eastAsia="宋体" w:cs="Times New Roman"/>
      <w:sz w:val="24"/>
    </w:rPr>
  </w:style>
  <w:style w:type="paragraph" w:styleId="698">
    <w:name w:val="Title"/>
    <w:basedOn w:val="658"/>
    <w:next w:val="658"/>
    <w:link w:val="718"/>
    <w:uiPriority w:val="10"/>
    <w:qFormat/>
    <w:pPr>
      <w:contextualSpacing/>
      <w:spacing w:before="300" w:after="200"/>
    </w:pPr>
    <w:rPr>
      <w:sz w:val="48"/>
      <w:szCs w:val="48"/>
    </w:rPr>
  </w:style>
  <w:style w:type="character" w:styleId="699">
    <w:name w:val="endnote reference"/>
    <w:uiPriority w:val="99"/>
    <w:semiHidden/>
    <w:unhideWhenUsed/>
    <w:qFormat/>
    <w:rPr>
      <w:vertAlign w:val="superscript"/>
    </w:rPr>
  </w:style>
  <w:style w:type="character" w:styleId="700">
    <w:name w:val="FollowedHyperlink"/>
    <w:basedOn w:val="668"/>
    <w:uiPriority w:val="99"/>
    <w:semiHidden/>
    <w:unhideWhenUsed/>
    <w:qFormat/>
    <w:rPr>
      <w:color w:val="333333"/>
      <w:u w:val="none"/>
    </w:rPr>
  </w:style>
  <w:style w:type="character" w:styleId="701">
    <w:name w:val="Emphasis"/>
    <w:basedOn w:val="668"/>
    <w:uiPriority w:val="20"/>
    <w:qFormat/>
  </w:style>
  <w:style w:type="character" w:styleId="702">
    <w:name w:val="Hyperlink"/>
    <w:uiPriority w:val="99"/>
    <w:unhideWhenUsed/>
    <w:qFormat/>
    <w:rPr>
      <w:color w:val="0000ff" w:themeColor="hyperlink"/>
      <w:u w:val="single"/>
      <w14:textFill>
        <w14:solidFill>
          <w14:schemeClr w14:val="hlink"/>
        </w14:solidFill>
      </w14:textFill>
    </w:rPr>
  </w:style>
  <w:style w:type="character" w:styleId="703">
    <w:name w:val="footnote reference"/>
    <w:uiPriority w:val="99"/>
    <w:unhideWhenUsed/>
    <w:qFormat/>
    <w:rPr>
      <w:vertAlign w:val="superscript"/>
    </w:rPr>
  </w:style>
  <w:style w:type="table" w:styleId="7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05" w:customStyle="1">
    <w:name w:val="正文1"/>
    <w:basedOn w:val="658"/>
    <w:next w:val="658"/>
    <w:uiPriority w:val="0"/>
    <w:qFormat/>
    <w:pPr>
      <w:ind w:firstLine="480"/>
      <w:spacing w:line="440" w:lineRule="exact"/>
    </w:pPr>
    <w:rPr>
      <w:rFonts w:ascii="Times New Roman" w:hAnsi="Times New Roman" w:cs="Times New Roman"/>
      <w:bCs/>
      <w:color w:val="000000"/>
      <w:sz w:val="24"/>
      <w:szCs w:val="32"/>
    </w:rPr>
  </w:style>
  <w:style w:type="paragraph" w:styleId="706" w:customStyle="1">
    <w:name w:val="文本块1"/>
    <w:basedOn w:val="658"/>
    <w:uiPriority w:val="0"/>
    <w:qFormat/>
    <w:pPr>
      <w:ind w:left="630" w:right="-609" w:firstLine="420"/>
      <w:spacing w:line="360" w:lineRule="auto"/>
    </w:pPr>
    <w:rPr>
      <w:rFonts w:hint="eastAsia" w:ascii="仿宋_GB2312" w:hAnsi="Times New Roman" w:eastAsia="仿宋_GB2312" w:cs="Times New Roman"/>
      <w:szCs w:val="20"/>
    </w:rPr>
  </w:style>
  <w:style w:type="character" w:styleId="707" w:customStyle="1">
    <w:name w:val="Heading 1 Char"/>
    <w:link w:val="659"/>
    <w:uiPriority w:val="9"/>
    <w:qFormat/>
    <w:rPr>
      <w:rFonts w:ascii="Arial" w:hAnsi="Arial" w:eastAsia="Arial" w:cs="Arial"/>
      <w:sz w:val="40"/>
      <w:szCs w:val="40"/>
    </w:rPr>
  </w:style>
  <w:style w:type="character" w:styleId="708" w:customStyle="1">
    <w:name w:val="Heading 2 Char"/>
    <w:link w:val="660"/>
    <w:uiPriority w:val="9"/>
    <w:qFormat/>
    <w:rPr>
      <w:rFonts w:ascii="Arial" w:hAnsi="Arial" w:eastAsia="Arial" w:cs="Arial"/>
      <w:sz w:val="34"/>
    </w:rPr>
  </w:style>
  <w:style w:type="character" w:styleId="709" w:customStyle="1">
    <w:name w:val="Heading 3 Char"/>
    <w:link w:val="661"/>
    <w:uiPriority w:val="9"/>
    <w:qFormat/>
    <w:rPr>
      <w:rFonts w:ascii="Arial" w:hAnsi="Arial" w:eastAsia="Arial" w:cs="Arial"/>
      <w:sz w:val="30"/>
      <w:szCs w:val="30"/>
    </w:rPr>
  </w:style>
  <w:style w:type="character" w:styleId="710" w:customStyle="1">
    <w:name w:val="Heading 4 Char"/>
    <w:link w:val="662"/>
    <w:uiPriority w:val="9"/>
    <w:qFormat/>
    <w:rPr>
      <w:rFonts w:ascii="Arial" w:hAnsi="Arial" w:eastAsia="Arial" w:cs="Arial"/>
      <w:b/>
      <w:bCs/>
      <w:sz w:val="26"/>
      <w:szCs w:val="26"/>
    </w:rPr>
  </w:style>
  <w:style w:type="character" w:styleId="711" w:customStyle="1">
    <w:name w:val="Heading 5 Char"/>
    <w:link w:val="663"/>
    <w:uiPriority w:val="9"/>
    <w:qFormat/>
    <w:rPr>
      <w:rFonts w:ascii="Arial" w:hAnsi="Arial" w:eastAsia="Arial" w:cs="Arial"/>
      <w:b/>
      <w:bCs/>
      <w:sz w:val="24"/>
      <w:szCs w:val="24"/>
    </w:rPr>
  </w:style>
  <w:style w:type="character" w:styleId="712" w:customStyle="1">
    <w:name w:val="Heading 6 Char"/>
    <w:link w:val="664"/>
    <w:uiPriority w:val="9"/>
    <w:qFormat/>
    <w:rPr>
      <w:rFonts w:ascii="Arial" w:hAnsi="Arial" w:eastAsia="Arial" w:cs="Arial"/>
      <w:b/>
      <w:bCs/>
      <w:sz w:val="22"/>
      <w:szCs w:val="22"/>
    </w:rPr>
  </w:style>
  <w:style w:type="character" w:styleId="713" w:customStyle="1">
    <w:name w:val="Heading 7 Char"/>
    <w:link w:val="665"/>
    <w:uiPriority w:val="9"/>
    <w:qFormat/>
    <w:rPr>
      <w:rFonts w:ascii="Arial" w:hAnsi="Arial" w:eastAsia="Arial" w:cs="Arial"/>
      <w:b/>
      <w:bCs/>
      <w:i/>
      <w:iCs/>
      <w:sz w:val="22"/>
      <w:szCs w:val="22"/>
    </w:rPr>
  </w:style>
  <w:style w:type="character" w:styleId="714" w:customStyle="1">
    <w:name w:val="Heading 8 Char"/>
    <w:link w:val="666"/>
    <w:uiPriority w:val="9"/>
    <w:qFormat/>
    <w:rPr>
      <w:rFonts w:ascii="Arial" w:hAnsi="Arial" w:eastAsia="Arial" w:cs="Arial"/>
      <w:i/>
      <w:iCs/>
      <w:sz w:val="22"/>
      <w:szCs w:val="22"/>
    </w:rPr>
  </w:style>
  <w:style w:type="character" w:styleId="715" w:customStyle="1">
    <w:name w:val="Heading 9 Char"/>
    <w:link w:val="667"/>
    <w:uiPriority w:val="9"/>
    <w:qFormat/>
    <w:rPr>
      <w:rFonts w:ascii="Arial" w:hAnsi="Arial" w:eastAsia="Arial" w:cs="Arial"/>
      <w:i/>
      <w:iCs/>
      <w:sz w:val="21"/>
      <w:szCs w:val="21"/>
    </w:rPr>
  </w:style>
  <w:style w:type="paragraph" w:styleId="716">
    <w:name w:val="List Paragraph"/>
    <w:basedOn w:val="658"/>
    <w:uiPriority w:val="34"/>
    <w:qFormat/>
    <w:pPr>
      <w:contextualSpacing/>
      <w:ind w:left="720"/>
    </w:pPr>
  </w:style>
  <w:style w:type="paragraph" w:styleId="717">
    <w:name w:val="No Spacing"/>
    <w:uiPriority w:val="1"/>
    <w:qFormat/>
    <w:pPr>
      <w:spacing w:before="0" w:after="0" w:line="240" w:lineRule="auto"/>
    </w:pPr>
    <w:rPr>
      <w:rFonts w:hint="default" w:ascii="Calibri" w:hAnsi="Calibri" w:eastAsia="宋体" w:cs="Times New Roman"/>
    </w:rPr>
  </w:style>
  <w:style w:type="character" w:styleId="718" w:customStyle="1">
    <w:name w:val="Title Char"/>
    <w:link w:val="698"/>
    <w:uiPriority w:val="10"/>
    <w:qFormat/>
    <w:rPr>
      <w:sz w:val="48"/>
      <w:szCs w:val="48"/>
    </w:rPr>
  </w:style>
  <w:style w:type="character" w:styleId="719" w:customStyle="1">
    <w:name w:val="Subtitle Char"/>
    <w:link w:val="689"/>
    <w:uiPriority w:val="11"/>
    <w:qFormat/>
    <w:rPr>
      <w:sz w:val="24"/>
      <w:szCs w:val="24"/>
    </w:rPr>
  </w:style>
  <w:style w:type="paragraph" w:styleId="720">
    <w:name w:val="Quote"/>
    <w:basedOn w:val="658"/>
    <w:next w:val="658"/>
    <w:link w:val="721"/>
    <w:uiPriority w:val="29"/>
    <w:qFormat/>
    <w:pPr>
      <w:ind w:left="720" w:right="720"/>
    </w:pPr>
    <w:rPr>
      <w:i/>
    </w:rPr>
  </w:style>
  <w:style w:type="character" w:styleId="721" w:customStyle="1">
    <w:name w:val="Quote Char"/>
    <w:link w:val="720"/>
    <w:uiPriority w:val="29"/>
    <w:qFormat/>
    <w:rPr>
      <w:i/>
    </w:rPr>
  </w:style>
  <w:style w:type="paragraph" w:styleId="722">
    <w:name w:val="Intense Quote"/>
    <w:basedOn w:val="658"/>
    <w:next w:val="658"/>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customStyle="1">
    <w:name w:val="Intense Quote Char"/>
    <w:link w:val="722"/>
    <w:uiPriority w:val="30"/>
    <w:qFormat/>
    <w:rPr>
      <w:i/>
    </w:rPr>
  </w:style>
  <w:style w:type="character" w:styleId="724" w:customStyle="1">
    <w:name w:val="Header Char"/>
    <w:link w:val="686"/>
    <w:uiPriority w:val="99"/>
    <w:qFormat/>
  </w:style>
  <w:style w:type="character" w:styleId="725" w:customStyle="1">
    <w:name w:val="Footer Char"/>
    <w:link w:val="684"/>
    <w:uiPriority w:val="99"/>
    <w:qFormat/>
  </w:style>
  <w:style w:type="character" w:styleId="726" w:customStyle="1">
    <w:name w:val="Caption Char"/>
    <w:link w:val="684"/>
    <w:uiPriority w:val="99"/>
    <w:qFormat/>
  </w:style>
  <w:style w:type="table" w:styleId="7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2" w:customStyle="1">
    <w:name w:val="List Table 1 Light"/>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4"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1" w:customStyle="1">
    <w:name w:val="Lined - Accent"/>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Lined - Accent 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Lined - Accent 2"/>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Lined - Accent 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Lined - Accent 4"/>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Lined - Accent 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Lined - Accent 6"/>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2" w:customStyle="1">
    <w:name w:val="Footnote Text Char"/>
    <w:link w:val="691"/>
    <w:uiPriority w:val="99"/>
    <w:qFormat/>
    <w:rPr>
      <w:sz w:val="18"/>
    </w:rPr>
  </w:style>
  <w:style w:type="character" w:styleId="853" w:customStyle="1">
    <w:name w:val="Endnote Text Char"/>
    <w:link w:val="683"/>
    <w:uiPriority w:val="99"/>
    <w:qFormat/>
    <w:rPr>
      <w:sz w:val="20"/>
    </w:rPr>
  </w:style>
  <w:style w:type="paragraph" w:styleId="854" w:customStyle="1">
    <w:name w:val="TOC Heading"/>
    <w:uiPriority w:val="39"/>
    <w:unhideWhenUsed/>
    <w:qFormat/>
    <w:rPr>
      <w:rFonts w:hint="default" w:ascii="Calibri" w:hAnsi="Calibri" w:eastAsia="宋体" w:cs="Times New Roman"/>
    </w:rPr>
  </w:style>
  <w:style w:type="paragraph" w:styleId="855" w:customStyle="1">
    <w:name w:val="标题 21"/>
    <w:basedOn w:val="658"/>
    <w:next w:val="658"/>
    <w:uiPriority w:val="0"/>
    <w:qFormat/>
    <w:pPr>
      <w:keepLines/>
      <w:keepNext/>
      <w:spacing w:before="260" w:after="260" w:line="416" w:lineRule="auto"/>
      <w:outlineLvl w:val="1"/>
    </w:pPr>
    <w:rPr>
      <w:rFonts w:ascii="Calibri Light" w:hAnsi="Calibri Light" w:eastAsia="宋体" w:cs="Times New Roman"/>
      <w:b/>
      <w:bCs/>
      <w:sz w:val="32"/>
      <w:szCs w:val="32"/>
    </w:rPr>
  </w:style>
  <w:style w:type="character" w:styleId="856" w:customStyle="1">
    <w:name w:val="默认段落字体1"/>
    <w:link w:val="658"/>
    <w:uiPriority w:val="0"/>
    <w:semiHidden/>
    <w:qFormat/>
  </w:style>
  <w:style w:type="table" w:styleId="857" w:customStyle="1">
    <w:name w:val="普通表格1"/>
    <w:uiPriority w:val="0"/>
    <w:semiHidden/>
    <w:qFormat/>
    <w:tblPr/>
  </w:style>
  <w:style w:type="character" w:styleId="858" w:customStyle="1">
    <w:name w:val="要点1"/>
    <w:link w:val="658"/>
    <w:uiPriority w:val="0"/>
    <w:qFormat/>
    <w:rPr>
      <w:rFonts w:ascii="Times New Roman" w:hAnsi="Times New Roman" w:eastAsia="宋体" w:cs="Times New Roman"/>
      <w:b/>
    </w:rPr>
  </w:style>
  <w:style w:type="character" w:styleId="859" w:customStyle="1">
    <w:name w:val="超链接1"/>
    <w:link w:val="658"/>
    <w:uiPriority w:val="0"/>
    <w:qFormat/>
    <w:rPr>
      <w:color w:val="333333"/>
      <w:u w:val="none"/>
    </w:rPr>
  </w:style>
  <w:style w:type="character" w:styleId="860" w:customStyle="1">
    <w:name w:val="强调1"/>
    <w:link w:val="658"/>
    <w:uiPriority w:val="0"/>
    <w:qFormat/>
  </w:style>
  <w:style w:type="character" w:styleId="861" w:customStyle="1">
    <w:name w:val="font31"/>
    <w:link w:val="658"/>
    <w:uiPriority w:val="0"/>
    <w:qFormat/>
    <w:rPr>
      <w:rFonts w:ascii="Times New Roman" w:hAnsi="Times New Roman" w:cs="Times New Roman"/>
      <w:color w:val="000000"/>
      <w:sz w:val="22"/>
      <w:szCs w:val="22"/>
      <w:u w:val="none"/>
    </w:rPr>
  </w:style>
  <w:style w:type="character" w:styleId="862" w:customStyle="1">
    <w:name w:val="font91"/>
    <w:link w:val="658"/>
    <w:uiPriority w:val="0"/>
    <w:qFormat/>
    <w:rPr>
      <w:rFonts w:ascii="Times New Roman" w:hAnsi="Times New Roman" w:cs="Times New Roman"/>
      <w:color w:val="000000"/>
      <w:sz w:val="22"/>
      <w:szCs w:val="22"/>
      <w:u w:val="none"/>
    </w:rPr>
  </w:style>
  <w:style w:type="character" w:styleId="863" w:customStyle="1">
    <w:name w:val="已访问的超链接1"/>
    <w:link w:val="658"/>
    <w:uiPriority w:val="0"/>
    <w:qFormat/>
    <w:rPr>
      <w:color w:val="333333"/>
      <w:u w:val="none"/>
    </w:rPr>
  </w:style>
  <w:style w:type="character" w:styleId="864" w:customStyle="1">
    <w:name w:val="页码1"/>
    <w:link w:val="658"/>
    <w:uiPriority w:val="0"/>
    <w:qFormat/>
  </w:style>
  <w:style w:type="character" w:styleId="865" w:customStyle="1">
    <w:name w:val="font21"/>
    <w:basedOn w:val="668"/>
    <w:link w:val="658"/>
    <w:uiPriority w:val="0"/>
    <w:qFormat/>
    <w:rPr>
      <w:rFonts w:ascii="Times New Roman" w:hAnsi="Times New Roman" w:cs="Times New Roman"/>
      <w:color w:val="000000"/>
      <w:sz w:val="22"/>
      <w:szCs w:val="22"/>
      <w:u w:val="none"/>
    </w:rPr>
  </w:style>
  <w:style w:type="character" w:styleId="866" w:customStyle="1">
    <w:name w:val="font61"/>
    <w:basedOn w:val="668"/>
    <w:link w:val="658"/>
    <w:uiPriority w:val="0"/>
    <w:qFormat/>
    <w:rPr>
      <w:rFonts w:hint="eastAsia" w:ascii="宋体" w:hAnsi="宋体" w:eastAsia="宋体" w:cs="宋体"/>
      <w:color w:val="000000"/>
      <w:sz w:val="22"/>
      <w:szCs w:val="22"/>
      <w:u w:val="none"/>
    </w:rPr>
  </w:style>
  <w:style w:type="character" w:styleId="867" w:customStyle="1">
    <w:name w:val="font11"/>
    <w:link w:val="658"/>
    <w:uiPriority w:val="0"/>
    <w:qFormat/>
    <w:rPr>
      <w:rFonts w:hint="eastAsia" w:ascii="宋体" w:hAnsi="宋体" w:eastAsia="宋体" w:cs="宋体"/>
      <w:color w:val="000000"/>
      <w:sz w:val="20"/>
      <w:szCs w:val="20"/>
      <w:u w:val="none"/>
    </w:rPr>
  </w:style>
  <w:style w:type="character" w:styleId="868" w:customStyle="1">
    <w:name w:val="font41"/>
    <w:link w:val="658"/>
    <w:uiPriority w:val="0"/>
    <w:qFormat/>
    <w:rPr>
      <w:rFonts w:ascii="Times New Roman" w:hAnsi="Times New Roman" w:cs="Times New Roman"/>
      <w:color w:val="000000"/>
      <w:sz w:val="22"/>
      <w:szCs w:val="22"/>
      <w:u w:val="none"/>
    </w:rPr>
  </w:style>
  <w:style w:type="character" w:styleId="869" w:customStyle="1">
    <w:name w:val="font51"/>
    <w:link w:val="658"/>
    <w:uiPriority w:val="0"/>
    <w:qFormat/>
    <w:rPr>
      <w:rFonts w:ascii="Times New Roman" w:hAnsi="Times New Roman" w:cs="Times New Roman"/>
      <w:color w:val="000000"/>
      <w:sz w:val="22"/>
      <w:szCs w:val="22"/>
      <w:u w:val="none"/>
    </w:rPr>
  </w:style>
  <w:style w:type="character" w:styleId="870" w:customStyle="1">
    <w:name w:val="批注框文本 Char"/>
    <w:link w:val="871"/>
    <w:uiPriority w:val="0"/>
    <w:qFormat/>
    <w:rPr>
      <w:sz w:val="18"/>
      <w:szCs w:val="18"/>
    </w:rPr>
  </w:style>
  <w:style w:type="paragraph" w:styleId="871" w:customStyle="1">
    <w:name w:val="批注框文本1"/>
    <w:basedOn w:val="658"/>
    <w:link w:val="870"/>
    <w:uiPriority w:val="0"/>
    <w:qFormat/>
    <w:rPr>
      <w:sz w:val="18"/>
      <w:szCs w:val="18"/>
    </w:rPr>
  </w:style>
  <w:style w:type="character" w:styleId="872" w:customStyle="1">
    <w:name w:val="NormalCharacter1"/>
    <w:link w:val="658"/>
    <w:uiPriority w:val="0"/>
    <w:qFormat/>
  </w:style>
  <w:style w:type="character" w:styleId="873" w:customStyle="1">
    <w:name w:val="font81"/>
    <w:basedOn w:val="668"/>
    <w:link w:val="658"/>
    <w:uiPriority w:val="0"/>
    <w:qFormat/>
    <w:rPr>
      <w:rFonts w:hint="eastAsia" w:ascii="宋体" w:hAnsi="宋体" w:eastAsia="宋体" w:cs="宋体"/>
      <w:color w:val="000000"/>
      <w:sz w:val="22"/>
      <w:szCs w:val="22"/>
      <w:u w:val="none"/>
    </w:rPr>
  </w:style>
  <w:style w:type="character" w:styleId="874" w:customStyle="1">
    <w:name w:val="font71"/>
    <w:link w:val="658"/>
    <w:uiPriority w:val="0"/>
    <w:qFormat/>
    <w:rPr>
      <w:rFonts w:hint="eastAsia" w:ascii="宋体" w:hAnsi="宋体" w:eastAsia="宋体" w:cs="宋体"/>
      <w:color w:val="000000"/>
      <w:sz w:val="22"/>
      <w:szCs w:val="22"/>
      <w:u w:val="none"/>
    </w:rPr>
  </w:style>
  <w:style w:type="character" w:styleId="875" w:customStyle="1">
    <w:name w:val="font01"/>
    <w:link w:val="658"/>
    <w:uiPriority w:val="0"/>
    <w:qFormat/>
    <w:rPr>
      <w:rFonts w:ascii="Times New Roman" w:hAnsi="Times New Roman" w:cs="Times New Roman"/>
      <w:color w:val="000000"/>
      <w:sz w:val="22"/>
      <w:szCs w:val="22"/>
      <w:u w:val="none"/>
    </w:rPr>
  </w:style>
  <w:style w:type="paragraph" w:styleId="876" w:customStyle="1">
    <w:name w:val="正文文本缩进 31"/>
    <w:basedOn w:val="658"/>
    <w:uiPriority w:val="0"/>
    <w:qFormat/>
    <w:pPr>
      <w:ind w:firstLine="480"/>
      <w:jc w:val="left"/>
      <w:spacing w:line="440" w:lineRule="atLeast"/>
    </w:pPr>
    <w:rPr>
      <w:rFonts w:ascii="Times New Roman" w:hAnsi="Times New Roman"/>
      <w:sz w:val="24"/>
    </w:rPr>
  </w:style>
  <w:style w:type="paragraph" w:styleId="877" w:customStyle="1">
    <w:name w:val="正文首行缩进 21"/>
    <w:basedOn w:val="878"/>
    <w:uiPriority w:val="99"/>
    <w:unhideWhenUsed/>
    <w:qFormat/>
    <w:pPr>
      <w:ind w:firstLine="420"/>
    </w:pPr>
  </w:style>
  <w:style w:type="paragraph" w:styleId="878" w:customStyle="1">
    <w:name w:val="正文文本缩进1"/>
    <w:basedOn w:val="658"/>
    <w:next w:val="676"/>
    <w:uiPriority w:val="0"/>
    <w:unhideWhenUsed/>
    <w:qFormat/>
    <w:pPr>
      <w:ind w:left="420"/>
      <w:spacing w:after="120"/>
    </w:pPr>
  </w:style>
  <w:style w:type="paragraph" w:styleId="879" w:customStyle="1">
    <w:name w:val="纯文本111"/>
    <w:basedOn w:val="658"/>
    <w:uiPriority w:val="0"/>
    <w:qFormat/>
    <w:pPr>
      <w:jc w:val="left"/>
      <w:widowControl/>
    </w:pPr>
    <w:rPr>
      <w:rFonts w:ascii="宋体" w:hAnsi="Courier New" w:eastAsia="楷体_GB2312" w:cs="Times New Roman"/>
      <w:sz w:val="26"/>
    </w:rPr>
  </w:style>
  <w:style w:type="paragraph" w:styleId="880" w:customStyle="1">
    <w:name w:val="正文文本1"/>
    <w:basedOn w:val="658"/>
    <w:next w:val="881"/>
    <w:uiPriority w:val="0"/>
    <w:qFormat/>
    <w:pPr>
      <w:spacing w:line="400" w:lineRule="exact"/>
    </w:pPr>
    <w:rPr>
      <w:rFonts w:ascii="楷体_GB2312" w:hAnsi="Times New Roman" w:eastAsia="楷体_GB2312" w:cs="Times New Roman"/>
      <w:sz w:val="28"/>
      <w:szCs w:val="20"/>
    </w:rPr>
  </w:style>
  <w:style w:type="paragraph" w:styleId="881" w:customStyle="1">
    <w:name w:val="正文缩进1"/>
    <w:basedOn w:val="658"/>
    <w:next w:val="658"/>
    <w:uiPriority w:val="0"/>
    <w:qFormat/>
    <w:pPr>
      <w:ind w:firstLine="420"/>
      <w:jc w:val="left"/>
    </w:pPr>
    <w:rPr>
      <w:rFonts w:ascii="Times New Roman" w:hAnsi="Times New Roman" w:eastAsia="楷体_GB2312" w:cs="Times New Roman"/>
      <w:sz w:val="24"/>
      <w:szCs w:val="20"/>
    </w:rPr>
  </w:style>
  <w:style w:type="paragraph" w:styleId="882" w:customStyle="1">
    <w:name w:val="目录 11"/>
    <w:basedOn w:val="658"/>
    <w:next w:val="658"/>
    <w:uiPriority w:val="0"/>
    <w:qFormat/>
    <w:pPr>
      <w:jc w:val="left"/>
    </w:pPr>
    <w:rPr>
      <w:rFonts w:ascii="Times New Roman" w:hAnsi="Times New Roman" w:eastAsia="楷体_GB2312" w:cs="Times New Roman"/>
      <w:sz w:val="24"/>
      <w:szCs w:val="20"/>
    </w:rPr>
  </w:style>
  <w:style w:type="paragraph" w:styleId="883" w:customStyle="1">
    <w:name w:val="页眉1"/>
    <w:basedOn w:val="658"/>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84" w:customStyle="1">
    <w:name w:val="文档结构图1"/>
    <w:basedOn w:val="658"/>
    <w:uiPriority w:val="99"/>
    <w:qFormat/>
    <w:pPr>
      <w:shd w:val="clear" w:color="auto" w:fill="000080"/>
    </w:pPr>
  </w:style>
  <w:style w:type="paragraph" w:styleId="885" w:customStyle="1">
    <w:name w:val="列表1"/>
    <w:basedOn w:val="658"/>
    <w:uiPriority w:val="0"/>
    <w:qFormat/>
    <w:pPr>
      <w:jc w:val="center"/>
      <w:spacing w:line="20" w:lineRule="atLeast"/>
    </w:pPr>
    <w:rPr>
      <w:rFonts w:ascii="Arial" w:hAnsi="Arial" w:eastAsia="幼圆_GB2312"/>
      <w:sz w:val="18"/>
      <w:szCs w:val="24"/>
    </w:rPr>
  </w:style>
  <w:style w:type="paragraph" w:styleId="886" w:customStyle="1">
    <w:name w:val="正文文本缩进 21"/>
    <w:basedOn w:val="658"/>
    <w:uiPriority w:val="0"/>
    <w:qFormat/>
    <w:pPr>
      <w:ind w:left="1" w:firstLine="480"/>
      <w:spacing w:line="400" w:lineRule="exact"/>
      <w:tabs>
        <w:tab w:val="left" w:pos="360" w:leader="none"/>
      </w:tabs>
    </w:pPr>
    <w:rPr>
      <w:rFonts w:ascii="Times New Roman" w:hAnsi="Times New Roman" w:cs="Times New Roman"/>
      <w:sz w:val="24"/>
    </w:rPr>
  </w:style>
  <w:style w:type="paragraph" w:styleId="887" w:customStyle="1">
    <w:name w:val="正文首行缩进1"/>
    <w:uiPriority w:val="0"/>
    <w:qFormat/>
    <w:pPr>
      <w:ind w:firstLine="420"/>
      <w:jc w:val="center"/>
      <w:spacing w:after="120" w:line="360" w:lineRule="auto"/>
      <w:widowControl w:val="off"/>
      <w:tabs>
        <w:tab w:val="left" w:pos="5250" w:leader="none"/>
      </w:tabs>
    </w:pPr>
    <w:rPr>
      <w:rFonts w:hint="default" w:ascii="宋体" w:hAnsi="宋体" w:eastAsia="宋体" w:cs="Times New Roman"/>
      <w:sz w:val="24"/>
      <w:szCs w:val="24"/>
      <w:lang w:val="en-US" w:eastAsia="zh-CN" w:bidi="ar-SA"/>
    </w:rPr>
  </w:style>
  <w:style w:type="paragraph" w:styleId="888" w:customStyle="1">
    <w:name w:val="普通(网站)1"/>
    <w:basedOn w:val="658"/>
    <w:uiPriority w:val="99"/>
    <w:qFormat/>
    <w:pPr>
      <w:jc w:val="left"/>
      <w:spacing w:beforeAutospacing="1" w:afterAutospacing="1"/>
    </w:pPr>
    <w:rPr>
      <w:rFonts w:ascii="Times New Roman" w:hAnsi="Times New Roman" w:cs="Times New Roman"/>
      <w:sz w:val="24"/>
    </w:rPr>
  </w:style>
  <w:style w:type="paragraph" w:styleId="889" w:customStyle="1">
    <w:name w:val="页脚1"/>
    <w:basedOn w:val="658"/>
    <w:uiPriority w:val="0"/>
    <w:qFormat/>
    <w:pPr>
      <w:jc w:val="left"/>
      <w:tabs>
        <w:tab w:val="center" w:pos="4153" w:leader="none"/>
        <w:tab w:val="right" w:pos="8306" w:leader="none"/>
      </w:tabs>
    </w:pPr>
    <w:rPr>
      <w:sz w:val="18"/>
    </w:rPr>
  </w:style>
  <w:style w:type="paragraph" w:styleId="890" w:customStyle="1">
    <w:name w:val="p0"/>
    <w:basedOn w:val="658"/>
    <w:uiPriority w:val="0"/>
    <w:qFormat/>
    <w:rPr>
      <w:rFonts w:ascii="Times New Roman" w:hAnsi="Times New Roman"/>
      <w:szCs w:val="24"/>
    </w:rPr>
  </w:style>
  <w:style w:type="paragraph" w:styleId="891" w:customStyle="1">
    <w:name w:val="PlainText1"/>
    <w:basedOn w:val="658"/>
    <w:uiPriority w:val="0"/>
    <w:qFormat/>
    <w:rPr>
      <w:rFonts w:ascii="宋体" w:hAnsi="Courier New" w:eastAsia="楷体_GB2312"/>
      <w:sz w:val="28"/>
    </w:rPr>
  </w:style>
  <w:style w:type="paragraph" w:styleId="892" w:customStyle="1">
    <w:name w:val="纯文本2"/>
    <w:basedOn w:val="658"/>
    <w:uiPriority w:val="0"/>
    <w:qFormat/>
    <w:rPr>
      <w:rFonts w:ascii="宋体" w:hAnsi="Courier New" w:eastAsia="宋体" w:cs="Times New Roman"/>
    </w:rPr>
  </w:style>
  <w:style w:type="paragraph" w:styleId="893" w:customStyle="1">
    <w:name w:val="Plain Text1"/>
    <w:basedOn w:val="658"/>
    <w:uiPriority w:val="0"/>
    <w:qFormat/>
    <w:rPr>
      <w:rFonts w:ascii="宋体" w:hAnsi="Courier New" w:eastAsia="宋体" w:cs="Times New Roman"/>
      <w:sz w:val="26"/>
      <w:szCs w:val="20"/>
    </w:rPr>
  </w:style>
  <w:style w:type="paragraph" w:styleId="894" w:customStyle="1">
    <w:name w:val="纯文本4"/>
    <w:basedOn w:val="658"/>
    <w:uiPriority w:val="0"/>
    <w:qFormat/>
    <w:rPr>
      <w:rFonts w:ascii="宋体" w:hAnsi="Courier New" w:eastAsia="楷体_GB2312" w:cs="Times New Roman"/>
      <w:sz w:val="26"/>
      <w:szCs w:val="20"/>
    </w:rPr>
  </w:style>
  <w:style w:type="paragraph" w:styleId="895" w:customStyle="1">
    <w:name w:val="纯文本1"/>
    <w:basedOn w:val="658"/>
    <w:uiPriority w:val="0"/>
    <w:qFormat/>
    <w:rPr>
      <w:rFonts w:ascii="宋体" w:hAnsi="Courier New" w:eastAsia="楷体_GB2312" w:cs="Times New Roman"/>
      <w:sz w:val="28"/>
      <w:szCs w:val="20"/>
    </w:rPr>
  </w:style>
  <w:style w:type="paragraph" w:styleId="896" w:customStyle="1">
    <w:name w:val="首行缩进"/>
    <w:basedOn w:val="658"/>
    <w:uiPriority w:val="0"/>
    <w:qFormat/>
    <w:pPr>
      <w:ind w:firstLine="480"/>
    </w:pPr>
    <w:rPr>
      <w:rFonts w:ascii="Times New Roman" w:hAnsi="Times New Roman" w:cs="Times New Roman"/>
      <w:lang w:val="zh-CN"/>
    </w:rPr>
  </w:style>
  <w:style w:type="paragraph" w:styleId="897" w:customStyle="1">
    <w:name w:val="纯文本11"/>
    <w:basedOn w:val="658"/>
    <w:uiPriority w:val="0"/>
    <w:qFormat/>
    <w:pPr>
      <w:jc w:val="left"/>
      <w:widowControl/>
    </w:pPr>
    <w:rPr>
      <w:rFonts w:ascii="宋体" w:hAnsi="Courier New" w:eastAsia="楷体_GB2312"/>
      <w:sz w:val="26"/>
      <w:szCs w:val="20"/>
    </w:rPr>
  </w:style>
  <w:style w:type="paragraph" w:styleId="898" w:customStyle="1">
    <w:name w:val="列出段落1"/>
    <w:basedOn w:val="658"/>
    <w:uiPriority w:val="34"/>
    <w:qFormat/>
    <w:pPr>
      <w:ind w:firstLine="420"/>
    </w:pPr>
  </w:style>
  <w:style w:type="table" w:styleId="899" w:customStyle="1">
    <w:name w:val="网格型1"/>
    <w:basedOn w:val="857"/>
    <w:uiPriority w:val="59"/>
    <w:qFormat/>
    <w:pPr>
      <w:jc w:val="both"/>
      <w:widowControl w:val="off"/>
    </w:pPr>
    <w:rPr>
      <w:rFonts w:ascii="Times New Roman" w:hAnsi="Times New Roman" w:eastAsia="宋体" w:cs="Times New Roman"/>
      <w:sz w:val="20"/>
      <w:szCs w:val="20"/>
    </w:rPr>
    <w:tblPr/>
  </w:style>
  <w:style w:type="character" w:styleId="900" w:customStyle="1">
    <w:name w:val="font12"/>
    <w:basedOn w:val="668"/>
    <w:uiPriority w:val="0"/>
    <w:rPr>
      <w:rFonts w:hint="eastAsia" w:ascii="华文仿宋" w:hAnsi="华文仿宋" w:eastAsia="华文仿宋" w:cs="华文仿宋"/>
      <w:color w:val="000000"/>
      <w:sz w:val="32"/>
      <w:szCs w:val="32"/>
      <w:u w:val="none"/>
    </w:rPr>
  </w:style>
  <w:style w:type="character" w:styleId="901" w:customStyle="1">
    <w:name w:val="font111"/>
    <w:basedOn w:val="668"/>
    <w:uiPriority w:val="0"/>
    <w:qFormat/>
    <w:rPr>
      <w:rFonts w:hint="default" w:ascii="Times New Roman" w:hAnsi="Times New Roman" w:cs="Times New Roman"/>
      <w:color w:val="000000"/>
      <w:sz w:val="22"/>
      <w:szCs w:val="22"/>
      <w:u w:val="none"/>
    </w:rPr>
  </w:style>
  <w:style w:type="character" w:styleId="902" w:customStyle="1">
    <w:name w:val="font101"/>
    <w:basedOn w:val="668"/>
    <w:uiPriority w:val="0"/>
    <w:rPr>
      <w:rFonts w:hint="default" w:ascii="Times New Roman" w:hAnsi="Times New Roman" w:cs="Times New Roman"/>
      <w:color w:val="000000"/>
      <w:sz w:val="32"/>
      <w:szCs w:val="32"/>
      <w:u w:val="none"/>
    </w:rPr>
  </w:style>
  <w:style w:type="numbering" w:styleId="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苏州睿乔招投标咨</dc:creator>
  <cp:lastModifiedBy>卞玥霏</cp:lastModifiedBy>
  <cp:revision>10</cp:revision>
  <dcterms:created xsi:type="dcterms:W3CDTF">2023-11-15T00:51:00Z</dcterms:created>
  <dcterms:modified xsi:type="dcterms:W3CDTF">2024-10-14T08:03:59Z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