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0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7"/>
        <w:ind w:firstLine="96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项目名称：国际多式联运虚拟仿真实训基地</w:t>
      </w:r>
      <w:r>
        <w:rPr>
          <w:rFonts w:hint="eastAsia" w:ascii="Arial" w:hAnsi="Arial"/>
          <w:b/>
          <w:bCs/>
          <w:color w:val="000000"/>
          <w:sz w:val="32"/>
          <w:szCs w:val="24"/>
        </w:rPr>
      </w:r>
      <w:r/>
    </w:p>
    <w:p>
      <w:pPr>
        <w:pStyle w:val="907"/>
        <w:ind w:firstLine="960"/>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项目编号：JSZC-320000-SCZX-G2024-0559</w:t>
      </w:r>
      <w:r>
        <w:rPr>
          <w:rFonts w:hint="eastAsia" w:ascii="Arial" w:hAnsi="Arial"/>
          <w:b/>
          <w:bCs/>
          <w:sz w:val="32"/>
          <w:szCs w:val="24"/>
        </w:rPr>
      </w:r>
      <w:r/>
    </w:p>
    <w:p>
      <w:pPr>
        <w:pStyle w:val="907"/>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7"/>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2024年10月</w:t>
      </w:r>
      <w:r>
        <w:rPr>
          <w:rFonts w:ascii="Arial" w:hAnsi="Arial"/>
          <w:b/>
          <w:bCs/>
          <w:color w:val="000000"/>
          <w:sz w:val="32"/>
          <w:szCs w:val="24"/>
        </w:rPr>
      </w:r>
      <w:r/>
    </w:p>
    <w:p>
      <w:pPr>
        <w:pStyle w:val="90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7"/>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53</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57</w:t>
      </w:r>
      <w:r>
        <w:rPr>
          <w:rFonts w:hint="eastAsia" w:ascii="黑体" w:hAnsi="Showcard Gothic" w:eastAsia="黑体"/>
          <w:color w:val="000000"/>
          <w:sz w:val="36"/>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受[南京交通职业技术学院]的委托，江苏省政府采购中心就[国际多式联运虚拟仿真实训基地建设](JSZC-320000-SCZX-G2024-0559)项目进行公开招标采购，欢迎符合条件的供应商投标。</w:t>
      </w:r>
      <w:r>
        <w:rPr>
          <w:rFonts w:ascii="宋体" w:hAnsi="宋体"/>
          <w:color w:val="000000"/>
          <w:sz w:val="24"/>
          <w:szCs w:val="24"/>
        </w:rPr>
      </w:r>
      <w:r/>
    </w:p>
    <w:p>
      <w:pPr>
        <w:pStyle w:val="90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(国际多式联运虚拟仿真实训基地建设</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年11月 </w:t>
      </w:r>
      <w:r>
        <w:rPr>
          <w:rFonts w:hint="eastAsia" w:ascii="宋体" w:hAnsi="宋体"/>
          <w:bCs/>
          <w:color w:val="000000"/>
          <w:sz w:val="24"/>
          <w:szCs w:val="24"/>
          <w:u w:val="single"/>
          <w:lang w:val="en-US" w:eastAsia="zh-CN"/>
        </w:rPr>
        <w:t xml:space="preserve">15</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ascii="宋体" w:hAnsi="宋体"/>
          <w:color w:val="000000"/>
          <w:sz w:val="24"/>
          <w:szCs w:val="24"/>
        </w:rPr>
        <w:t xml:space="preserve">。</w:t>
      </w:r>
      <w:r>
        <w:rPr>
          <w:rFonts w:ascii="宋体" w:hAnsi="宋体"/>
          <w:color w:val="000000"/>
          <w:sz w:val="24"/>
          <w:szCs w:val="24"/>
        </w:rPr>
      </w:r>
      <w:r/>
    </w:p>
    <w:p>
      <w:pPr>
        <w:pStyle w:val="907"/>
        <w:ind w:firstLine="496"/>
        <w:keepLines/>
        <w:keepNext/>
        <w:spacing w:before="156" w:after="156" w:line="400" w:lineRule="exact"/>
        <w:rPr>
          <w:b/>
          <w:bCs/>
          <w:color w:val="000000"/>
          <w:sz w:val="32"/>
          <w:szCs w:val="32"/>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1.项目编号：JSZC-320000-SCZX-G2024-0559</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2.项目名称：国际多式联运虚拟仿真实训基地建设</w:t>
      </w:r>
      <w:r>
        <w:rPr>
          <w:rFonts w:ascii="宋体" w:hAnsi="宋体"/>
          <w:color w:val="000000"/>
          <w:sz w:val="24"/>
          <w:szCs w:val="24"/>
        </w:rPr>
      </w:r>
      <w:r/>
    </w:p>
    <w:p>
      <w:pPr>
        <w:pStyle w:val="907"/>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253.8</w:t>
            </w:r>
            <w:r>
              <w:rPr>
                <w:rFonts w:ascii="宋体" w:hAnsi="宋体"/>
                <w:sz w:val="24"/>
                <w:szCs w:val="24"/>
              </w:rPr>
            </w:r>
            <w:r/>
          </w:p>
        </w:tc>
      </w:tr>
    </w:tbl>
    <w:p>
      <w:pPr>
        <w:pStyle w:val="90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253.8</w:t>
            </w:r>
            <w:r>
              <w:rPr>
                <w:rFonts w:ascii="宋体" w:hAnsi="宋体"/>
                <w:sz w:val="24"/>
                <w:szCs w:val="24"/>
              </w:rPr>
            </w:r>
            <w:r/>
          </w:p>
        </w:tc>
      </w:tr>
    </w:tbl>
    <w:p>
      <w:pPr>
        <w:pStyle w:val="907"/>
        <w:ind w:firstLine="480"/>
        <w:spacing w:line="400" w:lineRule="exact"/>
        <w:rPr>
          <w:rFonts w:ascii="宋体" w:hAnsi="宋体"/>
          <w:color w:val="000000"/>
          <w:sz w:val="24"/>
          <w:szCs w:val="24"/>
        </w:rPr>
      </w:pPr>
      <w:r>
        <w:rPr>
          <w:rFonts w:ascii="宋体" w:hAnsi="宋体"/>
          <w:color w:val="000000"/>
          <w:sz w:val="24"/>
          <w:szCs w:val="24"/>
        </w:rPr>
      </w:r>
      <w:r/>
    </w:p>
    <w:p>
      <w:pPr>
        <w:pStyle w:val="90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5.采购需求(简介)：本项目为南京交通职业技术学院国际多式联运虚拟仿真实训基地建设项目，本项目拟采购并建设一个具有线上虚拟仿真和线下实景操作、可随机选择组合模拟场景、可流程化操作和VR情景体验、可规划设计和实时验证的、能编制运营国际贸易及多式联运业务、展示操作中国与“一带一路”国家共同开展公铁、公水、铁水联运业务的国际多式联运综合虚拟仿真实训基地。</w:t>
      </w:r>
      <w:r>
        <w:rPr>
          <w:rFonts w:hint="eastAsia" w:ascii="宋体" w:hAnsi="宋体"/>
          <w:color w:val="000000"/>
          <w:sz w:val="24"/>
          <w:szCs w:val="24"/>
        </w:rPr>
      </w:r>
      <w:r/>
    </w:p>
    <w:p>
      <w:pPr>
        <w:pStyle w:val="907"/>
        <w:ind w:firstLine="480"/>
        <w:jc w:val="left"/>
        <w:spacing w:line="360" w:lineRule="auto"/>
        <w:rPr>
          <w:rFonts w:ascii="宋体" w:hAnsi="宋体"/>
          <w:color w:val="000000"/>
          <w:sz w:val="24"/>
          <w:szCs w:val="24"/>
          <w:u w:val="single"/>
        </w:rPr>
      </w:pP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6.合同履行期限：90个工作日。</w:t>
      </w:r>
      <w:r>
        <w:rPr>
          <w:rFonts w:ascii="宋体" w:hAnsi="宋体"/>
          <w:color w:val="000000"/>
          <w:sz w:val="24"/>
          <w:szCs w:val="24"/>
          <w:u w:val="single"/>
        </w:rPr>
      </w:r>
      <w:r/>
    </w:p>
    <w:p>
      <w:pPr>
        <w:pStyle w:val="907"/>
        <w:ind w:firstLine="496"/>
        <w:keepLines/>
        <w:keepNext/>
        <w:spacing w:before="156" w:after="156" w:line="360" w:lineRule="auto"/>
        <w:rPr>
          <w:b/>
          <w:bCs/>
          <w:color w:val="000000"/>
          <w:sz w:val="32"/>
          <w:szCs w:val="32"/>
        </w:rPr>
        <w:outlineLvl w:val="2"/>
      </w:pPr>
      <w:r/>
      <w:bookmarkStart w:id="12" w:name="_Toc38985264"/>
      <w:r/>
      <w:bookmarkStart w:id="13" w:name="_Toc35393622"/>
      <w:r/>
      <w:bookmarkStart w:id="14" w:name="_Toc28359003"/>
      <w:r/>
      <w:bookmarkStart w:id="15" w:name="_Toc28359080"/>
      <w:r/>
      <w:bookmarkStart w:id="16" w:name="_Toc35393791"/>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7"/>
        <w:ind w:firstLine="560"/>
        <w:spacing w:line="400" w:lineRule="exact"/>
        <w:rPr>
          <w:rFonts w:hint="eastAsia" w:ascii="宋体" w:hAnsi="宋体"/>
          <w:color w:val="000000"/>
          <w:sz w:val="28"/>
          <w:szCs w:val="28"/>
        </w:rPr>
      </w:pPr>
      <w:r/>
      <w:bookmarkStart w:id="17" w:name="_Toc35393623"/>
      <w:r/>
      <w:bookmarkStart w:id="18" w:name="_Toc35393792"/>
      <w:r/>
      <w:bookmarkStart w:id="19" w:name="_Toc28359081"/>
      <w:r/>
      <w:bookmarkStart w:id="20" w:name="_Toc38985265"/>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7"/>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7"/>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907"/>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r>
    </w:tbl>
    <w:p>
      <w:pPr>
        <w:pStyle w:val="907"/>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7"/>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7"/>
        <w:ind w:firstLine="496"/>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7"/>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2024</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11</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7"/>
        <w:ind w:firstLine="496"/>
        <w:keepLines/>
        <w:keepNext/>
        <w:spacing w:before="156" w:after="156" w:line="360" w:lineRule="auto"/>
        <w:rPr>
          <w:b/>
          <w:bCs/>
          <w:color w:val="000000"/>
          <w:sz w:val="32"/>
          <w:szCs w:val="32"/>
        </w:rPr>
        <w:outlineLvl w:val="2"/>
      </w:pPr>
      <w:r/>
      <w:bookmarkStart w:id="27" w:name="_Toc35393794"/>
      <w:r/>
      <w:bookmarkStart w:id="28" w:name="_Toc35393625"/>
      <w:r/>
      <w:bookmarkStart w:id="29" w:name="_Toc28359084"/>
      <w:r/>
      <w:bookmarkStart w:id="30" w:name="_Toc38985267"/>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7"/>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rPr>
          <w:rFonts w:hint="eastAsia" w:ascii="宋体" w:hAnsi="宋体" w:cs="宋体"/>
          <w:color w:val="000000"/>
          <w:sz w:val="24"/>
          <w:szCs w:val="24"/>
        </w:rPr>
      </w:r>
      <w:r/>
    </w:p>
    <w:p>
      <w:pPr>
        <w:pStyle w:val="907"/>
        <w:ind w:firstLine="496"/>
        <w:keepLines/>
        <w:keepNext/>
        <w:spacing w:before="156" w:after="156" w:line="400" w:lineRule="exact"/>
        <w:rPr>
          <w:b/>
          <w:bCs/>
          <w:color w:val="000000"/>
          <w:sz w:val="32"/>
          <w:szCs w:val="32"/>
        </w:rPr>
        <w:outlineLvl w:val="2"/>
      </w:pPr>
      <w:r/>
      <w:bookmarkStart w:id="35" w:name="_Toc35393627"/>
      <w:r/>
      <w:bookmarkStart w:id="36" w:name="_Toc38985269"/>
      <w:r/>
      <w:bookmarkStart w:id="37" w:name="_Toc35393796"/>
      <w:r/>
      <w:bookmarkStart w:id="38" w:name="_Toc28359085"/>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1.采购人信息</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bookmarkStart w:id="40" w:name="_Toc28359086"/>
      <w:r/>
      <w:bookmarkStart w:id="41" w:name="_Toc28359009"/>
      <w:r>
        <w:rPr>
          <w:rFonts w:hint="eastAsia" w:ascii="宋体" w:hAnsi="宋体"/>
          <w:color w:val="000000"/>
          <w:sz w:val="24"/>
          <w:szCs w:val="24"/>
        </w:rPr>
        <w:t xml:space="preserve">名 称：南京交通职业技术学院</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地 址：南京市江宁科学园龙眠大道629号</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联系人：丁老师</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电 话：025-86115963</w:t>
      </w:r>
      <w:r>
        <w:rPr>
          <w:rFonts w:hint="eastAsia" w:ascii="宋体" w:hAnsi="宋体"/>
          <w:color w:val="000000"/>
          <w:sz w:val="24"/>
          <w:szCs w:val="24"/>
        </w:rPr>
      </w:r>
      <w:r/>
    </w:p>
    <w:p>
      <w:pPr>
        <w:pStyle w:val="907"/>
        <w:ind w:left="1079" w:hanging="300"/>
        <w:jc w:val="left"/>
        <w:spacing w:line="400" w:lineRule="exact"/>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907"/>
        <w:ind w:firstLine="720"/>
        <w:spacing w:line="400" w:lineRule="exact"/>
        <w:rPr>
          <w:rFonts w:ascii="宋体" w:hAnsi="宋体"/>
          <w:sz w:val="24"/>
          <w:szCs w:val="24"/>
        </w:rPr>
      </w:pPr>
      <w:r>
        <w:rPr>
          <w:rFonts w:hint="eastAsia" w:ascii="宋体" w:hAnsi="宋体"/>
          <w:sz w:val="24"/>
          <w:szCs w:val="24"/>
        </w:rPr>
        <w:t xml:space="preserve">地　  址：  南京市汉中门大街145号省政务中心二期3楼南区</w:t>
      </w:r>
      <w:r>
        <w:rPr>
          <w:rFonts w:ascii="宋体" w:hAnsi="宋体"/>
          <w:sz w:val="24"/>
          <w:szCs w:val="24"/>
        </w:rPr>
      </w:r>
      <w:r/>
    </w:p>
    <w:p>
      <w:pPr>
        <w:pStyle w:val="907"/>
        <w:ind w:firstLine="720"/>
        <w:spacing w:line="400" w:lineRule="exact"/>
        <w:rPr>
          <w:rFonts w:ascii="宋体" w:hAnsi="宋体"/>
          <w:sz w:val="24"/>
          <w:szCs w:val="24"/>
        </w:rPr>
      </w:pPr>
      <w:r>
        <w:rPr>
          <w:rFonts w:hint="eastAsia" w:ascii="宋体" w:hAnsi="宋体"/>
          <w:sz w:val="24"/>
          <w:szCs w:val="24"/>
        </w:rPr>
        <w:t xml:space="preserve">联 系 人：       徐晨义  郁盈   </w:t>
      </w:r>
      <w:r>
        <w:rPr>
          <w:rFonts w:ascii="宋体" w:hAnsi="宋体"/>
          <w:sz w:val="24"/>
          <w:szCs w:val="24"/>
        </w:rPr>
      </w:r>
      <w:r/>
    </w:p>
    <w:p>
      <w:pPr>
        <w:pStyle w:val="907"/>
        <w:ind w:firstLine="720"/>
        <w:spacing w:line="400" w:lineRule="exact"/>
        <w:rPr>
          <w:rFonts w:ascii="宋体" w:hAnsi="宋体"/>
          <w:sz w:val="24"/>
          <w:szCs w:val="24"/>
        </w:rPr>
      </w:pPr>
      <w:r>
        <w:rPr>
          <w:rFonts w:hint="eastAsia" w:ascii="宋体" w:hAnsi="宋体"/>
          <w:sz w:val="24"/>
          <w:szCs w:val="24"/>
        </w:rPr>
        <w:t xml:space="preserve">联系方式：  　　</w:t>
      </w:r>
      <w:r>
        <w:rPr>
          <w:rFonts w:ascii="宋体" w:hAnsi="宋体"/>
          <w:sz w:val="24"/>
          <w:szCs w:val="24"/>
        </w:rPr>
        <w:t xml:space="preserve">025-83668521</w:t>
      </w:r>
      <w:r>
        <w:rPr>
          <w:rFonts w:hint="eastAsia" w:ascii="宋体" w:hAnsi="宋体"/>
          <w:sz w:val="24"/>
          <w:szCs w:val="24"/>
        </w:rPr>
        <w:t xml:space="preserve">　83668529   </w:t>
      </w:r>
      <w:r>
        <w:rPr>
          <w:rFonts w:ascii="宋体" w:hAnsi="宋体"/>
          <w:sz w:val="24"/>
          <w:szCs w:val="24"/>
        </w:rPr>
      </w:r>
      <w:r/>
    </w:p>
    <w:p>
      <w:pPr>
        <w:pStyle w:val="907"/>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907"/>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fldChar w:fldCharType="begin"/>
      </w:r>
      <w:r>
        <w:rPr>
          <w:bCs/>
          <w:szCs w:val="21"/>
        </w:rPr>
        <w:instrText xml:space="preserve"> HYPERLINK "http://www.ccgp-jiangsu.gov.cn/jiangsu/zlxz/ee/ee3a4bc5a3454aa2b0d9312230633ce9.html" </w:instrText>
      </w:r>
      <w:r>
        <w:rPr>
          <w:bCs/>
          <w:szCs w:val="21"/>
        </w:rPr>
        <w:fldChar w:fldCharType="separate"/>
      </w:r>
      <w:r>
        <w:rPr>
          <w:rStyle w:val="984"/>
          <w:bCs/>
          <w:szCs w:val="21"/>
        </w:rPr>
        <w:t xml:space="preserve">http://www.ccgp-jiangsu.gov.cn/jiangsu/zlxz/ee/ee3a4bc5a3454aa2b0d9312230633ce9.html</w:t>
      </w:r>
      <w:r>
        <w:rPr>
          <w:bCs/>
          <w:szCs w:val="21"/>
        </w:rPr>
        <w:fldChar w:fldCharType="end"/>
      </w:r>
      <w:r>
        <w:rPr>
          <w:bCs/>
          <w:szCs w:val="21"/>
        </w:rPr>
        <w:t xml:space="preserve">。</w:t>
      </w:r>
      <w:r>
        <w:rPr>
          <w:rFonts w:ascii="宋体" w:hAnsi="宋体"/>
          <w:bCs/>
          <w:sz w:val="24"/>
          <w:szCs w:val="24"/>
        </w:rPr>
      </w:r>
      <w:r/>
    </w:p>
    <w:p>
      <w:pPr>
        <w:pStyle w:val="90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7"/>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7"/>
        <w:ind w:firstLine="2420"/>
        <w:keepLines/>
        <w:keepNext/>
        <w:spacing w:before="260" w:after="260" w:line="416" w:lineRule="auto"/>
        <w:rPr>
          <w:rFonts w:hint="eastAsia"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07"/>
        <w:ind w:firstLine="496"/>
        <w:keepLines/>
        <w:keepNext/>
        <w:spacing w:before="156" w:after="156" w:line="400" w:lineRule="exact"/>
        <w:rPr>
          <w:rFonts w:hint="eastAsia"/>
          <w:b/>
          <w:bCs/>
          <w:color w:val="000000"/>
          <w:sz w:val="32"/>
          <w:szCs w:val="32"/>
        </w:rPr>
        <w:outlineLvl w:val="2"/>
      </w:pPr>
      <w:r/>
      <w:bookmarkStart w:id="47" w:name="_Toc513029203"/>
      <w:r/>
      <w:bookmarkStart w:id="48" w:name="_Toc16938519"/>
      <w:r/>
      <w:bookmarkStart w:id="49" w:name="_Toc120614214"/>
      <w:r/>
      <w:bookmarkStart w:id="50" w:name="_Toc20823275"/>
      <w:r>
        <w:rPr>
          <w:rFonts w:hint="eastAsia"/>
          <w:b/>
          <w:bCs/>
          <w:color w:val="000000"/>
          <w:sz w:val="32"/>
          <w:szCs w:val="32"/>
        </w:rPr>
        <w:t xml:space="preserve">一、总则</w:t>
      </w:r>
      <w:bookmarkEnd w:id="47"/>
      <w:r/>
      <w:bookmarkEnd w:id="48"/>
      <w:r/>
      <w:bookmarkEnd w:id="49"/>
      <w:r/>
      <w:bookmarkEnd w:id="50"/>
      <w:r>
        <w:rPr>
          <w:rFonts w:hint="eastAsia"/>
          <w:b/>
          <w:bCs/>
          <w:color w:val="000000"/>
          <w:sz w:val="32"/>
          <w:szCs w:val="32"/>
        </w:rPr>
      </w:r>
      <w:r/>
    </w:p>
    <w:p>
      <w:pPr>
        <w:pStyle w:val="907"/>
        <w:ind w:firstLine="420"/>
        <w:keepLines/>
        <w:keepNext/>
        <w:spacing w:line="400" w:lineRule="exac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56" w:name="_Toc513029205"/>
      <w:r/>
      <w:bookmarkStart w:id="57" w:name="_Toc20823277"/>
      <w:r/>
      <w:bookmarkStart w:id="58" w:name="_Toc16938521"/>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Start w:id="59" w:name="_Toc20823278"/>
      <w:r/>
      <w:bookmarkStart w:id="60" w:name="_Toc16938522"/>
      <w:r/>
      <w:bookmarkStart w:id="61" w:name="_Toc513029206"/>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rPr>
      </w:r>
      <w:r/>
    </w:p>
    <w:p>
      <w:pPr>
        <w:pStyle w:val="907"/>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62" w:name="_Toc20823279"/>
      <w:r/>
      <w:bookmarkStart w:id="63" w:name="_Toc513029207"/>
      <w:r/>
      <w:bookmarkStart w:id="64" w:name="_Toc16938523"/>
      <w:r/>
      <w:bookmarkStart w:id="65" w:name="_Toc462564067"/>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7"/>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7"/>
        <w:ind w:firstLine="320"/>
        <w:keepLines/>
        <w:keepNext/>
        <w:spacing w:before="156" w:after="156" w:line="400" w:lineRule="exact"/>
        <w:rPr>
          <w:rFonts w:hint="eastAsia"/>
          <w:b/>
          <w:bCs/>
          <w:color w:val="000000"/>
          <w:sz w:val="32"/>
          <w:szCs w:val="32"/>
        </w:rPr>
        <w:outlineLvl w:val="2"/>
      </w:pPr>
      <w:r/>
      <w:bookmarkStart w:id="66" w:name="_Toc513029209"/>
      <w:r/>
      <w:bookmarkStart w:id="67" w:name="_Toc120614215"/>
      <w:r/>
      <w:bookmarkStart w:id="68" w:name="_Toc20823281"/>
      <w:r/>
      <w:bookmarkStart w:id="69" w:name="_Toc16938525"/>
      <w:r>
        <w:rPr>
          <w:rFonts w:hint="eastAsia"/>
          <w:b/>
          <w:bCs/>
          <w:color w:val="000000"/>
          <w:sz w:val="32"/>
          <w:szCs w:val="32"/>
        </w:rPr>
        <w:t xml:space="preserve">二、招标文件</w:t>
      </w:r>
      <w:bookmarkEnd w:id="66"/>
      <w:r/>
      <w:bookmarkEnd w:id="67"/>
      <w:r/>
      <w:bookmarkEnd w:id="68"/>
      <w:r/>
      <w:bookmarkEnd w:id="69"/>
      <w:r>
        <w:rPr>
          <w:rFonts w:hint="eastAsia"/>
          <w:b/>
          <w:bCs/>
          <w:color w:val="000000"/>
          <w:sz w:val="32"/>
          <w:szCs w:val="32"/>
        </w:rPr>
      </w:r>
      <w:r/>
    </w:p>
    <w:p>
      <w:pPr>
        <w:pStyle w:val="907"/>
        <w:ind w:firstLine="420"/>
        <w:keepLines/>
        <w:keepNext/>
        <w:spacing w:line="400" w:lineRule="exact"/>
        <w:rPr>
          <w:rFonts w:hint="eastAsia" w:ascii="Arial" w:hAnsi="Arial" w:eastAsia="黑体" w:cs="Arial"/>
          <w:color w:val="000000"/>
          <w:sz w:val="28"/>
          <w:szCs w:val="28"/>
        </w:rPr>
        <w:outlineLvl w:val="3"/>
      </w:pPr>
      <w:r/>
      <w:bookmarkStart w:id="70" w:name="_Toc513029210"/>
      <w:r/>
      <w:bookmarkStart w:id="71" w:name="_Toc16938526"/>
      <w:r/>
      <w:bookmarkStart w:id="72" w:name="_Toc20823282"/>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7"/>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7"/>
        <w:ind w:firstLine="560"/>
        <w:keepLines/>
        <w:keepNext/>
        <w:spacing w:line="400" w:lineRule="exact"/>
        <w:rPr>
          <w:rFonts w:hint="eastAsia" w:ascii="Arial" w:hAnsi="Arial" w:eastAsia="黑体" w:cs="Arial"/>
          <w:color w:val="000000"/>
          <w:sz w:val="28"/>
          <w:szCs w:val="28"/>
        </w:rPr>
        <w:outlineLvl w:val="3"/>
      </w:pPr>
      <w:r/>
      <w:bookmarkStart w:id="73" w:name="_Toc513029212"/>
      <w:r/>
      <w:bookmarkStart w:id="74" w:name="_Toc16938528"/>
      <w:r/>
      <w:bookmarkStart w:id="75" w:name="_Toc20823284"/>
      <w:r/>
      <w:bookmarkStart w:id="76"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3"/>
      <w:r/>
      <w:bookmarkEnd w:id="74"/>
      <w:r/>
      <w:bookmarkEnd w:id="75"/>
      <w:r/>
      <w:bookmarkEnd w:id="76"/>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7"/>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7"/>
        <w:ind w:firstLine="480"/>
        <w:keepLines/>
        <w:keepNext/>
        <w:spacing w:before="156" w:after="156" w:line="400" w:lineRule="exact"/>
        <w:rPr>
          <w:rFonts w:hint="eastAsia"/>
          <w:b/>
          <w:bCs/>
          <w:color w:val="000000"/>
          <w:sz w:val="32"/>
          <w:szCs w:val="32"/>
        </w:rPr>
        <w:outlineLvl w:val="2"/>
      </w:pPr>
      <w:r/>
      <w:bookmarkStart w:id="77" w:name="_Toc120614216"/>
      <w:r/>
      <w:bookmarkStart w:id="78" w:name="_Toc462564072"/>
      <w:r/>
      <w:bookmarkStart w:id="79" w:name="_Toc20823285"/>
      <w:r/>
      <w:bookmarkStart w:id="80" w:name="_Toc16938529"/>
      <w:r/>
      <w:bookmarkStart w:id="81" w:name="_Toc513029213"/>
      <w:r>
        <w:rPr>
          <w:rFonts w:hint="eastAsia"/>
          <w:b/>
          <w:bCs/>
          <w:color w:val="000000"/>
          <w:sz w:val="32"/>
          <w:szCs w:val="32"/>
        </w:rPr>
        <w:t xml:space="preserve">三、投标文件的编制</w:t>
      </w:r>
      <w:bookmarkEnd w:id="77"/>
      <w:r/>
      <w:bookmarkEnd w:id="78"/>
      <w:r/>
      <w:bookmarkEnd w:id="79"/>
      <w:r/>
      <w:bookmarkEnd w:id="80"/>
      <w:r/>
      <w:bookmarkEnd w:id="81"/>
      <w:r>
        <w:rPr>
          <w:rFonts w:hint="eastAsia"/>
          <w:b/>
          <w:bCs/>
          <w:color w:val="000000"/>
          <w:sz w:val="32"/>
          <w:szCs w:val="32"/>
        </w:rPr>
      </w:r>
      <w:r/>
    </w:p>
    <w:p>
      <w:pPr>
        <w:pStyle w:val="907"/>
        <w:ind w:firstLine="560"/>
        <w:keepLines/>
        <w:keepNext/>
        <w:spacing w:line="400" w:lineRule="exact"/>
        <w:rPr>
          <w:rFonts w:hint="eastAsia" w:ascii="Arial" w:hAnsi="Arial" w:eastAsia="黑体" w:cs="Arial"/>
          <w:b/>
          <w:color w:val="000000"/>
          <w:sz w:val="28"/>
          <w:szCs w:val="28"/>
        </w:rPr>
        <w:outlineLvl w:val="3"/>
      </w:pPr>
      <w:r/>
      <w:bookmarkStart w:id="82" w:name="_Toc462564073"/>
      <w:r/>
      <w:bookmarkStart w:id="83" w:name="_Toc513029214"/>
      <w:r/>
      <w:bookmarkStart w:id="84" w:name="_Toc20823286"/>
      <w:r/>
      <w:bookmarkStart w:id="85"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2"/>
      <w:r/>
      <w:bookmarkEnd w:id="83"/>
      <w:r/>
      <w:bookmarkEnd w:id="84"/>
      <w:r/>
      <w:bookmarkEnd w:id="85"/>
      <w:r>
        <w:rPr>
          <w:rFonts w:hint="eastAsia" w:ascii="Arial" w:hAnsi="Arial" w:eastAsia="黑体" w:cs="Arial"/>
          <w:b/>
          <w:color w:val="000000"/>
          <w:sz w:val="28"/>
          <w:szCs w:val="28"/>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86" w:name="_Toc16938531"/>
      <w:r/>
      <w:bookmarkStart w:id="87" w:name="_Toc462564074"/>
      <w:r/>
      <w:bookmarkStart w:id="88" w:name="_Toc513029215"/>
      <w:r/>
      <w:bookmarkStart w:id="89"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6"/>
      <w:r/>
      <w:bookmarkEnd w:id="87"/>
      <w:r/>
      <w:bookmarkEnd w:id="88"/>
      <w:r/>
      <w:bookmarkEnd w:id="89"/>
      <w:r>
        <w:rPr>
          <w:rFonts w:hint="eastAsia" w:ascii="Arial" w:hAnsi="Arial" w:eastAsia="黑体" w:cs="Arial"/>
          <w:color w:val="000000"/>
          <w:sz w:val="28"/>
          <w:szCs w:val="28"/>
        </w:rPr>
      </w:r>
      <w:r/>
    </w:p>
    <w:p>
      <w:pPr>
        <w:pStyle w:val="90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90" w:name="_Hlt26670360"/>
      <w:r/>
      <w:bookmarkEnd w:id="90"/>
      <w:r/>
      <w:bookmarkStart w:id="91" w:name="_Hlt26954838"/>
      <w:r/>
      <w:bookmarkEnd w:id="91"/>
      <w:r/>
      <w:bookmarkStart w:id="92" w:name="_Hlt26668975"/>
      <w:r/>
      <w:bookmarkEnd w:id="92"/>
      <w:r/>
      <w:bookmarkStart w:id="93" w:name="_Toc513029219"/>
      <w:r/>
      <w:bookmarkStart w:id="94" w:name="_Toc14577357"/>
      <w:r/>
      <w:bookmarkStart w:id="95" w:name="_Toc49090509"/>
      <w:r/>
      <w:bookmarkStart w:id="96" w:name="_Toc49090507"/>
      <w:r/>
      <w:bookmarkStart w:id="97" w:name="_Toc513029216"/>
      <w:r/>
      <w:bookmarkStart w:id="98" w:name="_Toc14577354"/>
      <w:r/>
      <w:bookmarkStart w:id="99" w:name="_Toc14577355"/>
      <w:r/>
      <w:bookmarkStart w:id="100"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3"/>
      <w:r/>
      <w:bookmarkEnd w:id="94"/>
      <w:r/>
      <w:bookmarkEnd w:id="95"/>
      <w:r>
        <w:rPr>
          <w:rFonts w:hint="eastAsia" w:ascii="Arial" w:hAnsi="Arial" w:eastAsia="黑体" w:cs="Arial"/>
          <w:color w:val="000000"/>
          <w:sz w:val="28"/>
          <w:szCs w:val="28"/>
        </w:rPr>
      </w:r>
      <w:r/>
    </w:p>
    <w:p>
      <w:pPr>
        <w:pStyle w:val="907"/>
        <w:spacing w:line="400" w:lineRule="exact"/>
        <w:rPr>
          <w:rFonts w:hint="eastAsia" w:ascii="宋体" w:hAnsi="宋体"/>
          <w:color w:val="000000"/>
          <w:sz w:val="24"/>
          <w:szCs w:val="24"/>
        </w:rPr>
      </w:pPr>
      <w:r/>
      <w:bookmarkEnd w:id="96"/>
      <w:r/>
      <w:bookmarkEnd w:id="97"/>
      <w:r/>
      <w:bookmarkEnd w:id="9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1" w:name="_Hlt26954840"/>
      <w:r/>
      <w:bookmarkEnd w:id="101"/>
      <w:r>
        <w:rPr>
          <w:rFonts w:hint="eastAsia" w:ascii="宋体" w:hAnsi="宋体"/>
          <w:sz w:val="24"/>
          <w:szCs w:val="21"/>
        </w:rPr>
        <w:t xml:space="preserve">标人按照招标文件规定格式填报投标分项报价表</w:t>
      </w:r>
      <w:bookmarkStart w:id="102" w:name="_Hlt26670399"/>
      <w:r/>
      <w:bookmarkEnd w:id="102"/>
      <w:r>
        <w:rPr>
          <w:rFonts w:hint="eastAsia" w:ascii="宋体" w:hAnsi="宋体"/>
          <w:sz w:val="24"/>
          <w:szCs w:val="21"/>
        </w:rPr>
        <w:t xml:space="preserve">。</w:t>
      </w:r>
      <w:r>
        <w:rPr>
          <w:rFonts w:hint="eastAsia" w:ascii="宋体" w:hAnsi="宋体"/>
          <w:bCs/>
          <w:sz w:val="24"/>
          <w:szCs w:val="21"/>
        </w:rPr>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7"/>
        <w:ind w:firstLine="420"/>
        <w:keepLines/>
        <w:keepNext/>
        <w:spacing w:line="400" w:lineRule="exact"/>
        <w:rPr>
          <w:rFonts w:hint="eastAsia" w:ascii="Arial" w:hAnsi="Arial" w:eastAsia="黑体" w:cs="Arial"/>
          <w:sz w:val="28"/>
          <w:szCs w:val="28"/>
        </w:rPr>
        <w:outlineLvl w:val="3"/>
      </w:pPr>
      <w:r/>
      <w:bookmarkStart w:id="103" w:name="_Hlt26954731"/>
      <w:r/>
      <w:bookmarkEnd w:id="103"/>
      <w:r/>
      <w:bookmarkStart w:id="104" w:name="_Hlt26954848"/>
      <w:r/>
      <w:bookmarkEnd w:id="104"/>
      <w:r/>
      <w:bookmarkStart w:id="105" w:name="_Hlt26670486"/>
      <w:r/>
      <w:bookmarkEnd w:id="105"/>
      <w:r/>
      <w:bookmarkStart w:id="106" w:name="_Hlt26670482"/>
      <w:r/>
      <w:bookmarkEnd w:id="106"/>
      <w:r/>
      <w:bookmarkStart w:id="107" w:name="_Hlt26954846"/>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7"/>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7"/>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08" w:name="_Toc49090510"/>
      <w:r/>
      <w:bookmarkStart w:id="109"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0"/>
      <w:r/>
      <w:bookmarkEnd w:id="111"/>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7"/>
        <w:keepLines/>
        <w:keepNext/>
        <w:spacing w:before="156" w:after="156" w:line="400" w:lineRule="exact"/>
        <w:rPr>
          <w:rFonts w:hint="eastAsia"/>
          <w:b/>
          <w:bCs/>
          <w:color w:val="000000"/>
          <w:sz w:val="32"/>
          <w:szCs w:val="32"/>
        </w:rPr>
        <w:outlineLvl w:val="2"/>
      </w:pPr>
      <w:r/>
      <w:bookmarkStart w:id="112" w:name="_Hlt26954739"/>
      <w:r/>
      <w:bookmarkEnd w:id="112"/>
      <w:r/>
      <w:bookmarkStart w:id="113" w:name="_Hlt26954852"/>
      <w:r/>
      <w:bookmarkEnd w:id="113"/>
      <w:r/>
      <w:bookmarkStart w:id="114" w:name="_Toc20823296"/>
      <w:r/>
      <w:bookmarkStart w:id="115" w:name="_Toc120614217"/>
      <w:r/>
      <w:bookmarkStart w:id="116" w:name="_Toc513029224"/>
      <w:r/>
      <w:bookmarkStart w:id="117" w:name="_Toc16938540"/>
      <w:r>
        <w:rPr>
          <w:rFonts w:hint="eastAsia"/>
          <w:b/>
          <w:bCs/>
          <w:color w:val="000000"/>
          <w:sz w:val="32"/>
          <w:szCs w:val="32"/>
        </w:rPr>
        <w:t xml:space="preserve">四、投标文件的递交</w:t>
      </w:r>
      <w:bookmarkEnd w:id="114"/>
      <w:r/>
      <w:bookmarkEnd w:id="115"/>
      <w:r/>
      <w:bookmarkEnd w:id="116"/>
      <w:r/>
      <w:bookmarkEnd w:id="117"/>
      <w:r>
        <w:rPr>
          <w:rFonts w:hint="eastAsia"/>
          <w:b/>
          <w:bCs/>
          <w:color w:val="000000"/>
          <w:sz w:val="32"/>
          <w:szCs w:val="32"/>
        </w:rPr>
      </w:r>
      <w:r/>
    </w:p>
    <w:p>
      <w:pPr>
        <w:pStyle w:val="907"/>
        <w:ind w:firstLine="420"/>
        <w:keepLines/>
        <w:keepNext/>
        <w:spacing w:line="400" w:lineRule="exact"/>
        <w:rPr>
          <w:rFonts w:hint="eastAsia" w:ascii="黑体" w:hAnsi="Arial" w:eastAsia="黑体" w:cs="Arial"/>
          <w:color w:val="000000"/>
          <w:sz w:val="28"/>
          <w:szCs w:val="28"/>
        </w:rPr>
        <w:outlineLvl w:val="3"/>
      </w:pPr>
      <w:r/>
      <w:bookmarkStart w:id="118" w:name="_Toc513029225"/>
      <w:r/>
      <w:bookmarkStart w:id="119" w:name="_Toc462564084"/>
      <w:r/>
      <w:bookmarkStart w:id="120" w:name="_Toc20823297"/>
      <w:r/>
      <w:bookmarkStart w:id="121"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2" w:name="_Toc513029226"/>
      <w:r/>
      <w:bookmarkStart w:id="123" w:name="_Toc16938542"/>
      <w:r/>
      <w:bookmarkStart w:id="124" w:name="_Toc20823298"/>
      <w:r>
        <w:rPr>
          <w:rFonts w:ascii="宋体" w:hAnsi="宋体"/>
          <w:bCs/>
          <w:color w:val="000000"/>
          <w:sz w:val="24"/>
          <w:szCs w:val="21"/>
        </w:rPr>
      </w:r>
      <w:r/>
    </w:p>
    <w:p>
      <w:pPr>
        <w:pStyle w:val="907"/>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90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25" w:name="_Toc16938543"/>
      <w:r/>
      <w:bookmarkStart w:id="126" w:name="_Toc513029227"/>
      <w:r/>
      <w:bookmarkStart w:id="127"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28" w:name="_Toc513029228"/>
      <w:r/>
      <w:bookmarkStart w:id="129" w:name="_Toc16938544"/>
      <w:r/>
      <w:bookmarkStart w:id="130"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7"/>
        <w:ind w:firstLine="480"/>
        <w:keepLines/>
        <w:keepNext/>
        <w:spacing w:before="156" w:after="156" w:line="400" w:lineRule="exact"/>
        <w:rPr>
          <w:rFonts w:hint="eastAsia"/>
          <w:b/>
          <w:bCs/>
          <w:color w:val="000000"/>
          <w:sz w:val="32"/>
          <w:szCs w:val="32"/>
        </w:rPr>
        <w:outlineLvl w:val="2"/>
      </w:pPr>
      <w:r/>
      <w:bookmarkStart w:id="131" w:name="_Toc20823301"/>
      <w:r/>
      <w:bookmarkStart w:id="132" w:name="_Toc120614218"/>
      <w:r/>
      <w:bookmarkStart w:id="133" w:name="_Toc513029229"/>
      <w:r/>
      <w:bookmarkStart w:id="134" w:name="_Toc16938545"/>
      <w:r>
        <w:rPr>
          <w:rFonts w:hint="eastAsia"/>
          <w:b/>
          <w:bCs/>
          <w:color w:val="000000"/>
          <w:sz w:val="32"/>
          <w:szCs w:val="32"/>
        </w:rPr>
        <w:t xml:space="preserve">五、开标与评标</w:t>
      </w:r>
      <w:bookmarkEnd w:id="131"/>
      <w:r/>
      <w:bookmarkEnd w:id="132"/>
      <w:r/>
      <w:bookmarkEnd w:id="133"/>
      <w:r/>
      <w:bookmarkEnd w:id="134"/>
      <w:r>
        <w:rPr>
          <w:rFonts w:hint="eastAsia"/>
          <w:b/>
          <w:bCs/>
          <w:color w:val="000000"/>
          <w:sz w:val="32"/>
          <w:szCs w:val="32"/>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35" w:name="_Toc16938546"/>
      <w:r/>
      <w:bookmarkStart w:id="136" w:name="_Toc513029230"/>
      <w:r/>
      <w:bookmarkStart w:id="137"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5"/>
      <w:r/>
      <w:bookmarkEnd w:id="136"/>
      <w:r/>
      <w:bookmarkEnd w:id="137"/>
      <w:r>
        <w:rPr>
          <w:rFonts w:hint="eastAsia" w:ascii="Arial" w:hAnsi="Arial" w:eastAsia="黑体" w:cs="Arial"/>
          <w:color w:val="000000"/>
          <w:sz w:val="28"/>
          <w:szCs w:val="28"/>
        </w:rPr>
      </w:r>
      <w:r/>
    </w:p>
    <w:p>
      <w:pPr>
        <w:pStyle w:val="907"/>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7"/>
        <w:ind w:firstLine="420"/>
        <w:keepLines/>
        <w:keepNext/>
        <w:spacing w:line="400" w:lineRule="exact"/>
        <w:rPr>
          <w:rFonts w:hint="eastAsia" w:ascii="Arial" w:hAnsi="Arial" w:eastAsia="黑体" w:cs="Arial"/>
          <w:sz w:val="28"/>
          <w:szCs w:val="28"/>
        </w:rPr>
        <w:outlineLvl w:val="3"/>
      </w:pPr>
      <w:r/>
      <w:bookmarkStart w:id="138" w:name="_Toc513029231"/>
      <w:r/>
      <w:bookmarkStart w:id="139" w:name="_Toc20823303"/>
      <w:r/>
      <w:bookmarkStart w:id="140"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0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07"/>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41" w:name="_Toc20823304"/>
      <w:r/>
      <w:bookmarkStart w:id="142" w:name="_Toc16938548"/>
      <w:r/>
      <w:bookmarkStart w:id="143"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907"/>
        <w:ind w:firstLine="480"/>
        <w:spacing w:line="400" w:lineRule="exact"/>
        <w:rPr>
          <w:rFonts w:ascii="宋体" w:hAnsi="宋体"/>
          <w:color w:val="000000"/>
          <w:sz w:val="24"/>
          <w:szCs w:val="24"/>
        </w:rPr>
      </w:pPr>
      <w:r/>
      <w:bookmarkStart w:id="144" w:name="_Toc20823305"/>
      <w:r/>
      <w:bookmarkStart w:id="145" w:name="_Toc16938549"/>
      <w:r/>
      <w:bookmarkStart w:id="146"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7"/>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7"/>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7"/>
        <w:ind w:firstLine="480"/>
        <w:spacing w:line="400" w:lineRule="exact"/>
        <w:rPr>
          <w:rFonts w:ascii="宋体" w:hAnsi="宋体"/>
          <w:color w:val="000000"/>
          <w:sz w:val="24"/>
          <w:szCs w:val="21"/>
        </w:rPr>
      </w:pPr>
      <w:r/>
      <w:bookmarkStart w:id="147" w:name="_Toc20823306"/>
      <w:r/>
      <w:bookmarkStart w:id="148" w:name="_Toc513029234"/>
      <w:r/>
      <w:bookmarkStart w:id="149"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7"/>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7"/>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宋体" w:hAnsi="宋体"/>
          <w:sz w:val="24"/>
          <w:szCs w:val="21"/>
        </w:rPr>
      </w:r>
      <w:r/>
    </w:p>
    <w:p>
      <w:pPr>
        <w:pStyle w:val="90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7"/>
        <w:ind w:left="478"/>
        <w:spacing w:line="400" w:lineRule="exact"/>
        <w:rPr>
          <w:rFonts w:hint="eastAsia" w:ascii="宋体" w:hAnsi="宋体"/>
          <w:bCs/>
          <w:sz w:val="24"/>
          <w:szCs w:val="21"/>
        </w:rPr>
      </w:pPr>
      <w:r/>
      <w:bookmarkStart w:id="150" w:name="_Toc513029235"/>
      <w:r/>
      <w:bookmarkStart w:id="151" w:name="_Toc20823307"/>
      <w:r/>
      <w:bookmarkStart w:id="152"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7"/>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7"/>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w:t>
      </w:r>
      <w:r>
        <w:rPr>
          <w:rFonts w:hint="eastAsia" w:ascii="宋体" w:hAnsi="宋体"/>
          <w:bCs/>
          <w:sz w:val="24"/>
          <w:szCs w:val="21"/>
        </w:rPr>
        <w:t xml:space="preserve">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和加</w:t>
      </w:r>
      <w:r>
        <w:rPr>
          <w:rFonts w:hint="eastAsia" w:ascii="宋体" w:hAnsi="宋体" w:cs="宋体"/>
          <w:b/>
          <w:bCs/>
          <w:sz w:val="24"/>
          <w:szCs w:val="21"/>
        </w:rPr>
        <w:t xml:space="preserve">★</w:t>
      </w:r>
      <w:r>
        <w:rPr>
          <w:rFonts w:hint="eastAsia" w:ascii="宋体" w:hAnsi="宋体"/>
          <w:b/>
          <w:bCs/>
          <w:sz w:val="24"/>
          <w:szCs w:val="21"/>
        </w:rPr>
        <w:t xml:space="preserve">号条款为实质性要求）</w:t>
      </w:r>
      <w:r>
        <w:rPr>
          <w:rFonts w:hint="eastAsia" w:ascii="宋体" w:hAnsi="宋体"/>
          <w:bCs/>
          <w:i/>
          <w:color w:val="000000"/>
          <w:sz w:val="24"/>
          <w:szCs w:val="21"/>
          <w:u w:val="single"/>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07"/>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7"/>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7"/>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7"/>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7"/>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7"/>
        <w:ind w:firstLine="480"/>
        <w:keepLines/>
        <w:keepNext/>
        <w:spacing w:before="156" w:after="156" w:line="400" w:lineRule="exact"/>
        <w:rPr>
          <w:rFonts w:hint="eastAsia"/>
          <w:b/>
          <w:bCs/>
          <w:color w:val="000000"/>
          <w:sz w:val="32"/>
          <w:szCs w:val="32"/>
        </w:rPr>
        <w:outlineLvl w:val="2"/>
      </w:pPr>
      <w:r/>
      <w:bookmarkStart w:id="153" w:name="_Toc120614219"/>
      <w:r>
        <w:rPr>
          <w:rFonts w:hint="eastAsia"/>
          <w:b/>
          <w:bCs/>
          <w:color w:val="000000"/>
          <w:sz w:val="32"/>
          <w:szCs w:val="32"/>
        </w:rPr>
        <w:t xml:space="preserve">六、</w:t>
      </w:r>
      <w:bookmarkEnd w:id="150"/>
      <w:r/>
      <w:bookmarkEnd w:id="151"/>
      <w:r/>
      <w:bookmarkEnd w:id="152"/>
      <w:r>
        <w:rPr>
          <w:rFonts w:hint="eastAsia"/>
          <w:b/>
          <w:bCs/>
          <w:color w:val="000000"/>
          <w:sz w:val="32"/>
          <w:szCs w:val="32"/>
        </w:rPr>
        <w:t xml:space="preserve">定标</w:t>
      </w:r>
      <w:bookmarkEnd w:id="153"/>
      <w:r>
        <w:rPr>
          <w:rFonts w:hint="eastAsia"/>
          <w:b/>
          <w:bCs/>
          <w:color w:val="000000"/>
          <w:sz w:val="32"/>
          <w:szCs w:val="32"/>
        </w:rPr>
      </w:r>
      <w:r/>
    </w:p>
    <w:p>
      <w:pPr>
        <w:pStyle w:val="907"/>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7"/>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7"/>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7"/>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7"/>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7"/>
        <w:keepLines/>
        <w:keepNext/>
        <w:spacing w:before="156" w:after="156" w:line="400" w:lineRule="exact"/>
        <w:rPr>
          <w:rFonts w:hint="eastAsia"/>
          <w:b/>
          <w:bCs/>
          <w:color w:val="000000"/>
          <w:sz w:val="32"/>
          <w:szCs w:val="32"/>
        </w:rPr>
        <w:outlineLvl w:val="2"/>
      </w:pPr>
      <w:r/>
      <w:bookmarkStart w:id="158" w:name="_Toc120614220"/>
      <w:r/>
      <w:bookmarkStart w:id="159" w:name="_Toc16938552"/>
      <w:r/>
      <w:bookmarkStart w:id="160" w:name="_Toc513029236"/>
      <w:r/>
      <w:bookmarkStart w:id="161" w:name="_Toc20823308"/>
      <w:r>
        <w:rPr>
          <w:rFonts w:hint="eastAsia"/>
          <w:b/>
          <w:bCs/>
          <w:color w:val="000000"/>
          <w:sz w:val="32"/>
          <w:szCs w:val="32"/>
        </w:rPr>
        <w:t xml:space="preserve">七、授予合同</w:t>
      </w:r>
      <w:bookmarkEnd w:id="158"/>
      <w:r>
        <w:rPr>
          <w:rFonts w:hint="eastAsia"/>
          <w:b/>
          <w:bCs/>
          <w:color w:val="000000"/>
          <w:sz w:val="32"/>
          <w:szCs w:val="32"/>
        </w:rPr>
      </w:r>
      <w:r/>
    </w:p>
    <w:p>
      <w:pPr>
        <w:pStyle w:val="907"/>
        <w:ind w:firstLine="600"/>
        <w:keepLines/>
        <w:keepNext/>
        <w:spacing w:line="400" w:lineRule="exact"/>
        <w:rPr>
          <w:rFonts w:hint="eastAsia" w:ascii="黑体" w:hAnsi="宋体" w:eastAsia="黑体"/>
          <w:bCs/>
          <w:color w:val="000000"/>
          <w:sz w:val="30"/>
          <w:szCs w:val="30"/>
        </w:rPr>
        <w:outlineLvl w:val="3"/>
      </w:pPr>
      <w:r/>
      <w:bookmarkEnd w:id="159"/>
      <w:r/>
      <w:bookmarkEnd w:id="160"/>
      <w:r/>
      <w:bookmarkEnd w:id="161"/>
      <w:r/>
      <w:bookmarkStart w:id="162" w:name="_Toc20823309"/>
      <w:r/>
      <w:bookmarkStart w:id="163" w:name="_Toc513029237"/>
      <w:r/>
      <w:bookmarkStart w:id="164"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7"/>
        <w:ind w:firstLine="600"/>
        <w:keepLines/>
        <w:keepNext/>
        <w:spacing w:line="400" w:lineRule="exact"/>
        <w:rPr>
          <w:rFonts w:ascii="黑体" w:hAnsi="宋体" w:eastAsia="黑体"/>
          <w:bCs/>
          <w:color w:val="000000"/>
          <w:sz w:val="30"/>
          <w:szCs w:val="30"/>
        </w:rPr>
        <w:outlineLvl w:val="3"/>
      </w:pPr>
      <w:r/>
      <w:bookmarkEnd w:id="162"/>
      <w:r/>
      <w:bookmarkEnd w:id="163"/>
      <w:r/>
      <w:bookmarkEnd w:id="164"/>
      <w:r/>
      <w:bookmarkStart w:id="165" w:name="_Toc20823314"/>
      <w:r/>
      <w:bookmarkStart w:id="166" w:name="_Toc120614221"/>
      <w:r/>
      <w:bookmarkStart w:id="167" w:name="_Toc513029242"/>
      <w:r/>
      <w:bookmarkStart w:id="168" w:name="_Toc479757207"/>
      <w:r/>
      <w:bookmarkStart w:id="169"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7"/>
        <w:ind w:firstLine="420"/>
        <w:spacing w:line="400" w:lineRule="exact"/>
        <w:rPr>
          <w:rFonts w:hint="eastAsia"/>
          <w:color w:val="000000"/>
          <w:szCs w:val="21"/>
        </w:rPr>
      </w:pPr>
      <w:r>
        <w:rPr>
          <w:rFonts w:hint="eastAsia"/>
          <w:color w:val="000000"/>
          <w:szCs w:val="21"/>
        </w:rPr>
      </w:r>
      <w:r/>
    </w:p>
    <w:p>
      <w:pPr>
        <w:pStyle w:val="90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7"/>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07"/>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0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5"/>
      <w:r/>
      <w:bookmarkEnd w:id="166"/>
      <w:r/>
      <w:bookmarkEnd w:id="167"/>
      <w:r/>
      <w:bookmarkEnd w:id="168"/>
      <w:r/>
      <w:bookmarkEnd w:id="169"/>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7"/>
        <w:spacing w:line="400" w:lineRule="exact"/>
        <w:rPr>
          <w:rFonts w:ascii="宋体" w:hAnsi="宋体"/>
          <w:bCs/>
          <w:color w:val="ff0000"/>
          <w:sz w:val="24"/>
          <w:szCs w:val="24"/>
          <w:highlight w:val="yellow"/>
        </w:rPr>
      </w:pPr>
      <w:r/>
      <w:bookmarkStart w:id="170" w:name="_Toc513029243"/>
      <w:r/>
      <w:bookmarkStart w:id="171" w:name="_Toc16938559"/>
      <w:r/>
      <w:bookmarkStart w:id="172" w:name="_Toc20823315"/>
      <w:r/>
      <w:bookmarkStart w:id="173" w:name="_Toc3995"/>
      <w:r/>
      <w:bookmarkStart w:id="174" w:name="_Hlt16619350"/>
      <w:r/>
      <w:bookmarkStart w:id="175" w:name="_Toc16938590"/>
      <w:r/>
      <w:bookmarkStart w:id="176" w:name="_Toc120614244"/>
      <w:r/>
      <w:bookmarkStart w:id="177" w:name="_Toc20823346"/>
      <w:r/>
      <w:bookmarkStart w:id="178" w:name="_Toc479757211"/>
      <w:r/>
      <w:bookmarkStart w:id="179" w:name="_Toc462564139"/>
      <w:r>
        <w:rPr>
          <w:rFonts w:ascii="宋体" w:hAnsi="宋体"/>
          <w:bCs/>
          <w:color w:val="ff0000"/>
          <w:sz w:val="24"/>
          <w:szCs w:val="24"/>
          <w:highlight w:val="yellow"/>
        </w:rPr>
      </w:r>
      <w:r/>
    </w:p>
    <w:p>
      <w:pPr>
        <w:pStyle w:val="90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9"/>
        <w:jc w:val="center"/>
        <w:rPr>
          <w:rFonts w:ascii="宋体" w:hAnsi="宋体" w:eastAsia="宋体" w:cs="宋体"/>
          <w:b/>
          <w:bCs/>
          <w:spacing w:val="-20"/>
          <w:sz w:val="32"/>
          <w:szCs w:val="32"/>
        </w:rPr>
      </w:pPr>
      <w:r/>
      <w:bookmarkEnd w:id="170"/>
      <w:r/>
      <w:bookmarkEnd w:id="171"/>
      <w:r/>
      <w:bookmarkEnd w:id="172"/>
      <w:r/>
      <w:bookmarkEnd w:id="173"/>
      <w:r>
        <w:rPr>
          <w:rFonts w:ascii="宋体" w:hAnsi="宋体" w:eastAsia="宋体" w:cs="宋体"/>
          <w:b/>
          <w:bCs/>
          <w:spacing w:val="-20"/>
          <w:sz w:val="32"/>
          <w:szCs w:val="32"/>
        </w:rPr>
      </w:r>
      <w:r/>
    </w:p>
    <w:p>
      <w:pPr>
        <w:pStyle w:val="93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7"/>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7"/>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7"/>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7"/>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7"/>
      </w:pPr>
      <w:r/>
      <w:r/>
    </w:p>
    <w:p>
      <w:pPr>
        <w:pStyle w:val="907"/>
        <w:rPr>
          <w:rFonts w:eastAsia="黑体"/>
          <w:sz w:val="44"/>
          <w:szCs w:val="44"/>
        </w:rPr>
      </w:pPr>
      <w:r>
        <w:rPr>
          <w:rFonts w:eastAsia="黑体"/>
          <w:sz w:val="44"/>
          <w:szCs w:val="44"/>
        </w:rPr>
        <w:br w:type="page" w:clear="all"/>
      </w:r>
      <w:r>
        <w:rPr>
          <w:rFonts w:eastAsia="黑体"/>
          <w:sz w:val="44"/>
          <w:szCs w:val="44"/>
        </w:rPr>
      </w:r>
      <w:r/>
    </w:p>
    <w:p>
      <w:pPr>
        <w:pStyle w:val="907"/>
        <w:rPr>
          <w:rFonts w:eastAsia="黑体"/>
          <w:sz w:val="44"/>
          <w:szCs w:val="44"/>
        </w:rPr>
      </w:pPr>
      <w:r>
        <w:rPr>
          <w:rFonts w:eastAsia="黑体"/>
          <w:sz w:val="44"/>
          <w:szCs w:val="44"/>
        </w:rPr>
      </w:r>
      <w:r/>
    </w:p>
    <w:p>
      <w:pPr>
        <w:pStyle w:val="907"/>
        <w:rPr>
          <w:rFonts w:eastAsia="黑体"/>
          <w:sz w:val="44"/>
          <w:szCs w:val="44"/>
        </w:rPr>
      </w:pPr>
      <w:r>
        <w:rPr>
          <w:rFonts w:eastAsia="黑体"/>
          <w:sz w:val="44"/>
          <w:szCs w:val="44"/>
        </w:rPr>
      </w:r>
      <w:r/>
    </w:p>
    <w:p>
      <w:pPr>
        <w:pStyle w:val="907"/>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7"/>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7"/>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7"/>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7"/>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7"/>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9"/>
        <w:spacing w:line="400" w:lineRule="exact"/>
        <w:rPr>
          <w:rFonts w:ascii="黑体" w:hAnsi="黑体" w:eastAsia="黑体"/>
          <w:sz w:val="28"/>
          <w:szCs w:val="28"/>
        </w:rPr>
      </w:pPr>
      <w:r>
        <w:rPr>
          <w:rFonts w:ascii="黑体" w:hAnsi="黑体" w:eastAsia="黑体"/>
          <w:sz w:val="28"/>
          <w:szCs w:val="28"/>
        </w:rPr>
      </w:r>
      <w:r/>
    </w:p>
    <w:p>
      <w:pPr>
        <w:pStyle w:val="90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7"/>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7"/>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7"/>
        <w:spacing w:line="400" w:lineRule="exact"/>
      </w:pPr>
      <w:r/>
      <w:r/>
    </w:p>
    <w:p>
      <w:pPr>
        <w:pStyle w:val="94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1"/>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4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4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7"/>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7"/>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7"/>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7"/>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2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6"/>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7"/>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7"/>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7"/>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7"/>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7"/>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7"/>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7"/>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7"/>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7"/>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2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7"/>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7"/>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7"/>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7"/>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2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2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7"/>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7"/>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7"/>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7"/>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7"/>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7"/>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7"/>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7"/>
        <w:ind w:left="0" w:firstLine="420"/>
        <w:spacing w:line="400" w:lineRule="exact"/>
        <w:rPr>
          <w:rFonts w:ascii="宋体" w:hAnsi="宋体"/>
          <w:szCs w:val="21"/>
          <w:lang w:eastAsia="zh-CN"/>
        </w:rPr>
      </w:pPr>
      <w:r>
        <w:rPr>
          <w:rFonts w:hint="eastAsia" w:ascii="宋体" w:hAnsi="宋体"/>
          <w:sz w:val="21"/>
          <w:szCs w:val="21"/>
          <w:lang w:eastAsia="zh-CN"/>
        </w:rPr>
        <w:t xml:space="preserve">（3）付款方式（按项目实际勾选填写）：</w:t>
      </w:r>
      <w:r>
        <w:rPr>
          <w:rFonts w:ascii="宋体" w:hAnsi="宋体"/>
          <w:szCs w:val="21"/>
          <w:lang w:eastAsia="zh-CN"/>
        </w:rPr>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7"/>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7"/>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7"/>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7"/>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2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2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7"/>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7"/>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7"/>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7"/>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7"/>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7"/>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7"/>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7"/>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7"/>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7"/>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2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7"/>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7"/>
        <w:ind w:firstLine="420"/>
        <w:spacing w:line="400" w:lineRule="exact"/>
      </w:pPr>
      <w:r>
        <w:rPr>
          <w:rFonts w:hint="eastAsia" w:ascii="宋体" w:hAnsi="宋体"/>
          <w:szCs w:val="21"/>
        </w:rPr>
        <w:t xml:space="preserve">附件：具体标的及其技术要求和商务要求、联合协议、分包意向协议等</w:t>
      </w:r>
      <w:r/>
    </w:p>
    <w:p>
      <w:pPr>
        <w:pStyle w:val="909"/>
        <w:spacing w:line="400" w:lineRule="exact"/>
        <w:rPr>
          <w:rFonts w:ascii="宋体" w:hAnsi="宋体"/>
          <w:b w:val="0"/>
          <w:bCs w:val="0"/>
          <w:sz w:val="21"/>
          <w:szCs w:val="21"/>
        </w:rPr>
      </w:pPr>
      <w:r>
        <w:rPr>
          <w:lang w:val="en"/>
        </w:rPr>
        <w:t xml:space="preserve">   </w:t>
      </w:r>
      <w:r>
        <w:rPr>
          <w:rFonts w:ascii="宋体" w:hAnsi="宋体"/>
          <w:b w:val="0"/>
          <w:bCs w:val="0"/>
          <w:sz w:val="21"/>
          <w:szCs w:val="21"/>
        </w:rPr>
      </w:r>
      <w:r/>
    </w:p>
    <w:p>
      <w:pPr>
        <w:pStyle w:val="987"/>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7"/>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7"/>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0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07"/>
              <w:jc w:val="center"/>
              <w:spacing w:line="300" w:lineRule="exact"/>
              <w:rPr>
                <w:szCs w:val="21"/>
              </w:rPr>
            </w:pPr>
            <w:r>
              <w:rPr>
                <w:szCs w:val="21"/>
              </w:rPr>
              <w:t xml:space="preserve">法定代表人</w:t>
            </w:r>
            <w:r>
              <w:rPr>
                <w:szCs w:val="21"/>
              </w:rPr>
            </w:r>
            <w:r/>
          </w:p>
          <w:p>
            <w:pPr>
              <w:pStyle w:val="907"/>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法定代表人</w:t>
            </w:r>
            <w:r>
              <w:rPr>
                <w:szCs w:val="21"/>
              </w:rPr>
            </w:r>
            <w:r/>
          </w:p>
          <w:p>
            <w:pPr>
              <w:pStyle w:val="907"/>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07"/>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07"/>
              <w:jc w:val="center"/>
              <w:spacing w:line="300" w:lineRule="exact"/>
              <w:rPr>
                <w:szCs w:val="21"/>
              </w:rPr>
            </w:pPr>
            <w:r>
              <w:rPr>
                <w:szCs w:val="21"/>
              </w:rPr>
            </w:r>
            <w:r/>
          </w:p>
        </w:tc>
        <w:tc>
          <w:tcPr>
            <w:tcW w:w="2413" w:type="dxa"/>
            <w:vAlign w:val="center"/>
            <w:vMerge w:val="continue"/>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9"/>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7"/>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7"/>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7"/>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7"/>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7"/>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7"/>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7"/>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7"/>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7"/>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2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7"/>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6"/>
        <w:ind w:firstLine="420"/>
        <w:jc w:val="left"/>
        <w:spacing w:line="400" w:lineRule="exact"/>
        <w:rPr>
          <w:rFonts w:hAnsi="宋体"/>
          <w:b/>
        </w:rPr>
      </w:pPr>
      <w:r>
        <w:rPr>
          <w:rFonts w:hint="eastAsia" w:hAnsi="宋体"/>
        </w:rPr>
        <w:t xml:space="preserve">8.1 质量标准</w:t>
      </w:r>
      <w:r>
        <w:rPr>
          <w:rFonts w:hAnsi="宋体"/>
          <w:b/>
        </w:rPr>
      </w:r>
      <w:r/>
    </w:p>
    <w:p>
      <w:pPr>
        <w:pStyle w:val="907"/>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7"/>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7"/>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7"/>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7"/>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7"/>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7"/>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7"/>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7"/>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7"/>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2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7"/>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7"/>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7"/>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7"/>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7"/>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7"/>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7"/>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2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7"/>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7"/>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7"/>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2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2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7"/>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7"/>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7"/>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7"/>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7"/>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7"/>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7"/>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7"/>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7"/>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7"/>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0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pPr>
            <w:r>
              <w:rPr>
                <w:rFonts w:hint="eastAsia" w:ascii="宋体" w:hAnsi="宋体"/>
                <w:szCs w:val="21"/>
              </w:rPr>
              <w:t xml:space="preserve">第5.4款</w:t>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7"/>
            </w:pPr>
            <w:r/>
            <w:r/>
          </w:p>
        </w:tc>
      </w:tr>
      <w:tr>
        <w:trPr>
          <w:trHeight w:val="667"/>
        </w:trPr>
        <w:tc>
          <w:tcPr>
            <w:tcW w:w="1607" w:type="dxa"/>
            <w:vAlign w:val="center"/>
            <w:vMerge w:val="continue"/>
            <w:textDirection w:val="lrTb"/>
            <w:noWrap w:val="false"/>
          </w:tcPr>
          <w:p>
            <w:pPr>
              <w:pStyle w:val="907"/>
              <w:jc w:val="center"/>
              <w:rPr>
                <w:rFonts w:ascii="宋体" w:hAnsi="宋体"/>
                <w:szCs w:val="21"/>
              </w:rPr>
            </w:pP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7"/>
            </w:pPr>
            <w:r/>
            <w:r/>
          </w:p>
        </w:tc>
      </w:tr>
      <w:tr>
        <w:trPr>
          <w:trHeight w:val="772"/>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7"/>
            </w:pPr>
            <w:r/>
            <w:r/>
          </w:p>
        </w:tc>
      </w:tr>
      <w:tr>
        <w:trPr>
          <w:trHeight w:val="66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7"/>
            </w:p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7"/>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7"/>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26"/>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7"/>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7"/>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7"/>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7"/>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bl>
    <w:p>
      <w:pPr>
        <w:pStyle w:val="939"/>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907"/>
        <w:spacing w:line="0" w:lineRule="atLeast"/>
        <w:rPr>
          <w:rFonts w:ascii="宋体" w:hAnsi="宋体"/>
          <w:b/>
          <w:color w:val="000000"/>
          <w:sz w:val="24"/>
          <w:szCs w:val="24"/>
        </w:rPr>
      </w:pPr>
      <w:r/>
      <w:bookmarkStart w:id="180" w:name="_Toc26554093"/>
      <w:r/>
      <w:bookmarkStart w:id="181" w:name="_Toc49090575"/>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683"/>
        <w:gridCol w:w="4258"/>
        <w:gridCol w:w="3686"/>
      </w:tblGrid>
      <w:tr>
        <w:trPr>
          <w:cantSplit/>
        </w:trPr>
        <w:tc>
          <w:tcPr>
            <w:tcW w:w="684"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683"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25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686"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684" w:type="dxa"/>
            <w:vAlign w:val="top"/>
            <w:vMerge w:val="restart"/>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r>
            <w:r/>
          </w:p>
        </w:tc>
        <w:tc>
          <w:tcPr>
            <w:gridSpan w:val="3"/>
            <w:tcW w:w="8627"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硬件部分</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集装箱卡车同行识别系统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模拟集装箱（20GP）</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公铁水模拟火车轨道</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岸桥轨道</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模拟集装箱龙门吊</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集装箱自动吊具</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岸桥改造</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控制机柜</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模拟自动驾驶火车1</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10</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模拟自动驾驶火车2</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火车调度系统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公铁水运输模拟卡车</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多式联运操作调度监控系统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货运飞机模型仓</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模拟拖挂车</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多式联运业务调度展示数据监控屏</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VR行走平台</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场地文化</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9</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系统集成</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gridSpan w:val="3"/>
            <w:tcW w:w="8627"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软件部分</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1</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智慧堆场虚拟仿真系统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2</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陆港业务虚拟仿真系统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3</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中欧班列虚拟仿真系统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4</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水铁联运虚拟仿真系统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5</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多式联运项目仿真规划设计分析平台</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6</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多式联运项目仿真规划设计分析实训案例包</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bl>
    <w:p>
      <w:pPr>
        <w:pStyle w:val="907"/>
        <w:spacing w:line="0" w:lineRule="atLeast"/>
        <w:rPr>
          <w:rFonts w:ascii="宋体" w:hAnsi="宋体"/>
          <w:color w:val="000000"/>
          <w:sz w:val="24"/>
          <w:szCs w:val="24"/>
        </w:rPr>
      </w:pPr>
      <w:r>
        <w:rPr>
          <w:rFonts w:ascii="宋体" w:hAnsi="宋体"/>
          <w:color w:val="000000"/>
          <w:sz w:val="24"/>
          <w:szCs w:val="24"/>
        </w:rPr>
      </w:r>
      <w:r/>
    </w:p>
    <w:p>
      <w:pPr>
        <w:pStyle w:val="907"/>
        <w:spacing w:line="0" w:lineRule="atLeast"/>
        <w:rPr>
          <w:rFonts w:hint="eastAsia" w:ascii="宋体" w:hAnsi="宋体"/>
          <w:b/>
          <w:color w:val="000000"/>
          <w:sz w:val="24"/>
          <w:szCs w:val="24"/>
        </w:rPr>
      </w:pPr>
      <w:r>
        <w:rPr>
          <w:rFonts w:hint="eastAsia" w:ascii="宋体" w:hAnsi="宋体"/>
          <w:b/>
          <w:color w:val="000000"/>
          <w:sz w:val="24"/>
          <w:szCs w:val="24"/>
        </w:rPr>
        <w:t xml:space="preserve">一、项目概括：</w:t>
      </w:r>
      <w:r>
        <w:rPr>
          <w:rFonts w:hint="eastAsia" w:ascii="宋体" w:hAnsi="宋体"/>
          <w:b/>
          <w:color w:val="000000"/>
          <w:sz w:val="24"/>
          <w:szCs w:val="24"/>
        </w:rPr>
      </w:r>
      <w:r/>
    </w:p>
    <w:p>
      <w:pPr>
        <w:pStyle w:val="907"/>
        <w:ind w:firstLine="422"/>
        <w:jc w:val="left"/>
        <w:spacing w:line="360" w:lineRule="auto"/>
        <w:rPr>
          <w:rFonts w:hint="eastAsia"/>
        </w:rPr>
      </w:pPr>
      <w:r>
        <w:rPr>
          <w:rFonts w:hint="eastAsia"/>
          <w:b/>
          <w:bCs/>
        </w:rPr>
        <w:t xml:space="preserve">1、项目名称：</w:t>
      </w:r>
      <w:r>
        <w:rPr>
          <w:rFonts w:hint="eastAsia"/>
        </w:rPr>
        <w:t xml:space="preserve">国际多式联运虚拟仿真实训基地建设</w:t>
      </w:r>
      <w:r>
        <w:rPr>
          <w:rFonts w:hint="eastAsia"/>
        </w:rPr>
      </w:r>
      <w:r/>
    </w:p>
    <w:p>
      <w:pPr>
        <w:pStyle w:val="907"/>
        <w:ind w:firstLine="422"/>
        <w:jc w:val="left"/>
        <w:spacing w:line="360" w:lineRule="auto"/>
        <w:rPr>
          <w:rFonts w:hint="eastAsia" w:ascii="宋体" w:hAnsi="宋体" w:cs="宋体"/>
          <w:szCs w:val="21"/>
        </w:rPr>
      </w:pPr>
      <w:r>
        <w:rPr>
          <w:rFonts w:hint="eastAsia"/>
          <w:b/>
          <w:bCs/>
        </w:rPr>
        <w:t xml:space="preserve">2、项目概况：</w:t>
      </w:r>
      <w:r>
        <w:rPr>
          <w:rFonts w:hint="eastAsia" w:ascii="宋体" w:hAnsi="宋体" w:cs="宋体"/>
          <w:szCs w:val="21"/>
        </w:rPr>
        <w:t xml:space="preserve">本项目为南京交通职业技术学院国际多式联运虚拟仿真实训基地建设项目，位于南京交通职业技术学院齐贤楼1层，建设面积约437平方。本项目拟采购并建设一个具有线上虚拟仿真和线下实景操作、可随机选择组合模拟场景、可流程化操作和VR情景体验、可规划设计和实时验证的、能编制运营国际贸易及多式联运业务、展示操作中国与“一带一路”国家共同开展公铁、公水、铁水联运业务的国际多式联运综合虚拟仿真实训基地。</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国际多式联运虚拟仿真实训基地主要包括国际多式联运综合实训室、国际多式联运操作分析虚拟仿真操作中心和国际多式联运规划设计与分析体验中心，实现国际多式联运人才培养、产教融合学训环境构建、多式联运数字资源建设及师资培训和社会服务等四大功能。</w:t>
      </w:r>
      <w:r>
        <w:rPr>
          <w:rFonts w:hint="eastAsia" w:ascii="宋体" w:hAnsi="宋体" w:cs="宋体"/>
          <w:szCs w:val="21"/>
        </w:rPr>
      </w:r>
      <w:r/>
    </w:p>
    <w:p>
      <w:pPr>
        <w:pStyle w:val="907"/>
        <w:ind w:left="422"/>
        <w:jc w:val="left"/>
        <w:spacing w:line="360" w:lineRule="auto"/>
        <w:rPr>
          <w:rFonts w:hint="eastAsia"/>
          <w:b/>
          <w:bCs/>
        </w:rPr>
      </w:pPr>
      <w:r>
        <w:rPr>
          <w:rFonts w:hint="eastAsia"/>
          <w:b/>
          <w:bCs/>
        </w:rPr>
        <w:t xml:space="preserve">3、建设内容</w:t>
      </w:r>
      <w:r>
        <w:rPr>
          <w:rFonts w:hint="eastAsia"/>
          <w:b/>
          <w:bCs/>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在齐贤楼1楼综合口岸物流实训室升级建设国际多式联运综合实训室，新建国际多式联运操作分析虚拟仿真操作中心，新建国际多式联运规划设计分析体验中心。</w:t>
      </w:r>
      <w:r>
        <w:rPr>
          <w:rFonts w:hint="eastAsia" w:ascii="宋体" w:hAnsi="宋体" w:cs="宋体"/>
          <w:szCs w:val="21"/>
        </w:rPr>
      </w:r>
      <w:r/>
    </w:p>
    <w:p>
      <w:pPr>
        <w:pStyle w:val="907"/>
        <w:rPr>
          <w:rFonts w:ascii="方正仿宋_GBK" w:hAnsi="宋体" w:eastAsia="方正仿宋_GBK"/>
          <w:b/>
          <w:sz w:val="28"/>
          <w:szCs w:val="28"/>
        </w:rPr>
      </w:pPr>
      <w:r>
        <mc:AlternateContent>
          <mc:Choice Requires="wpg">
            <w:drawing>
              <wp:inline xmlns:wp="http://schemas.openxmlformats.org/drawingml/2006/wordprocessingDrawing" distT="0" distB="0" distL="0" distR="0">
                <wp:extent cx="5299075" cy="15576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99075" cy="1557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7.2pt;height:122.6pt;mso-wrap-distance-left:0.0pt;mso-wrap-distance-top:0.0pt;mso-wrap-distance-right:0.0pt;mso-wrap-distance-bottom:0.0pt;" stroked="f">
                <v:path textboxrect="0,0,0,0"/>
                <v:imagedata r:id="rId13" o:title=""/>
              </v:shape>
            </w:pict>
          </mc:Fallback>
        </mc:AlternateContent>
      </w:r>
      <w:r>
        <w:rPr>
          <w:rFonts w:ascii="方正仿宋_GBK" w:hAnsi="宋体" w:eastAsia="方正仿宋_GBK"/>
          <w:b/>
          <w:sz w:val="28"/>
          <w:szCs w:val="28"/>
        </w:rPr>
      </w:r>
      <w:r/>
    </w:p>
    <w:p>
      <w:pPr>
        <w:pStyle w:val="1006"/>
        <w:ind w:firstLine="281"/>
        <w:jc w:val="center"/>
        <w:rPr>
          <w:rFonts w:ascii="仿宋_GB2312" w:eastAsia="等线"/>
          <w:b/>
          <w:sz w:val="28"/>
          <w:szCs w:val="28"/>
        </w:rPr>
      </w:pPr>
      <w:r>
        <w:rPr>
          <w:rFonts w:hint="eastAsia" w:ascii="仿宋_GB2312" w:eastAsia="仿宋_GB2312"/>
          <w:b/>
          <w:sz w:val="28"/>
          <w:szCs w:val="28"/>
        </w:rPr>
        <w:t xml:space="preserve">图</w:t>
      </w:r>
      <w:r>
        <w:rPr>
          <w:rFonts w:ascii="仿宋_GB2312" w:eastAsia="仿宋_GB2312"/>
          <w:b/>
          <w:sz w:val="28"/>
          <w:szCs w:val="28"/>
        </w:rPr>
        <w:t xml:space="preserve"> </w:t>
      </w:r>
      <w:r>
        <w:rPr>
          <w:rFonts w:hint="eastAsia" w:ascii="仿宋_GB2312" w:eastAsia="仿宋_GB2312"/>
          <w:b/>
          <w:sz w:val="28"/>
          <w:szCs w:val="28"/>
        </w:rPr>
        <w:t xml:space="preserve">多式联运虚拟仿真综合实训平台场地布局建议图</w:t>
      </w:r>
      <w:r>
        <w:rPr>
          <w:rFonts w:ascii="仿宋_GB2312" w:eastAsia="等线"/>
          <w:b/>
          <w:sz w:val="28"/>
          <w:szCs w:val="28"/>
        </w:rPr>
      </w:r>
      <w:r/>
    </w:p>
    <w:p>
      <w:pPr>
        <w:pStyle w:val="907"/>
        <w:ind w:firstLine="420"/>
        <w:jc w:val="center"/>
        <w:spacing w:line="360" w:lineRule="auto"/>
        <w:rPr>
          <w:rFonts w:hint="eastAsia" w:ascii="宋体" w:hAnsi="宋体" w:cs="宋体"/>
          <w:szCs w:val="21"/>
        </w:rPr>
      </w:pPr>
      <w:r>
        <w:rPr>
          <w:rFonts w:hint="eastAsia" w:ascii="宋体" w:hAnsi="宋体" w:cs="宋体"/>
          <w:szCs w:val="21"/>
        </w:rPr>
        <w:t xml:space="preserve">（场地尺寸：长5</w:t>
      </w:r>
      <w:r>
        <w:rPr>
          <w:rFonts w:ascii="宋体" w:hAnsi="宋体" w:cs="宋体"/>
          <w:szCs w:val="21"/>
        </w:rPr>
        <w:t xml:space="preserve">5.65</w:t>
      </w:r>
      <w:r>
        <w:rPr>
          <w:rFonts w:hint="eastAsia" w:ascii="宋体" w:hAnsi="宋体" w:cs="宋体"/>
          <w:szCs w:val="21"/>
        </w:rPr>
        <w:t xml:space="preserve">米*宽</w:t>
      </w:r>
      <w:r>
        <w:rPr>
          <w:rFonts w:ascii="宋体" w:hAnsi="宋体" w:cs="宋体"/>
          <w:szCs w:val="21"/>
        </w:rPr>
        <w:t xml:space="preserve">7.85</w:t>
      </w:r>
      <w:r>
        <w:rPr>
          <w:rFonts w:hint="eastAsia" w:ascii="宋体" w:hAnsi="宋体" w:cs="宋体"/>
          <w:szCs w:val="21"/>
        </w:rPr>
        <w:t xml:space="preserve">米）</w:t>
      </w:r>
      <w:r>
        <w:rPr>
          <w:rFonts w:hint="eastAsia" w:ascii="宋体" w:hAnsi="宋体" w:cs="宋体"/>
          <w:szCs w:val="21"/>
        </w:rPr>
      </w:r>
      <w:r/>
    </w:p>
    <w:p>
      <w:pPr>
        <w:pStyle w:val="907"/>
        <w:ind w:firstLine="422"/>
        <w:jc w:val="left"/>
        <w:spacing w:line="360" w:lineRule="auto"/>
        <w:rPr>
          <w:rFonts w:hint="eastAsia" w:ascii="宋体" w:hAnsi="宋体" w:cs="宋体"/>
          <w:b/>
          <w:bCs/>
          <w:szCs w:val="21"/>
        </w:rPr>
      </w:pPr>
      <w:r>
        <w:rPr>
          <w:rFonts w:hint="eastAsia" w:ascii="宋体" w:hAnsi="宋体" w:cs="宋体"/>
          <w:b/>
          <w:bCs/>
          <w:szCs w:val="21"/>
        </w:rPr>
        <w:t xml:space="preserve">（一）国际多式联运综合实训室</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升级原综合口岸实训室的散货码头机械，搭建铁路货运站、公路货运站场景，合理衔接集装箱货运站场景，搭建公铁水业务流程复合作业场景，用以线下展示部分公铁、公水、铁水等联运业务的枢纽作业。</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1）公路-铁路联运枢纽</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主要开展：过境公路铁路集散换装、国际班列铁路集装箱换装操作、铁路车辆运行编组、铁路班车调度操作。</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2）公路集散枢纽</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主要开展：公路货物集散、散改集、公路-铁路及公路水路联运衔接作业。</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3）公路水路联运枢纽+水路铁路联运枢纽</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主要开展：公路水路联运作业、水路铁路联运作业、海运集装箱装卸及港口内驳运、公路铁路水路集装箱换装等作业。</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4）公路航空联运枢纽+低空配送中心</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主要开展：公路航空物资转运、公路-低空无人机配送等作业。</w:t>
      </w:r>
      <w:r>
        <w:rPr>
          <w:rFonts w:hint="eastAsia" w:ascii="宋体" w:hAnsi="宋体" w:cs="宋体"/>
          <w:szCs w:val="21"/>
        </w:rPr>
      </w:r>
      <w:r/>
    </w:p>
    <w:p>
      <w:pPr>
        <w:pStyle w:val="907"/>
        <w:ind w:firstLine="422"/>
        <w:jc w:val="left"/>
        <w:spacing w:line="360" w:lineRule="auto"/>
        <w:rPr>
          <w:rFonts w:hint="eastAsia" w:ascii="宋体" w:hAnsi="宋体" w:cs="宋体"/>
          <w:b/>
          <w:bCs/>
          <w:szCs w:val="21"/>
        </w:rPr>
      </w:pPr>
      <w:r>
        <w:rPr>
          <w:rFonts w:hint="eastAsia" w:ascii="宋体" w:hAnsi="宋体" w:cs="宋体"/>
          <w:b/>
          <w:bCs/>
          <w:szCs w:val="21"/>
        </w:rPr>
        <w:t xml:space="preserve">（二）多式联运虚拟仿真操作中心</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建设多式联运虚实仿真平台。教学环境包括多式联运虚拟仿真资源操作控制工位、虚拟仿真场景资源、虚拟仿真作业控制平台。</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其中，虚实仿真操作平台以多式联运作业活动为背景，设计了调度监控岗、作业管理岗和分析决策岗等三大岗位，分别由相关同学根据老师设置条件导入的多式联运随机定制场景，进行多式联运活动的模拟业务操作、数字中心调度监控和决策支持判断分析等三大主要任务。</w:t>
      </w:r>
      <w:r>
        <w:rPr>
          <w:rFonts w:hint="eastAsia" w:ascii="宋体" w:hAnsi="宋体" w:cs="宋体"/>
          <w:szCs w:val="21"/>
        </w:rPr>
      </w:r>
      <w:r/>
    </w:p>
    <w:p>
      <w:pPr>
        <w:pStyle w:val="907"/>
        <w:ind w:firstLine="420"/>
        <w:jc w:val="left"/>
        <w:spacing w:line="360" w:lineRule="auto"/>
        <w:rPr>
          <w:rFonts w:ascii="宋体" w:hAnsi="宋体" w:cs="宋体"/>
          <w:szCs w:val="21"/>
        </w:rPr>
      </w:pPr>
      <w:r>
        <w:rPr>
          <w:rFonts w:hint="eastAsia" w:ascii="宋体" w:hAnsi="宋体" w:cs="宋体"/>
          <w:szCs w:val="21"/>
        </w:rPr>
        <w:t xml:space="preserve">其中，教师端在为模拟活动随机设置导入场景和业务模拟数据条件时，主要依托多式联运平台可挂靠的货代、保险、物流、金融结算等部门，设置多目标优化运营任务，随机设置的任务发布不同小组。</w:t>
      </w:r>
      <w:r>
        <w:rPr>
          <w:rFonts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1）工位</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b/>
          <w:szCs w:val="21"/>
        </w:rPr>
        <w:t xml:space="preserve">工位主要包括调度监控岗、操作管理岗和决策分析岗。</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活动，通过在各个相关工位进行作业操作，并通过调度岗在大屏局势操作控制，以及决策分析岗依托作业生成数据进行的报表检查和决策反馈，联合实现有计划-有组织-有控制-有分析的多式联运设计与实施方案。</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可实现总体多式联运方案的监控、实时信息读取、实时活动状态监控；能抓取展示各联运节点具体作业管理岗位的虚拟仿真活动实施情况、展现各个业务在综合联运总场景下的总体运营情况、展现决策分析岗根据承运人实施业务的数据流及生成平台总报表，并据此做决策分析依据。</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（1）调度监控岗</w:t>
      </w:r>
      <w:r>
        <w:rPr>
          <w:rFonts w:hint="eastAsia" w:ascii="宋体" w:hAnsi="宋体" w:cs="宋体"/>
          <w:b/>
          <w:szCs w:val="21"/>
        </w:rPr>
      </w:r>
      <w:r/>
    </w:p>
    <w:p>
      <w:pPr>
        <w:pStyle w:val="907"/>
        <w:ind w:firstLine="420"/>
        <w:jc w:val="left"/>
        <w:spacing w:line="360" w:lineRule="auto"/>
        <w:rPr>
          <w:rFonts w:hint="eastAsia" w:ascii="宋体" w:hAnsi="宋体" w:cs="宋体"/>
          <w:szCs w:val="21"/>
          <w:highlight w:val="yellow"/>
        </w:rPr>
      </w:pPr>
      <w:r>
        <w:rPr>
          <w:rFonts w:hint="eastAsia" w:ascii="宋体" w:hAnsi="宋体" w:cs="宋体"/>
          <w:szCs w:val="21"/>
        </w:rPr>
        <w:t xml:space="preserve">即数字调度中心，主要由一台可供调度中心岗学院负责操作的电脑、服务器、显示大屏及数字调度平台组成。</w:t>
      </w:r>
      <w:r>
        <w:rPr>
          <w:rFonts w:hint="eastAsia" w:ascii="宋体" w:hAnsi="宋体" w:cs="宋体"/>
          <w:szCs w:val="21"/>
          <w:highlight w:val="yellow"/>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一是通过教师设计上传的多式联运调度任务，下达各个区域作业操作计划；</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二是根据各个作业管理区域完成的作业的数字反馈情况，进行过程监控、流程查询、和任务优化；</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三是连接多式联运实训室的硬件操作活动，实时反馈模拟口岸、货运站、码头等节点的作业活动。</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（2）操作管理岗</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即枢纽节点虚拟仿真操作工位：多式联运终端电脑及桌位。</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一是根据各终端电脑，独立设计及导入枢纽节点场景、开展多式联运承运人对应模块业务、展现独立场景内的虚拟仿真活动、并与其他联运模块联合完成联运业务。</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二是开发具体操作的作业端口，主要以数据输入、处理和输出为主要做法的联运活动电脑控制操作。</w:t>
      </w:r>
      <w:r>
        <w:rPr>
          <w:rFonts w:hint="eastAsia" w:ascii="宋体" w:hAnsi="宋体" w:cs="宋体"/>
          <w:szCs w:val="21"/>
        </w:rPr>
      </w:r>
      <w:r/>
    </w:p>
    <w:p>
      <w:pPr>
        <w:pStyle w:val="1027"/>
        <w:ind w:left="0"/>
        <w:jc w:val="left"/>
        <w:spacing w:after="0" w:line="360" w:lineRule="auto"/>
        <w:rPr>
          <w:rFonts w:hint="eastAsia" w:ascii="宋体" w:hAnsi="宋体" w:cs="宋体"/>
          <w:b/>
          <w:szCs w:val="21"/>
        </w:rPr>
      </w:pPr>
      <w:r>
        <w:rPr>
          <w:rFonts w:hint="eastAsia" w:ascii="宋体" w:hAnsi="宋体" w:cs="宋体"/>
          <w:b/>
          <w:szCs w:val="21"/>
        </w:rPr>
        <w:t xml:space="preserve">（3）业务分析岗</w:t>
      </w:r>
      <w:r>
        <w:rPr>
          <w:rFonts w:hint="eastAsia" w:ascii="宋体" w:hAnsi="宋体" w:cs="宋体"/>
          <w:b/>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此岗位为下达任务、收集统计信息、参与决策制定的重要平台，不专门设置平台区域。</w:t>
      </w:r>
      <w:r>
        <w:rPr>
          <w:rFonts w:hint="eastAsia" w:ascii="宋体" w:hAnsi="宋体" w:cs="宋体"/>
          <w:szCs w:val="21"/>
        </w:rPr>
      </w:r>
      <w:r/>
    </w:p>
    <w:p>
      <w:pPr>
        <w:pStyle w:val="1027"/>
        <w:ind w:left="0"/>
        <w:jc w:val="left"/>
        <w:spacing w:after="0" w:line="360" w:lineRule="auto"/>
        <w:rPr>
          <w:rFonts w:hint="eastAsia" w:ascii="宋体" w:hAnsi="宋体" w:cs="宋体"/>
          <w:b/>
          <w:szCs w:val="21"/>
        </w:rPr>
      </w:pPr>
      <w:r>
        <w:rPr>
          <w:rFonts w:hint="eastAsia" w:ascii="宋体" w:hAnsi="宋体" w:cs="宋体"/>
          <w:b/>
          <w:szCs w:val="21"/>
        </w:rPr>
        <w:t xml:space="preserve">2）虚拟仿真场景资源</w:t>
      </w:r>
      <w:r>
        <w:rPr>
          <w:rFonts w:hint="eastAsia" w:ascii="宋体" w:hAnsi="宋体" w:cs="宋体"/>
          <w:b/>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定制开发“枢纽+节点+通道”公路、铁路、水路、公路货运系统，打造多式联运的节点场景和运输脉络场景。</w:t>
      </w:r>
      <w:r>
        <w:rPr>
          <w:rFonts w:hint="eastAsia" w:ascii="宋体" w:hAnsi="宋体" w:cs="宋体"/>
          <w:szCs w:val="21"/>
        </w:rPr>
      </w:r>
      <w:r/>
    </w:p>
    <w:p>
      <w:pPr>
        <w:pStyle w:val="1027"/>
        <w:ind w:left="0"/>
        <w:jc w:val="left"/>
        <w:spacing w:after="0" w:line="360" w:lineRule="auto"/>
        <w:rPr>
          <w:rFonts w:hint="eastAsia" w:ascii="宋体" w:hAnsi="宋体" w:cs="宋体"/>
          <w:b/>
          <w:szCs w:val="21"/>
        </w:rPr>
      </w:pPr>
      <w:r>
        <w:rPr>
          <w:rFonts w:hint="eastAsia" w:ascii="宋体" w:hAnsi="宋体" w:cs="宋体"/>
          <w:b/>
          <w:szCs w:val="21"/>
        </w:rPr>
        <w:t xml:space="preserve">3）虚拟仿真作业控制平台</w:t>
      </w:r>
      <w:r>
        <w:rPr>
          <w:rFonts w:hint="eastAsia" w:ascii="宋体" w:hAnsi="宋体" w:cs="宋体"/>
          <w:b/>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虚拟仿真资源作业控制平台分为控制处理层、交互层、数据层、仿真层和用户层。</w:t>
      </w:r>
      <w:r>
        <w:rPr>
          <w:rFonts w:hint="eastAsia" w:ascii="宋体" w:hAnsi="宋体" w:cs="宋体"/>
          <w:szCs w:val="21"/>
        </w:rPr>
      </w:r>
      <w:r/>
    </w:p>
    <w:p>
      <w:pPr>
        <w:pStyle w:val="1006"/>
        <w:jc w:val="left"/>
        <w:spacing w:after="0" w:line="360" w:lineRule="auto"/>
        <w:rPr>
          <w:rFonts w:hint="eastAsia" w:ascii="宋体" w:hAnsi="宋体" w:cs="宋体"/>
          <w:szCs w:val="21"/>
        </w:rPr>
      </w:pPr>
      <w:r>
        <w:rPr>
          <w:rFonts w:hint="eastAsia" w:ascii="宋体" w:hAnsi="宋体" w:cs="宋体"/>
          <w:szCs w:val="21"/>
        </w:rPr>
        <w:t xml:space="preserve">（1）控制数据：用于仿真模拟虚拟作业物流、业务流、商流、资金流活动的数据（系统提供不少于10组，可自行编制生成）；</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2）数据接口：可在不同场景和角色范围下导入数据的业务数据模拟平台接口（用于输入联运需要的物流数据、开展多式联运业务流以及生成“联运票据”“保险”等文件单据）；及可体现公铁、公水、铁水合理衔接和和协作的数据交换接口，响应多式联运的衔接性和协作性；</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（3）终端APP：部分可模拟不同节点、枢纽、通道功能的模拟终端（部分电脑的端口APP）和可用于实时监控流转路线和状态的监控终端（中央大屏APP）。</w:t>
      </w:r>
      <w:r>
        <w:rPr>
          <w:rFonts w:hint="eastAsia" w:ascii="宋体" w:hAnsi="宋体" w:cs="宋体"/>
          <w:szCs w:val="21"/>
        </w:rPr>
      </w:r>
      <w:r/>
    </w:p>
    <w:p>
      <w:pPr>
        <w:pStyle w:val="1006"/>
        <w:jc w:val="left"/>
        <w:spacing w:after="0" w:line="360" w:lineRule="auto"/>
        <w:rPr>
          <w:rFonts w:hint="eastAsia" w:ascii="宋体" w:hAnsi="宋体" w:cs="宋体"/>
          <w:szCs w:val="21"/>
        </w:rPr>
      </w:pPr>
      <w:r>
        <w:rPr>
          <w:rFonts w:hint="eastAsia" w:ascii="宋体" w:hAnsi="宋体" w:cs="宋体"/>
          <w:szCs w:val="21"/>
        </w:rPr>
        <w:t xml:space="preserve">（4）终端仿真环境：每个虚拟仿真资源在终端体现，并以3D渲染方式呈现；</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5）用户账户：支持同一个学生扮演一个或多个角色进行配合作业，支持案例编制与复用；监控大屏实时监控每个登录的学生（成组参与虚拟仿真业务的）账号，登录时间、操作记录、自动核算汇总每个学生的实训成绩，监控当前在线人数，学习总人数；监控大屏能同时可视化监控综合多式联运活动的节点状态、在途跟踪、单据实施等情况。</w:t>
      </w:r>
      <w:r>
        <w:rPr>
          <w:rFonts w:hint="eastAsia" w:ascii="宋体" w:hAnsi="宋体" w:cs="宋体"/>
          <w:szCs w:val="21"/>
        </w:rPr>
      </w:r>
      <w:r/>
    </w:p>
    <w:p>
      <w:pPr>
        <w:pStyle w:val="907"/>
        <w:ind w:firstLine="422"/>
        <w:jc w:val="left"/>
        <w:spacing w:line="360" w:lineRule="auto"/>
        <w:rPr>
          <w:rFonts w:hint="eastAsia" w:ascii="宋体" w:hAnsi="宋体" w:cs="宋体"/>
          <w:b/>
          <w:bCs/>
          <w:szCs w:val="21"/>
        </w:rPr>
      </w:pPr>
      <w:r>
        <w:rPr>
          <w:rFonts w:hint="eastAsia" w:ascii="宋体" w:hAnsi="宋体" w:cs="宋体"/>
          <w:b/>
          <w:bCs/>
          <w:szCs w:val="21"/>
        </w:rPr>
        <w:t xml:space="preserve">（三）国际多式联运规划设计与分析体验中心</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国际多式联运规划设计分析体验中心包含国际多式联运调度监控区、规划设计分析验证区和VR体验区。</w:t>
      </w:r>
      <w:r>
        <w:rPr>
          <w:rFonts w:hint="eastAsia" w:ascii="宋体" w:hAnsi="宋体" w:cs="宋体"/>
          <w:szCs w:val="21"/>
        </w:rPr>
      </w:r>
      <w:r/>
    </w:p>
    <w:p>
      <w:pPr>
        <w:pStyle w:val="1027"/>
        <w:ind w:left="0"/>
        <w:jc w:val="left"/>
        <w:spacing w:line="360" w:lineRule="auto"/>
        <w:rPr>
          <w:rFonts w:hint="eastAsia" w:ascii="宋体" w:hAnsi="宋体" w:cs="宋体"/>
        </w:rPr>
      </w:pPr>
      <w:r>
        <w:rPr>
          <w:rFonts w:hint="eastAsia" w:ascii="宋体" w:hAnsi="宋体" w:cs="宋体"/>
          <w:b/>
        </w:rPr>
        <w:t xml:space="preserve">1）国际多式联运调度监控区</w:t>
      </w:r>
      <w:r>
        <w:rPr>
          <w:rFonts w:hint="eastAsia" w:ascii="宋体" w:hAnsi="宋体" w:cs="宋体"/>
          <w:bCs/>
        </w:rPr>
        <w:t xml:space="preserve">主要</w:t>
      </w:r>
      <w:r>
        <w:rPr>
          <w:rFonts w:hint="eastAsia" w:ascii="宋体" w:hAnsi="宋体" w:cs="宋体"/>
        </w:rPr>
        <w:t xml:space="preserve">同步呈现多式联运虚拟仿真操作控制中心的操作过程、并以大数据平台实时展示操作活动，监控操作过程，对操作活动进行调度。</w:t>
      </w:r>
      <w:r>
        <w:rPr>
          <w:rFonts w:hint="eastAsia" w:ascii="宋体" w:hAnsi="宋体" w:cs="宋体"/>
        </w:rPr>
      </w:r>
      <w:r/>
    </w:p>
    <w:p>
      <w:pPr>
        <w:pStyle w:val="1027"/>
        <w:ind w:left="0"/>
        <w:jc w:val="left"/>
        <w:spacing w:line="360" w:lineRule="auto"/>
        <w:rPr>
          <w:rFonts w:hint="eastAsia" w:ascii="宋体" w:hAnsi="宋体" w:cs="宋体"/>
        </w:rPr>
      </w:pPr>
      <w:r>
        <w:rPr>
          <w:rFonts w:ascii="宋体" w:hAnsi="宋体" w:cs="宋体"/>
          <w:b/>
        </w:rPr>
        <w:t xml:space="preserve">2</w:t>
      </w:r>
      <w:r>
        <w:rPr>
          <w:rFonts w:hint="eastAsia" w:ascii="宋体" w:hAnsi="宋体" w:cs="宋体"/>
          <w:b/>
        </w:rPr>
        <w:t xml:space="preserve">）规划设计分析验证区</w:t>
      </w:r>
      <w:r>
        <w:rPr>
          <w:rFonts w:hint="eastAsia" w:ascii="宋体" w:hAnsi="宋体" w:cs="宋体"/>
        </w:rPr>
        <w:t xml:space="preserve">主要在开发设计的四套典型多式联运场景资源下做验证分析，用仿真平台验证多式联运方案设计的合理性、可靠性，分析仿真方案的能耗、成本、路径、工具使用等量化数据，并进行报告编制和成本、效率核算，成为决策分析的依据。学院也可以利用仿真平台另行开发研究项目。</w:t>
      </w:r>
      <w:r>
        <w:rPr>
          <w:rFonts w:hint="eastAsia" w:ascii="宋体" w:hAnsi="宋体" w:cs="宋体"/>
        </w:rPr>
      </w:r>
      <w:r/>
    </w:p>
    <w:p>
      <w:pPr>
        <w:pStyle w:val="1027"/>
        <w:ind w:left="0"/>
        <w:jc w:val="left"/>
        <w:spacing w:after="0" w:line="360" w:lineRule="auto"/>
        <w:rPr>
          <w:rFonts w:hint="eastAsia" w:ascii="宋体" w:hAnsi="宋体" w:cs="宋体"/>
          <w:b/>
          <w:bCs/>
        </w:rPr>
      </w:pPr>
      <w:r>
        <w:rPr>
          <w:rFonts w:ascii="宋体" w:hAnsi="宋体" w:cs="宋体"/>
          <w:b/>
        </w:rPr>
        <w:t xml:space="preserve">3</w:t>
      </w:r>
      <w:r>
        <w:rPr>
          <w:rFonts w:hint="eastAsia" w:ascii="宋体" w:hAnsi="宋体" w:cs="宋体"/>
          <w:b/>
        </w:rPr>
        <w:t xml:space="preserve">）VR体验区</w:t>
      </w:r>
      <w:r>
        <w:rPr>
          <w:rFonts w:hint="eastAsia" w:ascii="宋体" w:hAnsi="宋体" w:cs="宋体"/>
        </w:rPr>
        <w:t xml:space="preserve">把多式联运虚拟仿真场景资源及可控数据传输到VR投影屏和VR环境下，作为调度依据，在AR/VR仿真验证区，做区域环境背景临场模拟。</w:t>
      </w:r>
      <w:r>
        <w:rPr>
          <w:rFonts w:hint="eastAsia" w:ascii="宋体" w:hAnsi="宋体" w:cs="宋体"/>
          <w:b/>
          <w:bCs/>
        </w:rPr>
      </w:r>
      <w:r/>
    </w:p>
    <w:p>
      <w:pPr>
        <w:pStyle w:val="919"/>
      </w:pPr>
      <w:r/>
      <w:r/>
    </w:p>
    <w:p>
      <w:pPr>
        <w:pStyle w:val="907"/>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ascii="宋体" w:hAnsi="宋体" w:cs="宋体"/>
          <w:b/>
          <w:color w:val="000000"/>
          <w:sz w:val="24"/>
        </w:rPr>
        <w:t xml:space="preserve">投标人要求:</w:t>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2.1实施方案：</w:t>
      </w:r>
      <w:r/>
    </w:p>
    <w:p>
      <w:pPr>
        <w:pStyle w:val="1027"/>
        <w:ind w:left="0"/>
        <w:jc w:val="left"/>
        <w:spacing w:line="360" w:lineRule="auto"/>
        <w:rPr>
          <w:rFonts w:ascii="宋体" w:hAnsi="宋体" w:cs="宋体"/>
        </w:rPr>
      </w:pPr>
      <w:r>
        <w:rPr>
          <w:rFonts w:ascii="宋体" w:hAnsi="宋体" w:cs="宋体"/>
        </w:rPr>
        <w:t xml:space="preserve">投标人需提供完善的项目组织管理及实施计划，配置的项目组人员合理，分工明确。不限于提供针对本次项目的各子系统的具体施工工艺及方案，提供布线及点位示意图，提供整体系统的调试方案，提供针对本次项目的工期保证措施和安全保证措施，提供针对本次项目的项目组人员名单等。</w:t>
      </w:r>
      <w:r>
        <w:rPr>
          <w:rFonts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2.2建设方案设计：</w:t>
      </w:r>
      <w:r/>
    </w:p>
    <w:p>
      <w:pPr>
        <w:pStyle w:val="1027"/>
        <w:ind w:left="0"/>
        <w:jc w:val="left"/>
        <w:spacing w:line="360" w:lineRule="auto"/>
        <w:rPr>
          <w:rFonts w:hint="eastAsia" w:ascii="宋体" w:hAnsi="宋体" w:cs="宋体"/>
        </w:rPr>
      </w:pPr>
      <w:r>
        <w:rPr>
          <w:rFonts w:ascii="宋体" w:hAnsi="宋体" w:cs="宋体"/>
        </w:rPr>
        <w:t xml:space="preserve">投标人依据招标文件中规格要求、材质要求、项目功能和配置清单并依据实际场地情况（</w:t>
      </w:r>
      <w:r>
        <w:rPr>
          <w:rFonts w:hint="eastAsia" w:ascii="宋体" w:hAnsi="宋体" w:cs="宋体"/>
        </w:rPr>
        <w:t xml:space="preserve">见多式联运虚拟仿真综合实训平台场地布局建议图及附件：南京交通职业技术学院国际多式联运实训室平面图</w:t>
      </w:r>
      <w:r>
        <w:rPr>
          <w:rFonts w:ascii="宋体" w:hAnsi="宋体" w:cs="宋体"/>
        </w:rPr>
        <w:t xml:space="preserve">）进行优化设计。按照设计方案中设计创新先进，需求精准，布局合理，前瞻性强，所购产品与建设区域高度匹配；提供针对本项目完整的设计效果图（含鸟瞰图</w:t>
      </w:r>
      <w:r>
        <w:rPr>
          <w:rFonts w:hint="eastAsia" w:ascii="宋体" w:hAnsi="宋体" w:cs="宋体"/>
        </w:rPr>
        <w:t xml:space="preserve">1</w:t>
      </w:r>
      <w:r>
        <w:rPr>
          <w:rFonts w:ascii="宋体" w:hAnsi="宋体" w:cs="宋体"/>
        </w:rPr>
        <w:t xml:space="preserve">张、细节图不少于</w:t>
      </w:r>
      <w:r>
        <w:rPr>
          <w:rFonts w:hint="eastAsia" w:ascii="宋体" w:hAnsi="宋体" w:cs="宋体"/>
        </w:rPr>
        <w:t xml:space="preserve">6</w:t>
      </w:r>
      <w:r>
        <w:rPr>
          <w:rFonts w:ascii="宋体" w:hAnsi="宋体" w:cs="宋体"/>
        </w:rPr>
        <w:t xml:space="preserve"> 张（规划设计与体验中心</w:t>
      </w:r>
      <w:r>
        <w:rPr>
          <w:rFonts w:hint="eastAsia" w:ascii="宋体" w:hAnsi="宋体" w:cs="宋体"/>
        </w:rPr>
        <w:t xml:space="preserve">，</w:t>
      </w:r>
      <w:r>
        <w:rPr>
          <w:rFonts w:ascii="宋体" w:hAnsi="宋体" w:cs="宋体"/>
        </w:rPr>
        <w:t xml:space="preserve">虚拟仿真操作中心</w:t>
      </w:r>
      <w:r>
        <w:rPr>
          <w:rFonts w:hint="eastAsia" w:ascii="宋体" w:hAnsi="宋体" w:cs="宋体"/>
        </w:rPr>
        <w:t xml:space="preserve">，</w:t>
      </w:r>
      <w:r>
        <w:rPr>
          <w:rFonts w:ascii="宋体" w:hAnsi="宋体" w:cs="宋体"/>
        </w:rPr>
        <w:t xml:space="preserve">公空、公铁、公水、铁水联运等</w:t>
      </w:r>
      <w:r>
        <w:rPr>
          <w:rFonts w:hint="eastAsia" w:ascii="宋体" w:hAnsi="宋体" w:cs="宋体"/>
        </w:rPr>
        <w:t xml:space="preserve">区域</w:t>
      </w:r>
      <w:r>
        <w:rPr>
          <w:rFonts w:ascii="宋体" w:hAnsi="宋体" w:cs="宋体"/>
        </w:rPr>
        <w:t xml:space="preserve">）），效果图全面精美，设计效果图与建设区域高度匹配；平面布置图与实际场地为基础，考虑教学需求及人员疏散宽度、距离，按照设备实际尺寸，进行合理布置，</w:t>
      </w:r>
      <w:r>
        <w:rPr>
          <w:rFonts w:hint="eastAsia" w:ascii="宋体" w:hAnsi="宋体" w:cs="宋体"/>
        </w:rPr>
        <w:t xml:space="preserve">同时</w:t>
      </w:r>
      <w:r>
        <w:rPr>
          <w:rFonts w:ascii="宋体" w:hAnsi="宋体" w:cs="宋体"/>
        </w:rPr>
        <w:t xml:space="preserve">标明电路</w:t>
      </w:r>
      <w:r>
        <w:rPr>
          <w:rFonts w:hint="eastAsia" w:ascii="宋体" w:hAnsi="宋体" w:cs="宋体"/>
        </w:rPr>
        <w:t xml:space="preserve">、网线</w:t>
      </w:r>
      <w:r>
        <w:rPr>
          <w:rFonts w:ascii="宋体" w:hAnsi="宋体" w:cs="宋体"/>
        </w:rPr>
        <w:t xml:space="preserve">走向及插座位置</w:t>
      </w:r>
      <w:r>
        <w:rPr>
          <w:rFonts w:hint="eastAsia" w:ascii="宋体" w:hAnsi="宋体" w:cs="宋体"/>
        </w:rPr>
        <w:t xml:space="preserve">，以及桌椅尺寸、开孔位置等信息。</w:t>
      </w:r>
      <w:r>
        <w:rPr>
          <w:rFonts w:hint="eastAsia"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2.3安全管理措施：</w:t>
      </w:r>
      <w:r/>
    </w:p>
    <w:p>
      <w:pPr>
        <w:pStyle w:val="1027"/>
        <w:ind w:left="0"/>
        <w:jc w:val="left"/>
        <w:spacing w:line="360" w:lineRule="auto"/>
        <w:rPr>
          <w:rFonts w:ascii="宋体" w:hAnsi="宋体" w:cs="宋体"/>
        </w:rPr>
      </w:pPr>
      <w:r>
        <w:rPr>
          <w:rFonts w:ascii="宋体" w:hAnsi="宋体" w:cs="宋体"/>
        </w:rPr>
        <w:t xml:space="preserve">投标人应具备安全生产意识，具备科学有效的管理体系及安全措施；建立、健全安全检查制度，定期和不定期的对施工现场进行安全检查，及时发现和消除事故隐患，确保安全生产；所有从事安全管理工作和特种工作业人员，必须经上级有关部门培训合格后持证上岗。</w:t>
      </w:r>
      <w:r>
        <w:rPr>
          <w:rFonts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2.4履约能力：</w:t>
      </w:r>
      <w:r/>
    </w:p>
    <w:p>
      <w:pPr>
        <w:pStyle w:val="1027"/>
        <w:ind w:left="0"/>
        <w:jc w:val="left"/>
        <w:spacing w:line="360" w:lineRule="auto"/>
        <w:rPr>
          <w:rFonts w:ascii="宋体" w:hAnsi="宋体" w:cs="宋体"/>
        </w:rPr>
      </w:pPr>
      <w:r>
        <w:rPr>
          <w:rFonts w:ascii="宋体" w:hAnsi="宋体" w:cs="宋体"/>
        </w:rPr>
        <w:t xml:space="preserve">本次项目建设涉及</w:t>
      </w:r>
      <w:r>
        <w:rPr>
          <w:rFonts w:hint="eastAsia" w:ascii="宋体" w:hAnsi="宋体" w:cs="宋体"/>
        </w:rPr>
        <w:t xml:space="preserve">VR行走平台、电子展示大屏、空、铁、水、陆</w:t>
      </w:r>
      <w:r>
        <w:rPr>
          <w:rFonts w:ascii="宋体" w:hAnsi="宋体" w:cs="宋体"/>
        </w:rPr>
        <w:t xml:space="preserve">等</w:t>
      </w:r>
      <w:r>
        <w:rPr>
          <w:rFonts w:hint="eastAsia" w:ascii="宋体" w:hAnsi="宋体" w:cs="宋体"/>
        </w:rPr>
        <w:t xml:space="preserve">多式联运模拟</w:t>
      </w:r>
      <w:r>
        <w:rPr>
          <w:rFonts w:ascii="宋体" w:hAnsi="宋体" w:cs="宋体"/>
        </w:rPr>
        <w:t xml:space="preserve">设备调试要求，考虑硬件稳定运行，需要投标商具有一定的集成服务能力，以及优质的售后服务能力。同时，投标商还应具备建设运营规范及标准，实现</w:t>
      </w:r>
      <w:r>
        <w:rPr>
          <w:rFonts w:hint="eastAsia" w:ascii="宋体" w:hAnsi="宋体" w:cs="宋体"/>
        </w:rPr>
        <w:t xml:space="preserve">多式联运虚拟仿真实训基地</w:t>
      </w:r>
      <w:r>
        <w:rPr>
          <w:rFonts w:ascii="宋体" w:hAnsi="宋体" w:cs="宋体"/>
        </w:rPr>
        <w:t xml:space="preserve">标准化建设能力；制定设备操作技能规范手册，提供培训师资，进行服务指导的能力。</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2.4.1研发实力：投标人所投</w:t>
      </w:r>
      <w:r>
        <w:rPr>
          <w:rFonts w:hint="eastAsia" w:ascii="宋体" w:hAnsi="宋体" w:cs="宋体"/>
        </w:rPr>
        <w:t xml:space="preserve">多式联运相关虚拟仿真实训平台应</w:t>
      </w:r>
      <w:r>
        <w:rPr>
          <w:rFonts w:ascii="宋体" w:hAnsi="宋体" w:cs="宋体"/>
        </w:rPr>
        <w:t xml:space="preserve">具有专利证书，提供证书复印件并加盖投标人公章</w:t>
      </w:r>
      <w:r>
        <w:rPr>
          <w:rFonts w:hint="eastAsia" w:ascii="宋体" w:hAnsi="宋体" w:cs="宋体"/>
        </w:rPr>
        <w:t xml:space="preserve">。</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2.4.2人员要求：拟参与建设本项目的团队人员需具有</w:t>
      </w:r>
      <w:r>
        <w:rPr>
          <w:rFonts w:hint="eastAsia" w:ascii="宋体" w:hAnsi="宋体" w:cs="宋体"/>
        </w:rPr>
        <w:t xml:space="preserve">系统集成项目管理工程师（高级）、软件技术开发工程师（高级）、AR/VR技术应用及开发（高级）、三维动画设计师（高级）</w:t>
      </w:r>
      <w:r>
        <w:rPr>
          <w:rFonts w:ascii="宋体" w:hAnsi="宋体" w:cs="宋体"/>
        </w:rPr>
        <w:t xml:space="preserve">。（提供上述证书复印件和近三个月（2024年8月、2024年9月、2024年10月）任意一个月的社保证明材料并加盖公章）</w:t>
      </w:r>
      <w:r>
        <w:rPr>
          <w:rFonts w:ascii="宋体" w:hAnsi="宋体" w:cs="宋体"/>
        </w:rPr>
      </w:r>
      <w:r/>
    </w:p>
    <w:p>
      <w:pPr>
        <w:pStyle w:val="1027"/>
        <w:ind w:left="0"/>
        <w:jc w:val="left"/>
        <w:spacing w:line="360" w:lineRule="auto"/>
        <w:rPr>
          <w:rFonts w:hint="eastAsia" w:ascii="宋体" w:hAnsi="宋体" w:cs="宋体"/>
        </w:rPr>
      </w:pPr>
      <w:r>
        <w:rPr>
          <w:rFonts w:ascii="宋体" w:hAnsi="宋体" w:cs="宋体"/>
        </w:rPr>
        <w:t xml:space="preserve">2.4.3业绩要求：为确保投标供应商具备类似项目实施能力和经验，投标人需提供自 2021 年 1 月 1 日以来（日期以验收时间为准）由供应商自身完成的同类项目的业绩情况；</w:t>
      </w:r>
      <w:r>
        <w:rPr>
          <w:rFonts w:ascii="宋体" w:hAnsi="宋体" w:cs="宋体"/>
          <w:szCs w:val="21"/>
        </w:rPr>
        <w:t xml:space="preserve">投标人须列表并提供采购合同文本复印件，以及能够证明该业绩项目已经采购人验收合格的相关证明文件复印件</w:t>
      </w:r>
      <w:r>
        <w:rPr>
          <w:rFonts w:hint="eastAsia" w:ascii="宋体" w:hAnsi="宋体" w:cs="宋体"/>
          <w:szCs w:val="21"/>
        </w:rPr>
        <w:t xml:space="preserve">。</w:t>
      </w:r>
      <w:r>
        <w:rPr>
          <w:rFonts w:hint="eastAsia"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2.5其它要求：</w:t>
      </w:r>
      <w:r/>
    </w:p>
    <w:p>
      <w:pPr>
        <w:pStyle w:val="1027"/>
        <w:ind w:left="0"/>
        <w:jc w:val="left"/>
        <w:spacing w:line="360" w:lineRule="auto"/>
        <w:rPr>
          <w:rFonts w:ascii="宋体" w:hAnsi="宋体" w:cs="宋体"/>
        </w:rPr>
      </w:pPr>
      <w:r>
        <w:rPr>
          <w:rFonts w:ascii="宋体" w:hAnsi="宋体" w:cs="宋体"/>
        </w:rPr>
        <w:t xml:space="preserve">2.5.1本次项目由于功能复杂且</w:t>
      </w:r>
      <w:r>
        <w:rPr>
          <w:rFonts w:hint="eastAsia" w:ascii="宋体" w:hAnsi="宋体" w:cs="宋体"/>
        </w:rPr>
        <w:t xml:space="preserve">与</w:t>
      </w:r>
      <w:r>
        <w:rPr>
          <w:rFonts w:ascii="宋体" w:hAnsi="宋体" w:cs="宋体"/>
        </w:rPr>
        <w:t xml:space="preserve">装修</w:t>
      </w:r>
      <w:r>
        <w:rPr>
          <w:rFonts w:hint="eastAsia" w:ascii="宋体" w:hAnsi="宋体" w:cs="宋体"/>
        </w:rPr>
        <w:t xml:space="preserve">、电脑桌椅等分开</w:t>
      </w:r>
      <w:r>
        <w:rPr>
          <w:rFonts w:ascii="宋体" w:hAnsi="宋体" w:cs="宋体"/>
        </w:rPr>
        <w:t xml:space="preserve">进行，由供应商</w:t>
      </w:r>
      <w:r>
        <w:rPr>
          <w:rFonts w:hint="eastAsia" w:ascii="宋体" w:hAnsi="宋体" w:cs="宋体"/>
        </w:rPr>
        <w:t xml:space="preserve">制定</w:t>
      </w:r>
      <w:r>
        <w:rPr>
          <w:rFonts w:ascii="宋体" w:hAnsi="宋体" w:cs="宋体"/>
        </w:rPr>
        <w:t xml:space="preserve">需要用电</w:t>
      </w:r>
      <w:r>
        <w:rPr>
          <w:rFonts w:hint="eastAsia" w:ascii="宋体" w:hAnsi="宋体" w:cs="宋体"/>
        </w:rPr>
        <w:t xml:space="preserve">、用网</w:t>
      </w:r>
      <w:r>
        <w:rPr>
          <w:rFonts w:ascii="宋体" w:hAnsi="宋体" w:cs="宋体"/>
        </w:rPr>
        <w:t xml:space="preserve">的设备应布置相应供电</w:t>
      </w:r>
      <w:r>
        <w:rPr>
          <w:rFonts w:hint="eastAsia" w:ascii="宋体" w:hAnsi="宋体" w:cs="宋体"/>
        </w:rPr>
        <w:t xml:space="preserve">、网络</w:t>
      </w:r>
      <w:r>
        <w:rPr>
          <w:rFonts w:ascii="宋体" w:hAnsi="宋体" w:cs="宋体"/>
        </w:rPr>
        <w:t xml:space="preserve">线路，给出供电</w:t>
      </w:r>
      <w:r>
        <w:rPr>
          <w:rFonts w:hint="eastAsia" w:ascii="宋体" w:hAnsi="宋体" w:cs="宋体"/>
        </w:rPr>
        <w:t xml:space="preserve">、网络</w:t>
      </w:r>
      <w:r>
        <w:rPr>
          <w:rFonts w:ascii="宋体" w:hAnsi="宋体" w:cs="宋体"/>
        </w:rPr>
        <w:t xml:space="preserve">线路布置示意图，标明电路</w:t>
      </w:r>
      <w:r>
        <w:rPr>
          <w:rFonts w:hint="eastAsia" w:ascii="宋体" w:hAnsi="宋体" w:cs="宋体"/>
        </w:rPr>
        <w:t xml:space="preserve">、网线</w:t>
      </w:r>
      <w:r>
        <w:rPr>
          <w:rFonts w:ascii="宋体" w:hAnsi="宋体" w:cs="宋体"/>
        </w:rPr>
        <w:t xml:space="preserve">走向及插座位置</w:t>
      </w:r>
      <w:r>
        <w:rPr>
          <w:rFonts w:hint="eastAsia" w:ascii="宋体" w:hAnsi="宋体" w:cs="宋体"/>
        </w:rPr>
        <w:t xml:space="preserve">，以及桌椅尺寸、开孔位置等，</w:t>
      </w:r>
      <w:r>
        <w:rPr>
          <w:rFonts w:ascii="宋体" w:hAnsi="宋体" w:cs="宋体"/>
        </w:rPr>
        <w:t xml:space="preserve">制作出合理的实施方案 ，否则由此带来的风险（包括</w:t>
      </w:r>
      <w:r>
        <w:rPr>
          <w:rFonts w:hint="eastAsia" w:ascii="宋体" w:hAnsi="宋体" w:cs="宋体"/>
        </w:rPr>
        <w:t xml:space="preserve">线路位置、桌椅尺寸</w:t>
      </w:r>
      <w:r>
        <w:rPr>
          <w:rFonts w:ascii="宋体" w:hAnsi="宋体" w:cs="宋体"/>
        </w:rPr>
        <w:t xml:space="preserve">错误</w:t>
      </w:r>
      <w:r>
        <w:rPr>
          <w:rFonts w:hint="eastAsia" w:ascii="宋体" w:hAnsi="宋体" w:cs="宋体"/>
        </w:rPr>
        <w:t xml:space="preserve">，导致重新改造的费用</w:t>
      </w:r>
      <w:r>
        <w:rPr>
          <w:rFonts w:ascii="宋体" w:hAnsi="宋体" w:cs="宋体"/>
        </w:rPr>
        <w:t xml:space="preserve">）自行承担。</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2.5.2本项目为交钥匙工程，所有项目支出均包含在本次招标内。</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2.5.3</w:t>
      </w:r>
      <w:r>
        <w:rPr>
          <w:rFonts w:hint="eastAsia" w:ascii="宋体" w:hAnsi="宋体" w:cs="宋体"/>
        </w:rPr>
        <w:t xml:space="preserve">采购清单</w:t>
      </w:r>
      <w:r>
        <w:rPr>
          <w:rFonts w:ascii="宋体" w:hAnsi="宋体" w:cs="宋体"/>
        </w:rPr>
        <w:t xml:space="preserve">表中所列内容均为最低要求，各投标公司须根据各自设计的要求对清单查漏补缺，以保证各项功能可正常使用。</w:t>
      </w:r>
      <w:r>
        <w:rPr>
          <w:rFonts w:ascii="宋体" w:hAnsi="宋体" w:cs="宋体"/>
        </w:rPr>
      </w:r>
      <w:r/>
    </w:p>
    <w:p>
      <w:pPr>
        <w:pStyle w:val="907"/>
        <w:ind w:firstLine="480"/>
        <w:pBdr>
          <w:top w:val="none" w:color="000000" w:sz="0" w:space="0"/>
          <w:left w:val="none" w:color="000000" w:sz="0" w:space="0"/>
          <w:bottom w:val="none" w:color="000000" w:sz="0" w:space="0"/>
          <w:right w:val="none" w:color="000000" w:sz="0" w:space="0"/>
        </w:pBdr>
      </w:pPr>
      <w:r>
        <w:rPr>
          <w:rFonts w:ascii="宋体" w:hAnsi="宋体" w:cs="宋体"/>
          <w:b/>
          <w:i/>
          <w:color w:val="000000"/>
          <w:sz w:val="24"/>
          <w:u w:val="single"/>
        </w:rPr>
        <w:t xml:space="preserve">2.5.</w:t>
      </w:r>
      <w:r>
        <w:rPr>
          <w:rFonts w:hint="eastAsia" w:ascii="宋体" w:hAnsi="宋体" w:cs="宋体"/>
          <w:b/>
          <w:i/>
          <w:color w:val="000000"/>
          <w:sz w:val="24"/>
          <w:u w:val="single"/>
        </w:rPr>
        <w:t xml:space="preserve">4</w:t>
      </w:r>
      <w:r>
        <w:rPr>
          <w:rFonts w:ascii="宋体" w:hAnsi="宋体" w:cs="宋体"/>
          <w:b/>
          <w:i/>
          <w:color w:val="000000"/>
          <w:sz w:val="24"/>
          <w:u w:val="single"/>
        </w:rPr>
        <w:t xml:space="preserve">★投标人承诺所提供所投产品商务、技术、业绩资料全部真实，如有虚假，按照政府采购相关规定处理。签订合同后发现投标文件弄虚作假的，解除其合同，赔偿招标人所有损失。</w:t>
      </w:r>
      <w:r/>
    </w:p>
    <w:p>
      <w:pPr>
        <w:pStyle w:val="907"/>
        <w:rPr>
          <w:rFonts w:ascii="楷体" w:hAnsi="楷体" w:eastAsia="楷体" w:cs="楷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r>
      <w:r/>
    </w:p>
    <w:p>
      <w:pPr>
        <w:pStyle w:val="907"/>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rPr>
        <w:t xml:space="preserve">三</w:t>
      </w:r>
      <w:r>
        <w:rPr>
          <w:rFonts w:ascii="楷体" w:hAnsi="楷体" w:eastAsia="楷体" w:cs="楷体"/>
          <w:b/>
          <w:color w:val="000000"/>
          <w:sz w:val="24"/>
        </w:rPr>
        <w:t xml:space="preserve">、采购清单及参数</w:t>
      </w:r>
      <w:r/>
    </w:p>
    <w:p>
      <w:pPr>
        <w:pStyle w:val="907"/>
        <w:ind w:firstLine="723"/>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（一）硬件部分</w:t>
      </w:r>
      <w:r/>
    </w:p>
    <w:p>
      <w:pPr>
        <w:pStyle w:val="907"/>
        <w:ind w:firstLine="720"/>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硬件部分详细参数要求如下：</w:t>
      </w:r>
      <w:r>
        <w:rPr>
          <w:rFonts w:ascii="宋体" w:hAnsi="宋体" w:cs="宋体"/>
          <w:b/>
          <w:color w:val="000000"/>
          <w:sz w:val="24"/>
        </w:rPr>
      </w:r>
      <w:r/>
    </w:p>
    <w:p>
      <w:pPr>
        <w:pStyle w:val="907"/>
        <w:spacing w:line="0" w:lineRule="atLeast"/>
        <w:rPr>
          <w:rFonts w:ascii="宋体" w:hAnsi="宋体"/>
          <w:b/>
          <w:color w:val="000000"/>
          <w:sz w:val="24"/>
          <w:szCs w:val="24"/>
        </w:rPr>
      </w:pPr>
      <w:r>
        <w:rPr>
          <w:rFonts w:ascii="宋体" w:hAnsi="宋体"/>
          <w:b/>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29"/>
        <w:gridCol w:w="1335"/>
        <w:gridCol w:w="5194"/>
        <w:gridCol w:w="689"/>
        <w:gridCol w:w="662"/>
        <w:gridCol w:w="662"/>
      </w:tblGrid>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设备名称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技术参数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264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集装箱卡车同行识别系统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一、系统硬件参数</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1.识别摄像头4套，高清1080P，识别速度小于1秒，识别准确率：白天≥99.8%，夜晚≥99.5%，镜头角度：水平120°，垂直60°，工作温度：-30℃至+70℃，工作湿度：10%RH至90%RH（非凝结）；</w:t>
            </w:r>
            <w:r>
              <w:rPr>
                <w:rFonts w:hint="eastAsia" w:ascii="宋体" w:hAnsi="宋体" w:cs="宋体"/>
                <w:color w:val="000000"/>
                <w:szCs w:val="21"/>
              </w:rPr>
              <w:br w:type="textWrapping" w:clear="all"/>
            </w:r>
            <w:r>
              <w:rPr>
                <w:rFonts w:hint="eastAsia" w:ascii="宋体" w:hAnsi="宋体" w:cs="宋体"/>
                <w:color w:val="000000"/>
                <w:szCs w:val="21"/>
              </w:rPr>
              <w:t xml:space="preserve">    2.道闸4套，长度：1米，可根据场地定制，升降时间：3秒至6秒（可调），电压：220V AC，工作电流：≥2A，铝合金材质，表面喷涂防刮耐磨涂层</w:t>
            </w:r>
            <w:r>
              <w:rPr>
                <w:rFonts w:hint="eastAsia" w:ascii="宋体" w:hAnsi="宋体" w:cs="宋体"/>
                <w:color w:val="000000"/>
                <w:szCs w:val="21"/>
              </w:rPr>
              <w:br w:type="textWrapping" w:clear="all"/>
            </w:r>
            <w:r>
              <w:rPr>
                <w:rFonts w:hint="eastAsia" w:ascii="宋体" w:hAnsi="宋体" w:cs="宋体"/>
                <w:color w:val="000000"/>
                <w:szCs w:val="21"/>
              </w:rPr>
              <w:t xml:space="preserve">    3. 控制器4套，高性能处理器，内存≥1GB，存储≥8GB，通讯接口：TCP/IP，供电：DC 12V。</w:t>
            </w:r>
            <w:r>
              <w:rPr>
                <w:rFonts w:hint="eastAsia" w:ascii="宋体" w:hAnsi="宋体" w:cs="宋体"/>
                <w:color w:val="000000"/>
                <w:szCs w:val="21"/>
              </w:rPr>
              <w:br w:type="textWrapping" w:clear="all"/>
            </w:r>
            <w:r>
              <w:rPr>
                <w:rFonts w:hint="eastAsia" w:ascii="宋体" w:hAnsi="宋体" w:cs="宋体"/>
                <w:color w:val="000000"/>
                <w:szCs w:val="21"/>
              </w:rPr>
              <w:t xml:space="preserve">二、系统软件参数</w:t>
            </w:r>
            <w:r>
              <w:rPr>
                <w:rFonts w:hint="eastAsia" w:ascii="宋体" w:hAnsi="宋体" w:cs="宋体"/>
                <w:color w:val="000000"/>
                <w:szCs w:val="21"/>
              </w:rPr>
              <w:br w:type="textWrapping" w:clear="all"/>
            </w:r>
            <w:r>
              <w:rPr>
                <w:rFonts w:hint="eastAsia" w:ascii="宋体" w:hAnsi="宋体" w:cs="宋体"/>
                <w:color w:val="000000"/>
                <w:szCs w:val="21"/>
              </w:rPr>
              <w:t xml:space="preserve">    1.嵌入式系统，支持远程升级和固件更新</w:t>
            </w:r>
            <w:r>
              <w:rPr>
                <w:rFonts w:hint="eastAsia" w:ascii="宋体" w:hAnsi="宋体" w:cs="宋体"/>
                <w:color w:val="000000"/>
                <w:szCs w:val="21"/>
              </w:rPr>
              <w:br w:type="textWrapping" w:clear="all"/>
            </w:r>
            <w:r>
              <w:rPr>
                <w:rFonts w:hint="eastAsia" w:ascii="宋体" w:hAnsi="宋体" w:cs="宋体"/>
                <w:color w:val="000000"/>
                <w:szCs w:val="21"/>
              </w:rPr>
              <w:t xml:space="preserve">    2.采用深度学习技术，支持多种集装箱识别，支持污损集装箱识别。</w:t>
            </w:r>
            <w:r>
              <w:rPr>
                <w:rFonts w:hint="eastAsia" w:ascii="宋体" w:hAnsi="宋体" w:cs="宋体"/>
                <w:color w:val="000000"/>
                <w:szCs w:val="21"/>
              </w:rPr>
              <w:br w:type="textWrapping" w:clear="all"/>
            </w:r>
            <w:r>
              <w:rPr>
                <w:rFonts w:hint="eastAsia" w:ascii="宋体" w:hAnsi="宋体" w:cs="宋体"/>
                <w:color w:val="000000"/>
                <w:szCs w:val="21"/>
              </w:rPr>
              <w:t xml:space="preserve">    3.支持集装箱信息、进出记录、用户权限等数据的存储和查询</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4.支持多用户权限管理，如管理员、操作员等，支持用户密码加密存储和传输</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5.提供进出记录、集装箱统计等报表支持报表导出功能，如Excel、PDF等格式</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6.支持集装箱识别异常时的备用方案，支持设备故障自动检测和报警功能。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2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模拟集装箱（20GP）</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尺寸约0.6*0.25*0.25m左右 </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材质：主体采用钢板，箱体顶部加装部分铁板；蓝色</w:t>
            </w:r>
            <w:r>
              <w:rPr>
                <w:rFonts w:ascii="宋体" w:hAnsi="宋体" w:cs="宋体"/>
                <w:color w:val="000000"/>
                <w:szCs w:val="21"/>
              </w:rPr>
              <w:t xml:space="preserve">,</w:t>
            </w:r>
            <w:r>
              <w:rPr>
                <w:rFonts w:hint="eastAsia" w:ascii="宋体" w:hAnsi="宋体" w:cs="宋体"/>
                <w:color w:val="000000"/>
                <w:szCs w:val="21"/>
              </w:rPr>
              <w:t xml:space="preserve">可开门，承重≥25kg；</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公铁水模拟火车轨道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1、按比例缩小，尺寸根据场地设计，整体长度不少于35M。冷轧钢材质，投标人根据场地尺寸和设计方案提供最终的供货长度；包含1套变轨机构，可串联到公路、码头和公路货运站。</w:t>
            </w:r>
            <w:r>
              <w:rPr>
                <w:rFonts w:hint="eastAsia" w:ascii="宋体" w:hAnsi="宋体" w:cs="宋体"/>
                <w:color w:val="000000"/>
                <w:szCs w:val="21"/>
              </w:rPr>
              <w:br w:type="textWrapping" w:clear="all"/>
            </w:r>
            <w:r>
              <w:rPr>
                <w:rFonts w:hint="eastAsia" w:ascii="宋体" w:hAnsi="宋体" w:cs="宋体"/>
                <w:color w:val="000000"/>
                <w:szCs w:val="21"/>
              </w:rPr>
              <w:t xml:space="preserve">2、包含2种间距铁轨，1种轨距不小于25CM，一种轨距不小于30CM。供应商根据场地规划2种铁轨长度及布局。</w:t>
            </w:r>
            <w:r>
              <w:rPr>
                <w:rFonts w:hint="eastAsia" w:ascii="宋体" w:hAnsi="宋体" w:cs="宋体"/>
                <w:color w:val="000000"/>
                <w:szCs w:val="21"/>
              </w:rPr>
              <w:br w:type="textWrapping" w:clear="all"/>
            </w:r>
            <w:r>
              <w:rPr>
                <w:rFonts w:hint="eastAsia" w:ascii="宋体" w:hAnsi="宋体" w:cs="宋体"/>
                <w:color w:val="000000"/>
                <w:szCs w:val="21"/>
              </w:rPr>
              <w:t xml:space="preserve">▲3、投标文件提供火车轨道结构、布局图。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岸桥轨道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冷轧钢材质，长度不少于15米。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模拟集装箱龙门吊</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轨道式集装箱龙门吊设备采用固定式旋锁吊具，能起吊各种规格的集装箱，设备以真实起重机的1／30比例设计，结构及外形为高仿真通用集装箱岸桥，装吊设备采用电葫芦和电磁吸铁装置，吊柜作业方式为锁钩钩住模型箱上盖，水平移动采用前后四个驱动车轮，后面一对为主动轮，动力为交流电。</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▲2、投标文件提供龙门吊结构、布局图。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集装箱自动吊具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标准工业使用集装箱吊具，符合国家吊具标准，≥10KG。可调起≥50KG的物品重量。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岸桥改造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PLC更换，电气元件更换，电线更换；岸吊吊具整改。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控制机柜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内部采用PLC控制系统1套、变频器2个、交流接触器、接线端子、中继设备以及其它元配件等。配合设备控制使用，采用≥2mm钢板压制。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231"/>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模拟自动驾驶火车1</w:t>
            </w:r>
            <w:r>
              <w:rPr>
                <w:rFonts w:hint="eastAsia" w:ascii="宋体" w:hAnsi="宋体" w:cs="宋体"/>
                <w:color w:val="000000"/>
                <w:szCs w:val="21"/>
              </w:rPr>
            </w:r>
            <w:r/>
          </w:p>
        </w:tc>
        <w:tc>
          <w:tcPr>
            <w:shd w:val="clear" w:color="000000" w:fill="auto"/>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1.机车总长度：≥70cm；宽度：≥10.3cm；高度：≥13.6cm；机车轴距≥4.7cm；全轴距≥49cm；机车车轮直径：≥4.16cm；</w:t>
            </w:r>
            <w:r>
              <w:rPr>
                <w:rFonts w:hint="eastAsia" w:ascii="宋体" w:hAnsi="宋体" w:cs="宋体"/>
                <w:color w:val="000000"/>
                <w:szCs w:val="21"/>
              </w:rPr>
              <w:br w:type="textWrapping" w:clear="all"/>
            </w:r>
            <w:r>
              <w:rPr>
                <w:rFonts w:hint="eastAsia" w:ascii="宋体" w:hAnsi="宋体" w:cs="宋体"/>
                <w:color w:val="000000"/>
                <w:szCs w:val="21"/>
              </w:rPr>
              <w:t xml:space="preserve">2. 驱动方式：电动（可充电型）包含配套充电器；</w:t>
            </w:r>
            <w:r>
              <w:rPr>
                <w:rFonts w:hint="eastAsia" w:ascii="宋体" w:hAnsi="宋体" w:cs="宋体"/>
                <w:color w:val="000000"/>
                <w:szCs w:val="21"/>
              </w:rPr>
              <w:br w:type="textWrapping" w:clear="all"/>
            </w:r>
            <w:r>
              <w:rPr>
                <w:rFonts w:hint="eastAsia" w:ascii="宋体" w:hAnsi="宋体" w:cs="宋体"/>
                <w:color w:val="000000"/>
                <w:szCs w:val="21"/>
              </w:rPr>
              <w:t xml:space="preserve">3. 外观采用冷轧钢或不锈钢制作；</w:t>
            </w:r>
            <w:r>
              <w:rPr>
                <w:rFonts w:hint="eastAsia" w:ascii="宋体" w:hAnsi="宋体" w:cs="宋体"/>
                <w:color w:val="000000"/>
                <w:szCs w:val="21"/>
              </w:rPr>
              <w:br w:type="textWrapping" w:clear="all"/>
            </w:r>
            <w:r>
              <w:rPr>
                <w:rFonts w:hint="eastAsia" w:ascii="宋体" w:hAnsi="宋体" w:cs="宋体"/>
                <w:color w:val="000000"/>
                <w:szCs w:val="21"/>
              </w:rPr>
              <w:t xml:space="preserve">4. 制作比例1：30行走于窄轨；</w:t>
            </w:r>
            <w:r>
              <w:rPr>
                <w:rFonts w:hint="eastAsia" w:ascii="宋体" w:hAnsi="宋体" w:cs="宋体"/>
                <w:color w:val="000000"/>
                <w:szCs w:val="21"/>
              </w:rPr>
              <w:br w:type="textWrapping" w:clear="all"/>
            </w:r>
            <w:r>
              <w:rPr>
                <w:rFonts w:hint="eastAsia" w:ascii="宋体" w:hAnsi="宋体" w:cs="宋体"/>
                <w:color w:val="000000"/>
                <w:szCs w:val="21"/>
              </w:rPr>
              <w:t xml:space="preserve">5. 直流电机驱动；</w:t>
            </w:r>
            <w:r>
              <w:rPr>
                <w:rFonts w:hint="eastAsia" w:ascii="宋体" w:hAnsi="宋体" w:cs="宋体"/>
                <w:color w:val="000000"/>
                <w:szCs w:val="21"/>
              </w:rPr>
              <w:br w:type="textWrapping" w:clear="all"/>
            </w:r>
            <w:r>
              <w:rPr>
                <w:rFonts w:hint="eastAsia" w:ascii="宋体" w:hAnsi="宋体" w:cs="宋体"/>
                <w:color w:val="000000"/>
                <w:szCs w:val="21"/>
              </w:rPr>
              <w:t xml:space="preserve">6. 行走速度≥0-30m/min；</w:t>
            </w:r>
            <w:r>
              <w:rPr>
                <w:rFonts w:hint="eastAsia" w:ascii="宋体" w:hAnsi="宋体" w:cs="宋体"/>
                <w:color w:val="000000"/>
                <w:szCs w:val="21"/>
              </w:rPr>
              <w:br w:type="textWrapping" w:clear="all"/>
            </w:r>
            <w:r>
              <w:rPr>
                <w:rFonts w:hint="eastAsia" w:ascii="宋体" w:hAnsi="宋体" w:cs="宋体"/>
                <w:color w:val="000000"/>
                <w:szCs w:val="21"/>
              </w:rPr>
              <w:t xml:space="preserve">7. 包含到站语音提示；</w:t>
            </w:r>
            <w:r>
              <w:rPr>
                <w:rFonts w:hint="eastAsia" w:ascii="宋体" w:hAnsi="宋体" w:cs="宋体"/>
                <w:color w:val="000000"/>
                <w:szCs w:val="21"/>
              </w:rPr>
              <w:br w:type="textWrapping" w:clear="all"/>
            </w:r>
            <w:r>
              <w:rPr>
                <w:rFonts w:hint="eastAsia" w:ascii="宋体" w:hAnsi="宋体" w:cs="宋体"/>
                <w:color w:val="000000"/>
                <w:szCs w:val="21"/>
              </w:rPr>
              <w:t xml:space="preserve">8. 配两节车斗；</w:t>
            </w:r>
            <w:r>
              <w:rPr>
                <w:rFonts w:hint="eastAsia" w:ascii="宋体" w:hAnsi="宋体" w:cs="宋体"/>
                <w:color w:val="000000"/>
                <w:szCs w:val="21"/>
              </w:rPr>
              <w:br w:type="textWrapping" w:clear="all"/>
            </w:r>
            <w:r>
              <w:rPr>
                <w:rFonts w:hint="eastAsia" w:ascii="宋体" w:hAnsi="宋体" w:cs="宋体"/>
                <w:color w:val="000000"/>
                <w:szCs w:val="21"/>
              </w:rPr>
              <w:t xml:space="preserve">9. 具有离线自动停车保护功能；</w:t>
            </w:r>
            <w:r>
              <w:rPr>
                <w:rFonts w:hint="eastAsia" w:ascii="宋体" w:hAnsi="宋体" w:cs="宋体"/>
                <w:color w:val="000000"/>
                <w:szCs w:val="21"/>
              </w:rPr>
              <w:br w:type="textWrapping" w:clear="all"/>
            </w:r>
            <w:r>
              <w:rPr>
                <w:rFonts w:hint="eastAsia" w:ascii="宋体" w:hAnsi="宋体" w:cs="宋体"/>
                <w:color w:val="000000"/>
                <w:szCs w:val="21"/>
              </w:rPr>
              <w:t xml:space="preserve">10. 驱动方式：设备可采用平板控制， </w:t>
            </w:r>
            <w:r>
              <w:rPr>
                <w:rFonts w:hint="eastAsia" w:ascii="宋体" w:hAnsi="宋体" w:cs="宋体"/>
                <w:color w:val="000000"/>
                <w:szCs w:val="21"/>
              </w:rPr>
              <w:br w:type="textWrapping" w:clear="all"/>
            </w:r>
            <w:r>
              <w:rPr>
                <w:rFonts w:hint="eastAsia" w:ascii="宋体" w:hAnsi="宋体" w:cs="宋体"/>
                <w:i/>
                <w:iCs/>
                <w:color w:val="000000"/>
                <w:szCs w:val="21"/>
                <w:u w:val="single"/>
              </w:rPr>
              <w:t xml:space="preserve">★11.设备必须集成多式联运操作调度系统，能够与软件进行联动作业，投标文件中提供集成说明。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color w:val="ff0000"/>
                <w:szCs w:val="21"/>
              </w:rPr>
            </w:pPr>
            <w:r>
              <w:rPr>
                <w:rFonts w:hint="eastAsia" w:ascii="宋体" w:hAnsi="宋体" w:cs="宋体"/>
                <w:b/>
                <w:color w:val="ff0000"/>
                <w:szCs w:val="21"/>
              </w:rPr>
            </w:r>
            <w:r/>
          </w:p>
        </w:tc>
      </w:tr>
      <w:tr>
        <w:trPr>
          <w:trHeight w:val="368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w:t>
            </w:r>
            <w:r>
              <w:rPr>
                <w:rFonts w:hint="eastAsia" w:ascii="宋体" w:hAnsi="宋体" w:cs="宋体"/>
                <w:color w:val="000000"/>
                <w:szCs w:val="21"/>
              </w:rPr>
              <w:t xml:space="preserve"> 机车总长度：≥140cm；宽度：≥10.3cm；高度：≥13.6cm；机车轴距≥4.7cm；全轴距≥49cm；机车车轮直径：≥4.16cm；</w:t>
            </w:r>
            <w:r>
              <w:rPr>
                <w:rFonts w:hint="eastAsia" w:ascii="宋体" w:hAnsi="宋体" w:cs="宋体"/>
                <w:color w:val="000000"/>
                <w:szCs w:val="21"/>
              </w:rPr>
              <w:br w:type="textWrapping" w:clear="all"/>
            </w:r>
            <w:r>
              <w:rPr>
                <w:rFonts w:hint="eastAsia" w:ascii="宋体" w:hAnsi="宋体" w:cs="宋体"/>
                <w:color w:val="000000"/>
                <w:szCs w:val="21"/>
              </w:rPr>
              <w:t xml:space="preserve">2. 驱动方式：电动（可充电型）包含配套充电器；</w:t>
            </w:r>
            <w:r>
              <w:rPr>
                <w:rFonts w:hint="eastAsia" w:ascii="宋体" w:hAnsi="宋体" w:cs="宋体"/>
                <w:color w:val="000000"/>
                <w:szCs w:val="21"/>
              </w:rPr>
              <w:br w:type="textWrapping" w:clear="all"/>
            </w:r>
            <w:r>
              <w:rPr>
                <w:rFonts w:hint="eastAsia" w:ascii="宋体" w:hAnsi="宋体" w:cs="宋体"/>
                <w:color w:val="000000"/>
                <w:szCs w:val="21"/>
              </w:rPr>
              <w:t xml:space="preserve">3. 外观采用冷轧钢或不锈钢制作；</w:t>
            </w:r>
            <w:r>
              <w:rPr>
                <w:rFonts w:hint="eastAsia" w:ascii="宋体" w:hAnsi="宋体" w:cs="宋体"/>
                <w:color w:val="000000"/>
                <w:szCs w:val="21"/>
              </w:rPr>
              <w:br w:type="textWrapping" w:clear="all"/>
            </w:r>
            <w:r>
              <w:rPr>
                <w:rFonts w:hint="eastAsia" w:ascii="宋体" w:hAnsi="宋体" w:cs="宋体"/>
                <w:color w:val="000000"/>
                <w:szCs w:val="21"/>
              </w:rPr>
              <w:t xml:space="preserve">4. 制作比例1：30行走于宽轨；</w:t>
            </w:r>
            <w:r>
              <w:rPr>
                <w:rFonts w:hint="eastAsia" w:ascii="宋体" w:hAnsi="宋体" w:cs="宋体"/>
                <w:color w:val="000000"/>
                <w:szCs w:val="21"/>
              </w:rPr>
              <w:br w:type="textWrapping" w:clear="all"/>
            </w:r>
            <w:r>
              <w:rPr>
                <w:rFonts w:hint="eastAsia" w:ascii="宋体" w:hAnsi="宋体" w:cs="宋体"/>
                <w:color w:val="000000"/>
                <w:szCs w:val="21"/>
              </w:rPr>
              <w:t xml:space="preserve">5. 直流电机驱动，反向联动；</w:t>
            </w:r>
            <w:r>
              <w:rPr>
                <w:rFonts w:hint="eastAsia" w:ascii="宋体" w:hAnsi="宋体" w:cs="宋体"/>
                <w:color w:val="000000"/>
                <w:szCs w:val="21"/>
              </w:rPr>
              <w:br w:type="textWrapping" w:clear="all"/>
            </w:r>
            <w:r>
              <w:rPr>
                <w:rFonts w:hint="eastAsia" w:ascii="宋体" w:hAnsi="宋体" w:cs="宋体"/>
                <w:color w:val="000000"/>
                <w:szCs w:val="21"/>
              </w:rPr>
              <w:t xml:space="preserve">6. 行走速度≥0-30m/min；</w:t>
            </w:r>
            <w:r>
              <w:rPr>
                <w:rFonts w:hint="eastAsia" w:ascii="宋体" w:hAnsi="宋体" w:cs="宋体"/>
                <w:color w:val="000000"/>
                <w:szCs w:val="21"/>
              </w:rPr>
              <w:br w:type="textWrapping" w:clear="all"/>
            </w:r>
            <w:r>
              <w:rPr>
                <w:rFonts w:hint="eastAsia" w:ascii="宋体" w:hAnsi="宋体" w:cs="宋体"/>
                <w:color w:val="000000"/>
                <w:szCs w:val="21"/>
              </w:rPr>
              <w:t xml:space="preserve">7. 包含到站语音提示；</w:t>
            </w:r>
            <w:r>
              <w:rPr>
                <w:rFonts w:hint="eastAsia" w:ascii="宋体" w:hAnsi="宋体" w:cs="宋体"/>
                <w:color w:val="000000"/>
                <w:szCs w:val="21"/>
              </w:rPr>
              <w:br w:type="textWrapping" w:clear="all"/>
            </w:r>
            <w:r>
              <w:rPr>
                <w:rFonts w:hint="eastAsia" w:ascii="宋体" w:hAnsi="宋体" w:cs="宋体"/>
                <w:color w:val="000000"/>
                <w:szCs w:val="21"/>
              </w:rPr>
              <w:t xml:space="preserve">8. 1动3拖，双车头，双向行走；</w:t>
            </w:r>
            <w:r>
              <w:rPr>
                <w:rFonts w:hint="eastAsia" w:ascii="宋体" w:hAnsi="宋体" w:cs="宋体"/>
                <w:color w:val="000000"/>
                <w:szCs w:val="21"/>
              </w:rPr>
              <w:br w:type="textWrapping" w:clear="all"/>
            </w:r>
            <w:r>
              <w:rPr>
                <w:rFonts w:hint="eastAsia" w:ascii="宋体" w:hAnsi="宋体" w:cs="宋体"/>
                <w:color w:val="000000"/>
                <w:szCs w:val="21"/>
              </w:rPr>
              <w:t xml:space="preserve">9. 具有离线自动停车保护功能；</w:t>
            </w:r>
            <w:r>
              <w:rPr>
                <w:rFonts w:hint="eastAsia" w:ascii="宋体" w:hAnsi="宋体" w:cs="宋体"/>
                <w:color w:val="000000"/>
                <w:szCs w:val="21"/>
              </w:rPr>
              <w:br w:type="textWrapping" w:clear="all"/>
            </w:r>
            <w:r>
              <w:rPr>
                <w:rFonts w:hint="eastAsia" w:ascii="宋体" w:hAnsi="宋体" w:cs="宋体"/>
                <w:color w:val="000000"/>
                <w:szCs w:val="21"/>
              </w:rPr>
              <w:t xml:space="preserve">10. 驱动方式：设备可采用平板控制， </w:t>
            </w:r>
            <w:r>
              <w:rPr>
                <w:rFonts w:hint="eastAsia" w:ascii="宋体" w:hAnsi="宋体" w:cs="宋体"/>
                <w:color w:val="000000"/>
                <w:szCs w:val="21"/>
              </w:rPr>
              <w:br w:type="textWrapping" w:clear="all"/>
            </w:r>
            <w:r>
              <w:rPr>
                <w:rFonts w:hint="eastAsia" w:ascii="宋体" w:hAnsi="宋体" w:cs="宋体"/>
                <w:i/>
                <w:iCs/>
                <w:color w:val="000000"/>
                <w:szCs w:val="21"/>
                <w:u w:val="single"/>
              </w:rPr>
              <w:t xml:space="preserve">★11.设备必须集成多式联运操作调度系统，能够与软件进行联动作业，投标文件中提供集成说明。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09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火车调度系统</w:t>
            </w:r>
            <w:r>
              <w:rPr>
                <w:rFonts w:hint="eastAsia" w:ascii="宋体" w:hAnsi="宋体" w:cs="宋体"/>
                <w:color w:val="000000"/>
                <w:szCs w:val="21"/>
              </w:rPr>
            </w:r>
            <w:r/>
          </w:p>
        </w:tc>
        <w:tc>
          <w:tcPr>
            <w:shd w:val="clear" w:color="000000" w:fill="auto"/>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1、包含配套触摸屏1套，尺寸≥7英寸；</w:t>
            </w:r>
            <w:r>
              <w:rPr>
                <w:rFonts w:hint="eastAsia" w:ascii="宋体" w:hAnsi="宋体" w:cs="宋体"/>
                <w:color w:val="000000"/>
                <w:szCs w:val="21"/>
              </w:rPr>
              <w:br w:type="textWrapping" w:clear="all"/>
            </w:r>
            <w:r>
              <w:rPr>
                <w:rFonts w:hint="eastAsia" w:ascii="宋体" w:hAnsi="宋体" w:cs="宋体"/>
                <w:color w:val="000000"/>
                <w:szCs w:val="21"/>
              </w:rPr>
              <w:t xml:space="preserve">2、触摸屏显示火车运行线路并可控制火车选择线路运行。</w:t>
            </w:r>
            <w:r>
              <w:rPr>
                <w:rFonts w:hint="eastAsia" w:ascii="宋体" w:hAnsi="宋体" w:cs="宋体"/>
                <w:color w:val="000000"/>
                <w:szCs w:val="21"/>
              </w:rPr>
              <w:br w:type="textWrapping" w:clear="all"/>
            </w:r>
            <w:r>
              <w:rPr>
                <w:rFonts w:hint="eastAsia" w:ascii="宋体" w:hAnsi="宋体" w:cs="宋体"/>
                <w:color w:val="000000"/>
                <w:szCs w:val="21"/>
              </w:rPr>
              <w:t xml:space="preserve">3、包含火车控制软件，能够集成多式联运操作调度监控系统，数据共享。</w:t>
            </w:r>
            <w:r>
              <w:rPr>
                <w:rFonts w:hint="eastAsia" w:ascii="宋体" w:hAnsi="宋体" w:cs="宋体"/>
                <w:color w:val="000000"/>
                <w:szCs w:val="21"/>
              </w:rPr>
              <w:br w:type="textWrapping" w:clear="all"/>
            </w:r>
            <w:r>
              <w:rPr>
                <w:rFonts w:hint="eastAsia" w:ascii="宋体" w:hAnsi="宋体" w:cs="宋体"/>
                <w:color w:val="000000"/>
                <w:szCs w:val="21"/>
              </w:rPr>
              <w:t xml:space="preserve">4、能够控制模拟火车，货运卡车，移动式龙门吊车等设备，包含多功能演示等：机车行进，机车返标，机车货物到站播报，及堆场货物装载，卸载演示，与行进鸣笛，经停站停车等。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384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公铁水运输模拟卡车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1.性能参数：磁条导航；</w:t>
            </w:r>
            <w:r>
              <w:rPr>
                <w:rFonts w:hint="eastAsia" w:ascii="宋体" w:hAnsi="宋体" w:cs="宋体"/>
                <w:color w:val="000000"/>
                <w:szCs w:val="21"/>
              </w:rPr>
              <w:br w:type="textWrapping" w:clear="all"/>
            </w:r>
            <w:r>
              <w:rPr>
                <w:rFonts w:hint="eastAsia" w:ascii="宋体" w:hAnsi="宋体" w:cs="宋体"/>
                <w:color w:val="000000"/>
                <w:szCs w:val="21"/>
              </w:rPr>
              <w:t xml:space="preserve">2.额定载重≥100Kg,最大载重120Kg；</w:t>
            </w:r>
            <w:r>
              <w:rPr>
                <w:rFonts w:hint="eastAsia" w:ascii="宋体" w:hAnsi="宋体" w:cs="宋体"/>
                <w:color w:val="000000"/>
                <w:szCs w:val="21"/>
              </w:rPr>
              <w:br w:type="textWrapping" w:clear="all"/>
            </w:r>
            <w:r>
              <w:rPr>
                <w:rFonts w:hint="eastAsia" w:ascii="宋体" w:hAnsi="宋体" w:cs="宋体"/>
                <w:color w:val="000000"/>
                <w:szCs w:val="21"/>
              </w:rPr>
              <w:t xml:space="preserve">3.尺寸≥1000mm*600mm*750mm；</w:t>
            </w:r>
            <w:r>
              <w:rPr>
                <w:rFonts w:hint="eastAsia" w:ascii="宋体" w:hAnsi="宋体" w:cs="宋体"/>
                <w:color w:val="000000"/>
                <w:szCs w:val="21"/>
              </w:rPr>
              <w:br w:type="textWrapping" w:clear="all"/>
            </w:r>
            <w:r>
              <w:rPr>
                <w:rFonts w:hint="eastAsia" w:ascii="宋体" w:hAnsi="宋体" w:cs="宋体"/>
                <w:color w:val="000000"/>
                <w:szCs w:val="21"/>
              </w:rPr>
              <w:t xml:space="preserve">4.行走精度≥±10mm,停车精度≥±5mm；</w:t>
            </w:r>
            <w:r>
              <w:rPr>
                <w:rFonts w:hint="eastAsia" w:ascii="宋体" w:hAnsi="宋体" w:cs="宋体"/>
                <w:color w:val="000000"/>
                <w:szCs w:val="21"/>
              </w:rPr>
              <w:br w:type="textWrapping" w:clear="all"/>
            </w:r>
            <w:r>
              <w:rPr>
                <w:rFonts w:hint="eastAsia" w:ascii="宋体" w:hAnsi="宋体" w:cs="宋体"/>
                <w:color w:val="000000"/>
                <w:szCs w:val="21"/>
              </w:rPr>
              <w:t xml:space="preserve">5.行走速度≥0-60m/min；</w:t>
            </w:r>
            <w:r>
              <w:rPr>
                <w:rFonts w:hint="eastAsia" w:ascii="宋体" w:hAnsi="宋体" w:cs="宋体"/>
                <w:color w:val="000000"/>
                <w:szCs w:val="21"/>
              </w:rPr>
              <w:br w:type="textWrapping" w:clear="all"/>
            </w:r>
            <w:r>
              <w:rPr>
                <w:rFonts w:hint="eastAsia" w:ascii="宋体" w:hAnsi="宋体" w:cs="宋体"/>
                <w:color w:val="000000"/>
                <w:szCs w:val="21"/>
              </w:rPr>
              <w:t xml:space="preserve">6.最小转弯半径≥800mm,爬坡能力≥1/100；</w:t>
            </w:r>
            <w:r>
              <w:rPr>
                <w:rFonts w:hint="eastAsia" w:ascii="宋体" w:hAnsi="宋体" w:cs="宋体"/>
                <w:color w:val="000000"/>
                <w:szCs w:val="21"/>
              </w:rPr>
              <w:br w:type="textWrapping" w:clear="all"/>
            </w:r>
            <w:r>
              <w:rPr>
                <w:rFonts w:hint="eastAsia" w:ascii="宋体" w:hAnsi="宋体" w:cs="宋体"/>
                <w:color w:val="000000"/>
                <w:szCs w:val="21"/>
              </w:rPr>
              <w:t xml:space="preserve">7.连续工作时间不少于8小时；</w:t>
            </w:r>
            <w:r>
              <w:rPr>
                <w:rFonts w:hint="eastAsia" w:ascii="宋体" w:hAnsi="宋体" w:cs="宋体"/>
                <w:color w:val="000000"/>
                <w:szCs w:val="21"/>
              </w:rPr>
              <w:br w:type="textWrapping" w:clear="all"/>
            </w:r>
            <w:r>
              <w:rPr>
                <w:rFonts w:hint="eastAsia" w:ascii="宋体" w:hAnsi="宋体" w:cs="宋体"/>
                <w:color w:val="000000"/>
                <w:szCs w:val="21"/>
              </w:rPr>
              <w:t xml:space="preserve">8.充电方式：外置充电器；</w:t>
            </w:r>
            <w:r>
              <w:rPr>
                <w:rFonts w:hint="eastAsia" w:ascii="宋体" w:hAnsi="宋体" w:cs="宋体"/>
                <w:color w:val="000000"/>
                <w:szCs w:val="21"/>
              </w:rPr>
              <w:br w:type="textWrapping" w:clear="all"/>
            </w:r>
            <w:r>
              <w:rPr>
                <w:rFonts w:hint="eastAsia" w:cs="宋体"/>
                <w:i/>
                <w:iCs/>
                <w:szCs w:val="21"/>
                <w:u w:val="single"/>
              </w:rPr>
              <w:t xml:space="preserve">★</w:t>
            </w:r>
            <w:r>
              <w:rPr>
                <w:rFonts w:hint="eastAsia" w:ascii="宋体" w:hAnsi="宋体" w:cs="宋体"/>
                <w:i/>
                <w:iCs/>
                <w:color w:val="000000"/>
                <w:szCs w:val="21"/>
                <w:u w:val="single"/>
              </w:rPr>
              <w:t xml:space="preserve">9.设备必须集成多式联运操作调度系统，能够与软件进行联动作业，投标文件中提供集成说明。</w:t>
            </w:r>
            <w:r>
              <w:rPr>
                <w:rFonts w:hint="eastAsia" w:ascii="宋体" w:hAnsi="宋体" w:cs="宋体"/>
                <w:i/>
                <w:iCs/>
                <w:color w:val="000000"/>
                <w:szCs w:val="21"/>
                <w:u w:val="single"/>
              </w:rPr>
              <w:br w:type="textWrapping" w:clear="all"/>
            </w:r>
            <w:r>
              <w:rPr>
                <w:rFonts w:hint="eastAsia" w:ascii="宋体" w:hAnsi="宋体" w:cs="宋体"/>
                <w:color w:val="000000"/>
                <w:szCs w:val="21"/>
              </w:rPr>
              <w:t xml:space="preserve">10.电源24V 40AH 工业免维护电瓶；</w:t>
            </w:r>
            <w:r>
              <w:rPr>
                <w:rFonts w:hint="eastAsia" w:ascii="宋体" w:hAnsi="宋体" w:cs="宋体"/>
                <w:color w:val="000000"/>
                <w:szCs w:val="21"/>
              </w:rPr>
              <w:br w:type="textWrapping" w:clear="all"/>
            </w:r>
            <w:r>
              <w:rPr>
                <w:rFonts w:hint="eastAsia" w:ascii="宋体" w:hAnsi="宋体" w:cs="宋体"/>
                <w:color w:val="000000"/>
                <w:szCs w:val="21"/>
              </w:rPr>
              <w:t xml:space="preserve">11.安全装置：故障报警，急停按钮；</w:t>
            </w:r>
            <w:r>
              <w:rPr>
                <w:rFonts w:hint="eastAsia" w:ascii="宋体" w:hAnsi="宋体" w:cs="宋体"/>
                <w:color w:val="000000"/>
                <w:szCs w:val="21"/>
              </w:rPr>
              <w:br w:type="textWrapping" w:clear="all"/>
            </w:r>
            <w:r>
              <w:rPr>
                <w:rFonts w:hint="eastAsia" w:ascii="宋体" w:hAnsi="宋体" w:cs="宋体"/>
                <w:color w:val="000000"/>
                <w:szCs w:val="21"/>
              </w:rPr>
              <w:t xml:space="preserve">12.驱动方式：中置双轮差速；</w:t>
            </w:r>
            <w:r>
              <w:rPr>
                <w:rFonts w:hint="eastAsia" w:ascii="宋体" w:hAnsi="宋体" w:cs="宋体"/>
                <w:color w:val="000000"/>
                <w:szCs w:val="21"/>
              </w:rPr>
              <w:br w:type="textWrapping" w:clear="all"/>
            </w:r>
            <w:r>
              <w:rPr>
                <w:rFonts w:hint="eastAsia" w:ascii="宋体" w:hAnsi="宋体" w:cs="宋体"/>
                <w:color w:val="000000"/>
                <w:szCs w:val="21"/>
              </w:rPr>
              <w:t xml:space="preserve">13.防撞装置采用防碰撞气囊保险杠；</w:t>
            </w:r>
            <w:r>
              <w:rPr>
                <w:rFonts w:hint="eastAsia" w:ascii="宋体" w:hAnsi="宋体" w:cs="宋体"/>
                <w:color w:val="000000"/>
                <w:szCs w:val="21"/>
              </w:rPr>
              <w:br w:type="textWrapping" w:clear="all"/>
            </w:r>
            <w:r>
              <w:rPr>
                <w:rFonts w:hint="eastAsia" w:ascii="宋体" w:hAnsi="宋体" w:cs="宋体"/>
                <w:color w:val="000000"/>
                <w:szCs w:val="21"/>
              </w:rPr>
              <w:t xml:space="preserve">14.具有离线自动停车保护功能；</w:t>
            </w:r>
            <w:r>
              <w:rPr>
                <w:rFonts w:hint="eastAsia" w:ascii="宋体" w:hAnsi="宋体" w:cs="宋体"/>
                <w:color w:val="000000"/>
                <w:szCs w:val="21"/>
              </w:rPr>
              <w:br w:type="textWrapping" w:clear="all"/>
            </w:r>
            <w:r>
              <w:rPr>
                <w:rFonts w:hint="eastAsia" w:ascii="宋体" w:hAnsi="宋体" w:cs="宋体"/>
                <w:color w:val="000000"/>
                <w:szCs w:val="21"/>
              </w:rPr>
              <w:t xml:space="preserve">15.采用读取射频IC卡认址；</w:t>
            </w:r>
            <w:r>
              <w:rPr>
                <w:rFonts w:hint="eastAsia" w:ascii="宋体" w:hAnsi="宋体" w:cs="宋体"/>
                <w:color w:val="000000"/>
                <w:szCs w:val="21"/>
              </w:rPr>
              <w:br w:type="textWrapping" w:clear="all"/>
            </w:r>
            <w:r>
              <w:rPr>
                <w:rFonts w:hint="eastAsia" w:ascii="宋体" w:hAnsi="宋体" w:cs="宋体"/>
                <w:color w:val="000000"/>
                <w:szCs w:val="21"/>
              </w:rPr>
              <w:t xml:space="preserve">16.随车附带磁条20米、充电器一个。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274"/>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多式联运操作调度监控系统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1.系统能够实时追踪集装箱的位置，能够对集装箱进行准确的状态管理和调度。</w:t>
            </w:r>
            <w:r>
              <w:rPr>
                <w:rFonts w:hint="eastAsia" w:ascii="宋体" w:hAnsi="宋体" w:cs="宋体"/>
                <w:color w:val="000000"/>
                <w:szCs w:val="21"/>
              </w:rPr>
              <w:br w:type="textWrapping" w:clear="all"/>
            </w:r>
            <w:r>
              <w:rPr>
                <w:rFonts w:hint="eastAsia" w:ascii="宋体" w:hAnsi="宋体" w:cs="宋体"/>
                <w:color w:val="000000"/>
                <w:szCs w:val="21"/>
              </w:rPr>
              <w:t xml:space="preserve">2.系统能够显示集装箱的运输路径和计划，包括起始点、途径点、目的地、托运货物的信息（如名称、数量、毛重、体积、可换算的标准箱（TEU）、实时状态（在途、到站、到港）、所属车次（航次）、通关状态（已清关、未清关）等。</w:t>
            </w:r>
            <w:r>
              <w:rPr>
                <w:rFonts w:hint="eastAsia" w:ascii="宋体" w:hAnsi="宋体" w:cs="宋体"/>
                <w:color w:val="000000"/>
                <w:szCs w:val="21"/>
              </w:rPr>
              <w:br w:type="textWrapping" w:clear="all"/>
            </w:r>
            <w:r>
              <w:rPr>
                <w:rFonts w:hint="eastAsia" w:ascii="宋体" w:hAnsi="宋体" w:cs="宋体"/>
                <w:color w:val="000000"/>
                <w:szCs w:val="21"/>
              </w:rPr>
              <w:t xml:space="preserve">3.系统可视化界面，包括地图展示、图表分析等，能够直观地了解集装箱的调度（集装箱及搬运工具的位置、状态等）和监控情况。</w:t>
            </w:r>
            <w:r>
              <w:rPr>
                <w:rFonts w:hint="eastAsia" w:ascii="宋体" w:hAnsi="宋体" w:cs="宋体"/>
                <w:color w:val="000000"/>
                <w:szCs w:val="21"/>
              </w:rPr>
              <w:br w:type="textWrapping" w:clear="all"/>
            </w:r>
            <w:r>
              <w:rPr>
                <w:rFonts w:hint="eastAsia" w:ascii="宋体" w:hAnsi="宋体" w:cs="宋体"/>
                <w:color w:val="000000"/>
                <w:szCs w:val="21"/>
              </w:rPr>
              <w:t xml:space="preserve">4.包含中间件，系统能够集成智慧教学大屏，能够通过视频集中控制、信号切换等在大屏上进行实时展示、分屏显示。</w:t>
            </w:r>
            <w:r>
              <w:rPr>
                <w:rFonts w:hint="eastAsia" w:ascii="宋体" w:hAnsi="宋体" w:cs="宋体"/>
                <w:color w:val="000000"/>
                <w:szCs w:val="21"/>
              </w:rPr>
              <w:br w:type="textWrapping" w:clear="all"/>
            </w:r>
            <w:r>
              <w:rPr>
                <w:rFonts w:hint="eastAsia" w:ascii="宋体" w:hAnsi="宋体" w:cs="宋体"/>
                <w:color w:val="000000"/>
                <w:szCs w:val="21"/>
              </w:rPr>
              <w:t xml:space="preserve">5.包含不少于4套近三年公铁水联运实际业务数据（每套数据应包含国内和国外6个以上枢纽的公铁水联运业务真实脱敏数据），并可在业务系统平台中输入操作处理。</w:t>
            </w:r>
            <w:r>
              <w:rPr>
                <w:rFonts w:hint="eastAsia" w:ascii="宋体" w:hAnsi="宋体" w:cs="宋体"/>
                <w:color w:val="000000"/>
                <w:szCs w:val="21"/>
              </w:rPr>
              <w:br w:type="textWrapping" w:clear="all"/>
            </w:r>
            <w:r>
              <w:rPr>
                <w:rFonts w:hint="eastAsia" w:ascii="宋体" w:hAnsi="宋体" w:cs="宋体"/>
                <w:color w:val="000000"/>
                <w:szCs w:val="21"/>
              </w:rPr>
              <w:t xml:space="preserve">6.</w:t>
            </w:r>
            <w:r>
              <w:rPr>
                <w:rFonts w:hint="eastAsia" w:cs="宋体"/>
                <w:szCs w:val="21"/>
              </w:rPr>
              <w:t xml:space="preserve"> ▲</w:t>
            </w:r>
            <w:r>
              <w:rPr>
                <w:rFonts w:hint="eastAsia" w:ascii="宋体" w:hAnsi="宋体" w:cs="宋体"/>
                <w:color w:val="000000"/>
                <w:szCs w:val="21"/>
              </w:rPr>
              <w:t xml:space="preserve">系统集成火车、卡车、龙门吊等设备，能够进行联动作业，并进行可视化展示。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12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货运飞机模型仓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1.等比例缩小A330-200F，尺寸匹配实训室场地及其他设备，≤1:100；</w:t>
            </w:r>
            <w:r>
              <w:rPr>
                <w:rFonts w:hint="eastAsia" w:ascii="宋体" w:hAnsi="宋体" w:cs="宋体"/>
                <w:color w:val="000000"/>
                <w:szCs w:val="21"/>
              </w:rPr>
              <w:br w:type="textWrapping" w:clear="all"/>
            </w:r>
            <w:r>
              <w:rPr>
                <w:rFonts w:hint="eastAsia" w:ascii="宋体" w:hAnsi="宋体" w:cs="宋体"/>
                <w:color w:val="000000"/>
                <w:szCs w:val="21"/>
              </w:rPr>
              <w:t xml:space="preserve">2.包含机身部分货仓，货仓可开启展示货位及进行模拟装货作业；</w:t>
            </w:r>
            <w:r>
              <w:rPr>
                <w:rFonts w:hint="eastAsia" w:ascii="宋体" w:hAnsi="宋体" w:cs="宋体"/>
                <w:color w:val="000000"/>
                <w:szCs w:val="21"/>
              </w:rPr>
              <w:br w:type="textWrapping" w:clear="all"/>
            </w:r>
            <w:r>
              <w:rPr>
                <w:rFonts w:hint="eastAsia" w:ascii="宋体" w:hAnsi="宋体" w:cs="宋体"/>
                <w:color w:val="000000"/>
                <w:szCs w:val="21"/>
              </w:rPr>
              <w:t xml:space="preserve">3.包含货仓支撑平台。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18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模拟拖挂车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1.1:30等比例缩小物资模拟升降车一辆（能实现动态升降功能）、模拟传送带车一辆（能够实现动态传输功能）和模拟吊车一辆（能够实现动态吊装功能）；</w:t>
            </w:r>
            <w:r>
              <w:rPr>
                <w:rFonts w:hint="eastAsia" w:ascii="宋体" w:hAnsi="宋体" w:cs="宋体"/>
                <w:color w:val="000000"/>
                <w:szCs w:val="21"/>
              </w:rPr>
              <w:br w:type="textWrapping" w:clear="all"/>
            </w:r>
            <w:r>
              <w:rPr>
                <w:rFonts w:hint="eastAsia" w:ascii="宋体" w:hAnsi="宋体" w:cs="宋体"/>
                <w:color w:val="000000"/>
                <w:szCs w:val="21"/>
              </w:rPr>
              <w:t xml:space="preserve">2.设备采用冷轧钢或者不锈钢制作，外观模拟真实车辆；</w:t>
            </w:r>
            <w:r>
              <w:rPr>
                <w:rFonts w:hint="eastAsia" w:ascii="宋体" w:hAnsi="宋体" w:cs="宋体"/>
                <w:color w:val="000000"/>
                <w:szCs w:val="21"/>
              </w:rPr>
              <w:br w:type="textWrapping" w:clear="all"/>
            </w:r>
            <w:r>
              <w:rPr>
                <w:rFonts w:hint="eastAsia" w:ascii="宋体" w:hAnsi="宋体" w:cs="宋体"/>
                <w:color w:val="000000"/>
                <w:szCs w:val="21"/>
              </w:rPr>
              <w:t xml:space="preserve">3.承重结构，底座、立柱和平台，采用高强度合金钢；齿轮、轴承和链条等关键部件，采用高硬度、耐磨损的合金钢制造；</w:t>
            </w:r>
            <w:r>
              <w:rPr>
                <w:rFonts w:hint="eastAsia" w:ascii="宋体" w:hAnsi="宋体" w:cs="宋体"/>
                <w:color w:val="000000"/>
                <w:szCs w:val="21"/>
              </w:rPr>
              <w:br w:type="textWrapping" w:clear="all"/>
            </w:r>
            <w:r>
              <w:rPr>
                <w:rFonts w:hint="eastAsia" w:ascii="宋体" w:hAnsi="宋体" w:cs="宋体"/>
                <w:color w:val="000000"/>
                <w:szCs w:val="21"/>
              </w:rPr>
              <w:t xml:space="preserve">4.能够与集装箱模型、货运场站及货运飞机模型联动展示航空、公路等货运作业流程。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3782"/>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多式联运业务调度展示数据监控屏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ascii="宋体" w:hAnsi="宋体" w:cs="宋体"/>
                <w:color w:val="000000"/>
                <w:szCs w:val="21"/>
              </w:rPr>
            </w:pPr>
            <w:r>
              <w:rPr>
                <w:rFonts w:hint="eastAsia" w:ascii="宋体" w:hAnsi="宋体" w:cs="宋体"/>
                <w:color w:val="000000"/>
                <w:szCs w:val="21"/>
              </w:rPr>
              <w:t xml:space="preserve">一、LED显示屏：</w:t>
            </w:r>
            <w:r>
              <w:rPr>
                <w:rFonts w:hint="eastAsia" w:ascii="宋体" w:hAnsi="宋体" w:cs="宋体"/>
                <w:color w:val="000000"/>
                <w:szCs w:val="21"/>
              </w:rPr>
              <w:br w:type="textWrapping" w:clear="all"/>
            </w:r>
            <w:r>
              <w:rPr>
                <w:rFonts w:hint="eastAsia" w:ascii="宋体" w:hAnsi="宋体" w:cs="宋体"/>
                <w:color w:val="000000"/>
                <w:szCs w:val="21"/>
              </w:rPr>
              <w:t xml:space="preserve">▲产品规格：PH1.25；像素点间距:≤1.25mm；像素密度：640000 dot/㎡；模组尺寸320mm×160mm；模组分辨率≥256*128；不小于9.4平米。</w:t>
            </w:r>
            <w:r>
              <w:rPr>
                <w:rFonts w:hint="eastAsia" w:ascii="宋体" w:hAnsi="宋体" w:cs="宋体"/>
                <w:color w:val="000000"/>
                <w:szCs w:val="21"/>
              </w:rPr>
              <w:br w:type="textWrapping" w:clear="all"/>
            </w:r>
            <w:r>
              <w:rPr>
                <w:rFonts w:hint="eastAsia" w:ascii="宋体" w:hAnsi="宋体" w:cs="宋体"/>
                <w:color w:val="000000"/>
                <w:szCs w:val="21"/>
              </w:rPr>
              <w:t xml:space="preserve">二、供电电源</w:t>
            </w:r>
            <w:r>
              <w:rPr>
                <w:rFonts w:hint="eastAsia" w:ascii="宋体" w:hAnsi="宋体" w:cs="宋体"/>
                <w:color w:val="000000"/>
                <w:szCs w:val="21"/>
              </w:rPr>
              <w:br w:type="textWrapping" w:clear="all"/>
            </w:r>
            <w:r>
              <w:rPr>
                <w:rFonts w:hint="eastAsia" w:ascii="宋体" w:hAnsi="宋体" w:cs="宋体"/>
                <w:color w:val="000000"/>
                <w:szCs w:val="21"/>
              </w:rPr>
              <w:t xml:space="preserve">1、数量≥35个，保护功能：输入欠压保护，过载保护，短路保护，过压保护。异常解除，自动恢复正常工作；</w:t>
            </w:r>
            <w:r>
              <w:rPr>
                <w:rFonts w:hint="eastAsia" w:ascii="宋体" w:hAnsi="宋体" w:cs="宋体"/>
                <w:color w:val="000000"/>
                <w:szCs w:val="21"/>
              </w:rPr>
              <w:br w:type="textWrapping" w:clear="all"/>
            </w:r>
            <w:r>
              <w:rPr>
                <w:rFonts w:hint="eastAsia" w:ascii="宋体" w:hAnsi="宋体" w:cs="宋体"/>
                <w:color w:val="000000"/>
                <w:szCs w:val="21"/>
              </w:rPr>
              <w:t xml:space="preserve">2、额定输入电压：200-240Vac； </w:t>
            </w:r>
            <w:r>
              <w:rPr>
                <w:rFonts w:hint="eastAsia" w:ascii="宋体" w:hAnsi="宋体" w:cs="宋体"/>
                <w:color w:val="000000"/>
                <w:szCs w:val="21"/>
              </w:rPr>
              <w:br w:type="textWrapping" w:clear="all"/>
            </w:r>
            <w:r>
              <w:rPr>
                <w:rFonts w:hint="eastAsia" w:ascii="宋体" w:hAnsi="宋体" w:cs="宋体"/>
                <w:color w:val="000000"/>
                <w:szCs w:val="21"/>
              </w:rPr>
              <w:t xml:space="preserve">3、输出功率：≥200W；输出电压：≥5V；输出电流：≥40A；稳压精度：±2%；纹波及噪音：200mV；</w:t>
            </w:r>
            <w:r>
              <w:rPr>
                <w:rFonts w:hint="eastAsia" w:ascii="宋体" w:hAnsi="宋体" w:cs="宋体"/>
                <w:color w:val="000000"/>
                <w:szCs w:val="21"/>
              </w:rPr>
              <w:br w:type="textWrapping" w:clear="all"/>
            </w:r>
            <w:r>
              <w:rPr>
                <w:rFonts w:hint="eastAsia" w:ascii="宋体" w:hAnsi="宋体" w:cs="宋体"/>
                <w:color w:val="000000"/>
                <w:szCs w:val="21"/>
              </w:rPr>
              <w:t xml:space="preserve">4、输入电压范围：190-264Vac；</w:t>
            </w:r>
            <w:r>
              <w:rPr>
                <w:rFonts w:hint="eastAsia" w:ascii="宋体" w:hAnsi="宋体" w:cs="宋体"/>
                <w:color w:val="000000"/>
                <w:szCs w:val="21"/>
              </w:rPr>
              <w:br w:type="textWrapping" w:clear="all"/>
            </w:r>
            <w:r>
              <w:rPr>
                <w:rFonts w:hint="eastAsia" w:ascii="宋体" w:hAnsi="宋体" w:cs="宋体"/>
                <w:color w:val="000000"/>
                <w:szCs w:val="21"/>
              </w:rPr>
              <w:t xml:space="preserve">5、功率：88%</w:t>
            </w:r>
            <w:r>
              <w:rPr>
                <w:rFonts w:hint="eastAsia" w:ascii="宋体" w:hAnsi="宋体" w:cs="宋体"/>
                <w:color w:val="000000"/>
                <w:szCs w:val="21"/>
              </w:rPr>
              <w:br w:type="textWrapping" w:clear="all"/>
            </w:r>
            <w:r>
              <w:rPr>
                <w:rFonts w:hint="eastAsia" w:ascii="宋体" w:hAnsi="宋体" w:cs="宋体"/>
                <w:color w:val="000000"/>
                <w:szCs w:val="21"/>
              </w:rPr>
              <w:t xml:space="preserve">6、散热方式：自冷；</w:t>
            </w:r>
            <w:r>
              <w:rPr>
                <w:rFonts w:hint="eastAsia" w:ascii="宋体" w:hAnsi="宋体" w:cs="宋体"/>
                <w:color w:val="000000"/>
                <w:szCs w:val="21"/>
              </w:rPr>
              <w:br w:type="textWrapping" w:clear="all"/>
            </w:r>
            <w:r>
              <w:rPr>
                <w:rFonts w:hint="eastAsia" w:ascii="宋体" w:hAnsi="宋体" w:cs="宋体"/>
                <w:color w:val="000000"/>
                <w:szCs w:val="21"/>
              </w:rPr>
              <w:t xml:space="preserve">7、工作温度.湿度：-30+60℃ ；</w:t>
            </w:r>
            <w:r>
              <w:rPr>
                <w:rFonts w:hint="eastAsia" w:ascii="宋体" w:hAnsi="宋体" w:cs="宋体"/>
                <w:color w:val="000000"/>
                <w:szCs w:val="21"/>
              </w:rPr>
              <w:br w:type="textWrapping" w:clear="all"/>
            </w:r>
            <w:r>
              <w:rPr>
                <w:rFonts w:hint="eastAsia" w:ascii="宋体" w:hAnsi="宋体" w:cs="宋体"/>
                <w:color w:val="000000"/>
                <w:szCs w:val="21"/>
              </w:rPr>
              <w:t xml:space="preserve">8、工作相对湿度：10～50% RH,无冷凝。</w:t>
            </w:r>
            <w:r>
              <w:rPr>
                <w:rFonts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三、接收卡</w:t>
            </w:r>
            <w:r>
              <w:rPr>
                <w:rFonts w:hint="eastAsia" w:ascii="宋体" w:hAnsi="宋体" w:cs="宋体"/>
                <w:color w:val="000000"/>
                <w:szCs w:val="21"/>
              </w:rPr>
              <w:br w:type="textWrapping" w:clear="all"/>
            </w:r>
            <w:r>
              <w:rPr>
                <w:rFonts w:hint="eastAsia" w:ascii="宋体" w:hAnsi="宋体" w:cs="宋体"/>
                <w:color w:val="000000"/>
                <w:szCs w:val="21"/>
              </w:rPr>
              <w:t xml:space="preserve">数量不少于20个，带载512*512；最大带载512*256；</w:t>
            </w:r>
            <w:r>
              <w:rPr>
                <w:rFonts w:hint="eastAsia" w:ascii="宋体" w:hAnsi="宋体" w:cs="宋体"/>
                <w:color w:val="000000"/>
                <w:szCs w:val="21"/>
              </w:rPr>
              <w:br w:type="textWrapping" w:clear="all"/>
            </w:r>
            <w:r>
              <w:rPr>
                <w:rFonts w:hint="eastAsia" w:ascii="宋体" w:hAnsi="宋体" w:cs="宋体"/>
                <w:color w:val="000000"/>
                <w:szCs w:val="21"/>
              </w:rPr>
              <w:t xml:space="preserve">四、视频控制器</w:t>
            </w:r>
            <w:r>
              <w:rPr>
                <w:rFonts w:hint="eastAsia" w:ascii="宋体" w:hAnsi="宋体" w:cs="宋体"/>
                <w:color w:val="000000"/>
                <w:szCs w:val="21"/>
              </w:rPr>
              <w:br w:type="textWrapping" w:clear="all"/>
            </w:r>
            <w:r>
              <w:rPr>
                <w:rFonts w:hint="eastAsia" w:ascii="宋体" w:hAnsi="宋体" w:cs="宋体"/>
                <w:color w:val="000000"/>
                <w:szCs w:val="21"/>
              </w:rPr>
              <w:t xml:space="preserve">1、支持多路信号间无缝切换，支持广播级缩放及多画面显示。其具备12个千兆网口，单机最大支持带载720万像素点，其带载宽度最宽可达8192像素点，最高可达4096像素点。同时还具备一系列丰富实用的功能，可以实现灵活的屏幕控制和高品质的图像显示，在LED显示屏工程应用领域具有显著优势；</w:t>
            </w:r>
            <w:r>
              <w:rPr>
                <w:rFonts w:hint="eastAsia" w:ascii="宋体" w:hAnsi="宋体" w:cs="宋体"/>
                <w:color w:val="000000"/>
                <w:szCs w:val="21"/>
              </w:rPr>
              <w:br w:type="textWrapping" w:clear="all"/>
            </w:r>
            <w:r>
              <w:rPr>
                <w:rFonts w:hint="eastAsia" w:ascii="宋体" w:hAnsi="宋体" w:cs="宋体"/>
                <w:color w:val="000000"/>
                <w:szCs w:val="21"/>
              </w:rPr>
              <w:t xml:space="preserve">2、支持1路DVI输入和3路HDMI1</w:t>
            </w:r>
            <w:r>
              <w:rPr>
                <w:rFonts w:ascii="宋体" w:hAnsi="宋体" w:cs="宋体"/>
                <w:color w:val="000000"/>
                <w:szCs w:val="21"/>
              </w:rPr>
              <w:t xml:space="preserve">.</w:t>
            </w:r>
            <w:r>
              <w:rPr>
                <w:rFonts w:hint="eastAsia" w:ascii="宋体" w:hAnsi="宋体" w:cs="宋体"/>
                <w:color w:val="000000"/>
                <w:szCs w:val="21"/>
              </w:rPr>
              <w:t xml:space="preserve">4输入；</w:t>
            </w:r>
            <w:r>
              <w:rPr>
                <w:rFonts w:hint="eastAsia" w:ascii="宋体" w:hAnsi="宋体" w:cs="宋体"/>
                <w:color w:val="000000"/>
                <w:szCs w:val="21"/>
              </w:rPr>
              <w:br w:type="textWrapping" w:clear="all"/>
            </w:r>
            <w:r>
              <w:rPr>
                <w:rFonts w:hint="eastAsia" w:ascii="宋体" w:hAnsi="宋体" w:cs="宋体"/>
                <w:color w:val="000000"/>
                <w:szCs w:val="21"/>
              </w:rPr>
              <w:t xml:space="preserve">3、支持最大带载720万像素点，最宽可达8192点，或最高可达4096点；</w:t>
            </w:r>
            <w:r>
              <w:rPr>
                <w:rFonts w:hint="eastAsia" w:ascii="宋体" w:hAnsi="宋体" w:cs="宋体"/>
                <w:color w:val="000000"/>
                <w:szCs w:val="21"/>
              </w:rPr>
              <w:br w:type="textWrapping" w:clear="all"/>
            </w:r>
            <w:r>
              <w:rPr>
                <w:rFonts w:hint="eastAsia" w:ascii="宋体" w:hAnsi="宋体" w:cs="宋体"/>
                <w:color w:val="000000"/>
                <w:szCs w:val="21"/>
              </w:rPr>
              <w:t xml:space="preserve">4、支持单路最大输入分辨率1920×1200@60Hz，支持分辨率任意设置；</w:t>
            </w:r>
            <w:r>
              <w:rPr>
                <w:rFonts w:hint="eastAsia" w:ascii="宋体" w:hAnsi="宋体" w:cs="宋体"/>
                <w:color w:val="000000"/>
                <w:szCs w:val="21"/>
              </w:rPr>
              <w:br w:type="textWrapping" w:clear="all"/>
            </w:r>
            <w:r>
              <w:rPr>
                <w:rFonts w:hint="eastAsia" w:ascii="宋体" w:hAnsi="宋体" w:cs="宋体"/>
                <w:color w:val="000000"/>
                <w:szCs w:val="21"/>
              </w:rPr>
              <w:t xml:space="preserve">5、支持12路网口输出，支持单机或双机冗余备份；</w:t>
            </w:r>
            <w:r>
              <w:rPr>
                <w:rFonts w:hint="eastAsia" w:ascii="宋体" w:hAnsi="宋体" w:cs="宋体"/>
                <w:color w:val="000000"/>
                <w:szCs w:val="21"/>
              </w:rPr>
              <w:br w:type="textWrapping" w:clear="all"/>
            </w:r>
            <w:r>
              <w:rPr>
                <w:rFonts w:hint="eastAsia" w:ascii="宋体" w:hAnsi="宋体" w:cs="宋体"/>
                <w:color w:val="000000"/>
                <w:szCs w:val="21"/>
              </w:rPr>
              <w:t xml:space="preserve">6、支持视频源任意切换、任意裁剪、任意缩放；</w:t>
            </w:r>
            <w:r>
              <w:rPr>
                <w:rFonts w:hint="eastAsia" w:ascii="宋体" w:hAnsi="宋体" w:cs="宋体"/>
                <w:color w:val="000000"/>
                <w:szCs w:val="21"/>
              </w:rPr>
              <w:br w:type="textWrapping" w:clear="all"/>
            </w:r>
            <w:r>
              <w:rPr>
                <w:rFonts w:hint="eastAsia" w:ascii="宋体" w:hAnsi="宋体" w:cs="宋体"/>
                <w:color w:val="000000"/>
                <w:szCs w:val="21"/>
              </w:rPr>
              <w:t xml:space="preserve">7、支持三画面显示，窗口位置、大小可自由调节；</w:t>
            </w:r>
            <w:r>
              <w:rPr>
                <w:rFonts w:hint="eastAsia" w:ascii="宋体" w:hAnsi="宋体" w:cs="宋体"/>
                <w:color w:val="000000"/>
                <w:szCs w:val="21"/>
              </w:rPr>
              <w:br w:type="textWrapping" w:clear="all"/>
            </w:r>
            <w:r>
              <w:rPr>
                <w:rFonts w:hint="eastAsia" w:ascii="宋体" w:hAnsi="宋体" w:cs="宋体"/>
                <w:color w:val="000000"/>
                <w:szCs w:val="21"/>
              </w:rPr>
              <w:t xml:space="preserve">8、支持HDCP1</w:t>
            </w:r>
            <w:r>
              <w:rPr>
                <w:rFonts w:ascii="宋体" w:hAnsi="宋体" w:cs="宋体"/>
                <w:color w:val="000000"/>
                <w:szCs w:val="21"/>
              </w:rPr>
              <w:t xml:space="preserve">.</w:t>
            </w:r>
            <w:r>
              <w:rPr>
                <w:rFonts w:hint="eastAsia" w:ascii="宋体" w:hAnsi="宋体" w:cs="宋体"/>
                <w:color w:val="000000"/>
                <w:szCs w:val="21"/>
              </w:rPr>
              <w:t xml:space="preserve">4协议的高带宽数字内容保护技术；</w:t>
            </w:r>
            <w:r>
              <w:rPr>
                <w:rFonts w:hint="eastAsia" w:ascii="宋体" w:hAnsi="宋体" w:cs="宋体"/>
                <w:color w:val="000000"/>
                <w:szCs w:val="21"/>
              </w:rPr>
              <w:br w:type="textWrapping" w:clear="all"/>
            </w:r>
            <w:r>
              <w:rPr>
                <w:rFonts w:hint="eastAsia" w:ascii="宋体" w:hAnsi="宋体" w:cs="宋体"/>
                <w:color w:val="000000"/>
                <w:szCs w:val="21"/>
              </w:rPr>
              <w:t xml:space="preserve">9、双USB2.0通讯接口，用于电脑调试和主控间任意级联；</w:t>
            </w:r>
            <w:r>
              <w:rPr>
                <w:rFonts w:hint="eastAsia" w:ascii="宋体" w:hAnsi="宋体" w:cs="宋体"/>
                <w:color w:val="000000"/>
                <w:szCs w:val="21"/>
              </w:rPr>
              <w:br w:type="textWrapping" w:clear="all"/>
            </w:r>
            <w:r>
              <w:rPr>
                <w:rFonts w:hint="eastAsia" w:ascii="宋体" w:hAnsi="宋体" w:cs="宋体"/>
                <w:color w:val="000000"/>
                <w:szCs w:val="21"/>
              </w:rPr>
              <w:t xml:space="preserve">10、支持RS232串口协议控制；</w:t>
            </w:r>
            <w:r>
              <w:rPr>
                <w:rFonts w:hint="eastAsia" w:ascii="宋体" w:hAnsi="宋体" w:cs="宋体"/>
                <w:color w:val="000000"/>
                <w:szCs w:val="21"/>
              </w:rPr>
              <w:br w:type="textWrapping" w:clear="all"/>
            </w:r>
            <w:r>
              <w:rPr>
                <w:rFonts w:hint="eastAsia" w:ascii="宋体" w:hAnsi="宋体" w:cs="宋体"/>
                <w:color w:val="000000"/>
                <w:szCs w:val="21"/>
              </w:rPr>
              <w:t xml:space="preserve">11、支持亮度、色温调节，支持对比度、色调、饱和度调节；</w:t>
            </w:r>
            <w:r>
              <w:rPr>
                <w:rFonts w:hint="eastAsia" w:ascii="宋体" w:hAnsi="宋体" w:cs="宋体"/>
                <w:color w:val="000000"/>
                <w:szCs w:val="21"/>
              </w:rPr>
              <w:br w:type="textWrapping" w:clear="all"/>
            </w:r>
            <w:r>
              <w:rPr>
                <w:rFonts w:hint="eastAsia" w:ascii="宋体" w:hAnsi="宋体" w:cs="宋体"/>
                <w:color w:val="000000"/>
                <w:szCs w:val="21"/>
              </w:rPr>
              <w:t xml:space="preserve">12、支持低亮高灰，能有效地保持低亮下灰阶的完整并完美显示。</w:t>
            </w:r>
            <w:r>
              <w:rPr>
                <w:rFonts w:hint="eastAsia" w:ascii="宋体" w:hAnsi="宋体" w:cs="宋体"/>
                <w:color w:val="000000"/>
                <w:szCs w:val="21"/>
              </w:rPr>
              <w:br w:type="textWrapping" w:clear="all"/>
            </w:r>
            <w:r>
              <w:rPr>
                <w:rFonts w:hint="eastAsia" w:ascii="宋体" w:hAnsi="宋体" w:cs="宋体"/>
                <w:color w:val="000000"/>
                <w:szCs w:val="21"/>
              </w:rPr>
              <w:t xml:space="preserve">五、结构：型材框架结构+不锈钢包边。</w:t>
            </w:r>
            <w:r>
              <w:rPr>
                <w:rFonts w:hint="eastAsia" w:ascii="宋体" w:hAnsi="宋体" w:cs="宋体"/>
                <w:color w:val="000000"/>
                <w:szCs w:val="21"/>
              </w:rPr>
              <w:br w:type="textWrapping" w:clear="all"/>
            </w:r>
            <w:r>
              <w:rPr>
                <w:rFonts w:hint="eastAsia" w:ascii="宋体" w:hAnsi="宋体" w:cs="宋体"/>
                <w:color w:val="000000"/>
                <w:szCs w:val="21"/>
              </w:rPr>
              <w:t xml:space="preserve">六、配电系统：20KW配电箱；具有防静电、抗震动、防电磁干扰、抗雷击等功能，具有电源过压、过流、断电保护、分布上电措施。</w:t>
            </w:r>
            <w:r>
              <w:rPr>
                <w:rFonts w:hint="eastAsia" w:ascii="宋体" w:hAnsi="宋体" w:cs="宋体"/>
                <w:color w:val="000000"/>
                <w:szCs w:val="21"/>
              </w:rPr>
              <w:br w:type="textWrapping" w:clear="all"/>
            </w:r>
            <w:r>
              <w:rPr>
                <w:rFonts w:hint="eastAsia" w:ascii="宋体" w:hAnsi="宋体" w:cs="宋体"/>
                <w:color w:val="000000"/>
                <w:szCs w:val="21"/>
              </w:rPr>
              <w:t xml:space="preserve">七、可支持虚拟仿真系统生成的EXE可执行文件在大屏操作应用。</w:t>
            </w:r>
            <w:r>
              <w:rPr>
                <w:rFonts w:hint="eastAsia" w:ascii="宋体" w:hAnsi="宋体" w:cs="宋体"/>
                <w:color w:val="000000"/>
                <w:szCs w:val="21"/>
              </w:rPr>
              <w:br w:type="textWrapping" w:clear="all"/>
            </w:r>
            <w:r>
              <w:rPr>
                <w:rFonts w:hint="eastAsia" w:ascii="宋体" w:hAnsi="宋体" w:cs="宋体"/>
                <w:color w:val="000000"/>
                <w:szCs w:val="21"/>
              </w:rPr>
              <w:t xml:space="preserve">八、包含42寸显示单元一套。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68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VR行走平台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1、包含头戴式终端应用终端、设备支架、50寸显示器；</w:t>
            </w:r>
            <w:r>
              <w:rPr>
                <w:rFonts w:hint="eastAsia" w:ascii="宋体" w:hAnsi="宋体" w:cs="宋体"/>
                <w:color w:val="000000"/>
                <w:szCs w:val="21"/>
              </w:rPr>
              <w:br w:type="textWrapping" w:clear="all"/>
            </w:r>
            <w:r>
              <w:rPr>
                <w:rFonts w:hint="eastAsia" w:ascii="宋体" w:hAnsi="宋体" w:cs="宋体"/>
                <w:color w:val="000000"/>
                <w:szCs w:val="21"/>
              </w:rPr>
              <w:t xml:space="preserve">2、屏幕:双AMOLED屏幕，对角直径3.6时，分辨率:单眼分辨率为1080x1200像素（组合分辨率为2160x1200像素)，刷新率:90Hz视场角:110度,安全性特色:陪护人引导系统和前置摄像头；</w:t>
            </w:r>
            <w:r>
              <w:rPr>
                <w:rFonts w:hint="eastAsia" w:ascii="宋体" w:hAnsi="宋体" w:cs="宋体"/>
                <w:color w:val="000000"/>
                <w:szCs w:val="21"/>
              </w:rPr>
              <w:br w:type="textWrapping" w:clear="all"/>
            </w:r>
            <w:r>
              <w:rPr>
                <w:rFonts w:hint="eastAsia" w:ascii="宋体" w:hAnsi="宋体" w:cs="宋体"/>
                <w:color w:val="000000"/>
                <w:szCs w:val="21"/>
              </w:rPr>
              <w:t xml:space="preserve">3、传感器:VR追踪技术、G-sensor校正、gyroscope陀螺仪、proximity距离感测器，连接口:HDMI. USB2.0,3.5mm立体耳机插座、电源插座、蓝牙支持，输入:内建麦克风，双眼舒压设计:瞳距和镜头距离调整；</w:t>
            </w:r>
            <w:r>
              <w:rPr>
                <w:rFonts w:hint="eastAsia" w:ascii="宋体" w:hAnsi="宋体" w:cs="宋体"/>
                <w:color w:val="000000"/>
                <w:szCs w:val="21"/>
              </w:rPr>
              <w:br w:type="textWrapping" w:clear="all"/>
            </w:r>
            <w:r>
              <w:rPr>
                <w:rFonts w:hint="eastAsia" w:ascii="宋体" w:hAnsi="宋体" w:cs="宋体"/>
                <w:color w:val="000000"/>
                <w:szCs w:val="21"/>
              </w:rPr>
              <w:t xml:space="preserve">4、终端：CPU：不低于12代I7，内存：16G，硬盘：1T+256GSSD，主板：GTX1060，显卡：4G独显；</w:t>
            </w:r>
            <w:r>
              <w:rPr>
                <w:rFonts w:hint="eastAsia" w:ascii="宋体" w:hAnsi="宋体" w:cs="宋体"/>
                <w:color w:val="000000"/>
                <w:szCs w:val="21"/>
              </w:rPr>
              <w:br w:type="textWrapping" w:clear="all"/>
            </w:r>
            <w:r>
              <w:rPr>
                <w:rFonts w:hint="eastAsia" w:ascii="宋体" w:hAnsi="宋体" w:cs="宋体"/>
                <w:color w:val="000000"/>
                <w:szCs w:val="21"/>
              </w:rPr>
              <w:t xml:space="preserve">5、设备支架：一体化钣金，亚克力，LED灯光，长宽高106*55*160cm，方便移动；</w:t>
            </w:r>
            <w:r>
              <w:rPr>
                <w:rFonts w:hint="eastAsia" w:ascii="宋体" w:hAnsi="宋体" w:cs="宋体"/>
                <w:color w:val="000000"/>
                <w:szCs w:val="21"/>
              </w:rPr>
              <w:br w:type="textWrapping" w:clear="all"/>
            </w:r>
            <w:r>
              <w:rPr>
                <w:rFonts w:hint="eastAsia" w:ascii="宋体" w:hAnsi="宋体" w:cs="宋体"/>
                <w:color w:val="000000"/>
                <w:szCs w:val="21"/>
              </w:rPr>
              <w:t xml:space="preserve">6、50寸，4K显示单元。</w:t>
            </w:r>
            <w:r>
              <w:rPr>
                <w:rFonts w:hint="eastAsia" w:ascii="宋体" w:hAnsi="宋体" w:cs="宋体"/>
                <w:color w:val="000000"/>
                <w:szCs w:val="21"/>
              </w:rPr>
              <w:br w:type="textWrapping" w:clear="all"/>
            </w:r>
            <w:r>
              <w:rPr>
                <w:rFonts w:hint="eastAsia" w:ascii="宋体" w:hAnsi="宋体" w:cs="宋体"/>
                <w:color w:val="000000"/>
                <w:szCs w:val="21"/>
              </w:rPr>
              <w:t xml:space="preserve">7、设备电压:220V设备功率:600w。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场地文化</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1、展板：亚克力材质，数量不少于10块，尺寸不小于2m*1.2m（可根据实际场地调整），内容以多式联运发展历程，多式联运科技展示，实习流程等内容为主。</w:t>
            </w:r>
            <w:r>
              <w:rPr>
                <w:rFonts w:hint="eastAsia" w:ascii="宋体" w:hAnsi="宋体" w:cs="宋体"/>
                <w:color w:val="000000"/>
                <w:szCs w:val="21"/>
              </w:rPr>
              <w:br w:type="textWrapping" w:clear="all"/>
            </w:r>
            <w:r>
              <w:rPr>
                <w:rFonts w:hint="eastAsia" w:ascii="宋体" w:hAnsi="宋体" w:cs="宋体"/>
                <w:color w:val="000000"/>
                <w:szCs w:val="21"/>
              </w:rPr>
              <w:t xml:space="preserve">2、区域划分：以亚克力材质制作，数量不少于9个，尺寸不小于30cmm*8cm*8cmm。</w:t>
            </w:r>
            <w:r>
              <w:rPr>
                <w:rFonts w:hint="eastAsia" w:ascii="宋体" w:hAnsi="宋体" w:cs="宋体"/>
                <w:color w:val="000000"/>
                <w:szCs w:val="21"/>
              </w:rPr>
              <w:br w:type="textWrapping" w:clear="all"/>
            </w:r>
            <w:r>
              <w:rPr>
                <w:rFonts w:hint="eastAsia" w:ascii="宋体" w:hAnsi="宋体" w:cs="宋体"/>
                <w:color w:val="000000"/>
                <w:szCs w:val="21"/>
              </w:rPr>
              <w:t xml:space="preserve">3、▲展板包含二维码，用户扫描二维码出现对应的数字人讲解内容，投标提供符合要求的详细设计方案及效果图。</w:t>
            </w:r>
            <w:r>
              <w:rPr>
                <w:rFonts w:hint="eastAsia" w:ascii="宋体" w:hAnsi="宋体" w:cs="宋体"/>
                <w:color w:val="000000"/>
                <w:szCs w:val="21"/>
              </w:rPr>
              <w:br w:type="textWrapping" w:clear="all"/>
            </w:r>
            <w:r>
              <w:rPr>
                <w:rFonts w:hint="eastAsia" w:ascii="宋体" w:hAnsi="宋体" w:cs="宋体"/>
                <w:color w:val="000000"/>
                <w:szCs w:val="21"/>
              </w:rPr>
              <w:t xml:space="preserve">4、包含实训室整体地面区域分区设置。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33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系统集成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ascii="宋体" w:hAnsi="宋体" w:cs="宋体"/>
                <w:color w:val="000000"/>
                <w:szCs w:val="21"/>
              </w:rPr>
            </w:pPr>
            <w:r>
              <w:rPr>
                <w:rFonts w:hint="eastAsia" w:ascii="宋体" w:hAnsi="宋体" w:cs="宋体"/>
                <w:color w:val="000000"/>
                <w:szCs w:val="21"/>
              </w:rPr>
              <w:t xml:space="preserve">1、教师控制台面板及系统集成（智慧黑板）；</w:t>
            </w:r>
            <w:r>
              <w:rPr>
                <w:rFonts w:hint="eastAsia" w:ascii="宋体" w:hAnsi="宋体" w:cs="宋体"/>
                <w:color w:val="000000"/>
                <w:szCs w:val="21"/>
              </w:rPr>
              <w:br w:type="textWrapping" w:clear="all"/>
            </w:r>
            <w:r>
              <w:rPr>
                <w:rFonts w:hint="eastAsia" w:ascii="宋体" w:hAnsi="宋体" w:cs="宋体"/>
                <w:color w:val="000000"/>
                <w:szCs w:val="21"/>
              </w:rPr>
              <w:t xml:space="preserve">2、服务器、计算机软件安装及系统集成；</w:t>
            </w:r>
            <w:r>
              <w:rPr>
                <w:rFonts w:hint="eastAsia" w:ascii="宋体" w:hAnsi="宋体" w:cs="宋体"/>
                <w:color w:val="000000"/>
                <w:szCs w:val="21"/>
              </w:rPr>
              <w:br w:type="textWrapping" w:clear="all"/>
            </w:r>
            <w:r>
              <w:rPr>
                <w:rFonts w:hint="eastAsia" w:ascii="宋体" w:hAnsi="宋体" w:cs="宋体"/>
                <w:color w:val="000000"/>
                <w:szCs w:val="21"/>
              </w:rPr>
              <w:t xml:space="preserve">3、其他相关系统安装及集成。</w:t>
            </w:r>
            <w:r>
              <w:rPr>
                <w:rFonts w:ascii="宋体" w:hAnsi="宋体" w:cs="宋体"/>
                <w:color w:val="000000"/>
                <w:szCs w:val="21"/>
              </w:rPr>
            </w:r>
            <w:r/>
          </w:p>
          <w:p>
            <w:pPr>
              <w:pStyle w:val="962"/>
              <w:rPr>
                <w:rFonts w:hint="eastAsia"/>
              </w:rPr>
            </w:pPr>
            <w:r>
              <w:rPr>
                <w:rFonts w:hint="eastAsia" w:cs="宋体"/>
                <w:sz w:val="21"/>
                <w:szCs w:val="21"/>
              </w:rPr>
              <w:t xml:space="preserve">4</w:t>
            </w:r>
            <w:r>
              <w:rPr>
                <w:rFonts w:hint="eastAsia" w:ascii="宋体" w:hAnsi="宋体" w:cs="宋体"/>
                <w:color w:val="000000"/>
                <w:sz w:val="21"/>
                <w:szCs w:val="21"/>
              </w:rPr>
              <w:t xml:space="preserve">、▲供应商根据场地尺寸，提供多式联运区域场地布局图。</w:t>
            </w:r>
            <w:r>
              <w:rPr>
                <w:rFonts w:hint="eastAsia"/>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bl>
    <w:p>
      <w:pPr>
        <w:pStyle w:val="907"/>
        <w:spacing w:line="0" w:lineRule="atLeast"/>
        <w:rPr>
          <w:rFonts w:ascii="宋体" w:hAnsi="宋体"/>
          <w:sz w:val="24"/>
          <w:szCs w:val="24"/>
          <w:highlight w:val="yellow"/>
        </w:rPr>
      </w:pPr>
      <w:r>
        <w:rPr>
          <w:rFonts w:ascii="宋体" w:hAnsi="宋体"/>
          <w:sz w:val="24"/>
          <w:szCs w:val="24"/>
          <w:highlight w:val="yellow"/>
        </w:rPr>
      </w:r>
      <w:r/>
    </w:p>
    <w:p>
      <w:pPr>
        <w:pStyle w:val="90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（二）软件部分</w:t>
      </w:r>
      <w:r/>
    </w:p>
    <w:p>
      <w:pPr>
        <w:pStyle w:val="907"/>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软件部分详细参数要求如下：</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29"/>
        <w:gridCol w:w="1335"/>
        <w:gridCol w:w="5194"/>
        <w:gridCol w:w="689"/>
        <w:gridCol w:w="662"/>
        <w:gridCol w:w="662"/>
      </w:tblGrid>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设备名称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技术参数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智慧堆场虚拟仿真系统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1.智慧堆场虚拟仿真系统构架遵循模块化、可扩展性和可维护性的原则。系统分为核心处理层、仿真层、交互层、数据层和用户层。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2.系统采用360度三维虚拟现实技术开发。</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3.系统提供丰富的交互功能，允许用户通过键盘、鼠标、触摸屏等多种输入设备进行操作，如控制运输工具、管理货物、处理突发事件等。</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4.系统支持多种教学资源的集成，包括文字、图片、视频、音频等多媒体内容，以及行业专家库、案例库等。这些资源能够方便地添加到系统中，供学生学习使用。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5.软件可在局域网下部署使用，采用B/S架构，可在windows/windows server系列系统下运行系统支持在互联网模式下使用。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6.软件服务器端安装在教师机电脑或服务器电脑，学生机通过局域网客户端登录使用。学生或教师以账号形式登录软件，且具备账户及个人信息设置功能。</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7.界面要求：要求界面为全中文操作，便于学生学习。</w:t>
            </w:r>
            <w:r>
              <w:rPr>
                <w:rFonts w:hint="eastAsia" w:ascii="宋体" w:hAnsi="宋体" w:cs="宋体"/>
                <w:color w:val="000000"/>
                <w:szCs w:val="21"/>
              </w:rPr>
              <w:br w:type="textWrapping" w:clear="all"/>
            </w:r>
            <w:r>
              <w:rPr>
                <w:rFonts w:hint="eastAsia" w:ascii="宋体" w:hAnsi="宋体" w:cs="宋体"/>
                <w:color w:val="000000"/>
                <w:szCs w:val="21"/>
              </w:rPr>
              <w:t xml:space="preserve">二、产品参数功能：</w:t>
            </w:r>
            <w:r>
              <w:rPr>
                <w:rFonts w:hint="eastAsia" w:ascii="宋体" w:hAnsi="宋体" w:cs="宋体"/>
                <w:color w:val="000000"/>
                <w:szCs w:val="21"/>
              </w:rPr>
              <w:br w:type="textWrapping" w:clear="all"/>
            </w:r>
            <w:r>
              <w:rPr>
                <w:rFonts w:hint="eastAsia" w:ascii="宋体" w:hAnsi="宋体" w:cs="宋体"/>
                <w:color w:val="000000"/>
                <w:szCs w:val="21"/>
              </w:rPr>
              <w:t xml:space="preserve">    1.智慧堆场模块：</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1）以三维形式展示并介绍海运港口整体布局，并介绍不少于10项功能区以及装卸及检修设备介绍不少于5个；</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2）提供海运港口三维效果图；</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1.1基础模块：</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箱型管理：箱材质是箱的制造材料，如铁、铝合金、钢柜等，系统可以新增、删除记录，实现系统新增制造材料信息；</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箱尺寸管理：箱尺寸是箱的大小，如20、40、45等，系统可以新增、删除记录，实现对进出闸口费用定义以及录入箱型收费信息；</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泊位管理：对全世界的主要港口信息进行登记、修改。包括港口代码、港口名称等信息录入系统；</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箱主船公司管理：对全世界的船公司、箱主信息进行登记、修改。其中颜色定义好后就可以在堆场监控中显示该箱主箱的颜色；</w:t>
            </w:r>
            <w:r>
              <w:rPr>
                <w:rFonts w:hint="eastAsia" w:ascii="宋体" w:hAnsi="宋体" w:cs="宋体"/>
                <w:color w:val="000000"/>
                <w:szCs w:val="21"/>
              </w:rPr>
              <w:br w:type="textWrapping" w:clear="all"/>
            </w:r>
            <w:r>
              <w:rPr>
                <w:rFonts w:hint="eastAsia" w:ascii="宋体" w:hAnsi="宋体" w:cs="宋体"/>
                <w:color w:val="000000"/>
                <w:szCs w:val="21"/>
              </w:rPr>
              <w:t xml:space="preserve">    5）司机管理：对进出码头的外来司机信息进行登记、修改； </w:t>
            </w:r>
            <w:r>
              <w:rPr>
                <w:rFonts w:hint="eastAsia" w:ascii="宋体" w:hAnsi="宋体" w:cs="宋体"/>
                <w:color w:val="000000"/>
                <w:szCs w:val="21"/>
              </w:rPr>
              <w:br w:type="textWrapping" w:clear="all"/>
            </w:r>
            <w:r>
              <w:rPr>
                <w:rFonts w:hint="eastAsia" w:ascii="宋体" w:hAnsi="宋体" w:cs="宋体"/>
                <w:color w:val="000000"/>
                <w:szCs w:val="21"/>
              </w:rPr>
              <w:t xml:space="preserve">    6）运输公司管理：对进出码头的运输公司信息进行登记、修改；</w:t>
            </w:r>
            <w:r>
              <w:rPr>
                <w:rFonts w:hint="eastAsia" w:ascii="宋体" w:hAnsi="宋体" w:cs="宋体"/>
                <w:color w:val="000000"/>
                <w:szCs w:val="21"/>
              </w:rPr>
              <w:br w:type="textWrapping" w:clear="all"/>
            </w:r>
            <w:r>
              <w:rPr>
                <w:rFonts w:hint="eastAsia" w:ascii="宋体" w:hAnsi="宋体" w:cs="宋体"/>
                <w:color w:val="000000"/>
                <w:szCs w:val="21"/>
              </w:rPr>
              <w:t xml:space="preserve">    7）设备管理管理：对码头的的设备信息进行登记、修改；</w:t>
            </w:r>
            <w:r>
              <w:rPr>
                <w:rFonts w:hint="eastAsia" w:ascii="宋体" w:hAnsi="宋体" w:cs="宋体"/>
                <w:color w:val="000000"/>
                <w:szCs w:val="21"/>
              </w:rPr>
              <w:br w:type="textWrapping" w:clear="all"/>
            </w:r>
            <w:r>
              <w:rPr>
                <w:rFonts w:hint="eastAsia" w:ascii="宋体" w:hAnsi="宋体" w:cs="宋体"/>
                <w:color w:val="000000"/>
                <w:szCs w:val="21"/>
              </w:rPr>
              <w:t xml:space="preserve">    8）堆场计划管理：通过对船公司、航次、箱主、箱型、箱的尺寸、箱的空重等条件设置可以规划箱的堆场位置，这样在收箱、卸船的时候就会根据计划来堆放箱，减少堆场捣箱的次数，因而减少了码头的成本；</w:t>
            </w:r>
            <w:r>
              <w:rPr>
                <w:rFonts w:hint="eastAsia" w:ascii="宋体" w:hAnsi="宋体" w:cs="宋体"/>
                <w:color w:val="000000"/>
                <w:szCs w:val="21"/>
              </w:rPr>
              <w:br w:type="textWrapping" w:clear="all"/>
            </w:r>
            <w:r>
              <w:rPr>
                <w:rFonts w:hint="eastAsia" w:ascii="宋体" w:hAnsi="宋体" w:cs="宋体"/>
                <w:color w:val="000000"/>
                <w:szCs w:val="21"/>
              </w:rPr>
              <w:t xml:space="preserve">    9）闸口收箱管理：实现收发箱的EIR信息。有计划的管理集装箱预提、预还，能减少司机在服务台办单时间，加快闸口的集装箱流量。 </w:t>
            </w:r>
            <w:r>
              <w:rPr>
                <w:rFonts w:hint="eastAsia" w:ascii="宋体" w:hAnsi="宋体" w:cs="宋体"/>
                <w:color w:val="000000"/>
                <w:szCs w:val="21"/>
              </w:rPr>
            </w:r>
            <w:r/>
          </w:p>
          <w:p>
            <w:pPr>
              <w:pStyle w:val="907"/>
              <w:numPr>
                <w:ilvl w:val="0"/>
                <w:numId w:val="13"/>
              </w:numPr>
              <w:ind w:firstLine="420"/>
              <w:jc w:val="left"/>
              <w:spacing w:line="300" w:lineRule="auto"/>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系统管理模块</w:t>
            </w:r>
            <w:r>
              <w:rPr>
                <w:rFonts w:hint="eastAsia" w:ascii="宋体" w:hAnsi="宋体" w:cs="宋体"/>
                <w:color w:val="000000"/>
                <w:szCs w:val="21"/>
              </w:rPr>
            </w:r>
            <w:r/>
          </w:p>
          <w:p>
            <w:pPr>
              <w:pStyle w:val="907"/>
              <w:numPr>
                <w:ilvl w:val="0"/>
                <w:numId w:val="14"/>
              </w:numPr>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用户管理：对学生新增、查询、修改、删除；</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2）角色管理：对学生进行权限控制，学生角色，管理员角色、超级管理员角色，不同角色不同资源进行分配；</w:t>
            </w:r>
            <w:r>
              <w:rPr>
                <w:rFonts w:hint="eastAsia" w:ascii="宋体" w:hAnsi="宋体" w:cs="宋体"/>
                <w:color w:val="000000"/>
                <w:szCs w:val="21"/>
              </w:rPr>
              <w:br w:type="textWrapping" w:clear="all"/>
            </w:r>
            <w:r>
              <w:rPr>
                <w:rFonts w:hint="eastAsia" w:ascii="宋体" w:hAnsi="宋体" w:cs="宋体"/>
                <w:color w:val="000000"/>
                <w:szCs w:val="21"/>
              </w:rPr>
              <w:t xml:space="preserve">    3）资源管理：对所有资源模块的新增、查询、修改、删除；</w:t>
            </w:r>
            <w:r>
              <w:rPr>
                <w:rFonts w:hint="eastAsia" w:ascii="宋体" w:hAnsi="宋体" w:cs="宋体"/>
                <w:color w:val="000000"/>
                <w:szCs w:val="21"/>
              </w:rPr>
              <w:br w:type="textWrapping" w:clear="all"/>
            </w:r>
            <w:r>
              <w:rPr>
                <w:rFonts w:hint="eastAsia" w:ascii="宋体" w:hAnsi="宋体" w:cs="宋体"/>
                <w:color w:val="000000"/>
                <w:szCs w:val="21"/>
              </w:rPr>
              <w:t xml:space="preserve">    4）考核管理：分数设置，每个功能资源模块可设置分数值，学生学习完每个模块，后台自动统计分数；</w:t>
            </w:r>
            <w:r>
              <w:rPr>
                <w:rFonts w:hint="eastAsia" w:ascii="宋体" w:hAnsi="宋体" w:cs="宋体"/>
                <w:color w:val="000000"/>
                <w:szCs w:val="21"/>
              </w:rPr>
              <w:br w:type="textWrapping" w:clear="all"/>
            </w:r>
            <w:r>
              <w:rPr>
                <w:rFonts w:hint="eastAsia" w:ascii="宋体" w:hAnsi="宋体" w:cs="宋体"/>
                <w:color w:val="000000"/>
                <w:szCs w:val="21"/>
              </w:rPr>
              <w:t xml:space="preserve">    5）考核监控大屏：监控大屏实时监控每个登录的学生账号，登录时间、操作记录、自动核算汇总每个学生的实训成绩，监控当前在线人数，学习总人数。</w:t>
            </w:r>
            <w:r>
              <w:rPr>
                <w:rFonts w:hint="eastAsia" w:ascii="宋体" w:hAnsi="宋体" w:cs="宋体"/>
                <w:color w:val="000000"/>
                <w:szCs w:val="21"/>
              </w:rPr>
              <w:br w:type="textWrapping" w:clear="all"/>
            </w:r>
            <w:r>
              <w:rPr>
                <w:rFonts w:hint="eastAsia" w:ascii="宋体" w:hAnsi="宋体" w:cs="宋体"/>
                <w:color w:val="000000"/>
                <w:szCs w:val="21"/>
              </w:rPr>
              <w:t xml:space="preserve">三、</w:t>
            </w:r>
            <w:r>
              <w:rPr>
                <w:rFonts w:hint="eastAsia" w:cs="宋体"/>
                <w:szCs w:val="21"/>
              </w:rPr>
              <w:t xml:space="preserve">▲</w:t>
            </w:r>
            <w:r>
              <w:rPr>
                <w:rFonts w:hint="eastAsia" w:ascii="宋体" w:hAnsi="宋体" w:cs="宋体"/>
                <w:color w:val="000000"/>
                <w:szCs w:val="21"/>
              </w:rPr>
              <w:t xml:space="preserve">正版软件，投标文件中提供软件著作权。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陆港业务虚拟仿真系统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1.以公铁陆港业务为构架开发，虚拟仿真系统构架遵循模块化、可扩展性和可维护性的原则。系统分为核心处理层、仿真层、交互层、数据层和用户层。</w:t>
            </w:r>
            <w:r>
              <w:rPr>
                <w:rFonts w:hint="eastAsia" w:ascii="宋体" w:hAnsi="宋体" w:cs="宋体"/>
                <w:color w:val="000000"/>
                <w:szCs w:val="21"/>
              </w:rPr>
              <w:br w:type="textWrapping" w:clear="all"/>
            </w:r>
            <w:r>
              <w:rPr>
                <w:rFonts w:hint="eastAsia" w:ascii="宋体" w:hAnsi="宋体" w:cs="宋体"/>
                <w:color w:val="000000"/>
                <w:szCs w:val="21"/>
              </w:rPr>
              <w:t xml:space="preserve">    2.系统采用360度三维虚拟现实技术开发。</w:t>
            </w:r>
            <w:r>
              <w:rPr>
                <w:rFonts w:hint="eastAsia" w:ascii="宋体" w:hAnsi="宋体" w:cs="宋体"/>
                <w:color w:val="000000"/>
                <w:szCs w:val="21"/>
              </w:rPr>
              <w:br w:type="textWrapping" w:clear="all"/>
            </w:r>
            <w:r>
              <w:rPr>
                <w:rFonts w:hint="eastAsia" w:ascii="宋体" w:hAnsi="宋体" w:cs="宋体"/>
                <w:color w:val="000000"/>
                <w:szCs w:val="21"/>
              </w:rPr>
              <w:t xml:space="preserve">    3.系统提供丰富的交互功能，允许用户通过键盘、鼠标、触摸屏等多种输入设备进行操作，如控制运输工具、管理货物、处理突发事件等。</w:t>
            </w:r>
            <w:r>
              <w:rPr>
                <w:rFonts w:hint="eastAsia" w:ascii="宋体" w:hAnsi="宋体" w:cs="宋体"/>
                <w:color w:val="000000"/>
                <w:szCs w:val="21"/>
              </w:rPr>
              <w:br w:type="textWrapping" w:clear="all"/>
            </w:r>
            <w:r>
              <w:rPr>
                <w:rFonts w:hint="eastAsia" w:ascii="宋体" w:hAnsi="宋体" w:cs="宋体"/>
                <w:color w:val="000000"/>
                <w:szCs w:val="21"/>
              </w:rPr>
              <w:t xml:space="preserve">    4.系统支持多种教学资源的集成，包括文字、图片、视频、音频等多媒体内容，以及行业专家库、案例库等。这些资源能够方便地添加到系统中，供学生学习使用。</w:t>
            </w:r>
            <w:r>
              <w:rPr>
                <w:rFonts w:hint="eastAsia" w:ascii="宋体" w:hAnsi="宋体" w:cs="宋体"/>
                <w:color w:val="000000"/>
                <w:szCs w:val="21"/>
              </w:rPr>
              <w:br w:type="textWrapping" w:clear="all"/>
            </w:r>
            <w:r>
              <w:rPr>
                <w:rFonts w:hint="eastAsia" w:ascii="宋体" w:hAnsi="宋体" w:cs="宋体"/>
                <w:color w:val="000000"/>
                <w:szCs w:val="21"/>
              </w:rPr>
              <w:t xml:space="preserve">    5.软件可在局域网下部署使用，采用B/S架构，可在windows/windows server系列系统下运行系统支持在互联网模式下使用。</w:t>
            </w:r>
            <w:r>
              <w:rPr>
                <w:rFonts w:hint="eastAsia" w:ascii="宋体" w:hAnsi="宋体" w:cs="宋体"/>
                <w:color w:val="000000"/>
                <w:szCs w:val="21"/>
              </w:rPr>
              <w:br w:type="textWrapping" w:clear="all"/>
            </w:r>
            <w:r>
              <w:rPr>
                <w:rFonts w:hint="eastAsia" w:ascii="宋体" w:hAnsi="宋体" w:cs="宋体"/>
                <w:color w:val="000000"/>
                <w:szCs w:val="21"/>
              </w:rPr>
              <w:t xml:space="preserve">    6.软件服务器端安装在教师机电脑或服务器电脑，学生机通过局域网客户端登录使用。学生或教师以账号形式登录软件，且具备账户及个人信息设置功能。</w:t>
            </w:r>
            <w:r>
              <w:rPr>
                <w:rFonts w:hint="eastAsia" w:ascii="宋体" w:hAnsi="宋体" w:cs="宋体"/>
                <w:color w:val="000000"/>
                <w:szCs w:val="21"/>
              </w:rPr>
              <w:br w:type="textWrapping" w:clear="all"/>
            </w:r>
            <w:r>
              <w:rPr>
                <w:rFonts w:hint="eastAsia" w:ascii="宋体" w:hAnsi="宋体" w:cs="宋体"/>
                <w:color w:val="000000"/>
                <w:szCs w:val="21"/>
              </w:rPr>
              <w:t xml:space="preserve">    7.界面要求：要求界面为全中文操作，便于学生学习。</w:t>
            </w:r>
            <w:r>
              <w:rPr>
                <w:rFonts w:hint="eastAsia" w:ascii="宋体" w:hAnsi="宋体" w:cs="宋体"/>
                <w:color w:val="000000"/>
                <w:szCs w:val="21"/>
              </w:rPr>
              <w:br w:type="textWrapping" w:clear="all"/>
            </w:r>
            <w:r>
              <w:rPr>
                <w:rFonts w:hint="eastAsia" w:ascii="宋体" w:hAnsi="宋体" w:cs="宋体"/>
                <w:color w:val="000000"/>
                <w:szCs w:val="21"/>
              </w:rPr>
              <w:t xml:space="preserve">二、产品参数功能：</w:t>
            </w:r>
            <w:r>
              <w:rPr>
                <w:rFonts w:hint="eastAsia" w:ascii="宋体" w:hAnsi="宋体" w:cs="宋体"/>
                <w:color w:val="000000"/>
                <w:szCs w:val="21"/>
              </w:rPr>
              <w:br w:type="textWrapping" w:clear="all"/>
            </w:r>
            <w:r>
              <w:rPr>
                <w:rFonts w:hint="eastAsia" w:ascii="宋体" w:hAnsi="宋体" w:cs="宋体"/>
                <w:color w:val="000000"/>
                <w:szCs w:val="21"/>
              </w:rPr>
              <w:t xml:space="preserve">    1.国际物流园模块</w:t>
            </w:r>
            <w:r>
              <w:rPr>
                <w:rFonts w:hint="eastAsia" w:ascii="宋体" w:hAnsi="宋体" w:cs="宋体"/>
                <w:color w:val="000000"/>
                <w:szCs w:val="21"/>
              </w:rPr>
              <w:br w:type="textWrapping" w:clear="all"/>
            </w:r>
            <w:r>
              <w:rPr>
                <w:rFonts w:hint="eastAsia" w:ascii="宋体" w:hAnsi="宋体" w:cs="宋体"/>
                <w:color w:val="000000"/>
                <w:szCs w:val="21"/>
              </w:rPr>
              <w:t xml:space="preserve">    1）以三维形式展示并介绍国际物流园整体布局，并介绍不少于10项功能区以及装卸及检修设备介绍不少于5个；</w:t>
            </w:r>
            <w:r>
              <w:rPr>
                <w:rFonts w:hint="eastAsia" w:ascii="宋体" w:hAnsi="宋体" w:cs="宋体"/>
                <w:color w:val="000000"/>
                <w:szCs w:val="21"/>
              </w:rPr>
              <w:br w:type="textWrapping" w:clear="all"/>
            </w:r>
            <w:r>
              <w:rPr>
                <w:rFonts w:hint="eastAsia" w:ascii="宋体" w:hAnsi="宋体" w:cs="宋体"/>
                <w:color w:val="000000"/>
                <w:szCs w:val="21"/>
              </w:rPr>
              <w:t xml:space="preserve">    2）提供国际物流园三维效果图；</w:t>
            </w:r>
            <w:r>
              <w:rPr>
                <w:rFonts w:hint="eastAsia" w:ascii="宋体" w:hAnsi="宋体" w:cs="宋体"/>
                <w:color w:val="000000"/>
                <w:szCs w:val="21"/>
              </w:rPr>
              <w:br w:type="textWrapping" w:clear="all"/>
            </w:r>
            <w:r>
              <w:rPr>
                <w:rFonts w:hint="eastAsia" w:ascii="宋体" w:hAnsi="宋体" w:cs="宋体"/>
                <w:color w:val="000000"/>
                <w:szCs w:val="21"/>
              </w:rPr>
              <w:t xml:space="preserve">    3）运输管理：支持多种运输方式，包括陆运、海运等，实现运输计划制定、订单跟踪、运输状态查询等功能；</w:t>
            </w:r>
            <w:r>
              <w:rPr>
                <w:rFonts w:hint="eastAsia" w:ascii="宋体" w:hAnsi="宋体" w:cs="宋体"/>
                <w:color w:val="000000"/>
                <w:szCs w:val="21"/>
              </w:rPr>
              <w:br w:type="textWrapping" w:clear="all"/>
            </w:r>
            <w:r>
              <w:rPr>
                <w:rFonts w:hint="eastAsia" w:ascii="宋体" w:hAnsi="宋体" w:cs="宋体"/>
                <w:color w:val="000000"/>
                <w:szCs w:val="21"/>
              </w:rPr>
              <w:t xml:space="preserve">    4）运输计划：根据货物需求和运输资源，制定合理的公铁联运计划。</w:t>
            </w:r>
            <w:r>
              <w:rPr>
                <w:rFonts w:hint="eastAsia" w:ascii="宋体" w:hAnsi="宋体" w:cs="宋体"/>
                <w:color w:val="000000"/>
                <w:szCs w:val="21"/>
              </w:rPr>
              <w:br w:type="textWrapping" w:clear="all"/>
            </w:r>
            <w:r>
              <w:rPr>
                <w:rFonts w:hint="eastAsia" w:ascii="宋体" w:hAnsi="宋体" w:cs="宋体"/>
                <w:color w:val="000000"/>
                <w:szCs w:val="21"/>
              </w:rPr>
              <w:t xml:space="preserve">    5）仓储管理：实现仓库布局规划、仓位分配、库存预警等仓储相关功能；</w:t>
            </w:r>
            <w:r>
              <w:rPr>
                <w:rFonts w:hint="eastAsia" w:ascii="宋体" w:hAnsi="宋体" w:cs="宋体"/>
                <w:color w:val="000000"/>
                <w:szCs w:val="21"/>
              </w:rPr>
              <w:br w:type="textWrapping" w:clear="all"/>
            </w:r>
            <w:r>
              <w:rPr>
                <w:rFonts w:hint="eastAsia" w:ascii="宋体" w:hAnsi="宋体" w:cs="宋体"/>
                <w:color w:val="000000"/>
                <w:szCs w:val="21"/>
              </w:rPr>
              <w:t xml:space="preserve">    6）作业实训功能：实现整箱港到门直达运输、整箱港到站或堆场运输、整箱门到港直达运输、整箱门到场或站运输、空箱场到门运输、空箱站到场运输、空箱站到站运输功能。</w:t>
            </w:r>
            <w:r>
              <w:rPr>
                <w:rFonts w:hint="eastAsia" w:ascii="宋体" w:hAnsi="宋体" w:cs="宋体"/>
                <w:color w:val="000000"/>
                <w:szCs w:val="21"/>
              </w:rPr>
              <w:br w:type="textWrapping" w:clear="all"/>
            </w:r>
            <w:r>
              <w:rPr>
                <w:rFonts w:hint="eastAsia" w:ascii="宋体" w:hAnsi="宋体" w:cs="宋体"/>
                <w:color w:val="000000"/>
                <w:szCs w:val="21"/>
              </w:rPr>
              <w:t xml:space="preserve">    2.系统管理模块</w:t>
            </w:r>
            <w:r>
              <w:rPr>
                <w:rFonts w:hint="eastAsia" w:ascii="宋体" w:hAnsi="宋体" w:cs="宋体"/>
                <w:color w:val="000000"/>
                <w:szCs w:val="21"/>
              </w:rPr>
              <w:br w:type="textWrapping" w:clear="all"/>
            </w:r>
            <w:r>
              <w:rPr>
                <w:rFonts w:hint="eastAsia" w:ascii="宋体" w:hAnsi="宋体" w:cs="宋体"/>
                <w:color w:val="000000"/>
                <w:szCs w:val="21"/>
              </w:rPr>
              <w:t xml:space="preserve">    1）用户管理：对学生新增、查询、修改、删除；</w:t>
            </w:r>
            <w:r>
              <w:rPr>
                <w:rFonts w:hint="eastAsia" w:ascii="宋体" w:hAnsi="宋体" w:cs="宋体"/>
                <w:color w:val="000000"/>
                <w:szCs w:val="21"/>
              </w:rPr>
              <w:br w:type="textWrapping" w:clear="all"/>
            </w:r>
            <w:r>
              <w:rPr>
                <w:rFonts w:hint="eastAsia" w:ascii="宋体" w:hAnsi="宋体" w:cs="宋体"/>
                <w:color w:val="000000"/>
                <w:szCs w:val="21"/>
              </w:rPr>
              <w:t xml:space="preserve">    2）角色管理：对学生进行权限控制，学生角色，管理员角色、超级管理员角色，不同角色不同资源进行分配；</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3）资源管理：对所有资源模块的新增、查询、修改、删除；</w:t>
            </w:r>
            <w:r>
              <w:rPr>
                <w:rFonts w:hint="eastAsia" w:ascii="宋体" w:hAnsi="宋体" w:cs="宋体"/>
                <w:color w:val="000000"/>
                <w:szCs w:val="21"/>
              </w:rPr>
              <w:br w:type="textWrapping" w:clear="all"/>
            </w:r>
            <w:r>
              <w:rPr>
                <w:rFonts w:hint="eastAsia" w:ascii="宋体" w:hAnsi="宋体" w:cs="宋体"/>
                <w:color w:val="000000"/>
                <w:szCs w:val="21"/>
              </w:rPr>
              <w:t xml:space="preserve">    4）考核管理：分数设置，每个功能资源模块可设置分数值，学生学习完每个模块，后台自动统计分数；</w:t>
            </w:r>
            <w:r>
              <w:rPr>
                <w:rFonts w:hint="eastAsia" w:ascii="宋体" w:hAnsi="宋体" w:cs="宋体"/>
                <w:color w:val="000000"/>
                <w:szCs w:val="21"/>
              </w:rPr>
              <w:br w:type="textWrapping" w:clear="all"/>
            </w:r>
            <w:r>
              <w:rPr>
                <w:rFonts w:hint="eastAsia" w:ascii="宋体" w:hAnsi="宋体" w:cs="宋体"/>
                <w:color w:val="000000"/>
                <w:szCs w:val="21"/>
              </w:rPr>
              <w:t xml:space="preserve">    5）考核监控大屏：监控大屏实时监控每个登录的学生账号，登录时间、操作记录、自动核算汇总每个学生的实训成绩，监控当前在线人数，学习总人数。</w:t>
            </w:r>
            <w:r>
              <w:rPr>
                <w:rFonts w:hint="eastAsia" w:ascii="宋体" w:hAnsi="宋体" w:cs="宋体"/>
                <w:color w:val="000000"/>
                <w:szCs w:val="21"/>
              </w:rPr>
              <w:br w:type="textWrapping" w:clear="all"/>
            </w:r>
            <w:r>
              <w:rPr>
                <w:rFonts w:hint="eastAsia" w:ascii="宋体" w:hAnsi="宋体" w:cs="宋体"/>
                <w:color w:val="000000"/>
                <w:szCs w:val="21"/>
              </w:rPr>
              <w:t xml:space="preserve">三、</w:t>
            </w:r>
            <w:r>
              <w:rPr>
                <w:rFonts w:hint="eastAsia" w:cs="宋体"/>
                <w:szCs w:val="21"/>
              </w:rPr>
              <w:t xml:space="preserve">▲</w:t>
            </w:r>
            <w:r>
              <w:rPr>
                <w:rFonts w:hint="eastAsia" w:ascii="宋体" w:hAnsi="宋体" w:cs="宋体"/>
                <w:color w:val="000000"/>
                <w:szCs w:val="21"/>
              </w:rPr>
              <w:t xml:space="preserve">正版软件，投标文件中提供软件著作权。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中欧班列虚拟仿真系统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1.采用360度三维虚拟现实技术开发，包含：铁路场站、口岸、内陆港3个仿真模块，实现中欧班列虚拟仿真实训。</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2.软件可在局域网下部署使用，采用B/S架构，可在windows/windows server系列系统下运行系统支持在互联网模式下使用。</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3.软件服务器端安装在教师机电脑或服务器电脑，学生机通过局域网客户端登录使用。学生或教师以帐号形式登录软件，且具备帐户及个人信息设置功能。</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4.界面要求：要求界面为全中文操作，便于学生学习。</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二、产品参数功能：</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1.铁路场站模块：</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1）以三维形式展示并介绍铁路货运站整体布局，并包含以下区域介绍货运室、装卸工人休息室、装卸机械修理所、门卫室、堆货场、货物站台、仓库等；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2）以三维形式展示并介绍配线：装卸线、存车线、牵入牵出线、轨道衡线等；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3）以三维形式展示并介绍装卸及检修设备：门式起重机、桥式起重机、轨道起重机、叉车、托盘、牵引车、挂车等设备。</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4）集装箱装卸货物操作，鼠标或手柄点击对应设备进行装车作业。</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2.一带一路口岸</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1）以三维形式展示并介绍国内(疆内)一类二类不少于4个主要口岸，包含口岸办公区、集装箱泊位、集装箱堆场、货运站、控制室、检查口功能区的介绍；</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2）以三维形式展示东、中、西三条通道运行线路，鼠标或手柄点击对应线路每条线路，可详细介绍沿线站点、运营状况、货运特点等内容，</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3）以三维形式展示铁路联运换轨，在三条运营线路对应站点，鼠标或手柄点击对列车进行换轨操作，并展示相关换轨知识要点（如站点，轨道宽度等）。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3.内陆港</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1）以三维方式展示内陆港区域，并包含以下介绍停车场线、货物查验、装卸站台、仓库堆场、分拣厂房、办公大厦、生产和生活配套、冷链物流仓储中心等。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2）内陆港报关报检，通过三维动画模拟报关报检标准的业务流程设计，软件中的报关报检业</w:t>
            </w:r>
            <w:r>
              <w:rPr>
                <w:rFonts w:hint="eastAsia" w:ascii="宋体" w:hAnsi="宋体" w:cs="宋体"/>
                <w:color w:val="000000"/>
                <w:szCs w:val="21"/>
              </w:rPr>
              <w:t xml:space="preserve">务涵盖了进/出口报检、进/出口报关等模块，涵盖真实的报关报检实务操作过程，使学生的操作更为贴近实际通过仿真的作业环境，使学生能够熟悉国际货代的相关理论，掌握国际货代流程中的订舱、配载、报关报检、转运、集拼等各种实际操作技能，同时结合港口规划类课程，可以令学生对于堆场、泊位的管理及港口机械使用有深入的了解，在掌握基本知识的基础上实现对港内活动的调度与规划。系统提供多种报关报检案例背景供学生进行实训，老师也可自定义添加修改。学生根据教师设置的实验案例背景演练进/出口报关、报检业务，实现对报关报检业务流程的掌握。</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2.系统管理模块</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1）用户管理：对学生新增、查询、修改、删除；</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2）角色管理：对学生进行权限控制，学生角色，管理员角色、超级管理员角色，不同角色不同资源进行分配；</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3）考核管理：分数设置，每个功能资源模块可设置分数值，学生学习完每个模块，后台自动统计分数。</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三、</w:t>
            </w:r>
            <w:r>
              <w:rPr>
                <w:rFonts w:hint="eastAsia" w:cs="宋体"/>
                <w:szCs w:val="21"/>
              </w:rPr>
              <w:t xml:space="preserve">▲</w:t>
            </w:r>
            <w:r>
              <w:rPr>
                <w:rFonts w:hint="eastAsia" w:ascii="宋体" w:hAnsi="宋体" w:cs="宋体"/>
                <w:color w:val="000000"/>
                <w:szCs w:val="21"/>
              </w:rPr>
              <w:t xml:space="preserve">正版软件，投标文件中提供软件著作权。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水铁联运虚拟仿真系统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1.系统构架遵循模块化、可扩展性和可维护性的原则。系统分为核心处理层、仿真层、交互层、数据层和用户层。</w:t>
            </w:r>
            <w:r>
              <w:rPr>
                <w:rFonts w:hint="eastAsia" w:ascii="宋体" w:hAnsi="宋体" w:cs="宋体"/>
                <w:color w:val="000000"/>
                <w:szCs w:val="21"/>
              </w:rPr>
              <w:br w:type="textWrapping" w:clear="all"/>
            </w:r>
            <w:r>
              <w:rPr>
                <w:rFonts w:hint="eastAsia" w:ascii="宋体" w:hAnsi="宋体" w:cs="宋体"/>
                <w:color w:val="000000"/>
                <w:szCs w:val="21"/>
              </w:rPr>
              <w:t xml:space="preserve">    2.系统采用360度三维虚拟现实技术开发。</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3.系统提供丰富的交互功能，允许用户通过键盘、鼠标、触摸屏等多种输入设备进行操作，如控制运输工具、管理货物、处理突发事件等。</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4.系统支持多种教学资源的集成，包括文字、图片、视频、音频等多媒体内容，以及行业专家库、案例库等。这些资源能够方便地添加到系统中，供学生学习使用。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5.软件可在局域网下部署使用，采用B/S架构，可在windows/windows server系列系统下运行系统支持在互联网模式下使用。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6.软件服务器端安装在教师机电脑或服务器电脑，学生机通过局域网客户端登录使用。学生或教师以账号形式登录软件，且具备账户及个人信息设置功能。</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7.界面要求：要求界面为全中文操作，便于学生学习。</w:t>
            </w:r>
            <w:r>
              <w:rPr>
                <w:rFonts w:hint="eastAsia" w:ascii="宋体" w:hAnsi="宋体" w:cs="宋体"/>
                <w:color w:val="000000"/>
                <w:szCs w:val="21"/>
              </w:rPr>
              <w:br w:type="textWrapping" w:clear="all"/>
            </w:r>
            <w:r>
              <w:rPr>
                <w:rFonts w:hint="eastAsia" w:ascii="宋体" w:hAnsi="宋体" w:cs="宋体"/>
                <w:color w:val="000000"/>
                <w:szCs w:val="21"/>
              </w:rPr>
              <w:t xml:space="preserve">二、产品参数功能：</w:t>
            </w:r>
            <w:r>
              <w:rPr>
                <w:rFonts w:hint="eastAsia" w:ascii="宋体" w:hAnsi="宋体" w:cs="宋体"/>
                <w:color w:val="000000"/>
                <w:szCs w:val="21"/>
              </w:rPr>
              <w:br w:type="textWrapping" w:clear="all"/>
            </w:r>
            <w:r>
              <w:rPr>
                <w:rFonts w:hint="eastAsia" w:ascii="宋体" w:hAnsi="宋体" w:cs="宋体"/>
                <w:color w:val="000000"/>
                <w:szCs w:val="21"/>
              </w:rPr>
              <w:t xml:space="preserve">    1.实训模块主要分为外拖交柜实训、装船实训、卸船实训、联检查验实训、外拖提柜实训五项内容；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1）外拖交柜实训：能够实现订舱、申请场站空箱、外拖进闸（空车）、堆场策划、堆场提箱（空箱）、外拖出闸（空箱）、仓库装货、外拖进闸（重箱）、堆场策划、堆场落地确认、拖车出场等内容；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2）装船实训：能够实现装船计划、泊位策划、堆场策划、船舶策划、AGV堆场提箱、岸桥装箱等内容；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3）卸船实训：能够实现泊位策划、堆场策划、船舶策划、安排AGV、岸桥卸箱、AGV运输、堆场确认等内容；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4）联检查验实训：能够实现下达查验通知、安排查验计划、中控安排机械进场、查验箱进场、开始查验、查验完毕归场、中控安排机械归场等内容；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5）外拖提柜实训：能够实现接受到货通知、外拖进闸（空车）、堆场策划、堆场提箱确认、外拖出闸（重箱）、仓库交货；</w:t>
            </w:r>
            <w:r>
              <w:rPr>
                <w:rFonts w:hint="eastAsia" w:ascii="宋体" w:hAnsi="宋体" w:cs="宋体"/>
                <w:color w:val="000000"/>
                <w:szCs w:val="21"/>
              </w:rPr>
              <w:br w:type="textWrapping" w:clear="all"/>
            </w:r>
            <w:r>
              <w:rPr>
                <w:rFonts w:hint="eastAsia" w:ascii="宋体" w:hAnsi="宋体" w:cs="宋体"/>
                <w:color w:val="000000"/>
                <w:szCs w:val="21"/>
              </w:rPr>
              <w:t xml:space="preserve">    2.系统管理模块</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1）用户管理：对学生新增、查询、修改、删除；</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2）角色管理：对学生进行权限控制，学生角色，管理员角色、超级管理员角色，不同角色不同资源进行分配；</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3）资源管理：对所有资源模块的新增、查询、修改、删除；</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4）考核管理：分数设置，每个功能资源模块可设置分数值，学生学习完每个模块，后台自动统计分数；</w:t>
            </w:r>
            <w:r>
              <w:rPr>
                <w:rFonts w:hint="eastAsia" w:ascii="宋体" w:hAnsi="宋体" w:cs="宋体"/>
                <w:color w:val="000000"/>
                <w:szCs w:val="21"/>
              </w:rPr>
            </w:r>
            <w:r/>
          </w:p>
          <w:p>
            <w:pPr>
              <w:pStyle w:val="907"/>
              <w:ind w:firstLine="420"/>
              <w:jc w:val="left"/>
              <w:spacing w:line="300" w:lineRule="auto"/>
              <w:widowControl/>
              <w:rPr>
                <w:rFonts w:ascii="宋体" w:hAnsi="宋体" w:cs="宋体"/>
                <w:color w:val="000000"/>
                <w:szCs w:val="21"/>
              </w:rPr>
            </w:pPr>
            <w:r>
              <w:rPr>
                <w:rFonts w:hint="eastAsia" w:ascii="宋体" w:hAnsi="宋体" w:cs="宋体"/>
                <w:color w:val="000000"/>
                <w:szCs w:val="21"/>
              </w:rPr>
              <w:t xml:space="preserve">5）考核监控大屏：监控大屏实时监控每个登录的学生账号，登录时间、操作记录、自动核算汇总每个学生的实训成绩，监控当前在线人数，学习总人数。</w:t>
            </w:r>
            <w:r>
              <w:rPr>
                <w:rFonts w:ascii="宋体" w:hAnsi="宋体" w:cs="宋体"/>
                <w:color w:val="000000"/>
                <w:szCs w:val="21"/>
              </w:rPr>
            </w:r>
            <w:r/>
          </w:p>
          <w:p>
            <w:pPr>
              <w:pStyle w:val="907"/>
              <w:jc w:val="left"/>
              <w:spacing w:line="300" w:lineRule="auto"/>
              <w:widowControl/>
              <w:rPr>
                <w:rFonts w:hint="eastAsia"/>
              </w:rPr>
            </w:pPr>
            <w:r>
              <w:rPr>
                <w:rFonts w:hint="eastAsia" w:ascii="宋体" w:hAnsi="宋体" w:cs="宋体"/>
                <w:color w:val="000000"/>
                <w:szCs w:val="21"/>
              </w:rPr>
              <w:t xml:space="preserve">三、▲正版软件，投标文件中提供软件著作权。</w:t>
            </w:r>
            <w:r>
              <w:rPr>
                <w:rFonts w:hint="eastAsia"/>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多式联运项目仿真规划设计分析平台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cs="宋体"/>
                <w:szCs w:val="21"/>
              </w:rPr>
              <w:t xml:space="preserve">▲</w:t>
            </w:r>
            <w:r>
              <w:rPr>
                <w:rFonts w:hint="eastAsia" w:ascii="宋体" w:hAnsi="宋体" w:cs="宋体"/>
                <w:color w:val="000000"/>
                <w:szCs w:val="21"/>
              </w:rPr>
              <w:t xml:space="preserve">多式联运仿真规划设计分析平台软件可搭建大型物流枢纽节点模型，并支持模型串联和代码对接，能模拟每个节点的产能仿真，物流仿真，3D工厂搭建及展示等。</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2、软件支持仿真模型价值分析，包括对建模环境和生产流通过程进行计算、分析和评估。软件提供数据读取接口，包括：Oracle SQL 数据库接口、ODBC、与外部应用程序的 Socket 通信、C/C++ 编程接口、ActiveX 接口、OPC 接口，可和其他模型进行数据输入、处理和输出。</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3、软件支持2D或3D效果展示，能将规划模型全局展示，分析流通过程，读取和生成流通数据，评估全模型的运行效率。</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4、软件具备遗传算法、神经网络、实验管理器等内置功能，可以对不同投入组合进行多组对比分析和优化；支持导入外部三维CAD图形文件和点云文件。</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264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多式联运项目仿真规划设计分析实训案例包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1、利用多式联运仿真规划设计分析平台软件辅助开发4套以一带一路为背景、以近三年的一带一路沿线国家多式联运业务为数据源的多式联运物流模型，生成可执行文件。</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2、</w:t>
            </w:r>
            <w:r>
              <w:rPr>
                <w:rFonts w:hint="eastAsia" w:cs="宋体"/>
                <w:szCs w:val="21"/>
              </w:rPr>
              <w:t xml:space="preserve">▲</w:t>
            </w:r>
            <w:r>
              <w:rPr>
                <w:rFonts w:hint="eastAsia" w:ascii="宋体" w:hAnsi="宋体" w:cs="宋体"/>
                <w:color w:val="000000"/>
                <w:szCs w:val="21"/>
              </w:rPr>
              <w:t xml:space="preserve">能模拟产生4套运行数据和分析数据，数据信息中应至少包含托运货物的信息（名称、数量、毛重、体积、标准箱（TEU）、起始地、目的地、 实时状态（在途、到站、到港）、所属车次（航次）、通关状态（已清关、未清关）等。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bl>
    <w:p>
      <w:pPr>
        <w:pStyle w:val="919"/>
        <w:rPr>
          <w:rFonts w:cs="宋体"/>
          <w:sz w:val="21"/>
          <w:szCs w:val="21"/>
        </w:rPr>
      </w:pPr>
      <w:r>
        <w:rPr>
          <w:rFonts w:hint="eastAsia" w:cs="宋体"/>
          <w:sz w:val="21"/>
          <w:szCs w:val="21"/>
        </w:rPr>
        <w:t xml:space="preserve">注：参数表加注“▲”符号的为重要指标条款。</w:t>
      </w:r>
      <w:r>
        <w:rPr>
          <w:rFonts w:cs="宋体"/>
          <w:sz w:val="21"/>
          <w:szCs w:val="21"/>
        </w:rPr>
      </w:r>
      <w:r/>
    </w:p>
    <w:p>
      <w:pPr>
        <w:pStyle w:val="919"/>
        <w:rPr>
          <w:rFonts w:hint="eastAsia"/>
        </w:rPr>
      </w:pPr>
      <w:r>
        <w:rPr>
          <w:rFonts w:hint="eastAsia"/>
        </w:rPr>
      </w:r>
      <w:r/>
    </w:p>
    <w:p>
      <w:pPr>
        <w:pStyle w:val="907"/>
        <w:ind w:firstLine="480"/>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907"/>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w:t>
      </w:r>
      <w:r>
        <w:rPr>
          <w:rFonts w:hint="eastAsia" w:ascii="宋体" w:hAnsi="宋体"/>
          <w:color w:val="000000"/>
          <w:sz w:val="24"/>
          <w:szCs w:val="24"/>
        </w:rPr>
      </w:r>
      <w:r/>
    </w:p>
    <w:p>
      <w:pPr>
        <w:pStyle w:val="907"/>
        <w:ind w:firstLine="480"/>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采购</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中欧班列虚拟仿真系统</w:t>
            </w:r>
            <w:r>
              <w:rPr>
                <w:rFonts w:hint="eastAsia" w:ascii="宋体" w:hAnsi="宋体"/>
                <w:szCs w:val="21"/>
              </w:rPr>
            </w:r>
            <w:r/>
          </w:p>
        </w:tc>
      </w:tr>
    </w:tbl>
    <w:p>
      <w:pPr>
        <w:pStyle w:val="907"/>
        <w:spacing w:line="0" w:lineRule="atLeast"/>
        <w:rPr>
          <w:rFonts w:hint="eastAsia" w:ascii="宋体" w:hAnsi="宋体"/>
          <w:sz w:val="24"/>
          <w:szCs w:val="24"/>
        </w:rPr>
      </w:pPr>
      <w:r>
        <w:rPr>
          <w:rFonts w:hint="eastAsia" w:ascii="宋体" w:hAnsi="宋体"/>
          <w:sz w:val="24"/>
          <w:szCs w:val="24"/>
        </w:rPr>
      </w:r>
      <w:r/>
    </w:p>
    <w:p>
      <w:pPr>
        <w:pStyle w:val="907"/>
        <w:ind w:firstLine="480"/>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采购</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7"/>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07"/>
        <w:spacing w:line="0" w:lineRule="atLeast"/>
        <w:rPr>
          <w:rFonts w:ascii="宋体" w:hAnsi="宋体"/>
          <w:color w:val="ff0000"/>
          <w:sz w:val="24"/>
          <w:szCs w:val="24"/>
        </w:rPr>
      </w:pPr>
      <w:r>
        <w:rPr>
          <w:rFonts w:ascii="宋体" w:hAnsi="宋体"/>
          <w:color w:val="ff0000"/>
          <w:sz w:val="24"/>
          <w:szCs w:val="24"/>
        </w:rPr>
      </w:r>
      <w:r/>
    </w:p>
    <w:p>
      <w:pPr>
        <w:pStyle w:val="907"/>
        <w:ind w:firstLine="480"/>
        <w:spacing w:line="0" w:lineRule="atLeast"/>
        <w:rPr>
          <w:rFonts w:hint="eastAsia" w:ascii="宋体" w:hAnsi="宋体"/>
          <w:b/>
          <w:color w:val="000000"/>
          <w:sz w:val="24"/>
          <w:szCs w:val="24"/>
        </w:rPr>
      </w:pPr>
      <w:r>
        <w:rPr>
          <w:rFonts w:hint="eastAsia" w:ascii="宋体" w:hAnsi="宋体"/>
          <w:b/>
          <w:color w:val="000000"/>
          <w:sz w:val="24"/>
          <w:szCs w:val="24"/>
        </w:rPr>
        <w:t xml:space="preserve">五、项目实施（安装调试、服务）要求</w:t>
      </w:r>
      <w:r>
        <w:rPr>
          <w:rFonts w:hint="eastAsia" w:ascii="宋体" w:hAnsi="宋体"/>
          <w:b/>
          <w:color w:val="000000"/>
          <w:sz w:val="24"/>
          <w:szCs w:val="24"/>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（1）供应商应在设备发运前对其进行满足运输距离、防潮、防震、防锈和防破损装卸等要求包装，以保证设备安全运达采购人指定地点。</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（2）用户手册、随配附件以及清单一并附于设备内。</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（3）供应商在设备发运手续办理完毕后24小时内或货到采购方48小时前通知采购人，以准备接货。</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（4）设备在交付采购人前发生的风险均由中标供应商负责。</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（5）设备在规定的交付期限内由供应商送达采购人指定的地点视为交付，供应商同时需通知采购人设备已送达。</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（6）供应商应在签订合同规定期限内完成所有设备的安装调试工作，并完成验收及培训等相关服务工作。</w:t>
      </w:r>
      <w:r>
        <w:rPr>
          <w:rFonts w:hint="eastAsia" w:ascii="宋体" w:hAnsi="宋体" w:cs="宋体"/>
          <w:szCs w:val="21"/>
          <w:lang w:bidi="en-US"/>
        </w:rPr>
      </w:r>
      <w:r/>
    </w:p>
    <w:p>
      <w:pPr>
        <w:pStyle w:val="907"/>
        <w:ind w:firstLine="480"/>
        <w:spacing w:line="0" w:lineRule="atLeast"/>
        <w:rPr>
          <w:rFonts w:hint="eastAsia" w:ascii="宋体" w:hAnsi="宋体"/>
          <w:b/>
          <w:color w:val="000000"/>
          <w:sz w:val="24"/>
          <w:szCs w:val="24"/>
        </w:rPr>
      </w:pPr>
      <w:r>
        <w:rPr>
          <w:rFonts w:hint="eastAsia" w:ascii="宋体" w:hAnsi="宋体"/>
          <w:b/>
          <w:color w:val="000000"/>
          <w:sz w:val="24"/>
          <w:szCs w:val="24"/>
        </w:rPr>
        <w:t xml:space="preserve">六、验收要求</w:t>
      </w:r>
      <w:r>
        <w:rPr>
          <w:rFonts w:hint="eastAsia" w:ascii="宋体" w:hAnsi="宋体"/>
          <w:b/>
          <w:color w:val="000000"/>
          <w:sz w:val="24"/>
          <w:szCs w:val="24"/>
        </w:rPr>
      </w:r>
      <w:r/>
    </w:p>
    <w:p>
      <w:pPr>
        <w:pStyle w:val="907"/>
        <w:ind w:firstLine="420"/>
        <w:jc w:val="left"/>
        <w:spacing w:line="360" w:lineRule="auto"/>
        <w:rPr>
          <w:rFonts w:hint="eastAsia" w:ascii="宋体" w:hAnsi="宋体" w:cs="宋体"/>
          <w:szCs w:val="21"/>
        </w:rPr>
      </w:pPr>
      <w:r/>
      <w:bookmarkStart w:id="182" w:name="_Hlk148978355"/>
      <w:r>
        <w:rPr>
          <w:rFonts w:hint="eastAsia" w:ascii="宋体" w:hAnsi="宋体" w:cs="宋体"/>
          <w:szCs w:val="21"/>
        </w:rPr>
        <w:t xml:space="preserve">（1）采购人以招标文件、中标人的投标文件、合同为依据，成立验收小组，负责对项目进行全面的验收，中标人须向采购人提供详细的系统验收方案。</w:t>
      </w:r>
      <w:r>
        <w:rPr>
          <w:rFonts w:hint="eastAsia" w:ascii="宋体" w:hAnsi="宋体" w:cs="宋体"/>
          <w:szCs w:val="21"/>
        </w:rPr>
      </w:r>
      <w:r/>
    </w:p>
    <w:p>
      <w:pPr>
        <w:pStyle w:val="1006"/>
        <w:jc w:val="left"/>
        <w:spacing w:after="0" w:line="360" w:lineRule="auto"/>
        <w:rPr>
          <w:rFonts w:hint="eastAsia" w:ascii="宋体" w:hAnsi="宋体" w:cs="宋体"/>
          <w:szCs w:val="21"/>
        </w:rPr>
      </w:pPr>
      <w:r>
        <w:rPr>
          <w:rFonts w:hint="eastAsia" w:ascii="宋体" w:hAnsi="宋体" w:cs="宋体"/>
          <w:szCs w:val="21"/>
        </w:rPr>
        <w:t xml:space="preserve">（2）采购人按照国家规定标准验收，没有国家标准的按行业标准验收，无行业标准的按地方或企业标准验收，中标人应予以配合。涉及安全、消防、环保等其他需要由质检或行业主管部门验收的项目，采购人须约请相关部门和专家参加项目验收。</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bookmarkEnd w:id="182"/>
      <w:r>
        <w:rPr>
          <w:rFonts w:hint="eastAsia" w:ascii="宋体" w:hAnsi="宋体" w:cs="宋体"/>
          <w:b/>
          <w:szCs w:val="21"/>
        </w:rPr>
        <w:t xml:space="preserve">七、培训要求</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供应商应免费对采购方指定人员在现场进行培训，并直至教会。供应商应根据需要，提供详细的培训方案、计划、课程（包含多式联运综合实训、多式联运虚拟仿真操作实训、多式联运规划设计与分析实训等）、人员及期限报采购方认可，费用已包括在合同金额中。培训的内容应包括但不限于：系统的正常操作和使用方法；系统的日常维护和保养方法；安全操作规程、安全注意事项等。</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rPr>
          <w:rFonts w:hint="eastAsia" w:ascii="宋体" w:hAnsi="宋体" w:cs="宋体"/>
          <w:b/>
          <w:szCs w:val="21"/>
        </w:rPr>
        <w:t xml:space="preserve">八、项目完成（服务）时间和地点</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服务时间：签订合同后</w:t>
      </w:r>
      <w:r>
        <w:rPr>
          <w:rFonts w:hint="eastAsia" w:ascii="宋体" w:hAnsi="宋体" w:cs="宋体"/>
          <w:b/>
          <w:bCs/>
          <w:szCs w:val="21"/>
        </w:rPr>
        <w:t xml:space="preserve">90个工作日</w:t>
      </w:r>
      <w:r>
        <w:rPr>
          <w:rFonts w:hint="eastAsia" w:ascii="宋体" w:hAnsi="宋体" w:cs="宋体"/>
          <w:szCs w:val="21"/>
        </w:rPr>
        <w:t xml:space="preserve">内完成招标范围内全部工作，并通过验收，交付采购人使用。</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服务地点：南京交通职业技术学院齐贤楼1楼</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bookmarkStart w:id="183" w:name="_Hlk148978742"/>
      <w:r>
        <w:rPr>
          <w:rFonts w:hint="eastAsia" w:ascii="宋体" w:hAnsi="宋体" w:cs="宋体"/>
          <w:b/>
          <w:szCs w:val="21"/>
        </w:rPr>
        <w:t xml:space="preserve">九、免费质量保证期</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本次采购项目自验收合格后须提供至少</w:t>
      </w:r>
      <w:r>
        <w:rPr>
          <w:rFonts w:hint="eastAsia" w:ascii="宋体" w:hAnsi="宋体" w:cs="宋体"/>
          <w:b/>
          <w:bCs/>
          <w:szCs w:val="21"/>
        </w:rPr>
        <w:t xml:space="preserve">5年质保期</w:t>
      </w:r>
      <w:r>
        <w:rPr>
          <w:rFonts w:hint="eastAsia" w:ascii="宋体" w:hAnsi="宋体" w:cs="宋体"/>
          <w:szCs w:val="21"/>
        </w:rPr>
        <w:t xml:space="preserve">。质保期内还需免费定期巡检，质保期自应按照本采购项目特点提供长期良好的售后服务，并在投标文件中提供详细具体的售后服务承诺条款及保证。验收合格之日起计算，供应商应免费提供因设备本身故障导致的技术服务和维修。</w:t>
      </w:r>
      <w:bookmarkEnd w:id="183"/>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bookmarkStart w:id="184" w:name="_Hlk148978857"/>
      <w:r>
        <w:rPr>
          <w:rFonts w:hint="eastAsia" w:ascii="宋体" w:hAnsi="宋体" w:cs="宋体"/>
          <w:b/>
          <w:szCs w:val="21"/>
        </w:rPr>
        <w:t xml:space="preserve">十、售后服务要求</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1）供应商应向采购人提供完善周到的售后技术服务，提供售后服务质量保障方案，建立完善的售后服务管理体系并提供专业的售后服务实施及维护人员，保证设备的正常运行措施，质保期内质量保证提供免费技术支持、保修、系统升级和维护，不得另行收取其他费用，且保修服务方式均为供应商上门保修，即由供应商到采购人使用现场维修，产生的一切费用均由供应商承担。</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2）供应商质保期内需提供7×24小时服务。对于设备在使用过程中出现的问题，须在1小时内响应。如遇与所供设备有关的问题无法远程解决的，一般性故障解决问题时间不超过2小时，重大故障3小时内给出解决方案并提供临时应急处置措施，重大故障解决问题时间不超过72小时。因供应商工作延误，造成采购人损失的，供应商应负赔偿责任，具体赔偿方案在签订合同时订立。</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（3）质保期满后，中标人应</w:t>
      </w:r>
      <w:r>
        <w:rPr>
          <w:rFonts w:hint="eastAsia" w:ascii="宋体" w:hAnsi="宋体" w:cs="宋体"/>
          <w:b/>
          <w:bCs/>
          <w:szCs w:val="21"/>
        </w:rPr>
        <w:t xml:space="preserve">提供</w:t>
      </w:r>
      <w:r>
        <w:rPr>
          <w:rFonts w:ascii="宋体" w:hAnsi="宋体" w:cs="宋体"/>
          <w:b/>
          <w:bCs/>
          <w:szCs w:val="21"/>
        </w:rPr>
        <w:t xml:space="preserve">终身上门服务</w:t>
      </w:r>
      <w:r>
        <w:rPr>
          <w:rFonts w:ascii="宋体" w:hAnsi="宋体" w:cs="宋体"/>
          <w:szCs w:val="21"/>
        </w:rPr>
        <w:t xml:space="preserve">（只收</w:t>
      </w:r>
      <w:r>
        <w:rPr>
          <w:rFonts w:ascii="宋体" w:hAnsi="宋体" w:cs="宋体"/>
          <w:b/>
          <w:bCs/>
          <w:szCs w:val="21"/>
        </w:rPr>
        <w:t xml:space="preserve">材料成本费，</w:t>
      </w:r>
      <w:r>
        <w:rPr>
          <w:rFonts w:ascii="宋体" w:hAnsi="宋体" w:cs="宋体"/>
          <w:szCs w:val="21"/>
        </w:rPr>
        <w:t xml:space="preserve">其余费用均不得收取）</w:t>
      </w:r>
      <w:r>
        <w:rPr>
          <w:rFonts w:hint="eastAsia" w:ascii="宋体" w:hAnsi="宋体" w:cs="宋体"/>
          <w:szCs w:val="21"/>
        </w:rPr>
        <w:t xml:space="preserve">，</w:t>
      </w:r>
      <w:r>
        <w:rPr>
          <w:rFonts w:hint="eastAsia" w:ascii="宋体" w:hAnsi="宋体" w:cs="宋体"/>
          <w:b/>
          <w:bCs/>
          <w:szCs w:val="21"/>
        </w:rPr>
        <w:t xml:space="preserve">并按不高于投标文件中主要配件、易损件清单所报价格、供应原厂零配件等</w:t>
      </w:r>
      <w:r>
        <w:rPr>
          <w:rFonts w:hint="eastAsia" w:ascii="宋体" w:hAnsi="宋体" w:cs="宋体"/>
          <w:szCs w:val="21"/>
        </w:rPr>
        <w:t xml:space="preserve">。</w:t>
      </w:r>
      <w:r>
        <w:rPr>
          <w:rFonts w:hint="eastAsia" w:ascii="宋体" w:hAnsi="宋体" w:cs="宋体"/>
          <w:szCs w:val="21"/>
        </w:rPr>
      </w:r>
      <w:r/>
    </w:p>
    <w:p>
      <w:pPr>
        <w:pStyle w:val="907"/>
        <w:ind w:firstLine="422"/>
        <w:jc w:val="left"/>
        <w:spacing w:line="360" w:lineRule="auto"/>
        <w:rPr>
          <w:rFonts w:hint="eastAsia" w:ascii="宋体" w:hAnsi="宋体" w:cs="宋体"/>
          <w:b/>
          <w:szCs w:val="21"/>
        </w:rPr>
      </w:pPr>
      <w:r/>
      <w:bookmarkEnd w:id="184"/>
      <w:r>
        <w:rPr>
          <w:rFonts w:hint="eastAsia" w:ascii="宋体" w:hAnsi="宋体" w:cs="宋体"/>
          <w:b/>
          <w:szCs w:val="21"/>
        </w:rPr>
        <w:t xml:space="preserve">服务原则：</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及时性：供应商应采取适当的手段确保提供的服务能够满足服务时间指标要求，包括技术人员服务时间、技术支持和应急服务的及时到场，对服务需求及时响应、信息资料及时更新、故障问题及时处理、相关报告及时汇总与提交。</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规范性：供应商应遵守服务管理流程，并严格执行操作规范，保证服务过程的规范运作。包括制定完善的现场技术服务制度与服务流程。</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安全性：供应商应采取适当的安全手段或措施，有效管理与控制生系统运维以及功能发布等工作的各个环节，确保维护行为本身和设备运行的安全性，包括保证服务流程的周密安全、服务人员遵守运维制度等，确保运维工作的安全可靠性。</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可用性：供应商应采取适当措施，按照各项规章制度，保证生产实时监管系统的可用性。在此基础上，根据相关实际情况，提出合理的、可行的调整优化方案，实现改系统的不断优化完善</w:t>
      </w:r>
      <w:r>
        <w:rPr>
          <w:rFonts w:hint="eastAsia" w:ascii="宋体" w:hAnsi="宋体" w:cs="宋体"/>
          <w:szCs w:val="21"/>
        </w:rPr>
      </w:r>
      <w:r/>
    </w:p>
    <w:p>
      <w:pPr>
        <w:pStyle w:val="907"/>
        <w:ind w:firstLine="422"/>
        <w:jc w:val="left"/>
        <w:spacing w:line="360" w:lineRule="auto"/>
        <w:rPr>
          <w:rFonts w:hint="eastAsia" w:ascii="宋体" w:hAnsi="宋体" w:cs="宋体"/>
          <w:b/>
          <w:bCs/>
          <w:szCs w:val="21"/>
        </w:rPr>
        <w:outlineLvl w:val="1"/>
      </w:pPr>
      <w:r/>
      <w:bookmarkStart w:id="185" w:name="_Toc382570125"/>
      <w:r/>
      <w:bookmarkStart w:id="186" w:name="_Toc382236264"/>
      <w:r/>
      <w:bookmarkStart w:id="187" w:name="_Toc502221132"/>
      <w:r/>
      <w:bookmarkStart w:id="188" w:name="_Toc466978327"/>
      <w:r/>
      <w:bookmarkStart w:id="189" w:name="_Toc18429"/>
      <w:r/>
      <w:bookmarkStart w:id="190" w:name="_Toc381109661"/>
      <w:r/>
      <w:bookmarkStart w:id="191" w:name="_Toc367804257"/>
      <w:r>
        <w:rPr>
          <w:rFonts w:hint="eastAsia" w:ascii="宋体" w:hAnsi="宋体" w:cs="宋体"/>
          <w:b/>
          <w:bCs/>
          <w:szCs w:val="21"/>
        </w:rPr>
        <w:t xml:space="preserve">十一、付款</w:t>
      </w:r>
      <w:bookmarkEnd w:id="185"/>
      <w:r/>
      <w:bookmarkEnd w:id="186"/>
      <w:r/>
      <w:bookmarkEnd w:id="187"/>
      <w:r/>
      <w:bookmarkEnd w:id="188"/>
      <w:r/>
      <w:bookmarkEnd w:id="189"/>
      <w:r/>
      <w:bookmarkEnd w:id="190"/>
      <w:r/>
      <w:bookmarkEnd w:id="191"/>
      <w:r>
        <w:rPr>
          <w:rFonts w:hint="eastAsia" w:ascii="宋体" w:hAnsi="宋体" w:cs="宋体"/>
          <w:b/>
          <w:bCs/>
          <w:szCs w:val="21"/>
        </w:rPr>
        <w:t xml:space="preserve">方式</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1、采购人在收到履约保证函后，30天内向中标供应商支付合同总金额30%的价款。中标供应商按照合同约定交货，所有设施设备到货，经采购人对设施设备到货验收合格后，采购人在30天内向中标供应商支付合同金额40%的价款。最后，经采购人对合同中所有装备（含软硬件、资源）验收合格（甲方签署验收合格报告）后，凭中标供应商等额有效发票及采购人签署验收合格报告，采购人在30天内向中标供应商支付合同金额30%的价款，验收合格无任何问题后无息全额退还履约保证金。</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rPr>
          <w:rFonts w:hint="eastAsia" w:ascii="宋体" w:hAnsi="宋体" w:cs="宋体"/>
          <w:b/>
          <w:szCs w:val="21"/>
        </w:rPr>
        <w:t xml:space="preserve">十二、演示要求  上传视频演示</w:t>
      </w:r>
      <w:r>
        <w:rPr>
          <w:rFonts w:hint="eastAsia" w:ascii="宋体" w:hAnsi="宋体" w:cs="宋体"/>
          <w:b/>
          <w:szCs w:val="21"/>
        </w:rPr>
      </w:r>
      <w:r/>
    </w:p>
    <w:p>
      <w:pPr>
        <w:pStyle w:val="907"/>
        <w:ind w:firstLine="420"/>
        <w:jc w:val="left"/>
        <w:spacing w:line="360" w:lineRule="auto"/>
        <w:rPr>
          <w:rFonts w:ascii="宋体" w:hAnsi="宋体" w:cs="宋体"/>
          <w:szCs w:val="21"/>
        </w:rPr>
      </w:pPr>
      <w:r>
        <w:rPr>
          <w:rFonts w:hint="eastAsia" w:ascii="宋体" w:hAnsi="宋体" w:cs="宋体"/>
          <w:szCs w:val="21"/>
        </w:rPr>
        <w:t xml:space="preserve">1.投标人需按照招标文件规定的演示内容制作演示视频文件，视频文件的格式为</w:t>
      </w:r>
      <w:r>
        <w:rPr>
          <w:rFonts w:ascii="宋体" w:hAnsi="宋体" w:cs="宋体"/>
          <w:szCs w:val="21"/>
        </w:rPr>
        <w:t xml:space="preserve">*</w:t>
      </w:r>
      <w:r>
        <w:rPr>
          <w:rFonts w:hint="eastAsia" w:ascii="宋体" w:hAnsi="宋体" w:cs="宋体"/>
          <w:szCs w:val="21"/>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备注：演示内容应采用真实系统或原型系统或Demo系统录屏制作演示视频，采用PPT、WORD、截图等来制作演示视频的，不得分。</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2.演示内容如下：</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（1）中欧班列：①以三维形式展示铁路货运站功能区域介绍货运室、装卸工人休息室、装卸机械修</w:t>
      </w:r>
      <w:r>
        <w:rPr>
          <w:rFonts w:hint="eastAsia" w:ascii="宋体" w:hAnsi="宋体" w:cs="宋体"/>
          <w:szCs w:val="21"/>
        </w:rPr>
        <w:t xml:space="preserve">理所、门卫室、堆货场、货物站台、仓库等内容；②以三维形式展示铁路货运站配线介绍装卸线、存车线、牵入牵出线、轨道衡线等内容；③以三维形式展示国内(疆内)一类二类不少于4个主要口岸口岸办公区、集装箱泊位、集装箱堆场、货运站、控制室、检查口功能区等内容；④展示中欧班列东、中、西三条通道运行线路，鼠标或手柄点击对应线路每条线路，可详细介绍沿线站点、运营状况、货运特点等内容；⑤以三维方式展示内陆港区域，并包含以下介绍停车场线、货物查验、装卸站台、仓库堆场、分拣厂房、办公大厦、生产和生活配套、冷链物流仓储中心等等内容。</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）运输仿真规划设计分析案例，案例能产生运行数据和分析数据，数据信息中应至少包含托运货物的信息（名称、数量、毛重、体积等），案例可以导入2D/3D地图作为运输环境背景。</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ascii="宋体" w:hAnsi="宋体" w:cs="宋体"/>
          <w:szCs w:val="21"/>
        </w:rPr>
      </w:pPr>
      <w:r>
        <w:rPr>
          <w:rFonts w:ascii="宋体" w:hAnsi="宋体" w:cs="宋体"/>
          <w:szCs w:val="21"/>
        </w:rPr>
      </w:r>
      <w:r/>
    </w:p>
    <w:p>
      <w:pPr>
        <w:pStyle w:val="919"/>
        <w:rPr>
          <w:rFonts w:ascii="宋体" w:hAnsi="宋体" w:cs="宋体"/>
          <w:szCs w:val="21"/>
        </w:rPr>
      </w:pPr>
      <w:r>
        <w:rPr>
          <w:rFonts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07"/>
        <w:jc w:val="center"/>
        <w:keepNext/>
        <w:rPr>
          <w:rFonts w:hint="eastAsia" w:ascii="黑体" w:eastAsia="黑体"/>
          <w:bCs/>
          <w:color w:val="000000"/>
          <w:sz w:val="44"/>
          <w:szCs w:val="28"/>
        </w:rPr>
        <w:outlineLvl w:val="0"/>
      </w:pPr>
      <w:r/>
      <w:bookmarkStart w:id="192" w:name="_Toc120614281"/>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7"/>
        <w:rPr>
          <w:rFonts w:hint="eastAsia"/>
          <w:color w:val="000000"/>
          <w:szCs w:val="21"/>
        </w:rPr>
      </w:pPr>
      <w:r>
        <w:rPr>
          <w:rFonts w:hint="eastAsia"/>
          <w:color w:val="000000"/>
          <w:szCs w:val="21"/>
        </w:rPr>
      </w:r>
      <w:r/>
    </w:p>
    <w:p>
      <w:pPr>
        <w:pStyle w:val="907"/>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7"/>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7"/>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（2）供应商需按照采购文件的要求提供相应的《中小微企业声明函》。</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7"/>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7"/>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7"/>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7"/>
        <w:ind w:firstLine="472"/>
        <w:jc w:val="left"/>
        <w:spacing w:before="120" w:after="120" w:line="400" w:lineRule="exact"/>
        <w:rPr>
          <w:rFonts w:hint="eastAsia" w:ascii="Arial" w:hAnsi="Arial"/>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rPr>
          <w:rFonts w:hint="eastAsia" w:ascii="Arial" w:hAnsi="Arial"/>
          <w:color w:val="000000"/>
          <w:sz w:val="24"/>
          <w:szCs w:val="24"/>
        </w:rPr>
      </w:r>
      <w:r/>
    </w:p>
    <w:p>
      <w:pPr>
        <w:pStyle w:val="907"/>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rPr>
          <w:rFonts w:ascii="宋体" w:hAnsi="宋体"/>
          <w:b/>
          <w:color w:val="000000"/>
          <w:sz w:val="24"/>
          <w:szCs w:val="24"/>
          <w:highlight w:val="yellow"/>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70"/>
        <w:gridCol w:w="7119"/>
        <w:gridCol w:w="820"/>
      </w:tblGrid>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11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820" w:type="dxa"/>
            <w:vAlign w:val="center"/>
            <w:textDirection w:val="lrTb"/>
            <w:noWrap w:val="false"/>
          </w:tcPr>
          <w:p>
            <w:pPr>
              <w:pStyle w:val="907"/>
              <w:jc w:val="center"/>
              <w:spacing w:line="360" w:lineRule="auto"/>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报价</w:t>
            </w:r>
            <w:r>
              <w:rPr>
                <w:rFonts w:hint="eastAsia" w:ascii="宋体" w:hAnsi="宋体" w:cs="宋体"/>
                <w:b/>
                <w:szCs w:val="21"/>
              </w:rPr>
            </w:r>
            <w:r/>
          </w:p>
          <w:p>
            <w:pPr>
              <w:pStyle w:val="907"/>
              <w:jc w:val="center"/>
              <w:spacing w:line="360" w:lineRule="auto"/>
              <w:rPr>
                <w:rFonts w:hint="eastAsia" w:ascii="宋体" w:hAnsi="宋体" w:cs="宋体"/>
                <w:b/>
                <w:szCs w:val="21"/>
              </w:rPr>
            </w:pPr>
            <w:r>
              <w:rPr>
                <w:rFonts w:hint="eastAsia" w:ascii="宋体" w:hAnsi="宋体" w:cs="宋体"/>
                <w:b/>
                <w:szCs w:val="21"/>
              </w:rPr>
              <w:t xml:space="preserve">（30分）</w:t>
            </w: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s="宋体"/>
              </w:rPr>
            </w:pPr>
            <w:r>
              <w:rPr>
                <w:rFonts w:hint="eastAsia" w:ascii="宋体" w:hAnsi="宋体" w:cs="宋体"/>
              </w:rPr>
              <w:t xml:space="preserve">1.1采用低价优先法计算，即满足采购文件要求且投标价格最低的投标报价为评标基准价，其价格分为满分。</w:t>
            </w:r>
            <w:r>
              <w:rPr>
                <w:rFonts w:hint="eastAsia" w:ascii="宋体" w:hAnsi="宋体" w:cs="宋体"/>
              </w:rPr>
            </w:r>
            <w:r/>
          </w:p>
          <w:p>
            <w:pPr>
              <w:pStyle w:val="907"/>
              <w:ind w:firstLine="420"/>
              <w:jc w:val="left"/>
              <w:spacing w:line="360" w:lineRule="auto"/>
              <w:rPr>
                <w:rFonts w:hint="eastAsia" w:ascii="宋体" w:hAnsi="宋体" w:cs="宋体"/>
              </w:rPr>
            </w:pPr>
            <w:r>
              <w:rPr>
                <w:rFonts w:hint="eastAsia" w:ascii="宋体" w:hAnsi="宋体" w:cs="宋体"/>
              </w:rPr>
              <w:t xml:space="preserve">其他投标人的价格分统一按照下列公式计算：投标报价得分= (评标基准价/投标报价) ×30(小数点后四舍五入保留两位)</w:t>
            </w:r>
            <w:r>
              <w:rPr>
                <w:rFonts w:hint="eastAsia" w:ascii="宋体" w:hAnsi="宋体" w:cs="宋体"/>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技术响应（</w:t>
            </w:r>
            <w:r>
              <w:rPr>
                <w:rFonts w:ascii="宋体" w:hAnsi="宋体" w:cs="宋体"/>
                <w:b/>
                <w:szCs w:val="21"/>
              </w:rPr>
              <w:t xml:space="preserve">30</w:t>
            </w:r>
            <w:r>
              <w:rPr>
                <w:rFonts w:hint="eastAsia" w:ascii="宋体" w:hAnsi="宋体" w:cs="宋体"/>
                <w:b/>
                <w:szCs w:val="21"/>
              </w:rPr>
              <w:t xml:space="preserve">分）</w:t>
            </w:r>
            <w:r>
              <w:rPr>
                <w:rFonts w:hint="eastAsia" w:ascii="宋体" w:hAnsi="宋体" w:cs="宋体"/>
                <w:b/>
                <w:szCs w:val="21"/>
              </w:rPr>
            </w:r>
            <w:r/>
          </w:p>
        </w:tc>
        <w:tc>
          <w:tcPr>
            <w:tcW w:w="7119" w:type="dxa"/>
            <w:vAlign w:val="center"/>
            <w:textDirection w:val="lrTb"/>
            <w:noWrap w:val="false"/>
          </w:tcPr>
          <w:p>
            <w:pPr>
              <w:pStyle w:val="1014"/>
              <w:ind w:firstLine="420"/>
              <w:spacing w:line="300" w:lineRule="auto"/>
              <w:rPr>
                <w:rFonts w:hint="eastAsia" w:cs="宋体"/>
                <w:sz w:val="21"/>
                <w:szCs w:val="21"/>
              </w:rPr>
            </w:pPr>
            <w:r>
              <w:rPr>
                <w:rFonts w:hint="eastAsia" w:cs="宋体"/>
                <w:sz w:val="21"/>
                <w:szCs w:val="21"/>
              </w:rPr>
              <w:t xml:space="preserve">2.1由评委根据采购文件《第四章采购需求》，对投标响应文件中技术参数满足程度进行打分，全部响应即满足采购文件功能技术参数及商务服务要求的得30分。打▲号为重要指标，共12项，一共12分，有一项负偏离扣1分；其余指标共</w:t>
            </w:r>
            <w:r>
              <w:rPr>
                <w:rFonts w:cs="宋体"/>
                <w:sz w:val="21"/>
                <w:szCs w:val="21"/>
              </w:rPr>
              <w:t xml:space="preserve">180</w:t>
            </w:r>
            <w:r>
              <w:rPr>
                <w:rFonts w:hint="eastAsia" w:cs="宋体"/>
                <w:sz w:val="21"/>
                <w:szCs w:val="21"/>
              </w:rPr>
              <w:t xml:space="preserve">项，一共18分，有一项偏离扣0.</w:t>
            </w:r>
            <w:r>
              <w:rPr>
                <w:rFonts w:cs="宋体"/>
                <w:sz w:val="21"/>
                <w:szCs w:val="21"/>
              </w:rPr>
              <w:t xml:space="preserve">1</w:t>
            </w:r>
            <w:r>
              <w:rPr>
                <w:rFonts w:hint="eastAsia" w:cs="宋体"/>
                <w:sz w:val="21"/>
                <w:szCs w:val="21"/>
              </w:rPr>
              <w:t xml:space="preserve">分；扣完为止。</w:t>
            </w:r>
            <w:r>
              <w:rPr>
                <w:rFonts w:hint="eastAsia" w:cs="宋体"/>
                <w:sz w:val="21"/>
                <w:szCs w:val="21"/>
              </w:rPr>
            </w:r>
            <w:r/>
          </w:p>
        </w:tc>
        <w:tc>
          <w:tcPr>
            <w:tcW w:w="820" w:type="dxa"/>
            <w:vAlign w:val="center"/>
            <w:textDirection w:val="lrTb"/>
            <w:noWrap w:val="false"/>
          </w:tcPr>
          <w:p>
            <w:pPr>
              <w:pStyle w:val="907"/>
              <w:jc w:val="center"/>
              <w:spacing w:line="360" w:lineRule="auto"/>
              <w:widowControl/>
              <w:rPr>
                <w:rFonts w:ascii="宋体" w:hAnsi="宋体" w:cs="宋体"/>
                <w:szCs w:val="21"/>
              </w:rPr>
            </w:pPr>
            <w:r>
              <w:rPr>
                <w:rFonts w:ascii="宋体" w:hAnsi="宋体" w:cs="宋体"/>
                <w:szCs w:val="21"/>
              </w:rPr>
              <w:t xml:space="preserve">30</w:t>
            </w:r>
            <w:r>
              <w:rPr>
                <w:rFonts w:ascii="宋体" w:hAnsi="宋体" w:cs="宋体"/>
                <w:szCs w:val="21"/>
              </w:rPr>
            </w:r>
            <w:r/>
          </w:p>
        </w:tc>
      </w:tr>
      <w:tr>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视频演示</w:t>
            </w:r>
            <w:r>
              <w:rPr>
                <w:rFonts w:hint="eastAsia" w:ascii="宋体" w:hAnsi="宋体" w:cs="宋体"/>
                <w:b/>
                <w:szCs w:val="21"/>
              </w:rPr>
            </w:r>
            <w:r/>
          </w:p>
          <w:p>
            <w:pPr>
              <w:pStyle w:val="907"/>
              <w:jc w:val="center"/>
              <w:spacing w:line="360" w:lineRule="auto"/>
              <w:rPr>
                <w:rFonts w:hint="eastAsia"/>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分）</w:t>
            </w:r>
            <w:r>
              <w:rPr>
                <w:rFonts w:hint="eastAsia"/>
              </w:rPr>
            </w:r>
            <w:r/>
          </w:p>
        </w:tc>
        <w:tc>
          <w:tcPr>
            <w:tcW w:w="7119" w:type="dxa"/>
            <w:vAlign w:val="center"/>
            <w:textDirection w:val="lrTb"/>
            <w:noWrap w:val="false"/>
          </w:tcPr>
          <w:p>
            <w:pPr>
              <w:pStyle w:val="1014"/>
              <w:ind w:firstLine="420"/>
              <w:spacing w:line="300" w:lineRule="auto"/>
              <w:rPr>
                <w:rFonts w:hint="eastAsia" w:cs="宋体"/>
                <w:sz w:val="21"/>
                <w:szCs w:val="21"/>
              </w:rPr>
            </w:pPr>
            <w:r>
              <w:rPr>
                <w:rFonts w:hint="eastAsia" w:cs="宋体"/>
                <w:sz w:val="21"/>
                <w:szCs w:val="21"/>
              </w:rPr>
              <w:t xml:space="preserve">3.1视频演示中欧班列：1）以三维形式展示铁路货运站功能区域介绍货运室、装卸工人休息室、装卸机械修理所、门卫室、堆货场、货物站台、</w:t>
            </w:r>
            <w:r>
              <w:rPr>
                <w:rFonts w:hint="eastAsia" w:cs="宋体"/>
                <w:sz w:val="21"/>
                <w:szCs w:val="21"/>
              </w:rPr>
              <w:t xml:space="preserve">仓库等内容；2）以三维形式展示铁路货运站配线介绍装卸线、存车线、牵入牵出线、轨道衡线等内容；3）以三维形式展示国内(疆内)一类二类不少于4个主要口岸口岸办公区、集装箱泊位、集装箱堆场、货运站、控制室、检查口功能区等内容；4）展示中欧班列东、中、西三条通道运行线路，鼠标或手柄点击对应线路每条线路，可详细介绍沿线站点、运营状况、货运特点等内容；5）以三维方式展示内陆港区域，并包含以下介绍停车场线、货物查验、装卸站台、仓库堆场、分拣厂房、办公大厦、生产和生活配套、冷链物流仓储中心等等内容；演示每符合以上1点的得0</w:t>
            </w:r>
            <w:r>
              <w:rPr>
                <w:rFonts w:cs="宋体"/>
                <w:sz w:val="21"/>
                <w:szCs w:val="21"/>
              </w:rPr>
              <w:t xml:space="preserve">.4</w:t>
            </w:r>
            <w:r>
              <w:rPr>
                <w:rFonts w:hint="eastAsia" w:cs="宋体"/>
                <w:sz w:val="21"/>
                <w:szCs w:val="21"/>
              </w:rPr>
              <w:t xml:space="preserve">分，不符合的不得分</w:t>
            </w:r>
            <w:r>
              <w:rPr>
                <w:rFonts w:cs="宋体"/>
                <w:sz w:val="21"/>
                <w:szCs w:val="21"/>
              </w:rPr>
              <w:t xml:space="preserve">，最高得2分</w:t>
            </w:r>
            <w:r>
              <w:rPr>
                <w:rFonts w:hint="eastAsia" w:cs="宋体"/>
                <w:sz w:val="21"/>
                <w:szCs w:val="21"/>
              </w:rPr>
              <w:t xml:space="preserve">。</w:t>
            </w:r>
            <w:r>
              <w:rPr>
                <w:rFonts w:hint="eastAsia" w:cs="宋体"/>
                <w:sz w:val="21"/>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r>
      <w:tr>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center"/>
            <w:textDirection w:val="lrTb"/>
            <w:noWrap w:val="false"/>
          </w:tcPr>
          <w:p>
            <w:pPr>
              <w:pStyle w:val="1014"/>
              <w:ind w:firstLine="420"/>
              <w:spacing w:line="300" w:lineRule="auto"/>
              <w:rPr>
                <w:rFonts w:hint="eastAsia" w:cs="宋体"/>
                <w:sz w:val="21"/>
                <w:szCs w:val="21"/>
              </w:rPr>
            </w:pPr>
            <w:r>
              <w:rPr>
                <w:rFonts w:hint="eastAsia" w:cs="宋体"/>
                <w:sz w:val="21"/>
                <w:szCs w:val="21"/>
              </w:rPr>
              <w:t xml:space="preserve">3.2视频演示相关运输仿真规划设计分析案例，案例能产生运行数据和分析数据，数据信息中应至少包含托运货物的信息（名称、数量、毛重、体积等），案例可以导入2D/3D地图作为运输环境背景；演示符合以上要求的得</w:t>
            </w:r>
            <w:r>
              <w:rPr>
                <w:rFonts w:cs="宋体"/>
                <w:sz w:val="21"/>
                <w:szCs w:val="21"/>
              </w:rPr>
              <w:t xml:space="preserve">2</w:t>
            </w:r>
            <w:r>
              <w:rPr>
                <w:rFonts w:hint="eastAsia" w:cs="宋体"/>
                <w:sz w:val="21"/>
                <w:szCs w:val="21"/>
              </w:rPr>
              <w:t xml:space="preserve">分；不符合的不得分。</w:t>
            </w:r>
            <w:r>
              <w:rPr>
                <w:rFonts w:hint="eastAsia" w:cs="宋体"/>
                <w:sz w:val="21"/>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r>
      <w:tr>
        <w:trPr>
          <w:trHeight w:val="1755"/>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建设方案设计</w:t>
            </w:r>
            <w:r>
              <w:rPr>
                <w:rFonts w:ascii="宋体" w:hAnsi="宋体" w:cs="宋体"/>
                <w:b/>
                <w:szCs w:val="21"/>
              </w:rPr>
            </w:r>
            <w:r/>
          </w:p>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hint="eastAsia" w:ascii="宋体" w:hAnsi="宋体" w:cs="宋体"/>
                <w:b/>
                <w:szCs w:val="21"/>
              </w:rPr>
              <w:t xml:space="preserve">（</w:t>
            </w:r>
            <w:r>
              <w:rPr>
                <w:rFonts w:ascii="宋体" w:hAnsi="宋体" w:cs="宋体"/>
                <w:b/>
                <w:szCs w:val="21"/>
              </w:rPr>
              <w:t xml:space="preserve">7</w:t>
            </w:r>
            <w:r>
              <w:rPr>
                <w:rFonts w:hint="eastAsia" w:ascii="宋体" w:hAnsi="宋体" w:cs="宋体"/>
                <w:b/>
                <w:szCs w:val="21"/>
              </w:rPr>
              <w:t xml:space="preserve">分）</w:t>
            </w:r>
            <w:r>
              <w:rPr>
                <w:rFonts w:ascii="宋体" w:hAnsi="宋体" w:cs="宋体"/>
                <w:b/>
                <w:szCs w:val="21"/>
              </w:rPr>
            </w:r>
            <w:r/>
          </w:p>
        </w:tc>
        <w:tc>
          <w:tcPr>
            <w:tcW w:w="7119" w:type="dxa"/>
            <w:vAlign w:val="center"/>
            <w:textDirection w:val="lrTb"/>
            <w:noWrap w:val="false"/>
          </w:tcPr>
          <w:p>
            <w:pPr>
              <w:pStyle w:val="1014"/>
              <w:ind w:firstLine="420"/>
              <w:spacing w:line="300" w:lineRule="auto"/>
              <w:rPr>
                <w:rFonts w:hint="eastAsia" w:cs="宋体"/>
                <w:sz w:val="21"/>
                <w:szCs w:val="21"/>
              </w:rPr>
              <w:pBdr>
                <w:top w:val="none" w:color="000000" w:sz="4" w:space="0"/>
                <w:left w:val="none" w:color="000000" w:sz="4" w:space="0"/>
                <w:bottom w:val="none" w:color="000000" w:sz="4" w:space="0"/>
                <w:right w:val="none" w:color="000000" w:sz="4" w:space="0"/>
              </w:pBdr>
            </w:pPr>
            <w:r>
              <w:rPr>
                <w:rFonts w:hint="eastAsia" w:cs="宋体"/>
                <w:sz w:val="21"/>
                <w:szCs w:val="21"/>
              </w:rPr>
              <w:t xml:space="preserve">4.1</w:t>
            </w:r>
            <w:r>
              <w:rPr>
                <w:rFonts w:cs="宋体"/>
                <w:sz w:val="21"/>
                <w:szCs w:val="21"/>
              </w:rPr>
              <w:t xml:space="preserve">提供针对本项目完整的设计效果图（含鸟瞰图</w:t>
            </w:r>
            <w:r>
              <w:rPr>
                <w:rFonts w:hint="eastAsia" w:cs="宋体"/>
                <w:sz w:val="21"/>
                <w:szCs w:val="21"/>
              </w:rPr>
              <w:t xml:space="preserve">1</w:t>
            </w:r>
            <w:r>
              <w:rPr>
                <w:rFonts w:cs="宋体"/>
                <w:sz w:val="21"/>
                <w:szCs w:val="21"/>
              </w:rPr>
              <w:t xml:space="preserve">张、细节图不少于</w:t>
            </w:r>
            <w:r>
              <w:rPr>
                <w:rFonts w:hint="eastAsia" w:cs="宋体"/>
                <w:sz w:val="21"/>
                <w:szCs w:val="21"/>
              </w:rPr>
              <w:t xml:space="preserve">6</w:t>
            </w:r>
            <w:r>
              <w:rPr>
                <w:rFonts w:cs="宋体"/>
                <w:sz w:val="21"/>
                <w:szCs w:val="21"/>
              </w:rPr>
              <w:t xml:space="preserve"> 张（规划设计与体验中心</w:t>
            </w:r>
            <w:r>
              <w:rPr>
                <w:rFonts w:hint="eastAsia" w:cs="宋体"/>
                <w:sz w:val="21"/>
                <w:szCs w:val="21"/>
              </w:rPr>
              <w:t xml:space="preserve">，</w:t>
            </w:r>
            <w:r>
              <w:rPr>
                <w:rFonts w:cs="宋体"/>
                <w:sz w:val="21"/>
                <w:szCs w:val="21"/>
              </w:rPr>
              <w:t xml:space="preserve">虚拟仿真操作中心</w:t>
            </w:r>
            <w:r>
              <w:rPr>
                <w:rFonts w:hint="eastAsia" w:cs="宋体"/>
                <w:sz w:val="21"/>
                <w:szCs w:val="21"/>
              </w:rPr>
              <w:t xml:space="preserve">，</w:t>
            </w:r>
            <w:r>
              <w:rPr>
                <w:rFonts w:cs="宋体"/>
                <w:sz w:val="21"/>
                <w:szCs w:val="21"/>
              </w:rPr>
              <w:t xml:space="preserve">公空、公铁、公水、铁水联运等</w:t>
            </w:r>
            <w:r>
              <w:rPr>
                <w:rFonts w:hint="eastAsia" w:cs="宋体"/>
                <w:sz w:val="21"/>
                <w:szCs w:val="21"/>
              </w:rPr>
              <w:t xml:space="preserve">区域</w:t>
            </w:r>
            <w:r>
              <w:rPr>
                <w:rFonts w:cs="宋体"/>
                <w:sz w:val="21"/>
                <w:szCs w:val="21"/>
              </w:rPr>
              <w:t xml:space="preserve">）），效果图</w:t>
            </w:r>
            <w:r>
              <w:rPr>
                <w:rFonts w:hint="eastAsia" w:cs="宋体"/>
                <w:sz w:val="21"/>
                <w:szCs w:val="21"/>
              </w:rPr>
              <w:t xml:space="preserve">优于招标文件要求的</w:t>
            </w:r>
            <w:r>
              <w:rPr>
                <w:rFonts w:cs="宋体"/>
                <w:sz w:val="21"/>
                <w:szCs w:val="21"/>
              </w:rPr>
              <w:t xml:space="preserve">得5分；符合招标要求文件的得3分；不符合招标文件要求或未提供的不得分。</w:t>
            </w:r>
            <w:r>
              <w:rPr>
                <w:rFonts w:hint="eastAsia" w:cs="宋体"/>
                <w:sz w:val="21"/>
                <w:szCs w:val="21"/>
              </w:rPr>
            </w:r>
            <w:r/>
          </w:p>
        </w:tc>
        <w:tc>
          <w:tcPr>
            <w:tcW w:w="820" w:type="dxa"/>
            <w:vAlign w:val="center"/>
            <w:textDirection w:val="lrTb"/>
            <w:noWrap w:val="false"/>
          </w:tcPr>
          <w:p>
            <w:pPr>
              <w:pStyle w:val="907"/>
              <w:jc w:val="center"/>
              <w:spacing w:line="31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5</w:t>
            </w:r>
            <w:r/>
          </w:p>
        </w:tc>
      </w:tr>
      <w:tr>
        <w:trPr>
          <w:trHeight w:val="1755"/>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r>
            <w:r/>
          </w:p>
        </w:tc>
        <w:tc>
          <w:tcPr>
            <w:tcW w:w="7119" w:type="dxa"/>
            <w:vAlign w:val="center"/>
            <w:textDirection w:val="lrTb"/>
            <w:noWrap w:val="false"/>
          </w:tcPr>
          <w:p>
            <w:pPr>
              <w:pStyle w:val="1014"/>
              <w:ind w:firstLine="420"/>
              <w:spacing w:line="300" w:lineRule="auto"/>
              <w:rPr>
                <w:rFonts w:cs="宋体"/>
                <w:sz w:val="21"/>
                <w:szCs w:val="21"/>
              </w:rPr>
              <w:pBdr>
                <w:top w:val="none" w:color="000000" w:sz="4" w:space="0"/>
                <w:left w:val="none" w:color="000000" w:sz="4" w:space="0"/>
                <w:bottom w:val="none" w:color="000000" w:sz="4" w:space="0"/>
                <w:right w:val="none" w:color="000000" w:sz="4" w:space="0"/>
              </w:pBdr>
            </w:pPr>
            <w:r>
              <w:rPr>
                <w:rFonts w:hint="eastAsia" w:cs="宋体"/>
                <w:sz w:val="21"/>
                <w:szCs w:val="21"/>
              </w:rPr>
              <w:t xml:space="preserve">4.2</w:t>
            </w:r>
            <w:r>
              <w:rPr>
                <w:rFonts w:cs="宋体"/>
                <w:sz w:val="21"/>
                <w:szCs w:val="21"/>
              </w:rPr>
              <w:t xml:space="preserve">提供平面布置图，平面布置图与实际场地为基础，考虑教学需求及人员疏散宽度、距离，按照设备实际尺寸，进行合理布置，标明每种设备名称，需要用电的设备应布置相应供电线路，给出供电</w:t>
            </w:r>
            <w:r>
              <w:rPr>
                <w:rFonts w:hint="eastAsia" w:cs="宋体"/>
                <w:sz w:val="21"/>
                <w:szCs w:val="21"/>
              </w:rPr>
              <w:t xml:space="preserve">、网络</w:t>
            </w:r>
            <w:r>
              <w:rPr>
                <w:rFonts w:cs="宋体"/>
                <w:sz w:val="21"/>
                <w:szCs w:val="21"/>
              </w:rPr>
              <w:t xml:space="preserve">线路布置示意图，标明电路</w:t>
            </w:r>
            <w:r>
              <w:rPr>
                <w:rFonts w:hint="eastAsia" w:cs="宋体"/>
                <w:sz w:val="21"/>
                <w:szCs w:val="21"/>
              </w:rPr>
              <w:t xml:space="preserve">、网线</w:t>
            </w:r>
            <w:r>
              <w:rPr>
                <w:rFonts w:cs="宋体"/>
                <w:sz w:val="21"/>
                <w:szCs w:val="21"/>
              </w:rPr>
              <w:t xml:space="preserve">走向及插座位置</w:t>
            </w:r>
            <w:r>
              <w:rPr>
                <w:rFonts w:hint="eastAsia" w:cs="宋体"/>
                <w:sz w:val="21"/>
                <w:szCs w:val="21"/>
              </w:rPr>
              <w:t xml:space="preserve">，以及桌椅尺寸、开孔位置</w:t>
            </w:r>
            <w:r>
              <w:rPr>
                <w:rFonts w:cs="宋体"/>
                <w:sz w:val="21"/>
                <w:szCs w:val="21"/>
              </w:rPr>
              <w:t xml:space="preserve">等安排合理，</w:t>
            </w:r>
            <w:r>
              <w:rPr>
                <w:rFonts w:hint="eastAsia" w:cs="宋体"/>
                <w:sz w:val="21"/>
                <w:szCs w:val="21"/>
              </w:rPr>
              <w:t xml:space="preserve">平面</w:t>
            </w:r>
            <w:r>
              <w:rPr>
                <w:rFonts w:cs="宋体"/>
                <w:sz w:val="21"/>
                <w:szCs w:val="21"/>
              </w:rPr>
              <w:t xml:space="preserve">图符合招标要求文件的得2分；不符合招标文件要求或未提供的不得分。</w:t>
            </w:r>
            <w:r>
              <w:rPr>
                <w:rFonts w:cs="宋体"/>
                <w:sz w:val="21"/>
                <w:szCs w:val="21"/>
              </w:rPr>
            </w:r>
            <w:r/>
          </w:p>
        </w:tc>
        <w:tc>
          <w:tcPr>
            <w:tcW w:w="820" w:type="dxa"/>
            <w:vAlign w:val="center"/>
            <w:textDirection w:val="lrTb"/>
            <w:noWrap w:val="false"/>
          </w:tcPr>
          <w:p>
            <w:pPr>
              <w:pStyle w:val="907"/>
              <w:jc w:val="center"/>
              <w:spacing w:line="315" w:lineRule="atLeast"/>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w:t>
            </w:r>
            <w:r>
              <w:rPr>
                <w:rFonts w:ascii="宋体" w:hAnsi="宋体" w:cs="宋体"/>
                <w:color w:val="000000"/>
              </w:rPr>
            </w:r>
            <w:r/>
          </w:p>
        </w:tc>
      </w:tr>
      <w:tr>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ascii="宋体" w:hAnsi="宋体" w:cs="宋体"/>
                <w:b/>
                <w:szCs w:val="21"/>
              </w:rPr>
              <w:t xml:space="preserve">5</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ascii="宋体" w:hAnsi="宋体" w:cs="宋体"/>
                <w:b/>
                <w:szCs w:val="21"/>
              </w:rPr>
            </w:pPr>
            <w:r>
              <w:rPr>
                <w:rFonts w:hint="eastAsia" w:ascii="宋体" w:hAnsi="宋体" w:cs="宋体"/>
                <w:b/>
                <w:szCs w:val="21"/>
              </w:rPr>
              <w:t xml:space="preserve">项目实施方案</w:t>
            </w:r>
            <w:r>
              <w:rPr>
                <w:rFonts w:ascii="宋体" w:hAnsi="宋体" w:cs="宋体"/>
                <w:b/>
                <w:szCs w:val="21"/>
              </w:rPr>
            </w:r>
            <w:r/>
          </w:p>
          <w:p>
            <w:pPr>
              <w:pStyle w:val="907"/>
              <w:jc w:val="center"/>
              <w:spacing w:line="360" w:lineRule="auto"/>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10</w:t>
            </w:r>
            <w:r>
              <w:rPr>
                <w:rFonts w:hint="eastAsia" w:ascii="宋体" w:hAnsi="宋体" w:cs="宋体"/>
                <w:b/>
                <w:szCs w:val="21"/>
              </w:rPr>
              <w:t xml:space="preserve">分）</w:t>
            </w:r>
            <w:r>
              <w:rPr>
                <w:rFonts w:hint="eastAsia" w:ascii="宋体" w:hAnsi="宋体" w:cs="宋体"/>
                <w:b/>
                <w:szCs w:val="21"/>
              </w:rPr>
            </w:r>
            <w:r/>
          </w:p>
        </w:tc>
        <w:tc>
          <w:tcPr>
            <w:tcW w:w="7119" w:type="dxa"/>
            <w:vAlign w:val="top"/>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5.1评委根据投标人提供的</w:t>
            </w:r>
            <w:r>
              <w:rPr>
                <w:rFonts w:hint="eastAsia" w:ascii="宋体" w:hAnsi="宋体" w:cs="宋体"/>
                <w:b/>
                <w:bCs/>
                <w:szCs w:val="21"/>
              </w:rPr>
              <w:t xml:space="preserve">针对本项目的总体实施方案（项目需求、项目特点）</w:t>
            </w:r>
            <w:r>
              <w:rPr>
                <w:rFonts w:hint="eastAsia" w:ascii="宋体" w:hAnsi="宋体" w:cs="宋体"/>
                <w:szCs w:val="21"/>
              </w:rPr>
              <w:t xml:space="preserve">进行综合评分：施工方案</w:t>
            </w:r>
            <w:r>
              <w:rPr>
                <w:rFonts w:hint="eastAsia" w:cs="宋体"/>
                <w:szCs w:val="21"/>
              </w:rPr>
              <w:t xml:space="preserve">优于招标文件要求的</w:t>
            </w:r>
            <w:r>
              <w:rPr>
                <w:rFonts w:cs="宋体"/>
                <w:szCs w:val="21"/>
              </w:rPr>
              <w:t xml:space="preserve">得5分；符合招标要求文件的得3分；不符合招标文件要求或未提供的不得分。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1441"/>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top"/>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5.2评委根据投标人提供的</w:t>
            </w:r>
            <w:r>
              <w:rPr>
                <w:rFonts w:hint="eastAsia" w:ascii="宋体" w:hAnsi="宋体" w:cs="宋体"/>
                <w:b/>
                <w:bCs/>
                <w:szCs w:val="21"/>
              </w:rPr>
              <w:t xml:space="preserve">项目进度安排（包括但不限于采购设备进场、安装、调试及验收）</w:t>
            </w:r>
            <w:r>
              <w:rPr>
                <w:rFonts w:hint="eastAsia" w:ascii="宋体" w:hAnsi="宋体" w:cs="宋体"/>
                <w:szCs w:val="21"/>
              </w:rPr>
              <w:t xml:space="preserve">进行综合评分：进度安排</w:t>
            </w:r>
            <w:r>
              <w:rPr>
                <w:rFonts w:hint="eastAsia" w:cs="宋体"/>
                <w:szCs w:val="21"/>
              </w:rPr>
              <w:t xml:space="preserve">优于招标文件要求的</w:t>
            </w:r>
            <w:r>
              <w:rPr>
                <w:rFonts w:cs="宋体"/>
                <w:szCs w:val="21"/>
              </w:rPr>
              <w:t xml:space="preserve">得5分；符合招标要求文件的得3分；不符合招标文件要求或未提供的不得分。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ascii="宋体" w:hAnsi="宋体" w:cs="宋体"/>
                <w:szCs w:val="21"/>
              </w:rPr>
            </w:pPr>
            <w:r>
              <w:rPr>
                <w:rFonts w:ascii="宋体" w:hAnsi="宋体" w:cs="宋体"/>
                <w:szCs w:val="21"/>
              </w:rPr>
              <w:t xml:space="preserve">5</w:t>
            </w:r>
            <w:r>
              <w:rPr>
                <w:rFonts w:ascii="宋体" w:hAnsi="宋体" w:cs="宋体"/>
                <w:szCs w:val="21"/>
              </w:rPr>
            </w:r>
            <w:r/>
          </w:p>
        </w:tc>
      </w:tr>
      <w:tr>
        <w:trPr>
          <w:trHeight w:val="995"/>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ascii="宋体" w:hAnsi="宋体" w:cs="宋体"/>
                <w:b/>
                <w:szCs w:val="21"/>
              </w:rPr>
              <w:t xml:space="preserve">6</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技术服务方案</w:t>
            </w:r>
            <w:r>
              <w:rPr>
                <w:rFonts w:hint="eastAsia" w:ascii="宋体" w:hAnsi="宋体" w:cs="宋体"/>
                <w:b/>
                <w:szCs w:val="21"/>
              </w:rPr>
            </w:r>
            <w:r/>
          </w:p>
          <w:p>
            <w:pPr>
              <w:pStyle w:val="907"/>
              <w:jc w:val="center"/>
              <w:spacing w:line="360" w:lineRule="auto"/>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9</w:t>
            </w:r>
            <w:r>
              <w:rPr>
                <w:rFonts w:hint="eastAsia" w:ascii="宋体" w:hAnsi="宋体" w:cs="宋体"/>
                <w:b/>
                <w:szCs w:val="21"/>
              </w:rPr>
              <w:t xml:space="preserve">分）</w:t>
            </w: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6.1评委根据投标人提供的</w:t>
            </w:r>
            <w:r>
              <w:rPr>
                <w:rFonts w:hint="eastAsia" w:ascii="宋体" w:hAnsi="宋体" w:cs="宋体"/>
                <w:b/>
                <w:bCs/>
                <w:szCs w:val="21"/>
              </w:rPr>
              <w:t xml:space="preserve">售后服务方案（保修期内上门现场服务、定期现场维护保养、技术支持服务、保修期后维护服务承诺等）</w:t>
            </w:r>
            <w:r>
              <w:rPr>
                <w:rFonts w:hint="eastAsia" w:ascii="宋体" w:hAnsi="宋体" w:cs="宋体"/>
                <w:szCs w:val="21"/>
              </w:rPr>
              <w:t xml:space="preserve">进行评价：售后服务方案</w:t>
            </w:r>
            <w:r>
              <w:rPr>
                <w:rFonts w:hint="eastAsia" w:cs="宋体"/>
                <w:szCs w:val="21"/>
              </w:rPr>
              <w:t xml:space="preserve">优于招标文件要求的</w:t>
            </w:r>
            <w:r>
              <w:rPr>
                <w:rFonts w:cs="宋体"/>
                <w:szCs w:val="21"/>
              </w:rPr>
              <w:t xml:space="preserve">得5分；符合招标要求文件的得3分；不符合招标文件要求或未提供的不得分。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995"/>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6.2评委根据投标人提供的</w:t>
            </w:r>
            <w:r>
              <w:rPr>
                <w:rFonts w:hint="eastAsia" w:ascii="宋体" w:hAnsi="宋体" w:cs="宋体"/>
                <w:b/>
                <w:bCs/>
                <w:szCs w:val="21"/>
              </w:rPr>
              <w:t xml:space="preserve">培训方案（包含：培训计划、培训课程等）</w:t>
            </w:r>
            <w:r>
              <w:rPr>
                <w:rFonts w:hint="eastAsia" w:ascii="宋体" w:hAnsi="宋体" w:cs="宋体"/>
                <w:szCs w:val="21"/>
              </w:rPr>
              <w:t xml:space="preserve">进行评价：培训课程（多式联运综合实训、多式联运虚拟仿真操作实训、多式联运规划设计与分析实训等）安排全面，时间安排合理，能够针对不同设备使用场景（日常使用、维护）提供培训计划。培训计划</w:t>
            </w:r>
            <w:r>
              <w:rPr>
                <w:rFonts w:hint="eastAsia" w:cs="宋体"/>
                <w:szCs w:val="21"/>
              </w:rPr>
              <w:t xml:space="preserve">优于招标文件要求的</w:t>
            </w:r>
            <w:r>
              <w:rPr>
                <w:rFonts w:cs="宋体"/>
                <w:szCs w:val="21"/>
              </w:rPr>
              <w:t xml:space="preserve">得4分；符合招标要求文件的得2分；不符合招标文件要求或未提供的不得分。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ascii="宋体" w:hAnsi="宋体" w:cs="宋体"/>
                <w:b/>
                <w:szCs w:val="21"/>
              </w:rPr>
              <w:t xml:space="preserve">7</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人员要求</w:t>
            </w:r>
            <w:r>
              <w:rPr>
                <w:rFonts w:ascii="宋体" w:hAnsi="宋体" w:cs="宋体"/>
                <w:b/>
                <w:szCs w:val="21"/>
              </w:rPr>
            </w:r>
            <w:r/>
          </w:p>
          <w:p>
            <w:pPr>
              <w:pStyle w:val="907"/>
              <w:jc w:val="center"/>
              <w:spacing w:line="360" w:lineRule="auto"/>
              <w:rPr>
                <w:rFonts w:hint="eastAsia"/>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分）</w:t>
            </w:r>
            <w:r>
              <w:rPr>
                <w:rFonts w:hint="eastAsia"/>
              </w:rPr>
            </w:r>
            <w:r/>
          </w:p>
        </w:tc>
        <w:tc>
          <w:tcPr>
            <w:tcW w:w="7119" w:type="dxa"/>
            <w:vAlign w:val="center"/>
            <w:textDirection w:val="lrTb"/>
            <w:noWrap w:val="false"/>
          </w:tcPr>
          <w:p>
            <w:pPr>
              <w:pStyle w:val="907"/>
              <w:ind w:firstLine="420"/>
              <w:jc w:val="left"/>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7.1</w:t>
            </w:r>
            <w:r>
              <w:rPr>
                <w:rFonts w:ascii="宋体" w:hAnsi="宋体" w:cs="宋体"/>
                <w:szCs w:val="21"/>
              </w:rPr>
              <w:t xml:space="preserve">参与建设本项目的团队人员需具有</w:t>
            </w:r>
            <w:r>
              <w:rPr>
                <w:rFonts w:hint="eastAsia" w:ascii="宋体" w:hAnsi="宋体" w:cs="宋体"/>
                <w:szCs w:val="21"/>
              </w:rPr>
              <w:t xml:space="preserve">高级工程师、软件设计师（中级）、系统集成项目管理工程师（中级）等国家职称、计算机技术职业资格证书</w:t>
            </w:r>
            <w:r>
              <w:rPr>
                <w:rFonts w:hint="eastAsia" w:ascii="宋体" w:hAnsi="宋体" w:cs="宋体"/>
              </w:rPr>
              <w:t xml:space="preserve">，</w:t>
            </w:r>
            <w:r>
              <w:rPr>
                <w:rFonts w:ascii="宋体" w:hAnsi="宋体" w:cs="宋体"/>
                <w:szCs w:val="21"/>
              </w:rPr>
              <w:t xml:space="preserve">每提供一项得1分（提供多个相同资格人员不重复得分，同一人员具备多个资格不重复得分），最高得3分。（提供上述证书复印件和近三个月（2024年8月、2024年9月、2024年10月）任意一个月的社保证明材料并加盖公章，否则不得分）</w:t>
            </w:r>
            <w:r/>
          </w:p>
        </w:tc>
        <w:tc>
          <w:tcPr>
            <w:tcW w:w="820" w:type="dxa"/>
            <w:vAlign w:val="center"/>
            <w:textDirection w:val="lrTb"/>
            <w:noWrap w:val="false"/>
          </w:tcPr>
          <w:p>
            <w:pPr>
              <w:pStyle w:val="907"/>
              <w:jc w:val="center"/>
              <w:spacing w:line="31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3</w:t>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8</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履约能力（5分）</w:t>
            </w: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8.1根据投标人提供的自 2021年 1 月 1 日以来（日期以验收时间为准）由供应商自身完成的同类项目的业绩情况进行打分，每提供 1 份有效业绩的证明材料的得 1 分，满分5分。</w:t>
            </w:r>
            <w:r>
              <w:rPr>
                <w:rFonts w:ascii="宋体" w:hAnsi="宋体" w:cs="宋体"/>
                <w:szCs w:val="21"/>
              </w:rPr>
            </w:r>
            <w:r/>
          </w:p>
          <w:p>
            <w:pPr>
              <w:pStyle w:val="907"/>
              <w:ind w:firstLine="420"/>
              <w:jc w:val="left"/>
              <w:spacing w:line="360" w:lineRule="auto"/>
              <w:rPr>
                <w:rFonts w:hint="eastAsia" w:ascii="宋体" w:hAnsi="宋体" w:cs="宋体"/>
                <w:szCs w:val="21"/>
              </w:rPr>
            </w:pPr>
            <w:r>
              <w:rPr>
                <w:rFonts w:ascii="宋体" w:hAnsi="宋体" w:cs="宋体"/>
                <w:szCs w:val="21"/>
              </w:rPr>
              <w:t xml:space="preserve">评审依据：投标人须列表并提供采购合同文本复印件，以及能够证明该业绩项目已经采购人验收合格的相关证明文件复印件，所有材料缺一不可，否则不得分。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1400"/>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9</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ascii="宋体" w:hAnsi="宋体" w:cs="宋体"/>
                <w:b/>
                <w:szCs w:val="21"/>
              </w:rPr>
            </w:pPr>
            <w:r>
              <w:rPr>
                <w:rFonts w:hint="eastAsia" w:ascii="宋体" w:hAnsi="宋体" w:cs="宋体"/>
                <w:b/>
                <w:szCs w:val="21"/>
              </w:rPr>
              <w:t xml:space="preserve">节能环保</w:t>
            </w:r>
            <w:r>
              <w:rPr>
                <w:rFonts w:ascii="宋体" w:hAnsi="宋体" w:cs="宋体"/>
                <w:b/>
                <w:szCs w:val="21"/>
              </w:rPr>
            </w:r>
            <w:r/>
          </w:p>
          <w:p>
            <w:pPr>
              <w:pStyle w:val="919"/>
              <w:jc w:val="center"/>
              <w:rPr>
                <w:rFonts w:hint="eastAsia"/>
              </w:rPr>
            </w:pPr>
            <w:r>
              <w:rPr>
                <w:rFonts w:hint="eastAsia" w:ascii="宋体" w:hAnsi="宋体" w:cs="宋体"/>
                <w:b/>
                <w:szCs w:val="21"/>
              </w:rPr>
              <w:t xml:space="preserve">（</w:t>
            </w:r>
            <w:r>
              <w:rPr>
                <w:rFonts w:ascii="宋体" w:hAnsi="宋体" w:cs="宋体"/>
                <w:b/>
                <w:szCs w:val="21"/>
              </w:rPr>
              <w:t xml:space="preserve">2</w:t>
            </w:r>
            <w:r>
              <w:rPr>
                <w:rFonts w:hint="eastAsia" w:ascii="宋体" w:hAnsi="宋体" w:cs="宋体"/>
                <w:b/>
                <w:szCs w:val="21"/>
              </w:rPr>
              <w:t xml:space="preserve">分）</w:t>
            </w:r>
            <w:r>
              <w:rPr>
                <w:rFonts w:hint="eastAsia"/>
              </w:rPr>
            </w:r>
            <w:r/>
          </w:p>
        </w:tc>
        <w:tc>
          <w:tcPr>
            <w:tcW w:w="7119" w:type="dxa"/>
            <w:vAlign w:val="center"/>
            <w:textDirection w:val="lrTb"/>
            <w:noWrap w:val="false"/>
          </w:tcPr>
          <w:p>
            <w:pPr>
              <w:pStyle w:val="907"/>
              <w:ind w:firstLine="420"/>
              <w:jc w:val="left"/>
              <w:spacing w:line="360" w:lineRule="auto"/>
              <w:rPr>
                <w:rFonts w:hint="eastAsia" w:ascii="宋体" w:hAnsi="宋体"/>
                <w:color w:val="000000"/>
                <w:sz w:val="24"/>
                <w:szCs w:val="24"/>
              </w:rPr>
            </w:pPr>
            <w:r>
              <w:rPr>
                <w:rFonts w:hint="eastAsia" w:ascii="宋体" w:hAnsi="宋体" w:cs="宋体"/>
                <w:szCs w:val="21"/>
              </w:rPr>
              <w:t xml:space="preserve">9.1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olor w:val="000000"/>
                <w:sz w:val="24"/>
                <w:szCs w:val="24"/>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r>
      <w:tr>
        <w:trPr>
          <w:trHeight w:val="1400"/>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olor w:val="000000"/>
                <w:sz w:val="24"/>
                <w:szCs w:val="24"/>
              </w:rPr>
            </w:pPr>
            <w:r>
              <w:rPr>
                <w:rFonts w:hint="eastAsia" w:ascii="宋体" w:hAnsi="宋体" w:cs="宋体"/>
                <w:szCs w:val="21"/>
              </w:rPr>
              <w:t xml:space="preserve">9.2投标产品属于财政部、生态环境部公布的“环境标志产品品目清单”范围内的，投标人提供国家确定的认证机构出具的、处于有效期内的该环保产品认证证书复印件的，有1个得0.5分，最多得1分。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olor w:val="000000"/>
                <w:sz w:val="24"/>
                <w:szCs w:val="24"/>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c>
          <w:tcPr>
            <w:tcW w:w="769" w:type="dxa"/>
            <w:vAlign w:val="center"/>
            <w:textDirection w:val="lrTb"/>
            <w:noWrap w:val="false"/>
          </w:tcPr>
          <w:p>
            <w:pPr>
              <w:pStyle w:val="907"/>
              <w:jc w:val="center"/>
              <w:spacing w:line="360" w:lineRule="auto"/>
              <w:rPr>
                <w:rFonts w:ascii="宋体" w:hAnsi="宋体" w:cs="宋体"/>
                <w:b/>
                <w:szCs w:val="21"/>
              </w:rPr>
            </w:pPr>
            <w:r>
              <w:rPr>
                <w:rFonts w:hint="eastAsia" w:ascii="宋体" w:hAnsi="宋体" w:cs="宋体"/>
                <w:b/>
                <w:szCs w:val="21"/>
              </w:rPr>
              <w:t xml:space="preserve">10</w:t>
            </w:r>
            <w:r>
              <w:rPr>
                <w:rFonts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合计</w:t>
            </w:r>
            <w:r>
              <w:rPr>
                <w:rFonts w:hint="eastAsia" w:ascii="宋体" w:hAnsi="宋体" w:cs="宋体"/>
                <w:b/>
                <w:szCs w:val="21"/>
              </w:rPr>
            </w:r>
            <w:r/>
          </w:p>
        </w:tc>
        <w:tc>
          <w:tcPr>
            <w:tcW w:w="7119" w:type="dxa"/>
            <w:vAlign w:val="center"/>
            <w:textDirection w:val="lrTb"/>
            <w:noWrap w:val="false"/>
          </w:tcPr>
          <w:p>
            <w:pPr>
              <w:pStyle w:val="907"/>
              <w:jc w:val="left"/>
              <w:spacing w:line="360" w:lineRule="auto"/>
              <w:rPr>
                <w:rFonts w:hint="eastAsia" w:ascii="宋体" w:hAnsi="宋体" w:cs="宋体"/>
                <w:szCs w:val="21"/>
              </w:rPr>
            </w:pP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r>
    </w:tbl>
    <w:p>
      <w:pPr>
        <w:pStyle w:val="907"/>
        <w:rPr>
          <w:rFonts w:hint="eastAsia"/>
          <w:color w:val="000000"/>
          <w:szCs w:val="21"/>
        </w:rPr>
      </w:pPr>
      <w:r>
        <w:rPr>
          <w:rFonts w:hint="eastAsia"/>
          <w:color w:val="000000"/>
          <w:szCs w:val="21"/>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07"/>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0"/>
      <w:r/>
      <w:bookmarkEnd w:id="181"/>
      <w:r/>
      <w:bookmarkEnd w:id="192"/>
      <w:r>
        <w:rPr>
          <w:rFonts w:hint="eastAsia" w:ascii="黑体" w:eastAsia="黑体"/>
          <w:bCs/>
          <w:color w:val="000000"/>
          <w:sz w:val="44"/>
          <w:szCs w:val="28"/>
        </w:rPr>
        <w:t xml:space="preserve">文件格式 </w:t>
      </w:r>
      <w:r>
        <w:rPr>
          <w:rFonts w:hint="eastAsia" w:ascii="黑体" w:eastAsia="黑体"/>
          <w:bCs/>
          <w:color w:val="000000"/>
          <w:sz w:val="44"/>
          <w:szCs w:val="28"/>
        </w:rPr>
      </w:r>
      <w:r/>
    </w:p>
    <w:p>
      <w:pPr>
        <w:pStyle w:val="907"/>
        <w:jc w:val="center"/>
        <w:rPr>
          <w:rFonts w:hint="eastAsia" w:ascii="宋体" w:hAnsi="宋体"/>
          <w:b/>
          <w:color w:val="000000"/>
          <w:sz w:val="72"/>
          <w:szCs w:val="21"/>
        </w:rPr>
      </w:pPr>
      <w:r/>
      <w:bookmarkStart w:id="193" w:name="_Hlt26671244"/>
      <w:r/>
      <w:bookmarkEnd w:id="193"/>
      <w:r/>
      <w:bookmarkStart w:id="194" w:name="_Hlt26955039"/>
      <w:r/>
      <w:bookmarkEnd w:id="194"/>
      <w:r/>
      <w:bookmarkStart w:id="195" w:name="_Toc49090576"/>
      <w:r/>
      <w:bookmarkStart w:id="196" w:name="_Toc26554094"/>
      <w:r/>
      <w:bookmarkStart w:id="197" w:name="_Toc120614282"/>
      <w:r>
        <w:rPr>
          <w:rFonts w:hint="eastAsia" w:ascii="宋体" w:hAnsi="宋体"/>
          <w:b/>
          <w:color w:val="000000"/>
          <w:sz w:val="72"/>
          <w:szCs w:val="21"/>
        </w:rPr>
      </w:r>
      <w:r/>
    </w:p>
    <w:p>
      <w:pPr>
        <w:pStyle w:val="90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7"/>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rPr>
          <w:rFonts w:ascii="宋体" w:hAnsi="宋体"/>
          <w:b/>
          <w:bCs/>
          <w:sz w:val="32"/>
          <w:szCs w:val="32"/>
        </w:rPr>
      </w:pPr>
      <w:r>
        <w:rPr>
          <w:rFonts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7"/>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w:t>
      </w:r>
      <w:r>
        <w:rPr>
          <w:rFonts w:ascii="宋体" w:hAnsi="宋体"/>
          <w:sz w:val="24"/>
          <w:szCs w:val="21"/>
        </w:rPr>
      </w:r>
      <w:r/>
    </w:p>
    <w:p>
      <w:pPr>
        <w:pStyle w:val="907"/>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907"/>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7"/>
        <w:ind w:left="480"/>
        <w:rPr>
          <w:rFonts w:ascii="宋体" w:hAnsi="宋体"/>
          <w:b/>
          <w:sz w:val="24"/>
          <w:szCs w:val="21"/>
        </w:rPr>
      </w:pPr>
      <w:r>
        <w:rPr>
          <w:rFonts w:ascii="宋体" w:hAnsi="宋体"/>
          <w:b/>
          <w:sz w:val="24"/>
          <w:szCs w:val="21"/>
        </w:rPr>
      </w:r>
      <w:r/>
    </w:p>
    <w:p>
      <w:pPr>
        <w:pStyle w:val="907"/>
        <w:jc w:val="cente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7"/>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7"/>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7"/>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7"/>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7"/>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7"/>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7"/>
        <w:rPr>
          <w:rFonts w:hint="eastAsia" w:ascii="宋体" w:hAnsi="宋体"/>
          <w:sz w:val="24"/>
          <w:szCs w:val="24"/>
        </w:rPr>
      </w:pPr>
      <w:r>
        <w:rPr>
          <w:rFonts w:hint="eastAsia" w:ascii="宋体" w:hAnsi="宋体"/>
          <w:sz w:val="24"/>
          <w:szCs w:val="24"/>
        </w:rPr>
      </w:r>
      <w:r/>
    </w:p>
    <w:p>
      <w:pPr>
        <w:pStyle w:val="907"/>
        <w:jc w:val="center"/>
        <w:rPr>
          <w:rFonts w:ascii="宋体" w:hAnsi="宋体"/>
          <w:b/>
          <w:sz w:val="24"/>
          <w:szCs w:val="24"/>
        </w:rPr>
      </w:pPr>
      <w:r>
        <w:rPr>
          <w:rFonts w:ascii="宋体" w:hAnsi="宋体"/>
          <w:b/>
          <w:sz w:val="24"/>
          <w:szCs w:val="24"/>
        </w:rPr>
      </w:r>
      <w:r/>
    </w:p>
    <w:p>
      <w:pPr>
        <w:pStyle w:val="907"/>
        <w:jc w:val="center"/>
        <w:rPr>
          <w:rFonts w:ascii="宋体" w:hAnsi="宋体"/>
          <w:b/>
          <w:sz w:val="24"/>
          <w:szCs w:val="24"/>
        </w:rPr>
      </w:pPr>
      <w:r>
        <w:rPr>
          <w:rFonts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val="false"/>
          </w:tcPr>
          <w:p>
            <w:pPr>
              <w:pStyle w:val="907"/>
              <w:rPr>
                <w:rFonts w:hint="eastAsia" w:ascii="宋体" w:hAnsi="宋体"/>
                <w:sz w:val="24"/>
                <w:szCs w:val="24"/>
              </w:rPr>
            </w:pPr>
            <w:r>
              <w:rPr>
                <w:rFonts w:hint="eastAsia" w:ascii="宋体" w:hAnsi="宋体"/>
                <w:sz w:val="24"/>
                <w:szCs w:val="24"/>
              </w:rPr>
            </w:r>
            <w:r/>
          </w:p>
        </w:tc>
      </w:tr>
    </w:tbl>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7"/>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7"/>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7"/>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rPr>
          <w:rFonts w:hint="eastAsia" w:ascii="方正黑体_GBK" w:hAnsi="宋体" w:eastAsia="方正黑体_GBK"/>
          <w:b/>
          <w:sz w:val="32"/>
          <w:szCs w:val="32"/>
        </w:rPr>
      </w:r>
      <w:r/>
    </w:p>
    <w:p>
      <w:pPr>
        <w:pStyle w:val="907"/>
        <w:ind w:left="480"/>
        <w:rPr>
          <w:rFonts w:ascii="宋体" w:hAnsi="宋体"/>
          <w:b/>
          <w:sz w:val="24"/>
          <w:szCs w:val="21"/>
        </w:rPr>
      </w:pPr>
      <w:r>
        <w:rPr>
          <w:rFonts w:ascii="宋体" w:hAnsi="宋体"/>
          <w:b/>
          <w:sz w:val="24"/>
          <w:szCs w:val="21"/>
        </w:rPr>
      </w:r>
      <w:r/>
    </w:p>
    <w:p>
      <w:pPr>
        <w:pStyle w:val="907"/>
        <w:jc w:val="center"/>
        <w:rPr>
          <w:rFonts w:ascii="宋体" w:hAnsi="宋体"/>
          <w:b/>
          <w:color w:val="ff0000"/>
          <w:sz w:val="24"/>
          <w:szCs w:val="24"/>
        </w:rPr>
      </w:pPr>
      <w:r>
        <w:rPr>
          <w:rFonts w:ascii="宋体" w:hAnsi="宋体"/>
          <w:b/>
          <w:color w:val="ff0000"/>
          <w:sz w:val="24"/>
          <w:szCs w:val="24"/>
        </w:rPr>
      </w:r>
      <w:r/>
    </w:p>
    <w:p>
      <w:pPr>
        <w:pStyle w:val="907"/>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7"/>
        <w:rPr>
          <w:rFonts w:hint="eastAsia" w:ascii="宋体" w:hAnsi="宋体"/>
          <w:b/>
          <w:sz w:val="24"/>
          <w:szCs w:val="21"/>
        </w:rPr>
      </w:pPr>
      <w:r>
        <w:rPr>
          <w:rFonts w:hint="eastAsia" w:ascii="宋体" w:hAnsi="宋体"/>
          <w:b/>
          <w:sz w:val="24"/>
          <w:szCs w:val="21"/>
        </w:rPr>
      </w:r>
      <w:r/>
    </w:p>
    <w:p>
      <w:pPr>
        <w:pStyle w:val="907"/>
        <w:ind w:left="480"/>
        <w:rPr>
          <w:rFonts w:ascii="宋体" w:hAnsi="宋体"/>
          <w:b/>
          <w:color w:val="000000"/>
          <w:sz w:val="24"/>
          <w:szCs w:val="21"/>
        </w:rPr>
      </w:pPr>
      <w:r>
        <w:rPr>
          <w:rFonts w:ascii="宋体" w:hAnsi="宋体"/>
          <w:b/>
          <w:color w:val="000000"/>
          <w:sz w:val="24"/>
          <w:szCs w:val="21"/>
        </w:rPr>
      </w:r>
      <w:r/>
    </w:p>
    <w:p>
      <w:pPr>
        <w:pStyle w:val="90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7"/>
        <w:ind w:left="480"/>
        <w:rPr>
          <w:rFonts w:ascii="宋体" w:hAnsi="宋体"/>
          <w:b/>
          <w:color w:val="000000"/>
          <w:sz w:val="24"/>
          <w:szCs w:val="21"/>
        </w:rPr>
      </w:pPr>
      <w:r>
        <w:rPr>
          <w:rFonts w:ascii="宋体" w:hAnsi="宋体"/>
          <w:b/>
          <w:color w:val="000000"/>
          <w:sz w:val="24"/>
          <w:szCs w:val="21"/>
        </w:rPr>
      </w:r>
      <w:r/>
    </w:p>
    <w:p>
      <w:pPr>
        <w:pStyle w:val="90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907"/>
        <w:jc w:val="center"/>
        <w:spacing w:line="460" w:lineRule="exact"/>
        <w:rPr>
          <w:rFonts w:ascii="宋体" w:hAnsi="宋体"/>
          <w:b/>
          <w:bCs/>
          <w:color w:val="000000"/>
          <w:sz w:val="24"/>
          <w:szCs w:val="21"/>
        </w:rPr>
      </w:pPr>
      <w:r>
        <w:rPr>
          <w:rFonts w:ascii="宋体" w:hAnsi="宋体"/>
          <w:b/>
          <w:bCs/>
          <w:color w:val="000000"/>
          <w:sz w:val="24"/>
          <w:szCs w:val="21"/>
        </w:rPr>
      </w:r>
      <w:r/>
    </w:p>
    <w:p>
      <w:pPr>
        <w:pStyle w:val="90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5"/>
      <w:r/>
      <w:bookmarkEnd w:id="196"/>
      <w:r/>
      <w:bookmarkEnd w:id="197"/>
      <w:r/>
      <w:bookmarkStart w:id="198" w:name="_Toc120614284"/>
      <w:r>
        <w:rPr>
          <w:rFonts w:hint="eastAsia" w:ascii="宋体" w:hAnsi="宋体"/>
          <w:bCs/>
          <w:color w:val="000000"/>
          <w:sz w:val="24"/>
          <w:szCs w:val="21"/>
        </w:rPr>
      </w:r>
      <w:r/>
    </w:p>
    <w:p>
      <w:pPr>
        <w:pStyle w:val="907"/>
        <w:spacing w:line="460" w:lineRule="exact"/>
        <w:rPr>
          <w:rFonts w:hint="eastAsia" w:ascii="宋体" w:hAnsi="宋体"/>
          <w:b/>
          <w:color w:val="000000"/>
          <w:sz w:val="24"/>
          <w:szCs w:val="21"/>
        </w:rPr>
      </w:pPr>
      <w:r>
        <w:rPr>
          <w:rFonts w:hint="eastAsia" w:ascii="宋体" w:hAnsi="宋体"/>
          <w:b/>
          <w:color w:val="000000"/>
          <w:sz w:val="24"/>
          <w:szCs w:val="21"/>
        </w:rPr>
      </w:r>
      <w:r/>
    </w:p>
    <w:p>
      <w:pPr>
        <w:pStyle w:val="907"/>
        <w:ind w:firstLine="480"/>
        <w:spacing w:line="460" w:lineRule="exact"/>
        <w:rPr>
          <w:rFonts w:ascii="宋体" w:hAnsi="宋体"/>
          <w:b/>
          <w:color w:val="000000"/>
          <w:sz w:val="24"/>
          <w:szCs w:val="21"/>
        </w:rPr>
      </w:pPr>
      <w:r>
        <w:rPr>
          <w:rFonts w:ascii="宋体" w:hAnsi="宋体"/>
          <w:b/>
          <w:color w:val="000000"/>
          <w:sz w:val="24"/>
          <w:szCs w:val="21"/>
        </w:rPr>
      </w:r>
      <w:r/>
    </w:p>
    <w:p>
      <w:pPr>
        <w:pStyle w:val="907"/>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7"/>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rPr>
          <w:color w:val="ff0000"/>
          <w:sz w:val="24"/>
          <w:szCs w:val="24"/>
          <w:u w:val="single"/>
        </w:rPr>
      </w:r>
      <w:r/>
    </w:p>
    <w:p>
      <w:pPr>
        <w:pStyle w:val="90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9" w:name="_Hlt26955070"/>
      <w:r/>
      <w:bookmarkEnd w:id="199"/>
      <w:r/>
      <w:bookmarkStart w:id="200" w:name="_格式3__银行出具的资信证明"/>
      <w:r/>
      <w:bookmarkEnd w:id="200"/>
      <w:r/>
      <w:bookmarkStart w:id="201" w:name="_Hlt26671380"/>
      <w:r/>
      <w:bookmarkEnd w:id="201"/>
      <w:r>
        <w:rPr>
          <w:rFonts w:hint="eastAsia"/>
          <w:color w:val="000000"/>
          <w:sz w:val="24"/>
          <w:szCs w:val="24"/>
          <w:u w:val="single"/>
        </w:rPr>
        <w:t xml:space="preserve">                                         </w:t>
      </w:r>
      <w:r>
        <w:rPr>
          <w:rFonts w:hint="eastAsia"/>
          <w:color w:val="000000"/>
          <w:sz w:val="24"/>
          <w:szCs w:val="24"/>
        </w:rPr>
      </w:r>
      <w:r/>
    </w:p>
    <w:p>
      <w:pPr>
        <w:pStyle w:val="907"/>
        <w:ind w:firstLine="360"/>
        <w:spacing w:line="400" w:lineRule="exact"/>
        <w:rPr>
          <w:color w:val="000000"/>
          <w:sz w:val="24"/>
          <w:szCs w:val="24"/>
          <w:highlight w:val="yellow"/>
        </w:rPr>
      </w:pPr>
      <w:r>
        <w:rPr>
          <w:color w:val="000000"/>
          <w:sz w:val="24"/>
          <w:szCs w:val="24"/>
          <w:highlight w:val="yellow"/>
        </w:rPr>
      </w:r>
      <w:r/>
    </w:p>
    <w:p>
      <w:pPr>
        <w:pStyle w:val="90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7"/>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ascii="宋体" w:hAnsi="宋体"/>
          <w:b/>
          <w:color w:val="ff0000"/>
          <w:sz w:val="24"/>
          <w:szCs w:val="21"/>
        </w:rPr>
      </w:pPr>
      <w:r>
        <w:rPr>
          <w:rFonts w:ascii="宋体" w:hAnsi="宋体"/>
          <w:b/>
          <w:color w:val="ff0000"/>
          <w:sz w:val="24"/>
          <w:szCs w:val="21"/>
        </w:rPr>
      </w:r>
      <w:r/>
    </w:p>
    <w:p>
      <w:pPr>
        <w:pStyle w:val="907"/>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ff0000"/>
          <w:sz w:val="24"/>
          <w:szCs w:val="24"/>
        </w:rPr>
        <w:t xml:space="preserve">投标产品制造商</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ff0000"/>
          <w:sz w:val="24"/>
          <w:szCs w:val="24"/>
        </w:rPr>
        <w:t xml:space="preserve">投标产品</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7"/>
        <w:ind w:right="720"/>
        <w:spacing w:line="400" w:lineRule="exact"/>
        <w:rPr>
          <w:rFonts w:hint="eastAsia" w:ascii="宋体" w:hAnsi="宋体"/>
          <w:sz w:val="24"/>
          <w:szCs w:val="24"/>
        </w:rPr>
      </w:pPr>
      <w:r>
        <w:rPr>
          <w:rFonts w:hint="eastAsia" w:ascii="宋体" w:hAnsi="宋体"/>
          <w:sz w:val="24"/>
          <w:szCs w:val="24"/>
        </w:rPr>
      </w:r>
      <w:r/>
    </w:p>
    <w:p>
      <w:pPr>
        <w:pStyle w:val="90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7"/>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7"/>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rPr>
          <w:rFonts w:ascii="宋体" w:hAnsi="宋体"/>
          <w:color w:val="ff0000"/>
          <w:sz w:val="24"/>
          <w:szCs w:val="24"/>
        </w:rPr>
      </w:r>
      <w:r/>
    </w:p>
    <w:p>
      <w:pPr>
        <w:pStyle w:val="907"/>
        <w:spacing w:line="400" w:lineRule="exact"/>
        <w:rPr>
          <w:rFonts w:hint="eastAsia" w:ascii="宋体" w:hAnsi="宋体"/>
          <w:color w:val="ff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制造商</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7"/>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7"/>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ascii="黑体" w:hAnsi="黑体" w:eastAsia="黑体"/>
          <w:b/>
          <w:sz w:val="32"/>
          <w:szCs w:val="32"/>
        </w:rPr>
      </w:pPr>
      <w:r>
        <w:rPr>
          <w:rFonts w:ascii="黑体" w:hAnsi="黑体" w:eastAsia="黑体"/>
          <w:b/>
          <w:sz w:val="32"/>
          <w:szCs w:val="32"/>
        </w:rPr>
      </w:r>
      <w:r/>
    </w:p>
    <w:p>
      <w:pPr>
        <w:pStyle w:val="907"/>
        <w:jc w:val="center"/>
        <w:spacing w:line="560" w:lineRule="exact"/>
        <w:rPr>
          <w:rFonts w:ascii="宋体" w:hAnsi="宋体"/>
          <w:b/>
          <w:sz w:val="24"/>
          <w:szCs w:val="24"/>
        </w:rPr>
      </w:pPr>
      <w:r>
        <w:rPr>
          <w:rFonts w:ascii="宋体" w:hAnsi="宋体"/>
          <w:b/>
          <w:sz w:val="24"/>
          <w:szCs w:val="24"/>
        </w:rPr>
      </w:r>
      <w:r/>
    </w:p>
    <w:p>
      <w:pPr>
        <w:pStyle w:val="907"/>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7"/>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7"/>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7"/>
        <w:ind w:firstLine="645"/>
        <w:spacing w:line="400" w:lineRule="exact"/>
        <w:rPr>
          <w:rFonts w:hint="eastAsia" w:ascii="宋体" w:hAnsi="宋体"/>
          <w:sz w:val="24"/>
          <w:szCs w:val="21"/>
        </w:rPr>
      </w:pPr>
      <w:r>
        <w:rPr>
          <w:rFonts w:hint="eastAsia" w:ascii="宋体" w:hAnsi="宋体"/>
          <w:sz w:val="24"/>
          <w:szCs w:val="21"/>
        </w:rPr>
      </w:r>
      <w:r/>
    </w:p>
    <w:p>
      <w:pPr>
        <w:pStyle w:val="907"/>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7"/>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7"/>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r>
      <w:r/>
    </w:p>
    <w:p>
      <w:pPr>
        <w:pStyle w:val="907"/>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7"/>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rFonts w:hint="eastAsia"/>
          <w:color w:val="000000"/>
          <w:szCs w:val="21"/>
        </w:rPr>
      </w:pPr>
      <w:r>
        <w:rPr>
          <w:rFonts w:hint="eastAsia"/>
          <w:color w:val="000000"/>
          <w:szCs w:val="21"/>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7"/>
        <w:spacing w:line="400" w:lineRule="exact"/>
        <w:rPr>
          <w:rFonts w:hint="eastAsia" w:ascii="宋体" w:hAnsi="宋体"/>
          <w:color w:val="ff0000"/>
          <w:sz w:val="24"/>
          <w:szCs w:val="24"/>
        </w:rPr>
      </w:pPr>
      <w:r>
        <w:rPr>
          <w:rFonts w:hint="eastAsia" w:ascii="宋体" w:hAnsi="宋体"/>
          <w:color w:val="ff0000"/>
          <w:sz w:val="24"/>
          <w:szCs w:val="24"/>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7"/>
        <w:rPr>
          <w:rFonts w:hint="eastAsia" w:ascii="宋体" w:hAnsi="宋体" w:cs="仿宋"/>
          <w:b/>
          <w:bCs/>
          <w:color w:val="000000"/>
          <w:sz w:val="32"/>
          <w:szCs w:val="32"/>
        </w:rPr>
      </w:pPr>
      <w:r/>
      <w:bookmarkEnd w:id="178"/>
      <w:r/>
      <w:bookmarkEnd w:id="179"/>
      <w:r/>
      <w:bookmarkEnd w:id="198"/>
      <w:r>
        <w:rPr>
          <w:rFonts w:hint="eastAsia" w:ascii="宋体" w:hAnsi="宋体" w:cs="仿宋"/>
          <w:b/>
          <w:bCs/>
          <w:color w:val="000000"/>
          <w:sz w:val="32"/>
          <w:szCs w:val="32"/>
        </w:rPr>
      </w:r>
      <w:r/>
    </w:p>
    <w:p>
      <w:pPr>
        <w:pStyle w:val="90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汉仪书宋二S">
    <w:panose1 w:val="020B0503020202020204"/>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17</w:t>
    </w:r>
    <w:r>
      <w:fldChar w:fldCharType="end"/>
    </w:r>
    <w:r/>
  </w:p>
  <w:p>
    <w:pPr>
      <w:pStyle w:val="95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2"/>
        <w:rFonts w:ascii="宋体" w:hAnsi="宋体"/>
      </w:rPr>
      <w:framePr w:wrap="around" w:vAnchor="text" w:hAnchor="margin" w:xAlign="center" w:y="1"/>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56</w:t>
    </w:r>
    <w:r>
      <w:rPr>
        <w:rFonts w:ascii="宋体" w:hAnsi="宋体"/>
      </w:rPr>
      <w:fldChar w:fldCharType="end"/>
    </w:r>
    <w:r>
      <w:rPr>
        <w:rStyle w:val="982"/>
        <w:rFonts w:ascii="宋体" w:hAnsi="宋体"/>
      </w:rPr>
    </w:r>
    <w:r/>
  </w:p>
  <w:p>
    <w:pPr>
      <w:pStyle w:val="95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7"/>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90"/>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4"/>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13"/>
  </w:num>
  <w:num w:numId="6">
    <w:abstractNumId w:val="3"/>
  </w:num>
  <w:num w:numId="7">
    <w:abstractNumId w:val="7"/>
  </w:num>
  <w:num w:numId="8">
    <w:abstractNumId w:val="5"/>
  </w:num>
  <w:num w:numId="9">
    <w:abstractNumId w:val="4"/>
  </w:num>
  <w:num w:numId="10">
    <w:abstractNumId w:val="1"/>
  </w:num>
  <w:num w:numId="11">
    <w:abstractNumId w:val="6"/>
  </w:num>
  <w:num w:numId="12">
    <w:abstractNumId w:val="9"/>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9"/>
    <w:link w:val="907"/>
    <w:qFormat/>
    <w:pPr>
      <w:jc w:val="both"/>
      <w:widowControl w:val="off"/>
    </w:pPr>
    <w:rPr>
      <w:sz w:val="21"/>
      <w:szCs w:val="22"/>
      <w:lang w:val="en-US" w:eastAsia="zh-CN" w:bidi="ar-SA"/>
    </w:rPr>
  </w:style>
  <w:style w:type="paragraph" w:styleId="908">
    <w:name w:val="标题 1"/>
    <w:basedOn w:val="907"/>
    <w:next w:val="907"/>
    <w:link w:val="920"/>
    <w:qFormat/>
    <w:pPr>
      <w:jc w:val="center"/>
      <w:keepNext/>
      <w:outlineLvl w:val="0"/>
    </w:pPr>
    <w:rPr>
      <w:rFonts w:ascii="楷体_GB2312" w:hAnsi="Times New Roman" w:eastAsia="楷体_GB2312" w:cs="Times New Roman"/>
      <w:sz w:val="28"/>
      <w:szCs w:val="28"/>
    </w:rPr>
  </w:style>
  <w:style w:type="paragraph" w:styleId="909">
    <w:name w:val="标题 2"/>
    <w:basedOn w:val="907"/>
    <w:next w:val="922"/>
    <w:link w:val="921"/>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22"/>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1">
    <w:name w:val="标题 4"/>
    <w:basedOn w:val="907"/>
    <w:next w:val="922"/>
    <w:link w:val="925"/>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2"/>
    <w:link w:val="926"/>
    <w:qFormat/>
    <w:pPr>
      <w:keepNext/>
      <w:outlineLvl w:val="4"/>
    </w:pPr>
    <w:rPr>
      <w:rFonts w:ascii="宋体" w:hAnsi="Times New Roman" w:eastAsia="宋体" w:cs="Times New Roman"/>
      <w:color w:val="000000"/>
      <w:sz w:val="28"/>
      <w:szCs w:val="28"/>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4">
    <w:name w:val="标题 7"/>
    <w:basedOn w:val="907"/>
    <w:next w:val="907"/>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paragraph" w:styleId="919">
    <w:name w:val="脚注文本1"/>
    <w:basedOn w:val="907"/>
    <w:next w:val="919"/>
    <w:link w:val="907"/>
    <w:uiPriority w:val="99"/>
    <w:qFormat/>
    <w:rPr>
      <w:rFonts w:ascii="Times New Roman" w:hAnsi="Times New Roman"/>
      <w:sz w:val="18"/>
      <w:szCs w:val="24"/>
    </w:rPr>
  </w:style>
  <w:style w:type="character" w:styleId="920">
    <w:name w:val="标题 1 字符"/>
    <w:next w:val="920"/>
    <w:link w:val="908"/>
    <w:rPr>
      <w:rFonts w:ascii="楷体_GB2312" w:hAnsi="Times New Roman" w:eastAsia="楷体_GB2312" w:cs="Times New Roman"/>
      <w:sz w:val="28"/>
      <w:szCs w:val="28"/>
    </w:rPr>
  </w:style>
  <w:style w:type="character" w:styleId="921">
    <w:name w:val="标题 2 字符"/>
    <w:next w:val="921"/>
    <w:link w:val="909"/>
    <w:rPr>
      <w:rFonts w:ascii="Arial" w:hAnsi="Arial" w:eastAsia="幼圆" w:cs="Arial"/>
      <w:b/>
      <w:bCs/>
      <w:sz w:val="44"/>
      <w:szCs w:val="44"/>
    </w:rPr>
  </w:style>
  <w:style w:type="paragraph" w:styleId="922">
    <w:name w:val="正文缩进"/>
    <w:basedOn w:val="907"/>
    <w:next w:val="922"/>
    <w:link w:val="923"/>
    <w:pPr>
      <w:ind w:firstLine="420"/>
    </w:pPr>
    <w:rPr>
      <w:szCs w:val="21"/>
    </w:rPr>
  </w:style>
  <w:style w:type="character" w:styleId="923">
    <w:name w:val="正文缩进 字符"/>
    <w:next w:val="923"/>
    <w:link w:val="922"/>
    <w:rPr>
      <w:szCs w:val="21"/>
    </w:rPr>
  </w:style>
  <w:style w:type="character" w:styleId="924">
    <w:name w:val="标题 3 字符"/>
    <w:next w:val="924"/>
    <w:link w:val="910"/>
    <w:rPr>
      <w:rFonts w:ascii="Times New Roman" w:hAnsi="Times New Roman" w:eastAsia="宋体" w:cs="Times New Roman"/>
      <w:b/>
      <w:bCs/>
      <w:sz w:val="32"/>
      <w:szCs w:val="32"/>
    </w:rPr>
  </w:style>
  <w:style w:type="character" w:styleId="925">
    <w:name w:val="标题 4 字符"/>
    <w:next w:val="925"/>
    <w:link w:val="911"/>
    <w:rPr>
      <w:rFonts w:ascii="Arial" w:hAnsi="Arial" w:eastAsia="黑体" w:cs="Arial"/>
      <w:b/>
      <w:bCs/>
      <w:sz w:val="28"/>
      <w:szCs w:val="28"/>
    </w:rPr>
  </w:style>
  <w:style w:type="character" w:styleId="926">
    <w:name w:val="标题 5 字符"/>
    <w:next w:val="926"/>
    <w:link w:val="912"/>
    <w:rPr>
      <w:rFonts w:ascii="宋体" w:hAnsi="Times New Roman" w:eastAsia="宋体" w:cs="Times New Roman"/>
      <w:color w:val="000000"/>
      <w:sz w:val="28"/>
      <w:szCs w:val="28"/>
    </w:rPr>
  </w:style>
  <w:style w:type="character" w:styleId="927">
    <w:name w:val="标题 6 字符"/>
    <w:next w:val="927"/>
    <w:link w:val="913"/>
    <w:rPr>
      <w:rFonts w:ascii="Arial" w:hAnsi="Arial" w:eastAsia="黑体" w:cs="Times New Roman"/>
      <w:b/>
      <w:bCs/>
      <w:sz w:val="24"/>
      <w:szCs w:val="24"/>
    </w:rPr>
  </w:style>
  <w:style w:type="character" w:styleId="928">
    <w:name w:val="标题 7 字符"/>
    <w:next w:val="928"/>
    <w:link w:val="914"/>
    <w:rPr>
      <w:rFonts w:ascii="Times New Roman" w:hAnsi="Times New Roman" w:eastAsia="宋体" w:cs="Times New Roman"/>
      <w:b/>
      <w:bCs/>
      <w:sz w:val="24"/>
      <w:szCs w:val="24"/>
    </w:rPr>
  </w:style>
  <w:style w:type="character" w:styleId="929">
    <w:name w:val="标题 8 字符"/>
    <w:next w:val="929"/>
    <w:link w:val="915"/>
    <w:rPr>
      <w:rFonts w:ascii="Arial" w:hAnsi="Arial" w:eastAsia="黑体" w:cs="Times New Roman"/>
      <w:sz w:val="24"/>
      <w:szCs w:val="24"/>
    </w:rPr>
  </w:style>
  <w:style w:type="character" w:styleId="930">
    <w:name w:val="标题 9 字符"/>
    <w:next w:val="930"/>
    <w:link w:val="916"/>
    <w:rPr>
      <w:rFonts w:ascii="Arial" w:hAnsi="Arial" w:eastAsia="黑体" w:cs="Times New Roman"/>
      <w:szCs w:val="21"/>
    </w:rPr>
  </w:style>
  <w:style w:type="paragraph" w:styleId="931">
    <w:name w:val="列表 3"/>
    <w:basedOn w:val="907"/>
    <w:next w:val="931"/>
    <w:link w:val="907"/>
    <w:pPr>
      <w:ind w:left="100" w:hanging="200"/>
    </w:pPr>
    <w:rPr>
      <w:rFonts w:ascii="Times New Roman" w:hAnsi="Times New Roman" w:eastAsia="宋体" w:cs="Times New Roman"/>
      <w:szCs w:val="21"/>
    </w:rPr>
  </w:style>
  <w:style w:type="paragraph" w:styleId="932">
    <w:name w:val="目录 7"/>
    <w:basedOn w:val="907"/>
    <w:next w:val="907"/>
    <w:link w:val="907"/>
    <w:semiHidden/>
    <w:pPr>
      <w:ind w:left="1260"/>
      <w:jc w:val="left"/>
    </w:pPr>
    <w:rPr>
      <w:rFonts w:ascii="Times New Roman" w:hAnsi="Times New Roman" w:eastAsia="宋体" w:cs="Times New Roman"/>
      <w:szCs w:val="21"/>
    </w:rPr>
  </w:style>
  <w:style w:type="paragraph" w:styleId="933">
    <w:name w:val="文档结构图"/>
    <w:basedOn w:val="907"/>
    <w:next w:val="933"/>
    <w:link w:val="934"/>
    <w:semiHidden/>
    <w:pPr>
      <w:shd w:val="clear" w:color="auto" w:fill="000080"/>
    </w:pPr>
    <w:rPr>
      <w:rFonts w:ascii="Times New Roman" w:hAnsi="Times New Roman" w:eastAsia="宋体" w:cs="Times New Roman"/>
      <w:szCs w:val="21"/>
    </w:rPr>
  </w:style>
  <w:style w:type="character" w:styleId="934">
    <w:name w:val="文档结构图 字符"/>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unhideWhenUsed/>
    <w:pPr>
      <w:jc w:val="left"/>
    </w:pPr>
  </w:style>
  <w:style w:type="character" w:styleId="936">
    <w:name w:val="批注文字 字符"/>
    <w:next w:val="936"/>
    <w:link w:val="935"/>
    <w:uiPriority w:val="99"/>
    <w:semiHidden/>
  </w:style>
  <w:style w:type="paragraph" w:styleId="937">
    <w:name w:val="正文文本 3"/>
    <w:basedOn w:val="907"/>
    <w:next w:val="937"/>
    <w:link w:val="938"/>
    <w:rPr>
      <w:rFonts w:ascii="仿宋_GB2312" w:hAnsi="Arial" w:eastAsia="仿宋_GB2312" w:cs="Times New Roman"/>
      <w:sz w:val="32"/>
      <w:szCs w:val="32"/>
    </w:rPr>
  </w:style>
  <w:style w:type="character" w:styleId="938">
    <w:name w:val="正文文本 3 字符"/>
    <w:next w:val="938"/>
    <w:link w:val="937"/>
    <w:rPr>
      <w:rFonts w:ascii="仿宋_GB2312" w:hAnsi="Arial" w:eastAsia="仿宋_GB2312" w:cs="Times New Roman"/>
      <w:sz w:val="32"/>
      <w:szCs w:val="32"/>
    </w:rPr>
  </w:style>
  <w:style w:type="paragraph" w:styleId="939">
    <w:name w:val="正文文本"/>
    <w:basedOn w:val="907"/>
    <w:next w:val="939"/>
    <w:link w:val="940"/>
    <w:rPr>
      <w:rFonts w:ascii="楷体_GB2312" w:hAnsi="Arial" w:eastAsia="楷体_GB2312" w:cs="Times New Roman"/>
      <w:sz w:val="28"/>
      <w:szCs w:val="28"/>
    </w:rPr>
  </w:style>
  <w:style w:type="character" w:styleId="940">
    <w:name w:val="正文文本 字符"/>
    <w:next w:val="940"/>
    <w:link w:val="939"/>
    <w:rPr>
      <w:rFonts w:ascii="楷体_GB2312" w:hAnsi="Arial" w:eastAsia="楷体_GB2312" w:cs="Times New Roman"/>
      <w:sz w:val="28"/>
      <w:szCs w:val="28"/>
    </w:rPr>
  </w:style>
  <w:style w:type="paragraph" w:styleId="941">
    <w:name w:val="正文文本缩进"/>
    <w:basedOn w:val="907"/>
    <w:next w:val="941"/>
    <w:link w:val="942"/>
    <w:unhideWhenUsed/>
    <w:pPr>
      <w:ind w:left="420"/>
      <w:spacing w:after="120"/>
    </w:pPr>
  </w:style>
  <w:style w:type="character" w:styleId="942">
    <w:name w:val="正文文本缩进 字符"/>
    <w:next w:val="942"/>
    <w:link w:val="941"/>
    <w:uiPriority w:val="99"/>
    <w:semiHidden/>
  </w:style>
  <w:style w:type="paragraph" w:styleId="943">
    <w:name w:val="列表 2"/>
    <w:basedOn w:val="907"/>
    <w:next w:val="943"/>
    <w:link w:val="907"/>
    <w:pPr>
      <w:ind w:left="100" w:hanging="200"/>
    </w:pPr>
    <w:rPr>
      <w:rFonts w:ascii="Times New Roman" w:hAnsi="Times New Roman" w:eastAsia="宋体" w:cs="Times New Roman"/>
      <w:szCs w:val="21"/>
    </w:rPr>
  </w:style>
  <w:style w:type="paragraph" w:styleId="944">
    <w:name w:val="目录 5"/>
    <w:basedOn w:val="907"/>
    <w:next w:val="907"/>
    <w:link w:val="907"/>
    <w:semiHidden/>
    <w:pPr>
      <w:ind w:left="840"/>
      <w:jc w:val="left"/>
    </w:pPr>
    <w:rPr>
      <w:rFonts w:ascii="Times New Roman" w:hAnsi="Times New Roman" w:eastAsia="宋体" w:cs="Times New Roman"/>
      <w:szCs w:val="21"/>
    </w:rPr>
  </w:style>
  <w:style w:type="paragraph" w:styleId="945">
    <w:name w:val="目录 3"/>
    <w:basedOn w:val="907"/>
    <w:next w:val="907"/>
    <w:link w:val="907"/>
    <w:semiHidden/>
    <w:pPr>
      <w:ind w:left="420"/>
      <w:jc w:val="left"/>
    </w:pPr>
    <w:rPr>
      <w:rFonts w:ascii="Times New Roman" w:hAnsi="Times New Roman" w:eastAsia="宋体" w:cs="Times New Roman"/>
      <w:i/>
      <w:iCs/>
      <w:szCs w:val="24"/>
    </w:rPr>
  </w:style>
  <w:style w:type="paragraph" w:styleId="946">
    <w:name w:val="纯文本"/>
    <w:basedOn w:val="907"/>
    <w:next w:val="946"/>
    <w:link w:val="947"/>
    <w:qFormat/>
    <w:rPr>
      <w:rFonts w:ascii="宋体" w:hAnsi="Courier New" w:eastAsia="宋体" w:cs="Courier New"/>
      <w:szCs w:val="21"/>
    </w:rPr>
  </w:style>
  <w:style w:type="character" w:styleId="947">
    <w:name w:val="纯文本 字符"/>
    <w:next w:val="947"/>
    <w:link w:val="946"/>
    <w:rPr>
      <w:rFonts w:ascii="宋体" w:hAnsi="Courier New" w:eastAsia="宋体" w:cs="Courier New"/>
      <w:szCs w:val="21"/>
    </w:rPr>
  </w:style>
  <w:style w:type="paragraph" w:styleId="948">
    <w:name w:val="目录 8"/>
    <w:basedOn w:val="907"/>
    <w:next w:val="907"/>
    <w:link w:val="907"/>
    <w:semiHidden/>
    <w:pPr>
      <w:ind w:left="1470"/>
      <w:jc w:val="left"/>
    </w:pPr>
    <w:rPr>
      <w:rFonts w:ascii="Times New Roman" w:hAnsi="Times New Roman" w:eastAsia="宋体" w:cs="Times New Roman"/>
      <w:szCs w:val="21"/>
    </w:rPr>
  </w:style>
  <w:style w:type="paragraph" w:styleId="949">
    <w:name w:val="日期"/>
    <w:basedOn w:val="907"/>
    <w:next w:val="907"/>
    <w:link w:val="950"/>
    <w:rPr>
      <w:rFonts w:ascii="Times New Roman" w:hAnsi="Times New Roman" w:eastAsia="宋体" w:cs="Times New Roman"/>
      <w:sz w:val="24"/>
      <w:szCs w:val="24"/>
    </w:rPr>
  </w:style>
  <w:style w:type="character" w:styleId="950">
    <w:name w:val="日期 字符"/>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cs="Arial"/>
      <w:sz w:val="32"/>
      <w:szCs w:val="32"/>
    </w:rPr>
  </w:style>
  <w:style w:type="character" w:styleId="952">
    <w:name w:val="正文文本缩进 2 字符"/>
    <w:next w:val="952"/>
    <w:link w:val="951"/>
    <w:rPr>
      <w:rFonts w:ascii="Arial" w:hAnsi="Arial" w:eastAsia="仿宋_GB2312" w:cs="Arial"/>
      <w:sz w:val="32"/>
      <w:szCs w:val="32"/>
    </w:rPr>
  </w:style>
  <w:style w:type="paragraph" w:styleId="953">
    <w:name w:val="批注框文本"/>
    <w:basedOn w:val="907"/>
    <w:next w:val="953"/>
    <w:link w:val="954"/>
    <w:semiHidden/>
    <w:rPr>
      <w:rFonts w:ascii="Times New Roman" w:hAnsi="Times New Roman" w:eastAsia="宋体" w:cs="Times New Roman"/>
      <w:sz w:val="18"/>
      <w:szCs w:val="18"/>
    </w:rPr>
  </w:style>
  <w:style w:type="character" w:styleId="954">
    <w:name w:val="批注框文本 字符"/>
    <w:next w:val="954"/>
    <w:link w:val="953"/>
    <w:semiHidden/>
    <w:rPr>
      <w:rFonts w:ascii="Times New Roman" w:hAnsi="Times New Roman" w:eastAsia="宋体" w:cs="Times New Roman"/>
      <w:sz w:val="18"/>
      <w:szCs w:val="18"/>
    </w:rPr>
  </w:style>
  <w:style w:type="paragraph" w:styleId="955">
    <w:name w:val="页脚"/>
    <w:basedOn w:val="907"/>
    <w:next w:val="955"/>
    <w:link w:val="95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6">
    <w:name w:val="页脚 字符"/>
    <w:next w:val="956"/>
    <w:link w:val="955"/>
    <w:uiPriority w:val="99"/>
    <w:rPr>
      <w:rFonts w:ascii="Times New Roman" w:hAnsi="Times New Roman" w:eastAsia="宋体" w:cs="Times New Roman"/>
      <w:sz w:val="18"/>
      <w:szCs w:val="18"/>
    </w:rPr>
  </w:style>
  <w:style w:type="paragraph" w:styleId="957">
    <w:name w:val="页眉"/>
    <w:basedOn w:val="907"/>
    <w:next w:val="957"/>
    <w:link w:val="95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8">
    <w:name w:val="页眉 字符"/>
    <w:next w:val="958"/>
    <w:link w:val="957"/>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0">
    <w:name w:val="目录 4"/>
    <w:basedOn w:val="907"/>
    <w:next w:val="907"/>
    <w:link w:val="907"/>
    <w:semiHidden/>
    <w:pPr>
      <w:ind w:left="630"/>
      <w:jc w:val="left"/>
    </w:pPr>
    <w:rPr>
      <w:rFonts w:ascii="Times New Roman" w:hAnsi="Times New Roman" w:eastAsia="宋体" w:cs="Times New Roman"/>
      <w:szCs w:val="21"/>
    </w:rPr>
  </w:style>
  <w:style w:type="paragraph" w:styleId="961">
    <w:name w:val="列表"/>
    <w:basedOn w:val="907"/>
    <w:next w:val="961"/>
    <w:link w:val="907"/>
    <w:pPr>
      <w:ind w:left="200" w:hanging="200"/>
    </w:pPr>
    <w:rPr>
      <w:rFonts w:ascii="Times New Roman" w:hAnsi="Times New Roman" w:eastAsia="宋体" w:cs="Times New Roman"/>
      <w:szCs w:val="21"/>
    </w:rPr>
  </w:style>
  <w:style w:type="paragraph" w:styleId="962">
    <w:name w:val="脚注文本"/>
    <w:basedOn w:val="907"/>
    <w:next w:val="962"/>
    <w:link w:val="963"/>
    <w:uiPriority w:val="99"/>
    <w:qFormat/>
    <w:rPr>
      <w:rFonts w:ascii="Times New Roman" w:hAnsi="Times New Roman"/>
      <w:sz w:val="18"/>
      <w:szCs w:val="24"/>
    </w:rPr>
  </w:style>
  <w:style w:type="character" w:styleId="963">
    <w:name w:val="脚注文本 字符"/>
    <w:next w:val="963"/>
    <w:link w:val="962"/>
    <w:uiPriority w:val="99"/>
    <w:rPr>
      <w:rFonts w:ascii="Times New Roman" w:hAnsi="Times New Roman"/>
      <w:sz w:val="18"/>
      <w:szCs w:val="24"/>
    </w:rPr>
  </w:style>
  <w:style w:type="paragraph" w:styleId="964">
    <w:name w:val="目录 6"/>
    <w:basedOn w:val="907"/>
    <w:next w:val="907"/>
    <w:link w:val="907"/>
    <w:semiHidden/>
    <w:pPr>
      <w:ind w:left="1050"/>
      <w:jc w:val="left"/>
    </w:pPr>
    <w:rPr>
      <w:rFonts w:ascii="Times New Roman" w:hAnsi="Times New Roman" w:eastAsia="宋体" w:cs="Times New Roman"/>
      <w:szCs w:val="21"/>
    </w:rPr>
  </w:style>
  <w:style w:type="paragraph" w:styleId="965">
    <w:name w:val="正文文本缩进 3"/>
    <w:basedOn w:val="907"/>
    <w:next w:val="965"/>
    <w:link w:val="966"/>
    <w:pPr>
      <w:ind w:left="645" w:firstLine="645"/>
    </w:pPr>
    <w:rPr>
      <w:rFonts w:ascii="Arial" w:hAnsi="Arial" w:eastAsia="仿宋_GB2312" w:cs="Arial"/>
      <w:color w:val="ffff00"/>
      <w:sz w:val="32"/>
      <w:szCs w:val="32"/>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7"/>
    <w:next w:val="907"/>
    <w:link w:val="907"/>
    <w:semiHidden/>
    <w:pPr>
      <w:ind w:left="840" w:hanging="420"/>
    </w:pPr>
    <w:rPr>
      <w:rFonts w:ascii="Times New Roman" w:hAnsi="Times New Roman" w:eastAsia="宋体" w:cs="Times New Roman"/>
      <w:szCs w:val="21"/>
    </w:rPr>
  </w:style>
  <w:style w:type="paragraph" w:styleId="968">
    <w:name w:val="目录 2"/>
    <w:basedOn w:val="907"/>
    <w:next w:val="907"/>
    <w:link w:val="907"/>
    <w:semiHidden/>
    <w:pPr>
      <w:ind w:left="210"/>
      <w:jc w:val="left"/>
    </w:pPr>
    <w:rPr>
      <w:rFonts w:ascii="Times New Roman" w:hAnsi="Times New Roman" w:eastAsia="宋体" w:cs="Times New Roman"/>
      <w:smallCaps/>
      <w:szCs w:val="24"/>
    </w:rPr>
  </w:style>
  <w:style w:type="paragraph" w:styleId="969">
    <w:name w:val="目录 9"/>
    <w:basedOn w:val="907"/>
    <w:next w:val="907"/>
    <w:link w:val="907"/>
    <w:semiHidden/>
    <w:pPr>
      <w:ind w:left="1680"/>
      <w:jc w:val="left"/>
    </w:pPr>
    <w:rPr>
      <w:rFonts w:ascii="Times New Roman" w:hAnsi="Times New Roman" w:eastAsia="宋体" w:cs="Times New Roman"/>
      <w:szCs w:val="21"/>
    </w:rPr>
  </w:style>
  <w:style w:type="paragraph" w:styleId="970">
    <w:name w:val="正文文本 2"/>
    <w:basedOn w:val="907"/>
    <w:next w:val="970"/>
    <w:link w:val="971"/>
    <w:pPr>
      <w:jc w:val="center"/>
      <w:widowControl/>
    </w:pPr>
    <w:rPr>
      <w:rFonts w:ascii="楷体_GB2312" w:hAnsi="Times New Roman" w:eastAsia="楷体_GB2312" w:cs="Times New Roman"/>
      <w:sz w:val="28"/>
      <w:szCs w:val="28"/>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7"/>
    <w:next w:val="972"/>
    <w:link w:val="907"/>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07"/>
    <w:next w:val="907"/>
    <w:link w:val="907"/>
    <w:semiHidden/>
    <w:pPr>
      <w:spacing w:line="240" w:lineRule="atLeast"/>
    </w:pPr>
    <w:rPr>
      <w:rFonts w:ascii="Times New Roman" w:hAnsi="Times New Roman" w:eastAsia="宋体" w:cs="Times New Roman"/>
      <w:b/>
      <w:bCs/>
      <w:szCs w:val="21"/>
    </w:rPr>
  </w:style>
  <w:style w:type="paragraph" w:styleId="974">
    <w:name w:val="批注主题"/>
    <w:basedOn w:val="935"/>
    <w:next w:val="935"/>
    <w:link w:val="975"/>
    <w:semiHidden/>
    <w:rPr>
      <w:rFonts w:ascii="Times New Roman" w:hAnsi="Times New Roman" w:eastAsia="宋体" w:cs="Times New Roman"/>
      <w:b/>
      <w:bCs/>
      <w:szCs w:val="21"/>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07"/>
    <w:next w:val="976"/>
    <w:link w:val="977"/>
    <w:pPr>
      <w:ind w:firstLine="200"/>
      <w:spacing w:line="360" w:lineRule="auto"/>
    </w:pPr>
    <w:rPr>
      <w:rFonts w:ascii="仿宋_GB2312" w:hAnsi="Times New Roman" w:eastAsia="仿宋_GB2312" w:cs="Times New Roman"/>
      <w:sz w:val="30"/>
      <w:szCs w:val="30"/>
    </w:rPr>
  </w:style>
  <w:style w:type="character" w:styleId="977">
    <w:name w:val="正文首行缩进 字符"/>
    <w:next w:val="977"/>
    <w:link w:val="976"/>
    <w:rPr>
      <w:rFonts w:ascii="仿宋_GB2312" w:hAnsi="Times New Roman" w:eastAsia="仿宋_GB2312" w:cs="Times New Roman"/>
      <w:sz w:val="30"/>
      <w:szCs w:val="30"/>
    </w:rPr>
  </w:style>
  <w:style w:type="paragraph" w:styleId="978">
    <w:name w:val="正文首行缩进 2"/>
    <w:basedOn w:val="941"/>
    <w:next w:val="978"/>
    <w:link w:val="979"/>
    <w:pPr>
      <w:ind w:left="0" w:firstLine="420"/>
      <w:spacing w:after="0" w:line="360" w:lineRule="auto"/>
    </w:pPr>
    <w:rPr>
      <w:rFonts w:ascii="宋体" w:hAnsi="宋体" w:eastAsia="宋体" w:cs="Times New Roman"/>
      <w:szCs w:val="20"/>
    </w:rPr>
  </w:style>
  <w:style w:type="character" w:styleId="979">
    <w:name w:val="正文首行缩进 2 字符"/>
    <w:next w:val="979"/>
    <w:link w:val="978"/>
    <w:rPr>
      <w:rFonts w:ascii="宋体" w:hAnsi="宋体" w:eastAsia="宋体" w:cs="Times New Roman"/>
      <w:szCs w:val="20"/>
    </w:rPr>
  </w:style>
  <w:style w:type="table" w:styleId="980">
    <w:name w:val="网格型"/>
    <w:basedOn w:val="918"/>
    <w:next w:val="980"/>
    <w:link w:val="907"/>
    <w:pPr>
      <w:jc w:val="both"/>
      <w:widowControl w:val="off"/>
    </w:pPr>
    <w:rPr>
      <w:rFonts w:ascii="Times New Roman" w:hAnsi="Times New Roman" w:eastAsia="宋体" w:cs="Times New Roman"/>
      <w:sz w:val="20"/>
      <w:szCs w:val="20"/>
    </w:rPr>
    <w:tblPr/>
  </w:style>
  <w:style w:type="character" w:styleId="981">
    <w:name w:val="要点"/>
    <w:next w:val="981"/>
    <w:link w:val="907"/>
    <w:qFormat/>
    <w:rPr>
      <w:b/>
      <w:bCs/>
    </w:rPr>
  </w:style>
  <w:style w:type="character" w:styleId="982">
    <w:name w:val="页码"/>
    <w:next w:val="982"/>
    <w:link w:val="907"/>
  </w:style>
  <w:style w:type="character" w:styleId="983">
    <w:name w:val="已访问的超链接"/>
    <w:next w:val="983"/>
    <w:link w:val="907"/>
    <w:rPr>
      <w:color w:val="800080"/>
      <w:u w:val="single"/>
    </w:rPr>
  </w:style>
  <w:style w:type="character" w:styleId="984">
    <w:name w:val="超链接"/>
    <w:next w:val="984"/>
    <w:link w:val="907"/>
    <w:rPr>
      <w:color w:val="0000ff"/>
      <w:u w:val="single"/>
    </w:rPr>
  </w:style>
  <w:style w:type="character" w:styleId="985">
    <w:name w:val="批注引用"/>
    <w:next w:val="985"/>
    <w:link w:val="907"/>
    <w:semiHidden/>
    <w:rPr>
      <w:sz w:val="21"/>
      <w:szCs w:val="21"/>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7"/>
    <w:next w:val="987"/>
    <w:link w:val="986"/>
    <w:qFormat/>
    <w:pPr>
      <w:contextualSpacing/>
      <w:ind w:left="720"/>
      <w:jc w:val="left"/>
      <w:widowControl/>
    </w:pPr>
    <w:rPr>
      <w:rFonts w:ascii="Calibri" w:hAnsi="Calibri"/>
      <w:sz w:val="24"/>
      <w:szCs w:val="24"/>
      <w:lang w:eastAsia="en-US" w:bidi="en-US"/>
    </w:rPr>
  </w:style>
  <w:style w:type="character" w:styleId="988">
    <w:name w:val="font5 Char"/>
    <w:next w:val="988"/>
    <w:link w:val="907"/>
    <w:rPr>
      <w:rFonts w:ascii="宋体" w:hAnsi="宋体" w:eastAsia="宋体"/>
      <w:sz w:val="28"/>
      <w:szCs w:val="28"/>
      <w:lang w:val="en-US" w:eastAsia="zh-CN" w:bidi="ar-SA"/>
    </w:rPr>
  </w:style>
  <w:style w:type="character" w:styleId="989">
    <w:name w:val="二级目录 Char"/>
    <w:next w:val="989"/>
    <w:link w:val="990"/>
    <w:rPr>
      <w:b/>
      <w:sz w:val="30"/>
      <w:szCs w:val="28"/>
    </w:rPr>
  </w:style>
  <w:style w:type="paragraph" w:styleId="990">
    <w:name w:val="二级目录"/>
    <w:next w:val="907"/>
    <w:link w:val="989"/>
    <w:pPr>
      <w:numPr>
        <w:ilvl w:val="0"/>
        <w:numId w:val="2"/>
      </w:numPr>
      <w:tabs>
        <w:tab w:val="left" w:pos="907" w:leader="none"/>
        <w:tab w:val="left" w:pos="1145" w:leader="none"/>
      </w:tabs>
      <w:outlineLvl w:val="1"/>
    </w:pPr>
    <w:rPr>
      <w:b/>
      <w:sz w:val="30"/>
      <w:szCs w:val="28"/>
      <w:lang w:val="en-US" w:eastAsia="zh-CN" w:bidi="ar-SA"/>
    </w:rPr>
  </w:style>
  <w:style w:type="paragraph" w:styleId="991">
    <w:name w:val="Char"/>
    <w:basedOn w:val="907"/>
    <w:next w:val="991"/>
    <w:link w:val="907"/>
    <w:pPr>
      <w:ind w:firstLine="200"/>
      <w:tabs>
        <w:tab w:val="left" w:pos="360" w:leader="none"/>
      </w:tabs>
    </w:pPr>
    <w:rPr>
      <w:rFonts w:ascii="Times New Roman" w:hAnsi="Times New Roman" w:eastAsia="宋体" w:cs="Times New Roman"/>
      <w:sz w:val="28"/>
      <w:szCs w:val="30"/>
    </w:rPr>
  </w:style>
  <w:style w:type="paragraph" w:styleId="992">
    <w:name w:val="Body Text(ch)"/>
    <w:basedOn w:val="907"/>
    <w:next w:val="939"/>
    <w:link w:val="907"/>
    <w:pPr>
      <w:spacing w:after="120"/>
    </w:pPr>
    <w:rPr>
      <w:rFonts w:ascii="宋体" w:hAnsi="Arial" w:eastAsia="宋体" w:cs="Times New Roman"/>
      <w:bCs/>
      <w:iCs/>
      <w:szCs w:val="24"/>
    </w:rPr>
  </w:style>
  <w:style w:type="paragraph" w:styleId="993">
    <w:name w:val="Char Char Char Char"/>
    <w:basedOn w:val="933"/>
    <w:next w:val="993"/>
    <w:link w:val="907"/>
    <w:pPr>
      <w:spacing w:line="360" w:lineRule="auto"/>
    </w:pPr>
    <w:rPr>
      <w:rFonts w:ascii="Tahoma" w:hAnsi="Tahoma"/>
      <w:sz w:val="24"/>
      <w:szCs w:val="24"/>
    </w:rPr>
  </w:style>
  <w:style w:type="paragraph" w:styleId="994">
    <w:name w:val="样式1"/>
    <w:basedOn w:val="907"/>
    <w:next w:val="994"/>
    <w:link w:val="907"/>
    <w:pPr>
      <w:numPr>
        <w:ilvl w:val="0"/>
        <w:numId w:val="3"/>
      </w:numPr>
      <w:tabs>
        <w:tab w:val="left" w:pos="709" w:leader="none"/>
      </w:tabs>
    </w:pPr>
    <w:rPr>
      <w:rFonts w:ascii="宋体" w:hAnsi="宋体" w:eastAsia="宋体" w:cs="Times New Roman"/>
      <w:szCs w:val="21"/>
    </w:rPr>
  </w:style>
  <w:style w:type="paragraph" w:styleId="995">
    <w:name w:val="正文文本缩进1"/>
    <w:basedOn w:val="907"/>
    <w:next w:val="907"/>
    <w:link w:val="907"/>
    <w:qFormat/>
    <w:pPr>
      <w:ind w:left="420"/>
      <w:spacing w:after="120"/>
    </w:pPr>
  </w:style>
  <w:style w:type="paragraph" w:styleId="996">
    <w:name w:val="xl28"/>
    <w:basedOn w:val="907"/>
    <w:next w:val="996"/>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普通 (Web)"/>
    <w:basedOn w:val="907"/>
    <w:next w:val="997"/>
    <w:link w:val="907"/>
    <w:pPr>
      <w:jc w:val="left"/>
      <w:spacing w:before="100" w:beforeAutospacing="1" w:after="100" w:afterAutospacing="1"/>
      <w:widowControl/>
    </w:pPr>
    <w:rPr>
      <w:rFonts w:ascii="宋体" w:hAnsi="宋体" w:eastAsia="宋体" w:cs="Times New Roman"/>
      <w:sz w:val="24"/>
      <w:szCs w:val="24"/>
    </w:rPr>
  </w:style>
  <w:style w:type="paragraph" w:styleId="998">
    <w:name w:val="xl30"/>
    <w:basedOn w:val="907"/>
    <w:next w:val="998"/>
    <w:link w:val="907"/>
    <w:pPr>
      <w:jc w:val="center"/>
      <w:spacing w:before="100" w:beforeAutospacing="1" w:after="100" w:afterAutospacing="1"/>
      <w:widowControl/>
    </w:pPr>
    <w:rPr>
      <w:rFonts w:ascii="宋体" w:hAnsi="宋体" w:eastAsia="宋体" w:cs="Times New Roman"/>
      <w:b/>
      <w:bCs/>
      <w:sz w:val="36"/>
      <w:szCs w:val="36"/>
    </w:rPr>
  </w:style>
  <w:style w:type="paragraph" w:styleId="999">
    <w:name w:val="普通正文"/>
    <w:basedOn w:val="907"/>
    <w:next w:val="999"/>
    <w:link w:val="907"/>
    <w:pPr>
      <w:ind w:firstLine="480"/>
      <w:jc w:val="left"/>
      <w:spacing w:before="120" w:after="120" w:line="360" w:lineRule="auto"/>
    </w:pPr>
    <w:rPr>
      <w:rFonts w:ascii="Arial" w:hAnsi="Arial" w:eastAsia="宋体" w:cs="Times New Roman"/>
      <w:sz w:val="24"/>
      <w:szCs w:val="24"/>
    </w:rPr>
  </w:style>
  <w:style w:type="paragraph" w:styleId="1000">
    <w:name w:val="xl24"/>
    <w:basedOn w:val="907"/>
    <w:next w:val="1000"/>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name w:val=" Char Char Char Char"/>
    <w:basedOn w:val="933"/>
    <w:next w:val="1001"/>
    <w:link w:val="907"/>
    <w:pPr>
      <w:spacing w:line="360" w:lineRule="auto"/>
    </w:pPr>
    <w:rPr>
      <w:rFonts w:ascii="Tahoma" w:hAnsi="Tahoma"/>
      <w:sz w:val="24"/>
      <w:szCs w:val="24"/>
    </w:rPr>
  </w:style>
  <w:style w:type="paragraph" w:styleId="1002">
    <w:name w:val="table_lines"/>
    <w:basedOn w:val="907"/>
    <w:next w:val="1002"/>
    <w:link w:val="907"/>
    <w:pPr>
      <w:jc w:val="left"/>
      <w:widowControl/>
    </w:pPr>
    <w:rPr>
      <w:rFonts w:ascii="Times New Roman" w:hAnsi="Times New Roman" w:eastAsia="宋体" w:cs="Times New Roman"/>
      <w:sz w:val="20"/>
      <w:szCs w:val="20"/>
      <w:lang w:val="de-DE" w:eastAsia="de-DE"/>
    </w:rPr>
  </w:style>
  <w:style w:type="paragraph" w:styleId="1003">
    <w:name w:val="列出段落"/>
    <w:basedOn w:val="907"/>
    <w:next w:val="1003"/>
    <w:link w:val="907"/>
    <w:qFormat/>
    <w:pPr>
      <w:contextualSpacing/>
      <w:ind w:left="720"/>
      <w:jc w:val="left"/>
      <w:widowControl/>
    </w:pPr>
    <w:rPr>
      <w:rFonts w:ascii="Calibri" w:hAnsi="Calibri" w:eastAsia="宋体" w:cs="Times New Roman"/>
      <w:sz w:val="24"/>
      <w:szCs w:val="24"/>
      <w:lang w:eastAsia="en-US" w:bidi="en-US"/>
    </w:rPr>
  </w:style>
  <w:style w:type="paragraph" w:styleId="1004">
    <w:name w:val="修订"/>
    <w:next w:val="1004"/>
    <w:link w:val="907"/>
    <w:uiPriority w:val="99"/>
    <w:semiHidden/>
    <w:rPr>
      <w:sz w:val="21"/>
      <w:szCs w:val="21"/>
      <w:lang w:val="en-US" w:eastAsia="zh-CN" w:bidi="ar-SA"/>
    </w:rPr>
  </w:style>
  <w:style w:type="paragraph" w:styleId="1005">
    <w:name w:val="font5"/>
    <w:basedOn w:val="907"/>
    <w:next w:val="1005"/>
    <w:link w:val="907"/>
    <w:pPr>
      <w:jc w:val="left"/>
      <w:spacing w:before="100" w:beforeAutospacing="1" w:after="100" w:afterAutospacing="1"/>
      <w:widowControl/>
    </w:pPr>
    <w:rPr>
      <w:rFonts w:hint="eastAsia" w:ascii="宋体" w:hAnsi="宋体" w:eastAsia="宋体" w:cs="Times New Roman"/>
      <w:sz w:val="28"/>
      <w:szCs w:val="28"/>
    </w:rPr>
  </w:style>
  <w:style w:type="paragraph" w:styleId="1006">
    <w:name w:val="正文首行缩进1"/>
    <w:basedOn w:val="1007"/>
    <w:next w:val="1006"/>
    <w:link w:val="907"/>
    <w:unhideWhenUsed/>
    <w:qFormat/>
    <w:pPr>
      <w:ind w:firstLine="420"/>
      <w:jc w:val="both"/>
      <w:spacing w:after="120"/>
    </w:pPr>
    <w:rPr>
      <w:rFonts w:eastAsia="宋体"/>
      <w:sz w:val="21"/>
    </w:rPr>
  </w:style>
  <w:style w:type="paragraph" w:styleId="1007">
    <w:name w:val="正文文本1"/>
    <w:basedOn w:val="907"/>
    <w:next w:val="1007"/>
    <w:link w:val="907"/>
    <w:uiPriority w:val="1"/>
    <w:qFormat/>
    <w:pPr>
      <w:spacing w:after="120"/>
    </w:pPr>
  </w:style>
  <w:style w:type="paragraph" w:styleId="1008">
    <w:name w:val="font6"/>
    <w:basedOn w:val="907"/>
    <w:next w:val="1008"/>
    <w:link w:val="907"/>
    <w:pPr>
      <w:jc w:val="left"/>
      <w:spacing w:before="100" w:beforeAutospacing="1" w:after="100" w:afterAutospacing="1"/>
      <w:widowControl/>
    </w:pPr>
    <w:rPr>
      <w:rFonts w:hint="eastAsia" w:ascii="宋体" w:hAnsi="宋体" w:eastAsia="宋体" w:cs="Times New Roman"/>
      <w:sz w:val="28"/>
      <w:szCs w:val="28"/>
      <w:u w:val="single"/>
    </w:rPr>
  </w:style>
  <w:style w:type="paragraph" w:styleId="1009">
    <w:name w:val=" Char Char Char Char Char Char Char Char"/>
    <w:basedOn w:val="907"/>
    <w:next w:val="1009"/>
    <w:link w:val="907"/>
    <w:pPr>
      <w:jc w:val="left"/>
      <w:spacing w:after="160" w:line="240" w:lineRule="exact"/>
      <w:widowControl/>
    </w:pPr>
    <w:rPr>
      <w:rFonts w:ascii="Verdana" w:hAnsi="Verdana" w:eastAsia="宋体" w:cs="Times New Roman"/>
      <w:sz w:val="20"/>
      <w:szCs w:val="20"/>
      <w:lang w:eastAsia="en-US"/>
    </w:rPr>
  </w:style>
  <w:style w:type="paragraph" w:styleId="1010">
    <w:name w:val="Char Char Char Char Char Char Char Char"/>
    <w:basedOn w:val="907"/>
    <w:next w:val="1010"/>
    <w:link w:val="907"/>
    <w:pPr>
      <w:jc w:val="left"/>
      <w:spacing w:after="160" w:line="240" w:lineRule="exact"/>
      <w:widowControl/>
    </w:pPr>
    <w:rPr>
      <w:rFonts w:ascii="Verdana" w:hAnsi="Verdana" w:eastAsia="宋体" w:cs="Times New Roman"/>
      <w:sz w:val="20"/>
      <w:szCs w:val="20"/>
      <w:lang w:eastAsia="en-US"/>
    </w:rPr>
  </w:style>
  <w:style w:type="paragraph" w:styleId="1011">
    <w:name w:val="附录1"/>
    <w:next w:val="1011"/>
    <w:link w:val="907"/>
    <w:pPr>
      <w:numPr>
        <w:ilvl w:val="0"/>
        <w:numId w:val="2"/>
      </w:numPr>
      <w:spacing w:before="240" w:line="600" w:lineRule="atLeast"/>
      <w:tabs>
        <w:tab w:val="left" w:pos="907" w:leader="none"/>
      </w:tabs>
    </w:pPr>
    <w:rPr>
      <w:b/>
      <w:i/>
      <w:sz w:val="28"/>
      <w:lang w:val="en-US" w:eastAsia="zh-CN" w:bidi="ar-SA"/>
    </w:rPr>
  </w:style>
  <w:style w:type="paragraph" w:styleId="1012">
    <w:name w:val="xl26"/>
    <w:basedOn w:val="907"/>
    <w:next w:val="1012"/>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name w:val=" Char"/>
    <w:basedOn w:val="933"/>
    <w:next w:val="1013"/>
    <w:link w:val="907"/>
    <w:rPr>
      <w:rFonts w:ascii="Tahoma" w:hAnsi="Tahoma"/>
      <w:sz w:val="24"/>
      <w:szCs w:val="24"/>
    </w:rPr>
  </w:style>
  <w:style w:type="paragraph" w:styleId="1014">
    <w:name w:val="首行缩进"/>
    <w:basedOn w:val="907"/>
    <w:next w:val="1014"/>
    <w:link w:val="907"/>
    <w:uiPriority w:val="99"/>
    <w:qFormat/>
    <w:pPr>
      <w:ind w:firstLine="480"/>
      <w:jc w:val="left"/>
      <w:spacing w:line="360" w:lineRule="auto"/>
    </w:pPr>
    <w:rPr>
      <w:rFonts w:ascii="宋体" w:hAnsi="宋体"/>
      <w:sz w:val="24"/>
      <w:szCs w:val="24"/>
    </w:rPr>
  </w:style>
  <w:style w:type="paragraph" w:styleId="1015">
    <w:name w:val="无间隔"/>
    <w:next w:val="1015"/>
    <w:link w:val="907"/>
    <w:uiPriority w:val="99"/>
    <w:qFormat/>
    <w:pPr>
      <w:jc w:val="both"/>
      <w:widowControl w:val="off"/>
    </w:pPr>
    <w:rPr>
      <w:sz w:val="21"/>
      <w:szCs w:val="21"/>
      <w:lang w:val="en-US" w:eastAsia="zh-CN" w:bidi="ar-SA"/>
    </w:rPr>
  </w:style>
  <w:style w:type="paragraph" w:styleId="1016">
    <w:name w:val="font7"/>
    <w:basedOn w:val="907"/>
    <w:next w:val="1016"/>
    <w:link w:val="907"/>
    <w:pPr>
      <w:jc w:val="left"/>
      <w:spacing w:before="100" w:beforeAutospacing="1" w:after="100" w:afterAutospacing="1"/>
      <w:widowControl/>
    </w:pPr>
    <w:rPr>
      <w:rFonts w:hint="eastAsia" w:ascii="宋体" w:hAnsi="宋体" w:eastAsia="宋体" w:cs="Times New Roman"/>
      <w:sz w:val="18"/>
      <w:szCs w:val="18"/>
    </w:rPr>
  </w:style>
  <w:style w:type="paragraph" w:styleId="1017">
    <w:name w:val="xl27"/>
    <w:basedOn w:val="907"/>
    <w:next w:val="1017"/>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4"/>
    <w:basedOn w:val="907"/>
    <w:next w:val="965"/>
    <w:link w:val="907"/>
    <w:pPr>
      <w:ind w:firstLine="420"/>
      <w:spacing w:line="360" w:lineRule="auto"/>
    </w:pPr>
    <w:rPr>
      <w:rFonts w:ascii="Times New Roman" w:hAnsi="Times New Roman" w:eastAsia="宋体" w:cs="Times New Roman"/>
      <w:color w:val="ff0000"/>
      <w:sz w:val="24"/>
      <w:szCs w:val="24"/>
    </w:rPr>
  </w:style>
  <w:style w:type="paragraph" w:styleId="1019">
    <w:name w:val="标题1"/>
    <w:basedOn w:val="907"/>
    <w:next w:val="907"/>
    <w:link w:val="90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name w:val=" Char Char Char Char Char Char Char Char Char Char"/>
    <w:basedOn w:val="907"/>
    <w:next w:val="1020"/>
    <w:link w:val="907"/>
    <w:pPr>
      <w:spacing w:line="360" w:lineRule="auto"/>
    </w:pPr>
    <w:rPr>
      <w:rFonts w:ascii="Times New Roman" w:hAnsi="Times New Roman" w:eastAsia="宋体" w:cs="Times New Roman"/>
      <w:sz w:val="24"/>
      <w:szCs w:val="20"/>
    </w:rPr>
  </w:style>
  <w:style w:type="paragraph" w:styleId="1021">
    <w:name w:val="xl25"/>
    <w:basedOn w:val="907"/>
    <w:next w:val="1021"/>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table_1stline"/>
    <w:basedOn w:val="907"/>
    <w:next w:val="1022"/>
    <w:link w:val="907"/>
    <w:pPr>
      <w:jc w:val="left"/>
      <w:spacing w:before="120"/>
      <w:widowControl/>
    </w:pPr>
    <w:rPr>
      <w:rFonts w:ascii="Times New Roman" w:hAnsi="Times New Roman" w:eastAsia="宋体" w:cs="Times New Roman"/>
      <w:bCs/>
      <w:sz w:val="20"/>
      <w:szCs w:val="20"/>
      <w:lang w:val="de-DE" w:eastAsia="de-DE"/>
    </w:rPr>
  </w:style>
  <w:style w:type="paragraph" w:styleId="1023">
    <w:name w:val="图标"/>
    <w:basedOn w:val="907"/>
    <w:next w:val="907"/>
    <w:link w:val="90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4">
    <w:name w:val="标题3"/>
    <w:basedOn w:val="907"/>
    <w:next w:val="907"/>
    <w:link w:val="907"/>
    <w:pPr>
      <w:ind w:firstLine="624"/>
      <w:spacing w:line="590" w:lineRule="atLeast"/>
    </w:pPr>
    <w:rPr>
      <w:rFonts w:ascii="方正黑体_GBK" w:hAnsi="Times New Roman" w:eastAsia="方正黑体_GBK" w:cs="Times New Roman"/>
      <w:sz w:val="32"/>
      <w:szCs w:val="32"/>
    </w:rPr>
  </w:style>
  <w:style w:type="paragraph" w:styleId="1025">
    <w:name w:val="xl29"/>
    <w:basedOn w:val="907"/>
    <w:next w:val="1025"/>
    <w:link w:val="90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name w:val="AONormal"/>
    <w:next w:val="1026"/>
    <w:link w:val="907"/>
    <w:qFormat/>
    <w:pPr>
      <w:ind w:firstLine="440"/>
      <w:spacing w:line="400" w:lineRule="exact"/>
    </w:pPr>
    <w:rPr>
      <w:rFonts w:ascii="华文楷体" w:hAnsi="华文楷体" w:eastAsia="华文楷体" w:cs="华文楷体"/>
      <w:sz w:val="22"/>
      <w:szCs w:val="21"/>
      <w:lang w:val="en-US" w:eastAsia="zh-CN" w:bidi="ar-SA"/>
    </w:rPr>
  </w:style>
  <w:style w:type="paragraph" w:styleId="1027">
    <w:name w:val="正文首行缩进 21"/>
    <w:basedOn w:val="995"/>
    <w:next w:val="1006"/>
    <w:link w:val="907"/>
    <w:uiPriority w:val="99"/>
    <w:unhideWhenUsed/>
    <w:qFormat/>
    <w:pPr>
      <w:ind w:firstLine="420"/>
    </w:p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6</cp:revision>
  <dcterms:created xsi:type="dcterms:W3CDTF">2023-03-16T02:13:00Z</dcterms:created>
  <dcterms:modified xsi:type="dcterms:W3CDTF">2024-10-30T02:11:52Z</dcterms:modified>
</cp:coreProperties>
</file>