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72B761">
      <w:pPr>
        <w:spacing w:before="120" w:after="120" w:line="360" w:lineRule="auto"/>
        <w:ind w:firstLine="1687"/>
        <w:jc w:val="left"/>
        <w:rPr>
          <w:rFonts w:ascii="Arial" w:hAnsi="Arial" w:eastAsia="黑体"/>
          <w:b/>
          <w:bCs/>
          <w:color w:val="000000" w:themeColor="text1"/>
          <w:sz w:val="84"/>
          <w:szCs w:val="24"/>
          <w14:textFill>
            <w14:solidFill>
              <w14:schemeClr w14:val="tx1"/>
            </w14:solidFill>
          </w14:textFill>
        </w:rPr>
      </w:pPr>
    </w:p>
    <w:p w14:paraId="60FAD4D0">
      <w:pPr>
        <w:spacing w:before="120" w:after="120" w:line="360" w:lineRule="auto"/>
        <w:ind w:firstLine="1687"/>
        <w:jc w:val="center"/>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招　标　文　件</w:t>
      </w:r>
    </w:p>
    <w:p w14:paraId="55185071">
      <w:pPr>
        <w:spacing w:before="120" w:after="120" w:line="360" w:lineRule="auto"/>
        <w:ind w:firstLine="643"/>
        <w:jc w:val="left"/>
        <w:rPr>
          <w:rFonts w:ascii="Arial" w:hAnsi="Arial"/>
          <w:b/>
          <w:bCs/>
          <w:color w:val="000000" w:themeColor="text1"/>
          <w:sz w:val="32"/>
          <w:szCs w:val="24"/>
          <w14:textFill>
            <w14:solidFill>
              <w14:schemeClr w14:val="tx1"/>
            </w14:solidFill>
          </w14:textFill>
        </w:rPr>
      </w:pPr>
    </w:p>
    <w:p w14:paraId="2ADD7AFB">
      <w:pPr>
        <w:spacing w:before="120" w:after="120" w:line="360" w:lineRule="auto"/>
        <w:ind w:firstLine="643"/>
        <w:jc w:val="left"/>
        <w:rPr>
          <w:rFonts w:ascii="Arial" w:hAnsi="Arial"/>
          <w:b/>
          <w:bCs/>
          <w:color w:val="000000" w:themeColor="text1"/>
          <w:sz w:val="32"/>
          <w:szCs w:val="24"/>
          <w14:textFill>
            <w14:solidFill>
              <w14:schemeClr w14:val="tx1"/>
            </w14:solidFill>
          </w14:textFill>
        </w:rPr>
      </w:pPr>
    </w:p>
    <w:p w14:paraId="75EF5B29">
      <w:pPr>
        <w:spacing w:before="120" w:after="120" w:line="360" w:lineRule="auto"/>
        <w:ind w:firstLine="643"/>
        <w:jc w:val="left"/>
        <w:rPr>
          <w:rFonts w:ascii="Arial" w:hAnsi="Arial"/>
          <w:b/>
          <w:bCs/>
          <w:color w:val="000000" w:themeColor="text1"/>
          <w:sz w:val="32"/>
          <w:szCs w:val="24"/>
          <w14:textFill>
            <w14:solidFill>
              <w14:schemeClr w14:val="tx1"/>
            </w14:solidFill>
          </w14:textFill>
        </w:rPr>
      </w:pPr>
    </w:p>
    <w:p w14:paraId="2D4EB9C9">
      <w:pPr>
        <w:spacing w:line="600" w:lineRule="exact"/>
        <w:ind w:firstLine="723"/>
        <w:jc w:val="left"/>
        <w:rPr>
          <w:rFonts w:hint="eastAsia" w:asciiTheme="minorEastAsia" w:hAnsiTheme="minorEastAsia" w:eastAsiaTheme="minorEastAsia"/>
          <w:b/>
          <w:bCs/>
          <w:color w:val="000000" w:themeColor="text1"/>
          <w:sz w:val="36"/>
          <w:szCs w:val="24"/>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项目编号：</w:t>
      </w:r>
      <w:r>
        <w:rPr>
          <w:rFonts w:hint="eastAsia" w:asciiTheme="minorEastAsia" w:hAnsiTheme="minorEastAsia" w:eastAsiaTheme="minorEastAsia"/>
          <w:b/>
          <w:bCs/>
          <w:color w:val="000000" w:themeColor="text1"/>
          <w:sz w:val="36"/>
          <w:szCs w:val="24"/>
          <w:lang w:eastAsia="zh-CN"/>
          <w14:textFill>
            <w14:solidFill>
              <w14:schemeClr w14:val="tx1"/>
            </w14:solidFill>
          </w14:textFill>
        </w:rPr>
        <w:t>JSZC-320581-SZXY-G2024-0043</w:t>
      </w:r>
    </w:p>
    <w:p w14:paraId="7909287E">
      <w:pPr>
        <w:spacing w:line="600" w:lineRule="exact"/>
        <w:ind w:firstLine="723"/>
        <w:rPr>
          <w:rFonts w:hint="eastAsia" w:asciiTheme="minorEastAsia" w:hAnsiTheme="minorEastAsia" w:eastAsiaTheme="minorEastAsia"/>
          <w:b/>
          <w:bCs/>
          <w:color w:val="000000" w:themeColor="text1"/>
          <w:sz w:val="36"/>
          <w:szCs w:val="24"/>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项目名称：</w:t>
      </w:r>
      <w:r>
        <w:rPr>
          <w:rFonts w:hint="eastAsia" w:asciiTheme="minorEastAsia" w:hAnsiTheme="minorEastAsia" w:eastAsiaTheme="minorEastAsia"/>
          <w:b/>
          <w:bCs/>
          <w:color w:val="000000" w:themeColor="text1"/>
          <w:sz w:val="36"/>
          <w:szCs w:val="24"/>
          <w:lang w:eastAsia="zh-CN"/>
          <w14:textFill>
            <w14:solidFill>
              <w14:schemeClr w14:val="tx1"/>
            </w14:solidFill>
          </w14:textFill>
        </w:rPr>
        <w:t>2024-2025年度市级河道绿化养护</w:t>
      </w:r>
    </w:p>
    <w:p w14:paraId="1DE33231">
      <w:pPr>
        <w:spacing w:line="600" w:lineRule="exact"/>
        <w:ind w:firstLine="723"/>
        <w:jc w:val="lef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项目属性：服务类项目</w:t>
      </w:r>
    </w:p>
    <w:p w14:paraId="0E1EB02E">
      <w:pPr>
        <w:ind w:left="2100" w:firstLine="480"/>
        <w:rPr>
          <w:rFonts w:ascii="Times New Roman" w:hAnsi="Times New Roman"/>
          <w:b/>
          <w:color w:val="000000" w:themeColor="text1"/>
          <w:sz w:val="30"/>
          <w:szCs w:val="30"/>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r>
        <w:rPr>
          <w:rFonts w:hint="eastAsia" w:ascii="Times New Roman" w:hAnsi="Times New Roman"/>
          <w:b/>
          <w:color w:val="000000" w:themeColor="text1"/>
          <w:sz w:val="30"/>
          <w:szCs w:val="30"/>
          <w14:textFill>
            <w14:solidFill>
              <w14:schemeClr w14:val="tx1"/>
            </w14:solidFill>
          </w14:textFill>
        </w:rPr>
        <w:t xml:space="preserve">    </w:t>
      </w:r>
    </w:p>
    <w:p w14:paraId="4308A4AE">
      <w:pPr>
        <w:spacing w:line="360" w:lineRule="auto"/>
        <w:jc w:val="left"/>
        <w:rPr>
          <w:rFonts w:ascii="宋体" w:hAnsi="宋体"/>
          <w:color w:val="000000" w:themeColor="text1"/>
          <w:sz w:val="24"/>
          <w:szCs w:val="24"/>
          <w14:textFill>
            <w14:solidFill>
              <w14:schemeClr w14:val="tx1"/>
            </w14:solidFill>
          </w14:textFill>
        </w:rPr>
      </w:pPr>
    </w:p>
    <w:p w14:paraId="7ACC66F6">
      <w:pPr>
        <w:spacing w:line="360" w:lineRule="auto"/>
        <w:jc w:val="left"/>
        <w:rPr>
          <w:rFonts w:ascii="宋体" w:hAnsi="宋体"/>
          <w:color w:val="000000" w:themeColor="text1"/>
          <w:sz w:val="24"/>
          <w:szCs w:val="24"/>
          <w14:textFill>
            <w14:solidFill>
              <w14:schemeClr w14:val="tx1"/>
            </w14:solidFill>
          </w14:textFill>
        </w:rPr>
      </w:pPr>
    </w:p>
    <w:p w14:paraId="6FE72B8C">
      <w:pPr>
        <w:spacing w:line="360" w:lineRule="auto"/>
        <w:jc w:val="left"/>
        <w:rPr>
          <w:rFonts w:ascii="宋体" w:hAnsi="宋体"/>
          <w:color w:val="000000" w:themeColor="text1"/>
          <w:sz w:val="24"/>
          <w:szCs w:val="24"/>
          <w14:textFill>
            <w14:solidFill>
              <w14:schemeClr w14:val="tx1"/>
            </w14:solidFill>
          </w14:textFill>
        </w:rPr>
      </w:pPr>
    </w:p>
    <w:p w14:paraId="171C4B88">
      <w:pPr>
        <w:spacing w:line="360" w:lineRule="auto"/>
        <w:jc w:val="left"/>
        <w:rPr>
          <w:rFonts w:ascii="宋体" w:hAnsi="宋体"/>
          <w:color w:val="000000" w:themeColor="text1"/>
          <w:sz w:val="24"/>
          <w:szCs w:val="24"/>
          <w14:textFill>
            <w14:solidFill>
              <w14:schemeClr w14:val="tx1"/>
            </w14:solidFill>
          </w14:textFill>
        </w:rPr>
      </w:pPr>
    </w:p>
    <w:p w14:paraId="29D5912E">
      <w:pPr>
        <w:spacing w:line="360" w:lineRule="auto"/>
        <w:jc w:val="left"/>
        <w:rPr>
          <w:rFonts w:ascii="宋体" w:hAnsi="宋体"/>
          <w:color w:val="000000" w:themeColor="text1"/>
          <w:sz w:val="24"/>
          <w:szCs w:val="24"/>
          <w14:textFill>
            <w14:solidFill>
              <w14:schemeClr w14:val="tx1"/>
            </w14:solidFill>
          </w14:textFill>
        </w:rPr>
      </w:pPr>
    </w:p>
    <w:p w14:paraId="5CAE674B">
      <w:pPr>
        <w:spacing w:line="360" w:lineRule="auto"/>
        <w:jc w:val="left"/>
        <w:rPr>
          <w:rFonts w:ascii="宋体" w:hAnsi="宋体"/>
          <w:color w:val="000000" w:themeColor="text1"/>
          <w:sz w:val="24"/>
          <w:szCs w:val="24"/>
          <w14:textFill>
            <w14:solidFill>
              <w14:schemeClr w14:val="tx1"/>
            </w14:solidFill>
          </w14:textFill>
        </w:rPr>
      </w:pPr>
    </w:p>
    <w:p w14:paraId="43340BB9">
      <w:pPr>
        <w:pStyle w:val="14"/>
        <w:rPr>
          <w:rFonts w:ascii="宋体" w:hAnsi="宋体"/>
          <w:color w:val="000000" w:themeColor="text1"/>
          <w:sz w:val="24"/>
          <w:szCs w:val="24"/>
          <w14:textFill>
            <w14:solidFill>
              <w14:schemeClr w14:val="tx1"/>
            </w14:solidFill>
          </w14:textFill>
        </w:rPr>
      </w:pPr>
    </w:p>
    <w:p w14:paraId="6D96E00F"/>
    <w:p w14:paraId="418DF1BB">
      <w:pPr>
        <w:spacing w:line="360" w:lineRule="auto"/>
        <w:jc w:val="left"/>
        <w:rPr>
          <w:rFonts w:ascii="宋体" w:hAnsi="宋体"/>
          <w:color w:val="000000" w:themeColor="text1"/>
          <w:sz w:val="24"/>
          <w:szCs w:val="24"/>
          <w14:textFill>
            <w14:solidFill>
              <w14:schemeClr w14:val="tx1"/>
            </w14:solidFill>
          </w14:textFill>
        </w:rPr>
      </w:pPr>
    </w:p>
    <w:p w14:paraId="104648AD">
      <w:pPr>
        <w:pStyle w:val="14"/>
        <w:rPr>
          <w:rFonts w:ascii="宋体" w:hAnsi="宋体"/>
          <w:color w:val="000000" w:themeColor="text1"/>
          <w:sz w:val="24"/>
          <w:szCs w:val="24"/>
          <w14:textFill>
            <w14:solidFill>
              <w14:schemeClr w14:val="tx1"/>
            </w14:solidFill>
          </w14:textFill>
        </w:rPr>
      </w:pPr>
    </w:p>
    <w:p w14:paraId="5A13CA19"/>
    <w:p w14:paraId="611E5EEA">
      <w:pPr>
        <w:spacing w:before="120" w:after="120" w:line="360" w:lineRule="auto"/>
        <w:ind w:firstLine="723"/>
        <w:jc w:val="center"/>
        <w:rPr>
          <w:rFonts w:ascii="宋体" w:hAnsi="宋体"/>
          <w:b/>
          <w:bCs/>
          <w:color w:val="000000" w:themeColor="text1"/>
          <w:sz w:val="40"/>
          <w:szCs w:val="28"/>
          <w14:textFill>
            <w14:solidFill>
              <w14:schemeClr w14:val="tx1"/>
            </w14:solidFill>
          </w14:textFill>
        </w:rPr>
      </w:pPr>
      <w:r>
        <w:rPr>
          <w:rFonts w:hint="eastAsia" w:ascii="宋体" w:hAnsi="宋体"/>
          <w:b/>
          <w:bCs/>
          <w:color w:val="000000" w:themeColor="text1"/>
          <w:sz w:val="40"/>
          <w:szCs w:val="28"/>
          <w14:textFill>
            <w14:solidFill>
              <w14:schemeClr w14:val="tx1"/>
            </w14:solidFill>
          </w14:textFill>
        </w:rPr>
        <w:t>苏州新一造价师价格事务所有限公司</w:t>
      </w:r>
    </w:p>
    <w:p w14:paraId="75E3A69B">
      <w:pPr>
        <w:spacing w:before="120" w:after="120" w:line="360" w:lineRule="auto"/>
        <w:ind w:firstLine="723"/>
        <w:jc w:val="center"/>
        <w:rPr>
          <w:rFonts w:ascii="宋体" w:hAnsi="宋体"/>
          <w:color w:val="000000" w:themeColor="text1"/>
          <w:sz w:val="32"/>
          <w:szCs w:val="28"/>
          <w14:textFill>
            <w14:solidFill>
              <w14:schemeClr w14:val="tx1"/>
            </w14:solidFill>
          </w14:textFill>
        </w:rPr>
      </w:pPr>
      <w:r>
        <w:rPr>
          <w:rFonts w:ascii="宋体" w:hAnsi="宋体"/>
          <w:b/>
          <w:bCs/>
          <w:color w:val="000000" w:themeColor="text1"/>
          <w:sz w:val="40"/>
          <w:szCs w:val="28"/>
          <w14:textFill>
            <w14:solidFill>
              <w14:schemeClr w14:val="tx1"/>
            </w14:solidFill>
          </w14:textFill>
        </w:rPr>
        <w:t>2024</w:t>
      </w:r>
      <w:r>
        <w:rPr>
          <w:rFonts w:hint="eastAsia" w:ascii="宋体" w:hAnsi="宋体"/>
          <w:b/>
          <w:bCs/>
          <w:color w:val="000000" w:themeColor="text1"/>
          <w:sz w:val="40"/>
          <w:szCs w:val="28"/>
          <w14:textFill>
            <w14:solidFill>
              <w14:schemeClr w14:val="tx1"/>
            </w14:solidFill>
          </w14:textFill>
        </w:rPr>
        <w:t>年</w:t>
      </w:r>
      <w:r>
        <w:rPr>
          <w:rFonts w:hint="eastAsia" w:ascii="宋体" w:hAnsi="宋体"/>
          <w:b/>
          <w:bCs/>
          <w:color w:val="000000" w:themeColor="text1"/>
          <w:sz w:val="40"/>
          <w:szCs w:val="28"/>
          <w:lang w:val="en-US" w:eastAsia="zh-CN"/>
          <w14:textFill>
            <w14:solidFill>
              <w14:schemeClr w14:val="tx1"/>
            </w14:solidFill>
          </w14:textFill>
        </w:rPr>
        <w:t>8</w:t>
      </w:r>
      <w:r>
        <w:rPr>
          <w:rFonts w:hint="eastAsia" w:ascii="宋体" w:hAnsi="宋体"/>
          <w:b/>
          <w:bCs/>
          <w:color w:val="000000" w:themeColor="text1"/>
          <w:sz w:val="40"/>
          <w:szCs w:val="28"/>
          <w14:textFill>
            <w14:solidFill>
              <w14:schemeClr w14:val="tx1"/>
            </w14:solidFill>
          </w14:textFill>
        </w:rPr>
        <w:t>月</w:t>
      </w:r>
      <w:r>
        <w:rPr>
          <w:rFonts w:hint="eastAsia" w:ascii="宋体" w:hAnsi="宋体"/>
          <w:b/>
          <w:bCs/>
          <w:color w:val="000000" w:themeColor="text1"/>
          <w:sz w:val="40"/>
          <w:szCs w:val="28"/>
          <w:lang w:val="en-US" w:eastAsia="zh-CN"/>
          <w14:textFill>
            <w14:solidFill>
              <w14:schemeClr w14:val="tx1"/>
            </w14:solidFill>
          </w14:textFill>
        </w:rPr>
        <w:t>13</w:t>
      </w:r>
      <w:r>
        <w:rPr>
          <w:rFonts w:hint="eastAsia" w:ascii="宋体" w:hAnsi="宋体"/>
          <w:b/>
          <w:bCs/>
          <w:color w:val="000000" w:themeColor="text1"/>
          <w:sz w:val="40"/>
          <w:szCs w:val="28"/>
          <w14:textFill>
            <w14:solidFill>
              <w14:schemeClr w14:val="tx1"/>
            </w14:solidFill>
          </w14:textFill>
        </w:rPr>
        <w:t>日</w:t>
      </w:r>
    </w:p>
    <w:p w14:paraId="67E6E030">
      <w:pPr>
        <w:pStyle w:val="359"/>
        <w:ind w:firstLine="640"/>
        <w:jc w:val="center"/>
        <w:rPr>
          <w:b/>
          <w:bCs/>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br w:type="page" w:clear="all"/>
      </w:r>
      <w:bookmarkStart w:id="0" w:name="_Toc120614210"/>
      <w:bookmarkStart w:id="1" w:name="_Toc523127445"/>
      <w:bookmarkStart w:id="2" w:name="_Toc479757206"/>
      <w:bookmarkStart w:id="3" w:name="_Toc20823272"/>
      <w:bookmarkStart w:id="4" w:name="_Toc513029200"/>
      <w:bookmarkStart w:id="5" w:name="_Toc16938516"/>
      <w:r>
        <w:rPr>
          <w:b/>
          <w:bCs/>
          <w:color w:val="000000" w:themeColor="text1"/>
          <w:lang w:val="zh-CN"/>
          <w14:textFill>
            <w14:solidFill>
              <w14:schemeClr w14:val="tx1"/>
            </w14:solidFill>
          </w14:textFill>
        </w:rPr>
        <w:t>目录</w:t>
      </w:r>
    </w:p>
    <w:p w14:paraId="46B77995">
      <w:pPr>
        <w:pStyle w:val="26"/>
        <w:tabs>
          <w:tab w:val="right" w:leader="dot" w:pos="10466"/>
        </w:tabs>
      </w:pPr>
      <w:r>
        <w:rPr>
          <w:rFonts w:ascii="Times New Roman" w:hAnsi="Times New Roman"/>
          <w:color w:val="000000" w:themeColor="text1"/>
          <w14:textFill>
            <w14:solidFill>
              <w14:schemeClr w14:val="tx1"/>
            </w14:solidFill>
          </w14:textFill>
        </w:rPr>
        <w:fldChar w:fldCharType="begin"/>
      </w:r>
      <w:r>
        <w:rPr>
          <w:rFonts w:ascii="Times New Roman" w:hAnsi="Times New Roman"/>
          <w:color w:val="000000" w:themeColor="text1"/>
          <w14:textFill>
            <w14:solidFill>
              <w14:schemeClr w14:val="tx1"/>
            </w14:solidFill>
          </w14:textFill>
        </w:rPr>
        <w:instrText xml:space="preserve"> TOC \o "1-3" \h \z \u </w:instrText>
      </w:r>
      <w:r>
        <w:rPr>
          <w:rFonts w:ascii="Times New Roman" w:hAnsi="Times New Roman"/>
          <w:color w:val="000000" w:themeColor="text1"/>
          <w14:textFill>
            <w14:solidFill>
              <w14:schemeClr w14:val="tx1"/>
            </w14:solidFill>
          </w14:textFill>
        </w:rPr>
        <w:fldChar w:fldCharType="separate"/>
      </w:r>
      <w:r>
        <w:rPr>
          <w:rFonts w:ascii="Times New Roman" w:hAnsi="Times New Roman"/>
          <w:color w:val="000000" w:themeColor="text1"/>
          <w14:textFill>
            <w14:solidFill>
              <w14:schemeClr w14:val="tx1"/>
            </w14:solidFill>
          </w14:textFill>
        </w:rPr>
        <w:fldChar w:fldCharType="begin"/>
      </w:r>
      <w:r>
        <w:rPr>
          <w:rFonts w:ascii="Times New Roman" w:hAnsi="Times New Roman"/>
        </w:rPr>
        <w:instrText xml:space="preserve"> HYPERLINK \l _Toc10393 </w:instrText>
      </w:r>
      <w:r>
        <w:rPr>
          <w:rFonts w:ascii="Times New Roman" w:hAnsi="Times New Roman"/>
        </w:rPr>
        <w:fldChar w:fldCharType="separate"/>
      </w:r>
      <w:r>
        <w:rPr>
          <w:rFonts w:hint="eastAsia" w:ascii="黑体" w:hAnsi="Times New Roman" w:eastAsia="黑体"/>
          <w:szCs w:val="44"/>
        </w:rPr>
        <w:t>第一章  投标邀请</w:t>
      </w:r>
      <w:r>
        <w:tab/>
      </w:r>
      <w:r>
        <w:fldChar w:fldCharType="begin"/>
      </w:r>
      <w:r>
        <w:instrText xml:space="preserve"> PAGEREF _Toc10393 \h </w:instrText>
      </w:r>
      <w:r>
        <w:fldChar w:fldCharType="separate"/>
      </w:r>
      <w:r>
        <w:t>3</w:t>
      </w:r>
      <w:r>
        <w:fldChar w:fldCharType="end"/>
      </w:r>
      <w:r>
        <w:rPr>
          <w:rFonts w:ascii="Times New Roman" w:hAnsi="Times New Roman"/>
          <w:color w:val="000000" w:themeColor="text1"/>
          <w14:textFill>
            <w14:solidFill>
              <w14:schemeClr w14:val="tx1"/>
            </w14:solidFill>
          </w14:textFill>
        </w:rPr>
        <w:fldChar w:fldCharType="end"/>
      </w:r>
    </w:p>
    <w:p w14:paraId="09627661">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_Toc32628 </w:instrText>
      </w:r>
      <w:r>
        <w:rPr>
          <w:rFonts w:ascii="Times New Roman" w:hAnsi="Times New Roman"/>
          <w:caps/>
          <w:szCs w:val="24"/>
        </w:rPr>
        <w:fldChar w:fldCharType="separate"/>
      </w:r>
      <w:r>
        <w:rPr>
          <w:rFonts w:ascii="Times New Roman" w:hAnsi="Times New Roman"/>
          <w:bCs/>
          <w:szCs w:val="24"/>
        </w:rPr>
        <w:t>一、项目基本情况</w:t>
      </w:r>
      <w:r>
        <w:tab/>
      </w:r>
      <w:r>
        <w:fldChar w:fldCharType="begin"/>
      </w:r>
      <w:r>
        <w:instrText xml:space="preserve"> PAGEREF _Toc32628 \h </w:instrText>
      </w:r>
      <w:r>
        <w:fldChar w:fldCharType="separate"/>
      </w:r>
      <w:r>
        <w:t>3</w:t>
      </w:r>
      <w:r>
        <w:fldChar w:fldCharType="end"/>
      </w:r>
      <w:r>
        <w:rPr>
          <w:rFonts w:ascii="Times New Roman" w:hAnsi="Times New Roman"/>
          <w:caps/>
          <w:color w:val="000000" w:themeColor="text1"/>
          <w:szCs w:val="24"/>
          <w14:textFill>
            <w14:solidFill>
              <w14:schemeClr w14:val="tx1"/>
            </w14:solidFill>
          </w14:textFill>
        </w:rPr>
        <w:fldChar w:fldCharType="end"/>
      </w:r>
    </w:p>
    <w:p w14:paraId="4B95C22C">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_Toc19427 </w:instrText>
      </w:r>
      <w:r>
        <w:rPr>
          <w:rFonts w:ascii="Times New Roman" w:hAnsi="Times New Roman"/>
          <w:caps/>
          <w:szCs w:val="24"/>
        </w:rPr>
        <w:fldChar w:fldCharType="separate"/>
      </w:r>
      <w:r>
        <w:rPr>
          <w:rFonts w:hint="eastAsia" w:ascii="Times New Roman" w:hAnsi="Times New Roman"/>
          <w:bCs/>
          <w:szCs w:val="24"/>
        </w:rPr>
        <w:t>二、申请人的资格要求</w:t>
      </w:r>
      <w:r>
        <w:tab/>
      </w:r>
      <w:r>
        <w:fldChar w:fldCharType="begin"/>
      </w:r>
      <w:r>
        <w:instrText xml:space="preserve"> PAGEREF _Toc19427 \h </w:instrText>
      </w:r>
      <w:r>
        <w:fldChar w:fldCharType="separate"/>
      </w:r>
      <w:r>
        <w:t>3</w:t>
      </w:r>
      <w:r>
        <w:fldChar w:fldCharType="end"/>
      </w:r>
      <w:r>
        <w:rPr>
          <w:rFonts w:ascii="Times New Roman" w:hAnsi="Times New Roman"/>
          <w:caps/>
          <w:color w:val="000000" w:themeColor="text1"/>
          <w:szCs w:val="24"/>
          <w14:textFill>
            <w14:solidFill>
              <w14:schemeClr w14:val="tx1"/>
            </w14:solidFill>
          </w14:textFill>
        </w:rPr>
        <w:fldChar w:fldCharType="end"/>
      </w:r>
    </w:p>
    <w:p w14:paraId="629E7EDC">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_Toc16899 </w:instrText>
      </w:r>
      <w:r>
        <w:rPr>
          <w:rFonts w:ascii="Times New Roman" w:hAnsi="Times New Roman"/>
          <w:caps/>
          <w:szCs w:val="24"/>
        </w:rPr>
        <w:fldChar w:fldCharType="separate"/>
      </w:r>
      <w:r>
        <w:rPr>
          <w:rFonts w:hint="eastAsia" w:ascii="Times New Roman" w:hAnsi="Times New Roman"/>
          <w:bCs/>
          <w:szCs w:val="24"/>
        </w:rPr>
        <w:t>三、获取招标文件</w:t>
      </w:r>
      <w:r>
        <w:tab/>
      </w:r>
      <w:r>
        <w:fldChar w:fldCharType="begin"/>
      </w:r>
      <w:r>
        <w:instrText xml:space="preserve"> PAGEREF _Toc16899 \h </w:instrText>
      </w:r>
      <w:r>
        <w:fldChar w:fldCharType="separate"/>
      </w:r>
      <w:r>
        <w:t>4</w:t>
      </w:r>
      <w:r>
        <w:fldChar w:fldCharType="end"/>
      </w:r>
      <w:r>
        <w:rPr>
          <w:rFonts w:ascii="Times New Roman" w:hAnsi="Times New Roman"/>
          <w:caps/>
          <w:color w:val="000000" w:themeColor="text1"/>
          <w:szCs w:val="24"/>
          <w14:textFill>
            <w14:solidFill>
              <w14:schemeClr w14:val="tx1"/>
            </w14:solidFill>
          </w14:textFill>
        </w:rPr>
        <w:fldChar w:fldCharType="end"/>
      </w:r>
    </w:p>
    <w:p w14:paraId="06325BBF">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_Toc8716 </w:instrText>
      </w:r>
      <w:r>
        <w:rPr>
          <w:rFonts w:ascii="Times New Roman" w:hAnsi="Times New Roman"/>
          <w:caps/>
          <w:szCs w:val="24"/>
        </w:rPr>
        <w:fldChar w:fldCharType="separate"/>
      </w:r>
      <w:r>
        <w:rPr>
          <w:rFonts w:hint="eastAsia" w:ascii="Times New Roman" w:hAnsi="Times New Roman"/>
          <w:bCs/>
          <w:szCs w:val="24"/>
        </w:rPr>
        <w:t>四、提交投标文件截止时间、开标</w:t>
      </w:r>
      <w:r>
        <w:rPr>
          <w:rFonts w:ascii="Times New Roman" w:hAnsi="Times New Roman"/>
          <w:bCs/>
          <w:szCs w:val="24"/>
        </w:rPr>
        <w:t>时间和地点</w:t>
      </w:r>
      <w:r>
        <w:tab/>
      </w:r>
      <w:r>
        <w:fldChar w:fldCharType="begin"/>
      </w:r>
      <w:r>
        <w:instrText xml:space="preserve"> PAGEREF _Toc8716 \h </w:instrText>
      </w:r>
      <w:r>
        <w:fldChar w:fldCharType="separate"/>
      </w:r>
      <w:r>
        <w:t>4</w:t>
      </w:r>
      <w:r>
        <w:fldChar w:fldCharType="end"/>
      </w:r>
      <w:r>
        <w:rPr>
          <w:rFonts w:ascii="Times New Roman" w:hAnsi="Times New Roman"/>
          <w:caps/>
          <w:color w:val="000000" w:themeColor="text1"/>
          <w:szCs w:val="24"/>
          <w14:textFill>
            <w14:solidFill>
              <w14:schemeClr w14:val="tx1"/>
            </w14:solidFill>
          </w14:textFill>
        </w:rPr>
        <w:fldChar w:fldCharType="end"/>
      </w:r>
    </w:p>
    <w:p w14:paraId="52EBB377">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_Toc31914 </w:instrText>
      </w:r>
      <w:r>
        <w:rPr>
          <w:rFonts w:ascii="Times New Roman" w:hAnsi="Times New Roman"/>
          <w:caps/>
          <w:szCs w:val="24"/>
        </w:rPr>
        <w:fldChar w:fldCharType="separate"/>
      </w:r>
      <w:r>
        <w:rPr>
          <w:rFonts w:hint="eastAsia" w:ascii="Times New Roman" w:hAnsi="Times New Roman"/>
          <w:bCs/>
          <w:szCs w:val="24"/>
        </w:rPr>
        <w:t>五、</w:t>
      </w:r>
      <w:r>
        <w:rPr>
          <w:rFonts w:ascii="Times New Roman" w:hAnsi="Times New Roman"/>
          <w:bCs/>
          <w:szCs w:val="24"/>
        </w:rPr>
        <w:t>公告</w:t>
      </w:r>
      <w:r>
        <w:rPr>
          <w:rFonts w:hint="eastAsia" w:ascii="Times New Roman" w:hAnsi="Times New Roman"/>
          <w:bCs/>
          <w:szCs w:val="24"/>
        </w:rPr>
        <w:t>期限</w:t>
      </w:r>
      <w:r>
        <w:tab/>
      </w:r>
      <w:r>
        <w:fldChar w:fldCharType="begin"/>
      </w:r>
      <w:r>
        <w:instrText xml:space="preserve"> PAGEREF _Toc31914 \h </w:instrText>
      </w:r>
      <w:r>
        <w:fldChar w:fldCharType="separate"/>
      </w:r>
      <w:r>
        <w:t>4</w:t>
      </w:r>
      <w:r>
        <w:fldChar w:fldCharType="end"/>
      </w:r>
      <w:r>
        <w:rPr>
          <w:rFonts w:ascii="Times New Roman" w:hAnsi="Times New Roman"/>
          <w:caps/>
          <w:color w:val="000000" w:themeColor="text1"/>
          <w:szCs w:val="24"/>
          <w14:textFill>
            <w14:solidFill>
              <w14:schemeClr w14:val="tx1"/>
            </w14:solidFill>
          </w14:textFill>
        </w:rPr>
        <w:fldChar w:fldCharType="end"/>
      </w:r>
    </w:p>
    <w:p w14:paraId="21D64C12">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_Toc30421 </w:instrText>
      </w:r>
      <w:r>
        <w:rPr>
          <w:rFonts w:ascii="Times New Roman" w:hAnsi="Times New Roman"/>
          <w:caps/>
          <w:szCs w:val="24"/>
        </w:rPr>
        <w:fldChar w:fldCharType="separate"/>
      </w:r>
      <w:r>
        <w:rPr>
          <w:rFonts w:hint="eastAsia" w:ascii="Times New Roman" w:hAnsi="Times New Roman"/>
          <w:bCs/>
          <w:szCs w:val="24"/>
        </w:rPr>
        <w:t>六、其他补充事宜</w:t>
      </w:r>
      <w:r>
        <w:tab/>
      </w:r>
      <w:r>
        <w:fldChar w:fldCharType="begin"/>
      </w:r>
      <w:r>
        <w:instrText xml:space="preserve"> PAGEREF _Toc30421 \h </w:instrText>
      </w:r>
      <w:r>
        <w:fldChar w:fldCharType="separate"/>
      </w:r>
      <w:r>
        <w:t>4</w:t>
      </w:r>
      <w:r>
        <w:fldChar w:fldCharType="end"/>
      </w:r>
      <w:r>
        <w:rPr>
          <w:rFonts w:ascii="Times New Roman" w:hAnsi="Times New Roman"/>
          <w:caps/>
          <w:color w:val="000000" w:themeColor="text1"/>
          <w:szCs w:val="24"/>
          <w14:textFill>
            <w14:solidFill>
              <w14:schemeClr w14:val="tx1"/>
            </w14:solidFill>
          </w14:textFill>
        </w:rPr>
        <w:fldChar w:fldCharType="end"/>
      </w:r>
    </w:p>
    <w:p w14:paraId="1DAA133C">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_Toc15283 </w:instrText>
      </w:r>
      <w:r>
        <w:rPr>
          <w:rFonts w:ascii="Times New Roman" w:hAnsi="Times New Roman"/>
          <w:caps/>
          <w:szCs w:val="24"/>
        </w:rPr>
        <w:fldChar w:fldCharType="separate"/>
      </w:r>
      <w:r>
        <w:rPr>
          <w:rFonts w:hint="eastAsia" w:ascii="Times New Roman" w:hAnsi="Times New Roman"/>
          <w:bCs/>
          <w:szCs w:val="24"/>
        </w:rPr>
        <w:t>七、本次招标联系方式</w:t>
      </w:r>
      <w:r>
        <w:tab/>
      </w:r>
      <w:r>
        <w:fldChar w:fldCharType="begin"/>
      </w:r>
      <w:r>
        <w:instrText xml:space="preserve"> PAGEREF _Toc15283 \h </w:instrText>
      </w:r>
      <w:r>
        <w:fldChar w:fldCharType="separate"/>
      </w:r>
      <w:r>
        <w:t>5</w:t>
      </w:r>
      <w:r>
        <w:fldChar w:fldCharType="end"/>
      </w:r>
      <w:r>
        <w:rPr>
          <w:rFonts w:ascii="Times New Roman" w:hAnsi="Times New Roman"/>
          <w:caps/>
          <w:color w:val="000000" w:themeColor="text1"/>
          <w:szCs w:val="24"/>
          <w14:textFill>
            <w14:solidFill>
              <w14:schemeClr w14:val="tx1"/>
            </w14:solidFill>
          </w14:textFill>
        </w:rPr>
        <w:fldChar w:fldCharType="end"/>
      </w:r>
    </w:p>
    <w:p w14:paraId="29BDA0C6">
      <w:pPr>
        <w:pStyle w:val="26"/>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_Toc7851 </w:instrText>
      </w:r>
      <w:r>
        <w:rPr>
          <w:rFonts w:ascii="Times New Roman" w:hAnsi="Times New Roman"/>
          <w:caps/>
          <w:szCs w:val="24"/>
        </w:rPr>
        <w:fldChar w:fldCharType="separate"/>
      </w:r>
      <w:r>
        <w:rPr>
          <w:rFonts w:hint="eastAsia" w:ascii="黑体" w:hAnsi="Times New Roman" w:eastAsia="黑体"/>
          <w:szCs w:val="44"/>
        </w:rPr>
        <w:t>第二章  投标人须知</w:t>
      </w:r>
      <w:r>
        <w:tab/>
      </w:r>
      <w:r>
        <w:fldChar w:fldCharType="begin"/>
      </w:r>
      <w:r>
        <w:instrText xml:space="preserve"> PAGEREF _Toc7851 \h </w:instrText>
      </w:r>
      <w:r>
        <w:fldChar w:fldCharType="separate"/>
      </w:r>
      <w:r>
        <w:t>6</w:t>
      </w:r>
      <w:r>
        <w:fldChar w:fldCharType="end"/>
      </w:r>
      <w:r>
        <w:rPr>
          <w:rFonts w:ascii="Times New Roman" w:hAnsi="Times New Roman"/>
          <w:caps/>
          <w:color w:val="000000" w:themeColor="text1"/>
          <w:szCs w:val="24"/>
          <w14:textFill>
            <w14:solidFill>
              <w14:schemeClr w14:val="tx1"/>
            </w14:solidFill>
          </w14:textFill>
        </w:rPr>
        <w:fldChar w:fldCharType="end"/>
      </w:r>
    </w:p>
    <w:p w14:paraId="5EE36863">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_Toc15866 </w:instrText>
      </w:r>
      <w:r>
        <w:rPr>
          <w:rFonts w:ascii="Times New Roman" w:hAnsi="Times New Roman"/>
          <w:caps/>
          <w:szCs w:val="24"/>
        </w:rPr>
        <w:fldChar w:fldCharType="separate"/>
      </w:r>
      <w:r>
        <w:rPr>
          <w:rFonts w:hint="eastAsia" w:ascii="宋体" w:hAnsi="宋体" w:cs="宋体"/>
          <w:bCs/>
          <w:szCs w:val="28"/>
        </w:rPr>
        <w:t>一、总则</w:t>
      </w:r>
      <w:r>
        <w:tab/>
      </w:r>
      <w:r>
        <w:fldChar w:fldCharType="begin"/>
      </w:r>
      <w:r>
        <w:instrText xml:space="preserve"> PAGEREF _Toc15866 \h </w:instrText>
      </w:r>
      <w:r>
        <w:fldChar w:fldCharType="separate"/>
      </w:r>
      <w:r>
        <w:t>6</w:t>
      </w:r>
      <w:r>
        <w:fldChar w:fldCharType="end"/>
      </w:r>
      <w:r>
        <w:rPr>
          <w:rFonts w:ascii="Times New Roman" w:hAnsi="Times New Roman"/>
          <w:caps/>
          <w:color w:val="000000" w:themeColor="text1"/>
          <w:szCs w:val="24"/>
          <w14:textFill>
            <w14:solidFill>
              <w14:schemeClr w14:val="tx1"/>
            </w14:solidFill>
          </w14:textFill>
        </w:rPr>
        <w:fldChar w:fldCharType="end"/>
      </w:r>
    </w:p>
    <w:p w14:paraId="2DB78CB3">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_Toc12437 </w:instrText>
      </w:r>
      <w:r>
        <w:rPr>
          <w:rFonts w:ascii="Times New Roman" w:hAnsi="Times New Roman"/>
          <w:caps/>
          <w:szCs w:val="24"/>
        </w:rPr>
        <w:fldChar w:fldCharType="separate"/>
      </w:r>
      <w:r>
        <w:rPr>
          <w:rFonts w:hint="eastAsia" w:ascii="宋体" w:hAnsi="宋体" w:cs="宋体"/>
          <w:bCs/>
          <w:szCs w:val="28"/>
        </w:rPr>
        <w:t>二、招标文件</w:t>
      </w:r>
      <w:r>
        <w:tab/>
      </w:r>
      <w:r>
        <w:fldChar w:fldCharType="begin"/>
      </w:r>
      <w:r>
        <w:instrText xml:space="preserve"> PAGEREF _Toc12437 \h </w:instrText>
      </w:r>
      <w:r>
        <w:fldChar w:fldCharType="separate"/>
      </w:r>
      <w:r>
        <w:t>6</w:t>
      </w:r>
      <w:r>
        <w:fldChar w:fldCharType="end"/>
      </w:r>
      <w:r>
        <w:rPr>
          <w:rFonts w:ascii="Times New Roman" w:hAnsi="Times New Roman"/>
          <w:caps/>
          <w:color w:val="000000" w:themeColor="text1"/>
          <w:szCs w:val="24"/>
          <w14:textFill>
            <w14:solidFill>
              <w14:schemeClr w14:val="tx1"/>
            </w14:solidFill>
          </w14:textFill>
        </w:rPr>
        <w:fldChar w:fldCharType="end"/>
      </w:r>
    </w:p>
    <w:p w14:paraId="45041A54">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_Toc11168 </w:instrText>
      </w:r>
      <w:r>
        <w:rPr>
          <w:rFonts w:ascii="Times New Roman" w:hAnsi="Times New Roman"/>
          <w:caps/>
          <w:szCs w:val="24"/>
        </w:rPr>
        <w:fldChar w:fldCharType="separate"/>
      </w:r>
      <w:r>
        <w:rPr>
          <w:rFonts w:hint="eastAsia" w:ascii="宋体" w:hAnsi="宋体" w:cs="宋体"/>
          <w:bCs/>
          <w:szCs w:val="28"/>
        </w:rPr>
        <w:t>三、投标文件的编制</w:t>
      </w:r>
      <w:r>
        <w:tab/>
      </w:r>
      <w:r>
        <w:fldChar w:fldCharType="begin"/>
      </w:r>
      <w:r>
        <w:instrText xml:space="preserve"> PAGEREF _Toc11168 \h </w:instrText>
      </w:r>
      <w:r>
        <w:fldChar w:fldCharType="separate"/>
      </w:r>
      <w:r>
        <w:t>7</w:t>
      </w:r>
      <w:r>
        <w:fldChar w:fldCharType="end"/>
      </w:r>
      <w:r>
        <w:rPr>
          <w:rFonts w:ascii="Times New Roman" w:hAnsi="Times New Roman"/>
          <w:caps/>
          <w:color w:val="000000" w:themeColor="text1"/>
          <w:szCs w:val="24"/>
          <w14:textFill>
            <w14:solidFill>
              <w14:schemeClr w14:val="tx1"/>
            </w14:solidFill>
          </w14:textFill>
        </w:rPr>
        <w:fldChar w:fldCharType="end"/>
      </w:r>
    </w:p>
    <w:p w14:paraId="442E0932">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_Toc13465 </w:instrText>
      </w:r>
      <w:r>
        <w:rPr>
          <w:rFonts w:ascii="Times New Roman" w:hAnsi="Times New Roman"/>
          <w:caps/>
          <w:szCs w:val="24"/>
        </w:rPr>
        <w:fldChar w:fldCharType="separate"/>
      </w:r>
      <w:r>
        <w:rPr>
          <w:rFonts w:hint="eastAsia" w:ascii="宋体" w:hAnsi="宋体" w:cs="宋体"/>
          <w:bCs/>
          <w:szCs w:val="28"/>
        </w:rPr>
        <w:t>四、投标文件的递交</w:t>
      </w:r>
      <w:r>
        <w:tab/>
      </w:r>
      <w:r>
        <w:fldChar w:fldCharType="begin"/>
      </w:r>
      <w:r>
        <w:instrText xml:space="preserve"> PAGEREF _Toc13465 \h </w:instrText>
      </w:r>
      <w:r>
        <w:fldChar w:fldCharType="separate"/>
      </w:r>
      <w:r>
        <w:t>8</w:t>
      </w:r>
      <w:r>
        <w:fldChar w:fldCharType="end"/>
      </w:r>
      <w:r>
        <w:rPr>
          <w:rFonts w:ascii="Times New Roman" w:hAnsi="Times New Roman"/>
          <w:caps/>
          <w:color w:val="000000" w:themeColor="text1"/>
          <w:szCs w:val="24"/>
          <w14:textFill>
            <w14:solidFill>
              <w14:schemeClr w14:val="tx1"/>
            </w14:solidFill>
          </w14:textFill>
        </w:rPr>
        <w:fldChar w:fldCharType="end"/>
      </w:r>
    </w:p>
    <w:p w14:paraId="36DFEA6F">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_Toc4947 </w:instrText>
      </w:r>
      <w:r>
        <w:rPr>
          <w:rFonts w:ascii="Times New Roman" w:hAnsi="Times New Roman"/>
          <w:caps/>
          <w:szCs w:val="24"/>
        </w:rPr>
        <w:fldChar w:fldCharType="separate"/>
      </w:r>
      <w:r>
        <w:rPr>
          <w:rFonts w:hint="eastAsia" w:ascii="宋体" w:hAnsi="宋体" w:cs="宋体"/>
          <w:bCs/>
          <w:szCs w:val="28"/>
        </w:rPr>
        <w:t>五、开标与评标</w:t>
      </w:r>
      <w:r>
        <w:tab/>
      </w:r>
      <w:r>
        <w:fldChar w:fldCharType="begin"/>
      </w:r>
      <w:r>
        <w:instrText xml:space="preserve"> PAGEREF _Toc4947 \h </w:instrText>
      </w:r>
      <w:r>
        <w:fldChar w:fldCharType="separate"/>
      </w:r>
      <w:r>
        <w:t>9</w:t>
      </w:r>
      <w:r>
        <w:fldChar w:fldCharType="end"/>
      </w:r>
      <w:r>
        <w:rPr>
          <w:rFonts w:ascii="Times New Roman" w:hAnsi="Times New Roman"/>
          <w:caps/>
          <w:color w:val="000000" w:themeColor="text1"/>
          <w:szCs w:val="24"/>
          <w14:textFill>
            <w14:solidFill>
              <w14:schemeClr w14:val="tx1"/>
            </w14:solidFill>
          </w14:textFill>
        </w:rPr>
        <w:fldChar w:fldCharType="end"/>
      </w:r>
    </w:p>
    <w:p w14:paraId="5F2F8D6B">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_Toc4711 </w:instrText>
      </w:r>
      <w:r>
        <w:rPr>
          <w:rFonts w:ascii="Times New Roman" w:hAnsi="Times New Roman"/>
          <w:caps/>
          <w:szCs w:val="24"/>
        </w:rPr>
        <w:fldChar w:fldCharType="separate"/>
      </w:r>
      <w:r>
        <w:rPr>
          <w:rFonts w:hint="eastAsia" w:ascii="宋体" w:hAnsi="宋体" w:cs="宋体"/>
          <w:bCs/>
          <w:szCs w:val="28"/>
        </w:rPr>
        <w:t>六、定标</w:t>
      </w:r>
      <w:r>
        <w:tab/>
      </w:r>
      <w:r>
        <w:fldChar w:fldCharType="begin"/>
      </w:r>
      <w:r>
        <w:instrText xml:space="preserve"> PAGEREF _Toc4711 \h </w:instrText>
      </w:r>
      <w:r>
        <w:fldChar w:fldCharType="separate"/>
      </w:r>
      <w:r>
        <w:t>12</w:t>
      </w:r>
      <w:r>
        <w:fldChar w:fldCharType="end"/>
      </w:r>
      <w:r>
        <w:rPr>
          <w:rFonts w:ascii="Times New Roman" w:hAnsi="Times New Roman"/>
          <w:caps/>
          <w:color w:val="000000" w:themeColor="text1"/>
          <w:szCs w:val="24"/>
          <w14:textFill>
            <w14:solidFill>
              <w14:schemeClr w14:val="tx1"/>
            </w14:solidFill>
          </w14:textFill>
        </w:rPr>
        <w:fldChar w:fldCharType="end"/>
      </w:r>
    </w:p>
    <w:p w14:paraId="27BE18AE">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_Toc27346 </w:instrText>
      </w:r>
      <w:r>
        <w:rPr>
          <w:rFonts w:ascii="Times New Roman" w:hAnsi="Times New Roman"/>
          <w:caps/>
          <w:szCs w:val="24"/>
        </w:rPr>
        <w:fldChar w:fldCharType="separate"/>
      </w:r>
      <w:r>
        <w:rPr>
          <w:rFonts w:hint="eastAsia" w:ascii="宋体" w:hAnsi="宋体" w:cs="宋体"/>
          <w:bCs/>
          <w:szCs w:val="28"/>
        </w:rPr>
        <w:t>七、授予合同</w:t>
      </w:r>
      <w:r>
        <w:tab/>
      </w:r>
      <w:r>
        <w:fldChar w:fldCharType="begin"/>
      </w:r>
      <w:r>
        <w:instrText xml:space="preserve"> PAGEREF _Toc27346 \h </w:instrText>
      </w:r>
      <w:r>
        <w:fldChar w:fldCharType="separate"/>
      </w:r>
      <w:r>
        <w:t>14</w:t>
      </w:r>
      <w:r>
        <w:fldChar w:fldCharType="end"/>
      </w:r>
      <w:r>
        <w:rPr>
          <w:rFonts w:ascii="Times New Roman" w:hAnsi="Times New Roman"/>
          <w:caps/>
          <w:color w:val="000000" w:themeColor="text1"/>
          <w:szCs w:val="24"/>
          <w14:textFill>
            <w14:solidFill>
              <w14:schemeClr w14:val="tx1"/>
            </w14:solidFill>
          </w14:textFill>
        </w:rPr>
        <w:fldChar w:fldCharType="end"/>
      </w:r>
    </w:p>
    <w:p w14:paraId="5CE72454">
      <w:pPr>
        <w:pStyle w:val="26"/>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_Toc10830 </w:instrText>
      </w:r>
      <w:r>
        <w:rPr>
          <w:rFonts w:ascii="Times New Roman" w:hAnsi="Times New Roman"/>
          <w:caps/>
          <w:szCs w:val="24"/>
        </w:rPr>
        <w:fldChar w:fldCharType="separate"/>
      </w:r>
      <w:r>
        <w:rPr>
          <w:rFonts w:hint="eastAsia" w:ascii="黑体" w:hAnsi="Times New Roman" w:eastAsia="黑体"/>
          <w:bCs/>
          <w:szCs w:val="28"/>
        </w:rPr>
        <w:t>第三章  合同文本</w:t>
      </w:r>
      <w:r>
        <w:tab/>
      </w:r>
      <w:r>
        <w:fldChar w:fldCharType="begin"/>
      </w:r>
      <w:r>
        <w:instrText xml:space="preserve"> PAGEREF _Toc10830 \h </w:instrText>
      </w:r>
      <w:r>
        <w:fldChar w:fldCharType="separate"/>
      </w:r>
      <w:r>
        <w:t>16</w:t>
      </w:r>
      <w:r>
        <w:fldChar w:fldCharType="end"/>
      </w:r>
      <w:r>
        <w:rPr>
          <w:rFonts w:ascii="Times New Roman" w:hAnsi="Times New Roman"/>
          <w:caps/>
          <w:color w:val="000000" w:themeColor="text1"/>
          <w:szCs w:val="24"/>
          <w14:textFill>
            <w14:solidFill>
              <w14:schemeClr w14:val="tx1"/>
            </w14:solidFill>
          </w14:textFill>
        </w:rPr>
        <w:fldChar w:fldCharType="end"/>
      </w:r>
    </w:p>
    <w:p w14:paraId="567D14FC">
      <w:pPr>
        <w:pStyle w:val="26"/>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_Toc29846 </w:instrText>
      </w:r>
      <w:r>
        <w:rPr>
          <w:rFonts w:ascii="Times New Roman" w:hAnsi="Times New Roman"/>
          <w:caps/>
          <w:szCs w:val="24"/>
        </w:rPr>
        <w:fldChar w:fldCharType="separate"/>
      </w:r>
      <w:r>
        <w:rPr>
          <w:rFonts w:hint="eastAsia" w:ascii="黑体" w:hAnsi="Courier New" w:eastAsia="黑体" w:cs="Courier New"/>
          <w:bCs/>
          <w:szCs w:val="21"/>
        </w:rPr>
        <w:t xml:space="preserve">第四章 </w:t>
      </w:r>
      <w:r>
        <w:rPr>
          <w:rFonts w:ascii="黑体" w:hAnsi="Courier New" w:eastAsia="黑体" w:cs="Courier New"/>
          <w:bCs/>
          <w:szCs w:val="21"/>
        </w:rPr>
        <w:t xml:space="preserve"> </w:t>
      </w:r>
      <w:r>
        <w:rPr>
          <w:rFonts w:hint="eastAsia" w:ascii="黑体" w:hAnsi="Courier New" w:eastAsia="黑体" w:cs="Courier New"/>
          <w:bCs/>
          <w:szCs w:val="21"/>
        </w:rPr>
        <w:t>采购需求</w:t>
      </w:r>
      <w:r>
        <w:tab/>
      </w:r>
      <w:r>
        <w:fldChar w:fldCharType="begin"/>
      </w:r>
      <w:r>
        <w:instrText xml:space="preserve"> PAGEREF _Toc29846 \h </w:instrText>
      </w:r>
      <w:r>
        <w:fldChar w:fldCharType="separate"/>
      </w:r>
      <w:r>
        <w:t>22</w:t>
      </w:r>
      <w:r>
        <w:fldChar w:fldCharType="end"/>
      </w:r>
      <w:r>
        <w:rPr>
          <w:rFonts w:ascii="Times New Roman" w:hAnsi="Times New Roman"/>
          <w:caps/>
          <w:color w:val="000000" w:themeColor="text1"/>
          <w:szCs w:val="24"/>
          <w14:textFill>
            <w14:solidFill>
              <w14:schemeClr w14:val="tx1"/>
            </w14:solidFill>
          </w14:textFill>
        </w:rPr>
        <w:fldChar w:fldCharType="end"/>
      </w:r>
    </w:p>
    <w:p w14:paraId="0823BDD6">
      <w:pPr>
        <w:pStyle w:val="26"/>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_Toc4794 </w:instrText>
      </w:r>
      <w:r>
        <w:rPr>
          <w:rFonts w:ascii="Times New Roman" w:hAnsi="Times New Roman"/>
          <w:caps/>
          <w:szCs w:val="24"/>
        </w:rPr>
        <w:fldChar w:fldCharType="separate"/>
      </w:r>
      <w:r>
        <w:rPr>
          <w:rFonts w:hint="eastAsia" w:ascii="黑体" w:hAnsi="Courier New" w:eastAsia="黑体" w:cs="Courier New"/>
          <w:bCs/>
          <w:szCs w:val="21"/>
        </w:rPr>
        <w:t>第五章  评标方法与评标标准</w:t>
      </w:r>
      <w:r>
        <w:tab/>
      </w:r>
      <w:r>
        <w:fldChar w:fldCharType="begin"/>
      </w:r>
      <w:r>
        <w:instrText xml:space="preserve"> PAGEREF _Toc4794 \h </w:instrText>
      </w:r>
      <w:r>
        <w:fldChar w:fldCharType="separate"/>
      </w:r>
      <w:r>
        <w:t>30</w:t>
      </w:r>
      <w:r>
        <w:fldChar w:fldCharType="end"/>
      </w:r>
      <w:r>
        <w:rPr>
          <w:rFonts w:ascii="Times New Roman" w:hAnsi="Times New Roman"/>
          <w:caps/>
          <w:color w:val="000000" w:themeColor="text1"/>
          <w:szCs w:val="24"/>
          <w14:textFill>
            <w14:solidFill>
              <w14:schemeClr w14:val="tx1"/>
            </w14:solidFill>
          </w14:textFill>
        </w:rPr>
        <w:fldChar w:fldCharType="end"/>
      </w:r>
    </w:p>
    <w:p w14:paraId="6E9ECCD3">
      <w:pPr>
        <w:pStyle w:val="26"/>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_Toc15306 </w:instrText>
      </w:r>
      <w:r>
        <w:rPr>
          <w:rFonts w:ascii="Times New Roman" w:hAnsi="Times New Roman"/>
          <w:caps/>
          <w:szCs w:val="24"/>
        </w:rPr>
        <w:fldChar w:fldCharType="separate"/>
      </w:r>
      <w:r>
        <w:rPr>
          <w:rFonts w:hint="eastAsia" w:ascii="黑体" w:hAnsi="Courier New" w:eastAsia="黑体" w:cs="Courier New"/>
          <w:bCs/>
          <w:szCs w:val="21"/>
        </w:rPr>
        <w:t>第六章  投标文件格式</w:t>
      </w:r>
      <w:r>
        <w:tab/>
      </w:r>
      <w:r>
        <w:fldChar w:fldCharType="begin"/>
      </w:r>
      <w:r>
        <w:instrText xml:space="preserve"> PAGEREF _Toc15306 \h </w:instrText>
      </w:r>
      <w:r>
        <w:fldChar w:fldCharType="separate"/>
      </w:r>
      <w:r>
        <w:t>34</w:t>
      </w:r>
      <w:r>
        <w:fldChar w:fldCharType="end"/>
      </w:r>
      <w:r>
        <w:rPr>
          <w:rFonts w:ascii="Times New Roman" w:hAnsi="Times New Roman"/>
          <w:caps/>
          <w:color w:val="000000" w:themeColor="text1"/>
          <w:szCs w:val="24"/>
          <w14:textFill>
            <w14:solidFill>
              <w14:schemeClr w14:val="tx1"/>
            </w14:solidFill>
          </w14:textFill>
        </w:rPr>
        <w:fldChar w:fldCharType="end"/>
      </w:r>
    </w:p>
    <w:p w14:paraId="292707C9">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_Toc1747 </w:instrText>
      </w:r>
      <w:r>
        <w:rPr>
          <w:rFonts w:ascii="Times New Roman" w:hAnsi="Times New Roman"/>
          <w:caps/>
          <w:szCs w:val="24"/>
        </w:rPr>
        <w:fldChar w:fldCharType="separate"/>
      </w:r>
      <w:r>
        <w:rPr>
          <w:rFonts w:hint="eastAsia" w:ascii="Times New Roman" w:hAnsi="Times New Roman"/>
          <w:bCs/>
          <w:szCs w:val="28"/>
        </w:rPr>
        <w:t>附件1 开标一览表</w:t>
      </w:r>
      <w:r>
        <w:tab/>
      </w:r>
      <w:r>
        <w:fldChar w:fldCharType="begin"/>
      </w:r>
      <w:r>
        <w:instrText xml:space="preserve"> PAGEREF _Toc1747 \h </w:instrText>
      </w:r>
      <w:r>
        <w:fldChar w:fldCharType="separate"/>
      </w:r>
      <w:r>
        <w:t>36</w:t>
      </w:r>
      <w:r>
        <w:fldChar w:fldCharType="end"/>
      </w:r>
      <w:r>
        <w:rPr>
          <w:rFonts w:ascii="Times New Roman" w:hAnsi="Times New Roman"/>
          <w:caps/>
          <w:color w:val="000000" w:themeColor="text1"/>
          <w:szCs w:val="24"/>
          <w14:textFill>
            <w14:solidFill>
              <w14:schemeClr w14:val="tx1"/>
            </w14:solidFill>
          </w14:textFill>
        </w:rPr>
        <w:fldChar w:fldCharType="end"/>
      </w:r>
    </w:p>
    <w:p w14:paraId="04E49D4B">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_Toc8439 </w:instrText>
      </w:r>
      <w:r>
        <w:rPr>
          <w:rFonts w:ascii="Times New Roman" w:hAnsi="Times New Roman"/>
          <w:caps/>
          <w:szCs w:val="24"/>
        </w:rPr>
        <w:fldChar w:fldCharType="separate"/>
      </w:r>
      <w:r>
        <w:rPr>
          <w:rFonts w:hint="eastAsia" w:ascii="Times New Roman" w:hAnsi="Times New Roman"/>
          <w:bCs/>
          <w:szCs w:val="28"/>
        </w:rPr>
        <w:t>附件2 报价明细表</w:t>
      </w:r>
      <w:r>
        <w:tab/>
      </w:r>
      <w:r>
        <w:fldChar w:fldCharType="begin"/>
      </w:r>
      <w:r>
        <w:instrText xml:space="preserve"> PAGEREF _Toc8439 \h </w:instrText>
      </w:r>
      <w:r>
        <w:fldChar w:fldCharType="separate"/>
      </w:r>
      <w:r>
        <w:t>37</w:t>
      </w:r>
      <w:r>
        <w:fldChar w:fldCharType="end"/>
      </w:r>
      <w:r>
        <w:rPr>
          <w:rFonts w:ascii="Times New Roman" w:hAnsi="Times New Roman"/>
          <w:caps/>
          <w:color w:val="000000" w:themeColor="text1"/>
          <w:szCs w:val="24"/>
          <w14:textFill>
            <w14:solidFill>
              <w14:schemeClr w14:val="tx1"/>
            </w14:solidFill>
          </w14:textFill>
        </w:rPr>
        <w:fldChar w:fldCharType="end"/>
      </w:r>
    </w:p>
    <w:p w14:paraId="1649E6CE">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_Toc14076 </w:instrText>
      </w:r>
      <w:r>
        <w:rPr>
          <w:rFonts w:ascii="Times New Roman" w:hAnsi="Times New Roman"/>
          <w:caps/>
          <w:szCs w:val="24"/>
        </w:rPr>
        <w:fldChar w:fldCharType="separate"/>
      </w:r>
      <w:r>
        <w:rPr>
          <w:rFonts w:hint="eastAsia" w:ascii="Times New Roman" w:hAnsi="Times New Roman" w:eastAsia="宋体" w:cs="Times New Roman"/>
          <w:bCs/>
          <w:szCs w:val="28"/>
        </w:rPr>
        <w:t>附件3 项目服务要求响应及偏离表</w:t>
      </w:r>
      <w:r>
        <w:tab/>
      </w:r>
      <w:r>
        <w:fldChar w:fldCharType="begin"/>
      </w:r>
      <w:r>
        <w:instrText xml:space="preserve"> PAGEREF _Toc14076 \h </w:instrText>
      </w:r>
      <w:r>
        <w:fldChar w:fldCharType="separate"/>
      </w:r>
      <w:r>
        <w:t>38</w:t>
      </w:r>
      <w:r>
        <w:fldChar w:fldCharType="end"/>
      </w:r>
      <w:r>
        <w:rPr>
          <w:rFonts w:ascii="Times New Roman" w:hAnsi="Times New Roman"/>
          <w:caps/>
          <w:color w:val="000000" w:themeColor="text1"/>
          <w:szCs w:val="24"/>
          <w14:textFill>
            <w14:solidFill>
              <w14:schemeClr w14:val="tx1"/>
            </w14:solidFill>
          </w14:textFill>
        </w:rPr>
        <w:fldChar w:fldCharType="end"/>
      </w:r>
    </w:p>
    <w:p w14:paraId="4F8C9BCC">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_Toc1291 </w:instrText>
      </w:r>
      <w:r>
        <w:rPr>
          <w:rFonts w:ascii="Times New Roman" w:hAnsi="Times New Roman"/>
          <w:caps/>
          <w:szCs w:val="24"/>
        </w:rPr>
        <w:fldChar w:fldCharType="separate"/>
      </w:r>
      <w:r>
        <w:rPr>
          <w:rFonts w:hint="eastAsia" w:ascii="Times New Roman" w:hAnsi="Times New Roman"/>
          <w:bCs/>
          <w:szCs w:val="28"/>
        </w:rPr>
        <w:t>附件4</w:t>
      </w:r>
      <w:r>
        <w:rPr>
          <w:rFonts w:ascii="Times New Roman" w:hAnsi="Times New Roman"/>
          <w:bCs/>
          <w:szCs w:val="28"/>
        </w:rPr>
        <w:t xml:space="preserve"> </w:t>
      </w:r>
      <w:r>
        <w:rPr>
          <w:rFonts w:hint="eastAsia" w:ascii="Times New Roman" w:hAnsi="Times New Roman"/>
          <w:bCs/>
          <w:szCs w:val="28"/>
        </w:rPr>
        <w:t>项目方案</w:t>
      </w:r>
      <w:r>
        <w:tab/>
      </w:r>
      <w:r>
        <w:fldChar w:fldCharType="begin"/>
      </w:r>
      <w:r>
        <w:instrText xml:space="preserve"> PAGEREF _Toc1291 \h </w:instrText>
      </w:r>
      <w:r>
        <w:fldChar w:fldCharType="separate"/>
      </w:r>
      <w:r>
        <w:t>39</w:t>
      </w:r>
      <w:r>
        <w:fldChar w:fldCharType="end"/>
      </w:r>
      <w:r>
        <w:rPr>
          <w:rFonts w:ascii="Times New Roman" w:hAnsi="Times New Roman"/>
          <w:caps/>
          <w:color w:val="000000" w:themeColor="text1"/>
          <w:szCs w:val="24"/>
          <w14:textFill>
            <w14:solidFill>
              <w14:schemeClr w14:val="tx1"/>
            </w14:solidFill>
          </w14:textFill>
        </w:rPr>
        <w:fldChar w:fldCharType="end"/>
      </w:r>
    </w:p>
    <w:p w14:paraId="423074ED">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_Toc29237 </w:instrText>
      </w:r>
      <w:r>
        <w:rPr>
          <w:rFonts w:ascii="Times New Roman" w:hAnsi="Times New Roman"/>
          <w:caps/>
          <w:szCs w:val="24"/>
        </w:rPr>
        <w:fldChar w:fldCharType="separate"/>
      </w:r>
      <w:r>
        <w:rPr>
          <w:rFonts w:hint="eastAsia" w:ascii="Times New Roman" w:hAnsi="Times New Roman" w:eastAsia="宋体" w:cs="Times New Roman"/>
          <w:bCs/>
          <w:szCs w:val="28"/>
        </w:rPr>
        <w:t>附件5 人员配置情况</w:t>
      </w:r>
      <w:r>
        <w:tab/>
      </w:r>
      <w:r>
        <w:fldChar w:fldCharType="begin"/>
      </w:r>
      <w:r>
        <w:instrText xml:space="preserve"> PAGEREF _Toc29237 \h </w:instrText>
      </w:r>
      <w:r>
        <w:fldChar w:fldCharType="separate"/>
      </w:r>
      <w:r>
        <w:t>40</w:t>
      </w:r>
      <w:r>
        <w:fldChar w:fldCharType="end"/>
      </w:r>
      <w:r>
        <w:rPr>
          <w:rFonts w:ascii="Times New Roman" w:hAnsi="Times New Roman"/>
          <w:caps/>
          <w:color w:val="000000" w:themeColor="text1"/>
          <w:szCs w:val="24"/>
          <w14:textFill>
            <w14:solidFill>
              <w14:schemeClr w14:val="tx1"/>
            </w14:solidFill>
          </w14:textFill>
        </w:rPr>
        <w:fldChar w:fldCharType="end"/>
      </w:r>
    </w:p>
    <w:p w14:paraId="103BCA5F">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_Toc19879 </w:instrText>
      </w:r>
      <w:r>
        <w:rPr>
          <w:rFonts w:ascii="Times New Roman" w:hAnsi="Times New Roman"/>
          <w:caps/>
          <w:szCs w:val="24"/>
        </w:rPr>
        <w:fldChar w:fldCharType="separate"/>
      </w:r>
      <w:r>
        <w:rPr>
          <w:rFonts w:hint="eastAsia" w:ascii="Times New Roman" w:hAnsi="Times New Roman" w:eastAsia="宋体" w:cs="Times New Roman"/>
          <w:bCs/>
          <w:szCs w:val="28"/>
        </w:rPr>
        <w:t>附件6 养护车辆配备一览表</w:t>
      </w:r>
      <w:r>
        <w:tab/>
      </w:r>
      <w:r>
        <w:fldChar w:fldCharType="begin"/>
      </w:r>
      <w:r>
        <w:instrText xml:space="preserve"> PAGEREF _Toc19879 \h </w:instrText>
      </w:r>
      <w:r>
        <w:fldChar w:fldCharType="separate"/>
      </w:r>
      <w:r>
        <w:t>41</w:t>
      </w:r>
      <w:r>
        <w:fldChar w:fldCharType="end"/>
      </w:r>
      <w:r>
        <w:rPr>
          <w:rFonts w:ascii="Times New Roman" w:hAnsi="Times New Roman"/>
          <w:caps/>
          <w:color w:val="000000" w:themeColor="text1"/>
          <w:szCs w:val="24"/>
          <w14:textFill>
            <w14:solidFill>
              <w14:schemeClr w14:val="tx1"/>
            </w14:solidFill>
          </w14:textFill>
        </w:rPr>
        <w:fldChar w:fldCharType="end"/>
      </w:r>
    </w:p>
    <w:p w14:paraId="7EE3D874">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_Toc6067 </w:instrText>
      </w:r>
      <w:r>
        <w:rPr>
          <w:rFonts w:ascii="Times New Roman" w:hAnsi="Times New Roman"/>
          <w:caps/>
          <w:szCs w:val="24"/>
        </w:rPr>
        <w:fldChar w:fldCharType="separate"/>
      </w:r>
      <w:r>
        <w:rPr>
          <w:rFonts w:hint="eastAsia" w:ascii="Times New Roman" w:hAnsi="Times New Roman" w:eastAsia="宋体" w:cs="Times New Roman"/>
          <w:bCs/>
          <w:szCs w:val="28"/>
        </w:rPr>
        <w:t>附件7 设备工具一览表</w:t>
      </w:r>
      <w:r>
        <w:tab/>
      </w:r>
      <w:r>
        <w:fldChar w:fldCharType="begin"/>
      </w:r>
      <w:r>
        <w:instrText xml:space="preserve"> PAGEREF _Toc6067 \h </w:instrText>
      </w:r>
      <w:r>
        <w:fldChar w:fldCharType="separate"/>
      </w:r>
      <w:r>
        <w:t>42</w:t>
      </w:r>
      <w:r>
        <w:fldChar w:fldCharType="end"/>
      </w:r>
      <w:r>
        <w:rPr>
          <w:rFonts w:ascii="Times New Roman" w:hAnsi="Times New Roman"/>
          <w:caps/>
          <w:color w:val="000000" w:themeColor="text1"/>
          <w:szCs w:val="24"/>
          <w14:textFill>
            <w14:solidFill>
              <w14:schemeClr w14:val="tx1"/>
            </w14:solidFill>
          </w14:textFill>
        </w:rPr>
        <w:fldChar w:fldCharType="end"/>
      </w:r>
    </w:p>
    <w:p w14:paraId="3B50326B">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_Toc5337 </w:instrText>
      </w:r>
      <w:r>
        <w:rPr>
          <w:rFonts w:ascii="Times New Roman" w:hAnsi="Times New Roman"/>
          <w:caps/>
          <w:szCs w:val="24"/>
        </w:rPr>
        <w:fldChar w:fldCharType="separate"/>
      </w:r>
      <w:r>
        <w:rPr>
          <w:rFonts w:hint="eastAsia" w:ascii="Times New Roman" w:hAnsi="Times New Roman" w:eastAsia="宋体" w:cs="Times New Roman"/>
          <w:bCs/>
          <w:szCs w:val="28"/>
        </w:rPr>
        <w:t>附件8 业绩一览表</w:t>
      </w:r>
      <w:r>
        <w:tab/>
      </w:r>
      <w:r>
        <w:fldChar w:fldCharType="begin"/>
      </w:r>
      <w:r>
        <w:instrText xml:space="preserve"> PAGEREF _Toc5337 \h </w:instrText>
      </w:r>
      <w:r>
        <w:fldChar w:fldCharType="separate"/>
      </w:r>
      <w:r>
        <w:t>43</w:t>
      </w:r>
      <w:r>
        <w:fldChar w:fldCharType="end"/>
      </w:r>
      <w:r>
        <w:rPr>
          <w:rFonts w:ascii="Times New Roman" w:hAnsi="Times New Roman"/>
          <w:caps/>
          <w:color w:val="000000" w:themeColor="text1"/>
          <w:szCs w:val="24"/>
          <w14:textFill>
            <w14:solidFill>
              <w14:schemeClr w14:val="tx1"/>
            </w14:solidFill>
          </w14:textFill>
        </w:rPr>
        <w:fldChar w:fldCharType="end"/>
      </w:r>
    </w:p>
    <w:p w14:paraId="20E6D910">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_Toc31284 </w:instrText>
      </w:r>
      <w:r>
        <w:rPr>
          <w:rFonts w:ascii="Times New Roman" w:hAnsi="Times New Roman"/>
          <w:caps/>
          <w:szCs w:val="24"/>
        </w:rPr>
        <w:fldChar w:fldCharType="separate"/>
      </w:r>
      <w:r>
        <w:rPr>
          <w:rFonts w:hint="eastAsia" w:ascii="Times New Roman" w:hAnsi="Times New Roman"/>
          <w:bCs/>
          <w:szCs w:val="28"/>
        </w:rPr>
        <w:t>附件9 商务要求响应及偏离表</w:t>
      </w:r>
      <w:r>
        <w:tab/>
      </w:r>
      <w:r>
        <w:fldChar w:fldCharType="begin"/>
      </w:r>
      <w:r>
        <w:instrText xml:space="preserve"> PAGEREF _Toc31284 \h </w:instrText>
      </w:r>
      <w:r>
        <w:fldChar w:fldCharType="separate"/>
      </w:r>
      <w:r>
        <w:t>44</w:t>
      </w:r>
      <w:r>
        <w:fldChar w:fldCharType="end"/>
      </w:r>
      <w:r>
        <w:rPr>
          <w:rFonts w:ascii="Times New Roman" w:hAnsi="Times New Roman"/>
          <w:caps/>
          <w:color w:val="000000" w:themeColor="text1"/>
          <w:szCs w:val="24"/>
          <w14:textFill>
            <w14:solidFill>
              <w14:schemeClr w14:val="tx1"/>
            </w14:solidFill>
          </w14:textFill>
        </w:rPr>
        <w:fldChar w:fldCharType="end"/>
      </w:r>
    </w:p>
    <w:p w14:paraId="2C51DE34">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_Toc10160 </w:instrText>
      </w:r>
      <w:r>
        <w:rPr>
          <w:rFonts w:ascii="Times New Roman" w:hAnsi="Times New Roman"/>
          <w:caps/>
          <w:szCs w:val="24"/>
        </w:rPr>
        <w:fldChar w:fldCharType="separate"/>
      </w:r>
      <w:r>
        <w:rPr>
          <w:rFonts w:hint="eastAsia" w:ascii="Times New Roman" w:hAnsi="Times New Roman"/>
          <w:bCs/>
          <w:szCs w:val="28"/>
        </w:rPr>
        <w:t>附件10 其他</w:t>
      </w:r>
      <w:r>
        <w:tab/>
      </w:r>
      <w:r>
        <w:fldChar w:fldCharType="begin"/>
      </w:r>
      <w:r>
        <w:instrText xml:space="preserve"> PAGEREF _Toc10160 \h </w:instrText>
      </w:r>
      <w:r>
        <w:fldChar w:fldCharType="separate"/>
      </w:r>
      <w:r>
        <w:t>45</w:t>
      </w:r>
      <w:r>
        <w:fldChar w:fldCharType="end"/>
      </w:r>
      <w:r>
        <w:rPr>
          <w:rFonts w:ascii="Times New Roman" w:hAnsi="Times New Roman"/>
          <w:caps/>
          <w:color w:val="000000" w:themeColor="text1"/>
          <w:szCs w:val="24"/>
          <w14:textFill>
            <w14:solidFill>
              <w14:schemeClr w14:val="tx1"/>
            </w14:solidFill>
          </w14:textFill>
        </w:rPr>
        <w:fldChar w:fldCharType="end"/>
      </w:r>
    </w:p>
    <w:p w14:paraId="6F2BBC7C">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_Toc27338 </w:instrText>
      </w:r>
      <w:r>
        <w:rPr>
          <w:rFonts w:ascii="Times New Roman" w:hAnsi="Times New Roman"/>
          <w:caps/>
          <w:szCs w:val="24"/>
        </w:rPr>
        <w:fldChar w:fldCharType="separate"/>
      </w:r>
      <w:r>
        <w:rPr>
          <w:rFonts w:hint="eastAsia" w:ascii="Times New Roman" w:hAnsi="Times New Roman"/>
          <w:bCs/>
          <w:szCs w:val="28"/>
        </w:rPr>
        <w:t>附件11 具备履行合同所</w:t>
      </w:r>
      <w:r>
        <w:rPr>
          <w:rFonts w:hint="eastAsia" w:ascii="Times New Roman" w:hAnsi="Times New Roman" w:eastAsia="宋体" w:cs="Times New Roman"/>
          <w:bCs/>
          <w:szCs w:val="28"/>
        </w:rPr>
        <w:t>必需的设备和专业技</w:t>
      </w:r>
      <w:r>
        <w:rPr>
          <w:rFonts w:hint="eastAsia" w:ascii="Times New Roman" w:hAnsi="Times New Roman"/>
          <w:bCs/>
          <w:szCs w:val="28"/>
        </w:rPr>
        <w:t>术能力的书面声明</w:t>
      </w:r>
      <w:r>
        <w:tab/>
      </w:r>
      <w:r>
        <w:fldChar w:fldCharType="begin"/>
      </w:r>
      <w:r>
        <w:instrText xml:space="preserve"> PAGEREF _Toc27338 \h </w:instrText>
      </w:r>
      <w:r>
        <w:fldChar w:fldCharType="separate"/>
      </w:r>
      <w:r>
        <w:t>46</w:t>
      </w:r>
      <w:r>
        <w:fldChar w:fldCharType="end"/>
      </w:r>
      <w:r>
        <w:rPr>
          <w:rFonts w:ascii="Times New Roman" w:hAnsi="Times New Roman"/>
          <w:caps/>
          <w:color w:val="000000" w:themeColor="text1"/>
          <w:szCs w:val="24"/>
          <w14:textFill>
            <w14:solidFill>
              <w14:schemeClr w14:val="tx1"/>
            </w14:solidFill>
          </w14:textFill>
        </w:rPr>
        <w:fldChar w:fldCharType="end"/>
      </w:r>
    </w:p>
    <w:p w14:paraId="25C93527">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_Toc21057 </w:instrText>
      </w:r>
      <w:r>
        <w:rPr>
          <w:rFonts w:ascii="Times New Roman" w:hAnsi="Times New Roman"/>
          <w:caps/>
          <w:szCs w:val="24"/>
        </w:rPr>
        <w:fldChar w:fldCharType="separate"/>
      </w:r>
      <w:r>
        <w:rPr>
          <w:rFonts w:hint="eastAsia" w:ascii="Times New Roman" w:hAnsi="Times New Roman"/>
          <w:bCs/>
          <w:szCs w:val="28"/>
        </w:rPr>
        <w:t>附件12</w:t>
      </w:r>
      <w:r>
        <w:rPr>
          <w:rFonts w:ascii="Times New Roman" w:hAnsi="Times New Roman"/>
          <w:bCs/>
          <w:szCs w:val="28"/>
        </w:rPr>
        <w:t xml:space="preserve"> </w:t>
      </w:r>
      <w:r>
        <w:rPr>
          <w:rFonts w:hint="eastAsia" w:ascii="Times New Roman" w:hAnsi="Times New Roman"/>
          <w:bCs/>
          <w:szCs w:val="28"/>
        </w:rPr>
        <w:t>参加政府采购活动前 3 年内在经营活动中没有重大违法记录的书面声明</w:t>
      </w:r>
      <w:r>
        <w:tab/>
      </w:r>
      <w:r>
        <w:fldChar w:fldCharType="begin"/>
      </w:r>
      <w:r>
        <w:instrText xml:space="preserve"> PAGEREF _Toc21057 \h </w:instrText>
      </w:r>
      <w:r>
        <w:fldChar w:fldCharType="separate"/>
      </w:r>
      <w:r>
        <w:t>47</w:t>
      </w:r>
      <w:r>
        <w:fldChar w:fldCharType="end"/>
      </w:r>
      <w:r>
        <w:rPr>
          <w:rFonts w:ascii="Times New Roman" w:hAnsi="Times New Roman"/>
          <w:caps/>
          <w:color w:val="000000" w:themeColor="text1"/>
          <w:szCs w:val="24"/>
          <w14:textFill>
            <w14:solidFill>
              <w14:schemeClr w14:val="tx1"/>
            </w14:solidFill>
          </w14:textFill>
        </w:rPr>
        <w:fldChar w:fldCharType="end"/>
      </w:r>
    </w:p>
    <w:p w14:paraId="7048D2C8">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_Toc3899 </w:instrText>
      </w:r>
      <w:r>
        <w:rPr>
          <w:rFonts w:ascii="Times New Roman" w:hAnsi="Times New Roman"/>
          <w:caps/>
          <w:szCs w:val="24"/>
        </w:rPr>
        <w:fldChar w:fldCharType="separate"/>
      </w:r>
      <w:r>
        <w:rPr>
          <w:rFonts w:hint="eastAsia" w:ascii="Times New Roman" w:hAnsi="Times New Roman"/>
          <w:bCs/>
          <w:szCs w:val="28"/>
        </w:rPr>
        <w:t>附件13</w:t>
      </w:r>
      <w:r>
        <w:rPr>
          <w:rFonts w:ascii="Times New Roman" w:hAnsi="Times New Roman"/>
          <w:bCs/>
          <w:szCs w:val="28"/>
        </w:rPr>
        <w:t xml:space="preserve"> </w:t>
      </w:r>
      <w:r>
        <w:rPr>
          <w:rFonts w:hint="eastAsia" w:ascii="Times New Roman" w:hAnsi="Times New Roman"/>
          <w:bCs/>
          <w:szCs w:val="28"/>
        </w:rPr>
        <w:t>法人授权书</w:t>
      </w:r>
      <w:r>
        <w:tab/>
      </w:r>
      <w:r>
        <w:fldChar w:fldCharType="begin"/>
      </w:r>
      <w:r>
        <w:instrText xml:space="preserve"> PAGEREF _Toc3899 \h </w:instrText>
      </w:r>
      <w:r>
        <w:fldChar w:fldCharType="separate"/>
      </w:r>
      <w:r>
        <w:t>48</w:t>
      </w:r>
      <w:r>
        <w:fldChar w:fldCharType="end"/>
      </w:r>
      <w:r>
        <w:rPr>
          <w:rFonts w:ascii="Times New Roman" w:hAnsi="Times New Roman"/>
          <w:caps/>
          <w:color w:val="000000" w:themeColor="text1"/>
          <w:szCs w:val="24"/>
          <w14:textFill>
            <w14:solidFill>
              <w14:schemeClr w14:val="tx1"/>
            </w14:solidFill>
          </w14:textFill>
        </w:rPr>
        <w:fldChar w:fldCharType="end"/>
      </w:r>
    </w:p>
    <w:p w14:paraId="324D4054">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_Toc11552 </w:instrText>
      </w:r>
      <w:r>
        <w:rPr>
          <w:rFonts w:ascii="Times New Roman" w:hAnsi="Times New Roman"/>
          <w:caps/>
          <w:szCs w:val="24"/>
        </w:rPr>
        <w:fldChar w:fldCharType="separate"/>
      </w:r>
      <w:r>
        <w:rPr>
          <w:rFonts w:hint="eastAsia" w:ascii="Times New Roman" w:hAnsi="Times New Roman"/>
          <w:bCs/>
          <w:szCs w:val="28"/>
        </w:rPr>
        <w:t>附件14 中小企业声明函</w:t>
      </w:r>
      <w:r>
        <w:tab/>
      </w:r>
      <w:r>
        <w:fldChar w:fldCharType="begin"/>
      </w:r>
      <w:r>
        <w:instrText xml:space="preserve"> PAGEREF _Toc11552 \h </w:instrText>
      </w:r>
      <w:r>
        <w:fldChar w:fldCharType="separate"/>
      </w:r>
      <w:r>
        <w:t>49</w:t>
      </w:r>
      <w:r>
        <w:fldChar w:fldCharType="end"/>
      </w:r>
      <w:r>
        <w:rPr>
          <w:rFonts w:ascii="Times New Roman" w:hAnsi="Times New Roman"/>
          <w:caps/>
          <w:color w:val="000000" w:themeColor="text1"/>
          <w:szCs w:val="24"/>
          <w14:textFill>
            <w14:solidFill>
              <w14:schemeClr w14:val="tx1"/>
            </w14:solidFill>
          </w14:textFill>
        </w:rPr>
        <w:fldChar w:fldCharType="end"/>
      </w:r>
    </w:p>
    <w:p w14:paraId="3BDD87BB">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_Toc2088 </w:instrText>
      </w:r>
      <w:r>
        <w:rPr>
          <w:rFonts w:ascii="Times New Roman" w:hAnsi="Times New Roman"/>
          <w:caps/>
          <w:szCs w:val="24"/>
        </w:rPr>
        <w:fldChar w:fldCharType="separate"/>
      </w:r>
      <w:r>
        <w:rPr>
          <w:rFonts w:hint="eastAsia" w:ascii="Times New Roman" w:hAnsi="Times New Roman"/>
          <w:bCs/>
          <w:szCs w:val="28"/>
        </w:rPr>
        <w:t>附件15 残疾人福利性单位声明函</w:t>
      </w:r>
      <w:r>
        <w:tab/>
      </w:r>
      <w:r>
        <w:fldChar w:fldCharType="begin"/>
      </w:r>
      <w:r>
        <w:instrText xml:space="preserve"> PAGEREF _Toc2088 \h </w:instrText>
      </w:r>
      <w:r>
        <w:fldChar w:fldCharType="separate"/>
      </w:r>
      <w:r>
        <w:t>50</w:t>
      </w:r>
      <w:r>
        <w:fldChar w:fldCharType="end"/>
      </w:r>
      <w:r>
        <w:rPr>
          <w:rFonts w:ascii="Times New Roman" w:hAnsi="Times New Roman"/>
          <w:caps/>
          <w:color w:val="000000" w:themeColor="text1"/>
          <w:szCs w:val="24"/>
          <w14:textFill>
            <w14:solidFill>
              <w14:schemeClr w14:val="tx1"/>
            </w14:solidFill>
          </w14:textFill>
        </w:rPr>
        <w:fldChar w:fldCharType="end"/>
      </w:r>
    </w:p>
    <w:p w14:paraId="10781738">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_Toc32601 </w:instrText>
      </w:r>
      <w:r>
        <w:rPr>
          <w:rFonts w:ascii="Times New Roman" w:hAnsi="Times New Roman"/>
          <w:caps/>
          <w:szCs w:val="24"/>
        </w:rPr>
        <w:fldChar w:fldCharType="separate"/>
      </w:r>
      <w:r>
        <w:rPr>
          <w:rFonts w:hint="eastAsia" w:ascii="Times New Roman" w:hAnsi="Times New Roman"/>
          <w:bCs/>
          <w:szCs w:val="28"/>
        </w:rPr>
        <w:t>附件16</w:t>
      </w:r>
      <w:r>
        <w:rPr>
          <w:rFonts w:ascii="Times New Roman" w:hAnsi="Times New Roman"/>
          <w:bCs/>
          <w:szCs w:val="28"/>
        </w:rPr>
        <w:t xml:space="preserve"> </w:t>
      </w:r>
      <w:r>
        <w:rPr>
          <w:rFonts w:hint="eastAsia" w:ascii="Times New Roman" w:hAnsi="Times New Roman"/>
          <w:bCs/>
          <w:szCs w:val="28"/>
        </w:rPr>
        <w:t>投标函</w:t>
      </w:r>
      <w:r>
        <w:tab/>
      </w:r>
      <w:r>
        <w:fldChar w:fldCharType="begin"/>
      </w:r>
      <w:r>
        <w:instrText xml:space="preserve"> PAGEREF _Toc32601 \h </w:instrText>
      </w:r>
      <w:r>
        <w:fldChar w:fldCharType="separate"/>
      </w:r>
      <w:r>
        <w:t>51</w:t>
      </w:r>
      <w:r>
        <w:fldChar w:fldCharType="end"/>
      </w:r>
      <w:r>
        <w:rPr>
          <w:rFonts w:ascii="Times New Roman" w:hAnsi="Times New Roman"/>
          <w:caps/>
          <w:color w:val="000000" w:themeColor="text1"/>
          <w:szCs w:val="24"/>
          <w14:textFill>
            <w14:solidFill>
              <w14:schemeClr w14:val="tx1"/>
            </w14:solidFill>
          </w14:textFill>
        </w:rPr>
        <w:fldChar w:fldCharType="end"/>
      </w:r>
    </w:p>
    <w:p w14:paraId="549518EA">
      <w:pPr>
        <w:pStyle w:val="32"/>
        <w:tabs>
          <w:tab w:val="right" w:leader="dot" w:pos="10466"/>
        </w:tabs>
      </w:pPr>
      <w:r>
        <w:rPr>
          <w:rFonts w:ascii="Times New Roman" w:hAnsi="Times New Roman"/>
          <w:caps/>
          <w:color w:val="000000" w:themeColor="text1"/>
          <w:szCs w:val="24"/>
          <w14:textFill>
            <w14:solidFill>
              <w14:schemeClr w14:val="tx1"/>
            </w14:solidFill>
          </w14:textFill>
        </w:rPr>
        <w:fldChar w:fldCharType="begin"/>
      </w:r>
      <w:r>
        <w:rPr>
          <w:rFonts w:ascii="Times New Roman" w:hAnsi="Times New Roman"/>
          <w:caps/>
          <w:szCs w:val="24"/>
        </w:rPr>
        <w:instrText xml:space="preserve"> HYPERLINK \l _Toc19861 </w:instrText>
      </w:r>
      <w:r>
        <w:rPr>
          <w:rFonts w:ascii="Times New Roman" w:hAnsi="Times New Roman"/>
          <w:caps/>
          <w:szCs w:val="24"/>
        </w:rPr>
        <w:fldChar w:fldCharType="separate"/>
      </w:r>
      <w:r>
        <w:rPr>
          <w:rFonts w:hint="eastAsia" w:ascii="Times New Roman" w:hAnsi="Times New Roman"/>
          <w:bCs/>
          <w:szCs w:val="28"/>
        </w:rPr>
        <w:t>附件17 实质性要求响应及偏离表</w:t>
      </w:r>
      <w:r>
        <w:tab/>
      </w:r>
      <w:r>
        <w:fldChar w:fldCharType="begin"/>
      </w:r>
      <w:r>
        <w:instrText xml:space="preserve"> PAGEREF _Toc19861 \h </w:instrText>
      </w:r>
      <w:r>
        <w:fldChar w:fldCharType="separate"/>
      </w:r>
      <w:r>
        <w:t>52</w:t>
      </w:r>
      <w:r>
        <w:fldChar w:fldCharType="end"/>
      </w:r>
      <w:r>
        <w:rPr>
          <w:rFonts w:ascii="Times New Roman" w:hAnsi="Times New Roman"/>
          <w:caps/>
          <w:color w:val="000000" w:themeColor="text1"/>
          <w:szCs w:val="24"/>
          <w14:textFill>
            <w14:solidFill>
              <w14:schemeClr w14:val="tx1"/>
            </w14:solidFill>
          </w14:textFill>
        </w:rPr>
        <w:fldChar w:fldCharType="end"/>
      </w:r>
    </w:p>
    <w:p w14:paraId="3124623E">
      <w:pPr>
        <w:spacing w:line="440" w:lineRule="exact"/>
        <w:jc w:val="lef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Cs w:val="24"/>
          <w14:textFill>
            <w14:solidFill>
              <w14:schemeClr w14:val="tx1"/>
            </w14:solidFill>
          </w14:textFill>
        </w:rPr>
        <w:fldChar w:fldCharType="end"/>
      </w:r>
    </w:p>
    <w:p w14:paraId="2646CA17">
      <w:pPr>
        <w:widowControl/>
        <w:jc w:val="lef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 w:val="24"/>
          <w:szCs w:val="24"/>
          <w14:textFill>
            <w14:solidFill>
              <w14:schemeClr w14:val="tx1"/>
            </w14:solidFill>
          </w14:textFill>
        </w:rPr>
        <w:br w:type="page"/>
      </w:r>
    </w:p>
    <w:p w14:paraId="550A52F1">
      <w:pPr>
        <w:keepNext/>
        <w:ind w:firstLine="880"/>
        <w:jc w:val="center"/>
        <w:outlineLvl w:val="0"/>
        <w:rPr>
          <w:rFonts w:ascii="黑体" w:hAnsi="Times New Roman" w:eastAsia="黑体"/>
          <w:bCs/>
          <w:color w:val="000000" w:themeColor="text1"/>
          <w:sz w:val="44"/>
          <w:szCs w:val="44"/>
          <w14:textFill>
            <w14:solidFill>
              <w14:schemeClr w14:val="tx1"/>
            </w14:solidFill>
          </w14:textFill>
        </w:rPr>
      </w:pPr>
      <w:bookmarkStart w:id="6" w:name="_Toc10393"/>
      <w:r>
        <w:rPr>
          <w:rFonts w:hint="eastAsia" w:ascii="黑体" w:hAnsi="Times New Roman" w:eastAsia="黑体"/>
          <w:color w:val="000000" w:themeColor="text1"/>
          <w:sz w:val="44"/>
          <w:szCs w:val="44"/>
          <w14:textFill>
            <w14:solidFill>
              <w14:schemeClr w14:val="tx1"/>
            </w14:solidFill>
          </w14:textFill>
        </w:rPr>
        <w:t xml:space="preserve">第一章  </w:t>
      </w:r>
      <w:bookmarkEnd w:id="0"/>
      <w:r>
        <w:rPr>
          <w:rFonts w:hint="eastAsia" w:ascii="黑体" w:hAnsi="Times New Roman" w:eastAsia="黑体"/>
          <w:color w:val="000000" w:themeColor="text1"/>
          <w:sz w:val="44"/>
          <w:szCs w:val="44"/>
          <w14:textFill>
            <w14:solidFill>
              <w14:schemeClr w14:val="tx1"/>
            </w14:solidFill>
          </w14:textFill>
        </w:rPr>
        <w:t>投标邀请</w:t>
      </w:r>
      <w:bookmarkEnd w:id="6"/>
    </w:p>
    <w:p w14:paraId="47DDDC24">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受常熟市河道管理处的委托，苏州新一造价师价格事务所有限公司就</w:t>
      </w:r>
      <w:r>
        <w:rPr>
          <w:rFonts w:hint="eastAsia" w:ascii="宋体" w:hAnsi="宋体"/>
          <w:color w:val="000000" w:themeColor="text1"/>
          <w:sz w:val="24"/>
          <w:szCs w:val="24"/>
          <w:lang w:eastAsia="zh-CN"/>
          <w14:textFill>
            <w14:solidFill>
              <w14:schemeClr w14:val="tx1"/>
            </w14:solidFill>
          </w14:textFill>
        </w:rPr>
        <w:t>2024-2025年度市级河道绿化养护</w:t>
      </w:r>
      <w:r>
        <w:rPr>
          <w:rFonts w:hint="eastAsia" w:ascii="宋体" w:hAnsi="宋体"/>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lang w:eastAsia="zh-CN"/>
          <w14:textFill>
            <w14:solidFill>
              <w14:schemeClr w14:val="tx1"/>
            </w14:solidFill>
          </w14:textFill>
        </w:rPr>
        <w:t>JSZC-320581-SZXY-G2024-0043</w:t>
      </w:r>
      <w:r>
        <w:rPr>
          <w:rFonts w:hint="eastAsia" w:ascii="宋体" w:hAnsi="宋体"/>
          <w:color w:val="000000" w:themeColor="text1"/>
          <w:sz w:val="24"/>
          <w:szCs w:val="24"/>
          <w14:textFill>
            <w14:solidFill>
              <w14:schemeClr w14:val="tx1"/>
            </w14:solidFill>
          </w14:textFill>
        </w:rPr>
        <w:t>)项目进行公开招标采购，欢迎符合条件的供应商投标。</w:t>
      </w:r>
    </w:p>
    <w:p w14:paraId="190A78B6">
      <w:pPr>
        <w:pBdr>
          <w:top w:val="single" w:color="000000" w:sz="4" w:space="1"/>
          <w:left w:val="single" w:color="000000" w:sz="4" w:space="4"/>
          <w:bottom w:val="single" w:color="000000" w:sz="4" w:space="1"/>
          <w:right w:val="single" w:color="000000" w:sz="4" w:space="4"/>
        </w:pBd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项目概况</w:t>
      </w:r>
    </w:p>
    <w:p w14:paraId="05AB7ED3">
      <w:pPr>
        <w:pBdr>
          <w:top w:val="single" w:color="000000" w:sz="4" w:space="1"/>
          <w:left w:val="single" w:color="000000" w:sz="4" w:space="4"/>
          <w:bottom w:val="single" w:color="000000" w:sz="4" w:space="1"/>
          <w:right w:val="single" w:color="000000" w:sz="4" w:space="4"/>
        </w:pBd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lang w:eastAsia="zh-CN"/>
          <w14:textFill>
            <w14:solidFill>
              <w14:schemeClr w14:val="tx1"/>
            </w14:solidFill>
          </w14:textFill>
        </w:rPr>
        <w:t>2024-2025年度市级河道绿化养护</w:t>
      </w:r>
      <w:r>
        <w:rPr>
          <w:rFonts w:hint="eastAsia" w:ascii="Times New Roman" w:hAnsi="Times New Roman"/>
          <w:color w:val="000000" w:themeColor="text1"/>
          <w:sz w:val="24"/>
          <w:szCs w:val="24"/>
          <w14:textFill>
            <w14:solidFill>
              <w14:schemeClr w14:val="tx1"/>
            </w14:solidFill>
          </w14:textFill>
        </w:rPr>
        <w:t>招标项目的潜在投标人应在“</w:t>
      </w:r>
      <w:r>
        <w:rPr>
          <w:rFonts w:ascii="Times New Roman" w:hAnsi="Times New Roman"/>
          <w:color w:val="000000" w:themeColor="text1"/>
          <w:sz w:val="24"/>
          <w:szCs w:val="24"/>
          <w14:textFill>
            <w14:solidFill>
              <w14:schemeClr w14:val="tx1"/>
            </w14:solidFill>
          </w14:textFill>
        </w:rPr>
        <w:t>苏采云政府采购一体化平台</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中参与项目</w:t>
      </w:r>
      <w:r>
        <w:rPr>
          <w:rFonts w:hint="eastAsia" w:ascii="Times New Roman" w:hAnsi="Times New Roman"/>
          <w:color w:val="000000" w:themeColor="text1"/>
          <w:sz w:val="24"/>
          <w:szCs w:val="24"/>
          <w14:textFill>
            <w14:solidFill>
              <w14:schemeClr w14:val="tx1"/>
            </w14:solidFill>
          </w14:textFill>
        </w:rPr>
        <w:t>获取招标文件，并于</w:t>
      </w:r>
      <w:r>
        <w:rPr>
          <w:rFonts w:ascii="Times New Roman" w:hAnsi="Times New Roman"/>
          <w:color w:val="000000" w:themeColor="text1"/>
          <w:sz w:val="24"/>
          <w:szCs w:val="21"/>
          <w:u w:val="single"/>
          <w14:textFill>
            <w14:solidFill>
              <w14:schemeClr w14:val="tx1"/>
            </w14:solidFill>
          </w14:textFill>
        </w:rPr>
        <w:t>2024年</w:t>
      </w:r>
      <w:r>
        <w:rPr>
          <w:rFonts w:hint="eastAsia" w:ascii="Times New Roman" w:hAnsi="Times New Roman"/>
          <w:color w:val="000000" w:themeColor="text1"/>
          <w:sz w:val="24"/>
          <w:szCs w:val="21"/>
          <w:u w:val="single"/>
          <w:lang w:val="en-US" w:eastAsia="zh-CN"/>
          <w14:textFill>
            <w14:solidFill>
              <w14:schemeClr w14:val="tx1"/>
            </w14:solidFill>
          </w14:textFill>
        </w:rPr>
        <w:t>9</w:t>
      </w:r>
      <w:r>
        <w:rPr>
          <w:rFonts w:ascii="Times New Roman" w:hAnsi="Times New Roman"/>
          <w:color w:val="000000" w:themeColor="text1"/>
          <w:sz w:val="24"/>
          <w:szCs w:val="21"/>
          <w:u w:val="single"/>
          <w14:textFill>
            <w14:solidFill>
              <w14:schemeClr w14:val="tx1"/>
            </w14:solidFill>
          </w14:textFill>
        </w:rPr>
        <w:t>月</w:t>
      </w:r>
      <w:r>
        <w:rPr>
          <w:rFonts w:hint="eastAsia" w:ascii="Times New Roman" w:hAnsi="Times New Roman"/>
          <w:color w:val="000000" w:themeColor="text1"/>
          <w:sz w:val="24"/>
          <w:szCs w:val="21"/>
          <w:u w:val="single"/>
          <w:lang w:val="en-US" w:eastAsia="zh-CN"/>
          <w14:textFill>
            <w14:solidFill>
              <w14:schemeClr w14:val="tx1"/>
            </w14:solidFill>
          </w14:textFill>
        </w:rPr>
        <w:t>5</w:t>
      </w:r>
      <w:r>
        <w:rPr>
          <w:rFonts w:ascii="Times New Roman" w:hAnsi="Times New Roman"/>
          <w:color w:val="000000" w:themeColor="text1"/>
          <w:sz w:val="24"/>
          <w:szCs w:val="21"/>
          <w:u w:val="single"/>
          <w14:textFill>
            <w14:solidFill>
              <w14:schemeClr w14:val="tx1"/>
            </w14:solidFill>
          </w14:textFill>
        </w:rPr>
        <w:t>日13</w:t>
      </w:r>
      <w:r>
        <w:rPr>
          <w:rFonts w:hint="eastAsia" w:ascii="Times New Roman" w:hAnsi="Times New Roman"/>
          <w:color w:val="000000" w:themeColor="text1"/>
          <w:sz w:val="24"/>
          <w:szCs w:val="21"/>
          <w:u w:val="single"/>
          <w14:textFill>
            <w14:solidFill>
              <w14:schemeClr w14:val="tx1"/>
            </w14:solidFill>
          </w14:textFill>
        </w:rPr>
        <w:t>点00分（北京时间）</w:t>
      </w:r>
      <w:r>
        <w:rPr>
          <w:rFonts w:hint="eastAsia" w:hAnsi="宋体"/>
          <w:color w:val="000000" w:themeColor="text1"/>
          <w:sz w:val="24"/>
          <w:szCs w:val="21"/>
          <w14:textFill>
            <w14:solidFill>
              <w14:schemeClr w14:val="tx1"/>
            </w14:solidFill>
          </w14:textFill>
        </w:rPr>
        <w:t>前按规定提交投标</w:t>
      </w:r>
      <w:r>
        <w:rPr>
          <w:rFonts w:hAnsi="宋体"/>
          <w:color w:val="000000" w:themeColor="text1"/>
          <w:sz w:val="24"/>
          <w:szCs w:val="21"/>
          <w14:textFill>
            <w14:solidFill>
              <w14:schemeClr w14:val="tx1"/>
            </w14:solidFill>
          </w14:textFill>
        </w:rPr>
        <w:t>文件</w:t>
      </w:r>
      <w:r>
        <w:rPr>
          <w:rFonts w:hint="eastAsia" w:hAnsi="宋体"/>
          <w:color w:val="000000" w:themeColor="text1"/>
          <w:sz w:val="24"/>
          <w:szCs w:val="21"/>
          <w14:textFill>
            <w14:solidFill>
              <w14:schemeClr w14:val="tx1"/>
            </w14:solidFill>
          </w14:textFill>
        </w:rPr>
        <w:t>。</w:t>
      </w:r>
    </w:p>
    <w:p w14:paraId="2977AC16">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7" w:name="_Toc35393790"/>
      <w:bookmarkStart w:id="8" w:name="_Toc38985263"/>
      <w:bookmarkStart w:id="9" w:name="_Toc28359002"/>
      <w:bookmarkStart w:id="10" w:name="_Toc28359079"/>
      <w:bookmarkStart w:id="11" w:name="_Toc35393621"/>
      <w:bookmarkStart w:id="12" w:name="_Toc32628"/>
      <w:bookmarkStart w:id="13" w:name="_Hlk24379207"/>
      <w:r>
        <w:rPr>
          <w:rFonts w:ascii="Times New Roman" w:hAnsi="Times New Roman"/>
          <w:b/>
          <w:bCs/>
          <w:color w:val="000000" w:themeColor="text1"/>
          <w:sz w:val="24"/>
          <w:szCs w:val="24"/>
          <w14:textFill>
            <w14:solidFill>
              <w14:schemeClr w14:val="tx1"/>
            </w14:solidFill>
          </w14:textFill>
        </w:rPr>
        <w:t>一、项目基本情况</w:t>
      </w:r>
      <w:bookmarkEnd w:id="7"/>
      <w:bookmarkEnd w:id="8"/>
      <w:bookmarkEnd w:id="9"/>
      <w:bookmarkEnd w:id="10"/>
      <w:bookmarkEnd w:id="11"/>
      <w:bookmarkEnd w:id="12"/>
    </w:p>
    <w:p w14:paraId="222FD0D4">
      <w:pPr>
        <w:spacing w:line="460" w:lineRule="exact"/>
        <w:ind w:firstLine="48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项目编号：</w:t>
      </w:r>
      <w:r>
        <w:rPr>
          <w:rFonts w:hint="eastAsia" w:ascii="宋体" w:hAnsi="宋体"/>
          <w:color w:val="000000" w:themeColor="text1"/>
          <w:sz w:val="24"/>
          <w:szCs w:val="24"/>
          <w:lang w:eastAsia="zh-CN"/>
          <w14:textFill>
            <w14:solidFill>
              <w14:schemeClr w14:val="tx1"/>
            </w14:solidFill>
          </w14:textFill>
        </w:rPr>
        <w:t>JSZC-320581-SZXY-G2024-0043</w:t>
      </w:r>
    </w:p>
    <w:p w14:paraId="145359FC">
      <w:pPr>
        <w:spacing w:line="460" w:lineRule="exact"/>
        <w:ind w:firstLine="48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w:t>
      </w:r>
      <w:r>
        <w:rPr>
          <w:rFonts w:hint="eastAsia" w:ascii="宋体" w:hAnsi="宋体"/>
          <w:color w:val="000000" w:themeColor="text1"/>
          <w:sz w:val="24"/>
          <w:szCs w:val="24"/>
          <w:lang w:eastAsia="zh-CN"/>
          <w14:textFill>
            <w14:solidFill>
              <w14:schemeClr w14:val="tx1"/>
            </w14:solidFill>
          </w14:textFill>
        </w:rPr>
        <w:t>2024-2025年度市级河道绿化养护</w:t>
      </w:r>
    </w:p>
    <w:p w14:paraId="0BD67A6A">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采购方式：公开招标</w:t>
      </w:r>
      <w:bookmarkEnd w:id="13"/>
    </w:p>
    <w:p w14:paraId="5DF9BF23">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预算金额：人民币600000.00元</w:t>
      </w:r>
    </w:p>
    <w:p w14:paraId="32A32663">
      <w:pPr>
        <w:spacing w:line="460" w:lineRule="exact"/>
        <w:ind w:firstLine="480"/>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最高限价（如有）：</w:t>
      </w:r>
      <w:r>
        <w:rPr>
          <w:rFonts w:hint="eastAsia" w:ascii="宋体" w:hAnsi="宋体"/>
          <w:color w:val="000000" w:themeColor="text1"/>
          <w:sz w:val="24"/>
          <w:szCs w:val="24"/>
          <w:lang w:val="en-US" w:eastAsia="zh-CN"/>
          <w14:textFill>
            <w14:solidFill>
              <w14:schemeClr w14:val="tx1"/>
            </w14:solidFill>
          </w14:textFill>
        </w:rPr>
        <w:t>无。</w:t>
      </w:r>
    </w:p>
    <w:p w14:paraId="22F0E20C">
      <w:pPr>
        <w:spacing w:line="460" w:lineRule="exact"/>
        <w:ind w:firstLine="480"/>
        <w:rPr>
          <w:rFonts w:ascii="宋体" w:hAnsi="宋体"/>
          <w:color w:val="000000" w:themeColor="text1"/>
          <w:sz w:val="24"/>
          <w:szCs w:val="24"/>
          <w14:textFill>
            <w14:solidFill>
              <w14:schemeClr w14:val="tx1"/>
            </w14:solidFill>
          </w14:textFill>
        </w:rPr>
      </w:pPr>
      <w:bookmarkStart w:id="14" w:name="_Toc35393791"/>
      <w:bookmarkStart w:id="15" w:name="_Toc38985264"/>
      <w:bookmarkStart w:id="16" w:name="_Toc28359080"/>
      <w:bookmarkStart w:id="17" w:name="_Toc35393622"/>
      <w:bookmarkStart w:id="18" w:name="_Toc28359003"/>
      <w:r>
        <w:rPr>
          <w:rFonts w:hint="eastAsia" w:ascii="宋体" w:hAnsi="宋体"/>
          <w:color w:val="000000" w:themeColor="text1"/>
          <w:sz w:val="24"/>
          <w:szCs w:val="24"/>
          <w14:textFill>
            <w14:solidFill>
              <w14:schemeClr w14:val="tx1"/>
            </w14:solidFill>
          </w14:textFill>
        </w:rPr>
        <w:t>采购需求概况：常熟市河道管理处所需的</w:t>
      </w:r>
      <w:r>
        <w:rPr>
          <w:rFonts w:hint="eastAsia" w:ascii="宋体" w:hAnsi="宋体"/>
          <w:color w:val="000000" w:themeColor="text1"/>
          <w:sz w:val="24"/>
          <w:szCs w:val="24"/>
          <w:lang w:eastAsia="zh-CN"/>
          <w14:textFill>
            <w14:solidFill>
              <w14:schemeClr w14:val="tx1"/>
            </w14:solidFill>
          </w14:textFill>
        </w:rPr>
        <w:t>2024-2025年度市级河道绿化养护</w:t>
      </w:r>
      <w:r>
        <w:rPr>
          <w:rFonts w:hint="eastAsia" w:ascii="宋体" w:hAnsi="宋体"/>
          <w:color w:val="000000" w:themeColor="text1"/>
          <w:sz w:val="24"/>
          <w:szCs w:val="24"/>
          <w14:textFill>
            <w14:solidFill>
              <w14:schemeClr w14:val="tx1"/>
            </w14:solidFill>
          </w14:textFill>
        </w:rPr>
        <w:t>，包括常浒河、东环河、海洋泾、耿泾塘绿化养护。</w:t>
      </w:r>
    </w:p>
    <w:p w14:paraId="0D7FE97E">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合同履行期限：自合同签订之日起一年。</w:t>
      </w:r>
    </w:p>
    <w:p w14:paraId="0D5BC832">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本项目不接受联合体投标。</w:t>
      </w:r>
    </w:p>
    <w:p w14:paraId="6013C6B8">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19" w:name="_Toc19427"/>
      <w:r>
        <w:rPr>
          <w:rFonts w:hint="eastAsia" w:ascii="Times New Roman" w:hAnsi="Times New Roman"/>
          <w:b/>
          <w:bCs/>
          <w:color w:val="000000" w:themeColor="text1"/>
          <w:sz w:val="24"/>
          <w:szCs w:val="24"/>
          <w14:textFill>
            <w14:solidFill>
              <w14:schemeClr w14:val="tx1"/>
            </w14:solidFill>
          </w14:textFill>
        </w:rPr>
        <w:t>二、申请人的资格要求</w:t>
      </w:r>
      <w:bookmarkEnd w:id="14"/>
      <w:bookmarkEnd w:id="15"/>
      <w:bookmarkEnd w:id="16"/>
      <w:bookmarkEnd w:id="17"/>
      <w:bookmarkEnd w:id="18"/>
      <w:bookmarkEnd w:id="19"/>
      <w:bookmarkStart w:id="20" w:name="_Toc28359004"/>
      <w:bookmarkStart w:id="21" w:name="_Toc28359081"/>
      <w:bookmarkStart w:id="22" w:name="_Toc35393792"/>
      <w:bookmarkStart w:id="23" w:name="_Toc35393623"/>
      <w:bookmarkStart w:id="24" w:name="_Toc38985265"/>
    </w:p>
    <w:p w14:paraId="6F6DB3A8">
      <w:pPr>
        <w:spacing w:line="4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（一）满足《中华人民共和国政府采购法》第二十二条规定；</w:t>
      </w:r>
    </w:p>
    <w:p w14:paraId="3EC839CD">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1.具有独立承担民事责任的能力。（法人或者其他组织的营业执照等证明文件）</w:t>
      </w:r>
    </w:p>
    <w:p w14:paraId="3DA8439B">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2.具有良好的商业信誉和健全的财务会计制度。（2022年度至今任意一期的财务报告（财务报表）或金融机构（中介机构）出具的资信证明）</w:t>
      </w:r>
    </w:p>
    <w:p w14:paraId="0460751A">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3.具有履行合同所必需的设备和专业技术能力。（具备履行合同所必需的设备和专业技术能力的书面声明）</w:t>
      </w:r>
    </w:p>
    <w:p w14:paraId="11CA845C">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27E4B26E">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5.参加政府采购活动前三年内，在经营活动中没有重大违法记录。（参加政府采购活动前 3 年内在经营活动中没有重大违法记录的书面声明。）</w:t>
      </w:r>
    </w:p>
    <w:p w14:paraId="10B894EE">
      <w:pPr>
        <w:spacing w:line="46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6.中小企业声明函或残疾人福利性单位声明函或省级以上监狱管理局、戒毒管理局（含新疆生产建设兵团）出具的属于监狱企业的证明文件。</w:t>
      </w:r>
    </w:p>
    <w:p w14:paraId="7CD9B665">
      <w:pPr>
        <w:keepNext/>
        <w:keepLines/>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（二）落实政府采购政策需满足的资格要求：</w:t>
      </w:r>
    </w:p>
    <w:p w14:paraId="60001D42">
      <w:pPr>
        <w:widowControl/>
        <w:shd w:val="clear" w:color="auto" w:fill="FFFFFF"/>
        <w:spacing w:line="440" w:lineRule="exact"/>
        <w:ind w:firstLine="482" w:firstLineChars="200"/>
        <w:jc w:val="lef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本项目专门面向中小企业采购，所属行业为其他未列明行业，投标时须提供《中小企业声明函》。</w:t>
      </w:r>
    </w:p>
    <w:p w14:paraId="442F3937">
      <w:pPr>
        <w:widowControl/>
        <w:shd w:val="clear" w:color="auto" w:fill="FFFFFF"/>
        <w:spacing w:line="440" w:lineRule="exact"/>
        <w:ind w:firstLine="482" w:firstLineChars="200"/>
        <w:jc w:val="lef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注：对残疾人福利性单位、监狱企业视同小型、微型企业，但须按要求提供有关声明函或证明文件。</w:t>
      </w:r>
    </w:p>
    <w:p w14:paraId="5B5BBB9E">
      <w:pPr>
        <w:keepNext/>
        <w:keepLines/>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（三）本项目的特定资格要求：无。</w:t>
      </w:r>
    </w:p>
    <w:p w14:paraId="4969E54F">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25" w:name="_Toc16899"/>
      <w:r>
        <w:rPr>
          <w:rFonts w:hint="eastAsia" w:ascii="Times New Roman" w:hAnsi="Times New Roman"/>
          <w:b/>
          <w:bCs/>
          <w:color w:val="000000" w:themeColor="text1"/>
          <w:sz w:val="24"/>
          <w:szCs w:val="24"/>
          <w14:textFill>
            <w14:solidFill>
              <w14:schemeClr w14:val="tx1"/>
            </w14:solidFill>
          </w14:textFill>
        </w:rPr>
        <w:t>三、获取招标文件</w:t>
      </w:r>
      <w:bookmarkEnd w:id="20"/>
      <w:bookmarkEnd w:id="21"/>
      <w:bookmarkEnd w:id="22"/>
      <w:bookmarkEnd w:id="23"/>
      <w:bookmarkEnd w:id="24"/>
      <w:bookmarkEnd w:id="25"/>
      <w:bookmarkStart w:id="26" w:name="_Toc35393624"/>
      <w:bookmarkStart w:id="27" w:name="_Toc38985266"/>
      <w:bookmarkStart w:id="28" w:name="_Toc35393793"/>
      <w:bookmarkStart w:id="29" w:name="_Toc28359082"/>
      <w:bookmarkStart w:id="30" w:name="_Toc28359005"/>
    </w:p>
    <w:p w14:paraId="14B71A8B">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时间：2024年</w:t>
      </w:r>
      <w:r>
        <w:rPr>
          <w:rFonts w:hint="eastAsia" w:ascii="Times New Roman" w:hAnsi="Times New Roman"/>
          <w:color w:val="000000" w:themeColor="text1"/>
          <w:sz w:val="24"/>
          <w:szCs w:val="24"/>
          <w:lang w:val="en-US" w:eastAsia="zh-CN"/>
          <w14:textFill>
            <w14:solidFill>
              <w14:schemeClr w14:val="tx1"/>
            </w14:solidFill>
          </w14:textFill>
        </w:rPr>
        <w:t>8</w:t>
      </w:r>
      <w:r>
        <w:rPr>
          <w:rFonts w:hint="eastAsia" w:ascii="Times New Roman" w:hAnsi="Times New Roman"/>
          <w:color w:val="000000" w:themeColor="text1"/>
          <w:sz w:val="24"/>
          <w:szCs w:val="24"/>
          <w14:textFill>
            <w14:solidFill>
              <w14:schemeClr w14:val="tx1"/>
            </w14:solidFill>
          </w14:textFill>
        </w:rPr>
        <w:t>月</w:t>
      </w:r>
      <w:r>
        <w:rPr>
          <w:rFonts w:hint="eastAsia" w:ascii="Times New Roman" w:hAnsi="Times New Roman"/>
          <w:color w:val="000000" w:themeColor="text1"/>
          <w:sz w:val="24"/>
          <w:szCs w:val="24"/>
          <w:lang w:val="en-US" w:eastAsia="zh-CN"/>
          <w14:textFill>
            <w14:solidFill>
              <w14:schemeClr w14:val="tx1"/>
            </w14:solidFill>
          </w14:textFill>
        </w:rPr>
        <w:t>13</w:t>
      </w:r>
      <w:r>
        <w:rPr>
          <w:rFonts w:hint="eastAsia" w:ascii="Times New Roman" w:hAnsi="Times New Roman"/>
          <w:color w:val="000000" w:themeColor="text1"/>
          <w:sz w:val="24"/>
          <w:szCs w:val="24"/>
          <w14:textFill>
            <w14:solidFill>
              <w14:schemeClr w14:val="tx1"/>
            </w14:solidFill>
          </w14:textFill>
        </w:rPr>
        <w:t>日至2024年</w:t>
      </w:r>
      <w:r>
        <w:rPr>
          <w:rFonts w:hint="eastAsia" w:ascii="Times New Roman" w:hAnsi="Times New Roman"/>
          <w:color w:val="000000" w:themeColor="text1"/>
          <w:sz w:val="24"/>
          <w:szCs w:val="24"/>
          <w:lang w:val="en-US" w:eastAsia="zh-CN"/>
          <w14:textFill>
            <w14:solidFill>
              <w14:schemeClr w14:val="tx1"/>
            </w14:solidFill>
          </w14:textFill>
        </w:rPr>
        <w:t>8</w:t>
      </w:r>
      <w:r>
        <w:rPr>
          <w:rFonts w:hint="eastAsia" w:ascii="Times New Roman" w:hAnsi="Times New Roman"/>
          <w:color w:val="000000" w:themeColor="text1"/>
          <w:sz w:val="24"/>
          <w:szCs w:val="24"/>
          <w14:textFill>
            <w14:solidFill>
              <w14:schemeClr w14:val="tx1"/>
            </w14:solidFill>
          </w14:textFill>
        </w:rPr>
        <w:t>月</w:t>
      </w:r>
      <w:r>
        <w:rPr>
          <w:rFonts w:hint="eastAsia" w:ascii="Times New Roman" w:hAnsi="Times New Roman"/>
          <w:color w:val="000000" w:themeColor="text1"/>
          <w:sz w:val="24"/>
          <w:szCs w:val="24"/>
          <w:lang w:val="en-US" w:eastAsia="zh-CN"/>
          <w14:textFill>
            <w14:solidFill>
              <w14:schemeClr w14:val="tx1"/>
            </w14:solidFill>
          </w14:textFill>
        </w:rPr>
        <w:t>21</w:t>
      </w:r>
      <w:r>
        <w:rPr>
          <w:rFonts w:hint="eastAsia" w:ascii="Times New Roman" w:hAnsi="Times New Roman"/>
          <w:color w:val="000000" w:themeColor="text1"/>
          <w:sz w:val="24"/>
          <w:szCs w:val="24"/>
          <w14:textFill>
            <w14:solidFill>
              <w14:schemeClr w14:val="tx1"/>
            </w14:solidFill>
          </w14:textFill>
        </w:rPr>
        <w:t>日，每天上午00:00-12:00,下午12:00-23:59 （北京时间，法定节假日除外）</w:t>
      </w:r>
    </w:p>
    <w:p w14:paraId="703E9CAA">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地点：苏采云政府采购一体化平台</w:t>
      </w:r>
    </w:p>
    <w:p w14:paraId="77DF5A09">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方式：在“苏采云政府采购一体化平台”自行免费下载招标文件</w:t>
      </w:r>
    </w:p>
    <w:p w14:paraId="38D2A764">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售价：0.00元</w:t>
      </w:r>
    </w:p>
    <w:p w14:paraId="0AF0CB75">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31" w:name="_Toc8716"/>
      <w:r>
        <w:rPr>
          <w:rFonts w:hint="eastAsia" w:ascii="Times New Roman" w:hAnsi="Times New Roman"/>
          <w:b/>
          <w:bCs/>
          <w:color w:val="000000" w:themeColor="text1"/>
          <w:sz w:val="24"/>
          <w:szCs w:val="24"/>
          <w14:textFill>
            <w14:solidFill>
              <w14:schemeClr w14:val="tx1"/>
            </w14:solidFill>
          </w14:textFill>
        </w:rPr>
        <w:t>四、</w:t>
      </w:r>
      <w:bookmarkEnd w:id="26"/>
      <w:bookmarkEnd w:id="27"/>
      <w:bookmarkEnd w:id="28"/>
      <w:bookmarkEnd w:id="29"/>
      <w:bookmarkEnd w:id="30"/>
      <w:r>
        <w:rPr>
          <w:rFonts w:hint="eastAsia" w:ascii="Times New Roman" w:hAnsi="Times New Roman"/>
          <w:b/>
          <w:bCs/>
          <w:color w:val="000000" w:themeColor="text1"/>
          <w:sz w:val="24"/>
          <w:szCs w:val="24"/>
          <w14:textFill>
            <w14:solidFill>
              <w14:schemeClr w14:val="tx1"/>
            </w14:solidFill>
          </w14:textFill>
        </w:rPr>
        <w:t>提交投标文件截止时间、开标</w:t>
      </w:r>
      <w:r>
        <w:rPr>
          <w:rFonts w:ascii="Times New Roman" w:hAnsi="Times New Roman"/>
          <w:b/>
          <w:bCs/>
          <w:color w:val="000000" w:themeColor="text1"/>
          <w:sz w:val="24"/>
          <w:szCs w:val="24"/>
          <w14:textFill>
            <w14:solidFill>
              <w14:schemeClr w14:val="tx1"/>
            </w14:solidFill>
          </w14:textFill>
        </w:rPr>
        <w:t>时间和地点</w:t>
      </w:r>
      <w:bookmarkEnd w:id="31"/>
    </w:p>
    <w:p w14:paraId="138B5AC1">
      <w:pPr>
        <w:spacing w:line="440" w:lineRule="exact"/>
        <w:ind w:firstLine="480" w:firstLineChars="200"/>
        <w:rPr>
          <w:rFonts w:ascii="Times New Roman" w:hAnsi="Times New Roman"/>
          <w:color w:val="000000" w:themeColor="text1"/>
          <w:sz w:val="24"/>
          <w:szCs w:val="24"/>
          <w14:textFill>
            <w14:solidFill>
              <w14:schemeClr w14:val="tx1"/>
            </w14:solidFill>
          </w14:textFill>
        </w:rPr>
      </w:pPr>
      <w:bookmarkStart w:id="32" w:name="_Toc35393625"/>
      <w:bookmarkStart w:id="33" w:name="_Toc28359084"/>
      <w:bookmarkStart w:id="34" w:name="_Toc35393794"/>
      <w:bookmarkStart w:id="35" w:name="_Toc28359007"/>
      <w:bookmarkStart w:id="36" w:name="_Toc38985267"/>
      <w:r>
        <w:rPr>
          <w:rFonts w:hint="eastAsia" w:ascii="Times New Roman" w:hAnsi="Times New Roman"/>
          <w:color w:val="000000" w:themeColor="text1"/>
          <w:sz w:val="24"/>
          <w:szCs w:val="24"/>
          <w14:textFill>
            <w14:solidFill>
              <w14:schemeClr w14:val="tx1"/>
            </w14:solidFill>
          </w14:textFill>
        </w:rPr>
        <w:t xml:space="preserve">时间：2024- </w:t>
      </w:r>
      <w:r>
        <w:rPr>
          <w:rFonts w:hint="eastAsia" w:ascii="Times New Roman" w:hAnsi="Times New Roman"/>
          <w:color w:val="000000" w:themeColor="text1"/>
          <w:sz w:val="24"/>
          <w:szCs w:val="24"/>
          <w:lang w:val="en-US" w:eastAsia="zh-CN"/>
          <w14:textFill>
            <w14:solidFill>
              <w14:schemeClr w14:val="tx1"/>
            </w14:solidFill>
          </w14:textFill>
        </w:rPr>
        <w:t>9</w:t>
      </w:r>
      <w:r>
        <w:rPr>
          <w:rFonts w:hint="eastAsia"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lang w:val="en-US" w:eastAsia="zh-CN"/>
          <w14:textFill>
            <w14:solidFill>
              <w14:schemeClr w14:val="tx1"/>
            </w14:solidFill>
          </w14:textFill>
        </w:rPr>
        <w:t>5</w:t>
      </w:r>
      <w:r>
        <w:rPr>
          <w:rFonts w:hint="eastAsia" w:ascii="Times New Roman" w:hAnsi="Times New Roman"/>
          <w:color w:val="000000" w:themeColor="text1"/>
          <w:sz w:val="24"/>
          <w:szCs w:val="24"/>
          <w14:textFill>
            <w14:solidFill>
              <w14:schemeClr w14:val="tx1"/>
            </w14:solidFill>
          </w14:textFill>
        </w:rPr>
        <w:t xml:space="preserve"> 13:00（北京时间）</w:t>
      </w:r>
    </w:p>
    <w:p w14:paraId="2C97D20B">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地点：苏采云政府采购一体化平台开标大厅</w:t>
      </w:r>
    </w:p>
    <w:p w14:paraId="163357C1">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37" w:name="_Toc31914"/>
      <w:r>
        <w:rPr>
          <w:rFonts w:hint="eastAsia" w:ascii="Times New Roman" w:hAnsi="Times New Roman"/>
          <w:b/>
          <w:bCs/>
          <w:color w:val="000000" w:themeColor="text1"/>
          <w:sz w:val="24"/>
          <w:szCs w:val="24"/>
          <w14:textFill>
            <w14:solidFill>
              <w14:schemeClr w14:val="tx1"/>
            </w14:solidFill>
          </w14:textFill>
        </w:rPr>
        <w:t>五、</w:t>
      </w:r>
      <w:bookmarkEnd w:id="32"/>
      <w:bookmarkEnd w:id="33"/>
      <w:bookmarkEnd w:id="34"/>
      <w:bookmarkEnd w:id="35"/>
      <w:bookmarkEnd w:id="36"/>
      <w:r>
        <w:rPr>
          <w:rFonts w:ascii="Times New Roman" w:hAnsi="Times New Roman"/>
          <w:b/>
          <w:bCs/>
          <w:color w:val="000000" w:themeColor="text1"/>
          <w:sz w:val="24"/>
          <w:szCs w:val="24"/>
          <w14:textFill>
            <w14:solidFill>
              <w14:schemeClr w14:val="tx1"/>
            </w14:solidFill>
          </w14:textFill>
        </w:rPr>
        <w:t>公告</w:t>
      </w:r>
      <w:r>
        <w:rPr>
          <w:rFonts w:hint="eastAsia" w:ascii="Times New Roman" w:hAnsi="Times New Roman"/>
          <w:b/>
          <w:bCs/>
          <w:color w:val="000000" w:themeColor="text1"/>
          <w:sz w:val="24"/>
          <w:szCs w:val="24"/>
          <w14:textFill>
            <w14:solidFill>
              <w14:schemeClr w14:val="tx1"/>
            </w14:solidFill>
          </w14:textFill>
        </w:rPr>
        <w:t>期限</w:t>
      </w:r>
      <w:bookmarkEnd w:id="37"/>
    </w:p>
    <w:p w14:paraId="21A0EDE0">
      <w:pPr>
        <w:spacing w:line="440" w:lineRule="exact"/>
        <w:ind w:firstLine="480" w:firstLineChars="200"/>
        <w:rPr>
          <w:rFonts w:ascii="Times New Roman" w:hAnsi="Times New Roman"/>
          <w:color w:val="000000" w:themeColor="text1"/>
          <w:sz w:val="24"/>
          <w:szCs w:val="24"/>
          <w14:textFill>
            <w14:solidFill>
              <w14:schemeClr w14:val="tx1"/>
            </w14:solidFill>
          </w14:textFill>
        </w:rPr>
      </w:pPr>
      <w:bookmarkStart w:id="38" w:name="_Toc35393795"/>
      <w:bookmarkStart w:id="39" w:name="_Toc38985268"/>
      <w:bookmarkStart w:id="40" w:name="_Toc35393626"/>
      <w:r>
        <w:rPr>
          <w:rFonts w:hint="eastAsia" w:ascii="Times New Roman" w:hAnsi="Times New Roman"/>
          <w:color w:val="000000" w:themeColor="text1"/>
          <w:sz w:val="24"/>
          <w:szCs w:val="24"/>
          <w14:textFill>
            <w14:solidFill>
              <w14:schemeClr w14:val="tx1"/>
            </w14:solidFill>
          </w14:textFill>
        </w:rPr>
        <w:t>公告期限：自本公告发布之日起5个工作日。</w:t>
      </w:r>
      <w:bookmarkStart w:id="239" w:name="_GoBack"/>
      <w:bookmarkEnd w:id="239"/>
    </w:p>
    <w:p w14:paraId="5A452F98">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41" w:name="_Toc30421"/>
      <w:r>
        <w:rPr>
          <w:rFonts w:hint="eastAsia" w:ascii="Times New Roman" w:hAnsi="Times New Roman"/>
          <w:b/>
          <w:bCs/>
          <w:color w:val="000000" w:themeColor="text1"/>
          <w:sz w:val="24"/>
          <w:szCs w:val="24"/>
          <w14:textFill>
            <w14:solidFill>
              <w14:schemeClr w14:val="tx1"/>
            </w14:solidFill>
          </w14:textFill>
        </w:rPr>
        <w:t>六、其他补充事宜</w:t>
      </w:r>
      <w:bookmarkEnd w:id="38"/>
      <w:bookmarkEnd w:id="39"/>
      <w:bookmarkEnd w:id="40"/>
      <w:bookmarkEnd w:id="41"/>
    </w:p>
    <w:p w14:paraId="20330B96">
      <w:pPr>
        <w:spacing w:line="46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14:paraId="0976003C">
      <w:pPr>
        <w:spacing w:line="46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单位负责人为同一人或者存在直接控股、管理关系的不同供应商，不得参加同一合同项下的政府采购活动。</w:t>
      </w:r>
    </w:p>
    <w:p w14:paraId="4A7D5001">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012266B9">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4、投标人在“苏采云”系统操作过程中如有疑问，请按以下方式联系：</w:t>
      </w:r>
    </w:p>
    <w:p w14:paraId="70960BAD">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CA技术咨询电话：400-608-6099；电子签章技术咨询电话：15380932027、15371015030、13675197356、13675197221；系统使用指导与咨询电话：18261002950、0512-69820854、0519-86722802。</w:t>
      </w:r>
    </w:p>
    <w:p w14:paraId="74E8193A">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5、有关本次采购的事项若存在变动或修改，敬请及时关注政府采购信息发布媒体上的更正（补充）公告</w:t>
      </w:r>
      <w:bookmarkStart w:id="42" w:name="_Hlk87882297"/>
      <w:r>
        <w:rPr>
          <w:rFonts w:hint="eastAsia" w:ascii="Times New Roman" w:hAnsi="Times New Roman"/>
          <w:color w:val="000000" w:themeColor="text1"/>
          <w:sz w:val="24"/>
          <w:szCs w:val="24"/>
          <w14:textFill>
            <w14:solidFill>
              <w14:schemeClr w14:val="tx1"/>
            </w14:solidFill>
          </w14:textFill>
        </w:rPr>
        <w:t>，并按规定获取相关信息内容。</w:t>
      </w:r>
      <w:bookmarkEnd w:id="42"/>
    </w:p>
    <w:p w14:paraId="24FFCF5D">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6、本次采购项目有关时间要求均以北京时间为标准，使用24小时制。</w:t>
      </w:r>
    </w:p>
    <w:p w14:paraId="53D66A2F">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7、本次招标不收取投标保证金。</w:t>
      </w:r>
    </w:p>
    <w:p w14:paraId="7997B68F">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8、公告媒体：苏州市政府采购网、江苏政府采购网。</w:t>
      </w:r>
    </w:p>
    <w:p w14:paraId="5938F4B6">
      <w:pPr>
        <w:keepNext/>
        <w:keepLines/>
        <w:spacing w:line="440" w:lineRule="exact"/>
        <w:ind w:firstLine="482"/>
        <w:outlineLvl w:val="1"/>
        <w:rPr>
          <w:rFonts w:ascii="Times New Roman" w:hAnsi="Times New Roman"/>
          <w:b/>
          <w:bCs/>
          <w:color w:val="000000" w:themeColor="text1"/>
          <w:sz w:val="24"/>
          <w:szCs w:val="24"/>
          <w14:textFill>
            <w14:solidFill>
              <w14:schemeClr w14:val="tx1"/>
            </w14:solidFill>
          </w14:textFill>
        </w:rPr>
      </w:pPr>
      <w:bookmarkStart w:id="43" w:name="_Toc35393627"/>
      <w:bookmarkStart w:id="44" w:name="_Toc35393796"/>
      <w:bookmarkStart w:id="45" w:name="_Toc28359085"/>
      <w:bookmarkStart w:id="46" w:name="_Toc38985269"/>
      <w:bookmarkStart w:id="47" w:name="_Toc28359008"/>
      <w:bookmarkStart w:id="48" w:name="_Toc15283"/>
      <w:r>
        <w:rPr>
          <w:rFonts w:hint="eastAsia" w:ascii="Times New Roman" w:hAnsi="Times New Roman"/>
          <w:b/>
          <w:bCs/>
          <w:color w:val="000000" w:themeColor="text1"/>
          <w:sz w:val="24"/>
          <w:szCs w:val="24"/>
          <w14:textFill>
            <w14:solidFill>
              <w14:schemeClr w14:val="tx1"/>
            </w14:solidFill>
          </w14:textFill>
        </w:rPr>
        <w:t>七、本次招标联系</w:t>
      </w:r>
      <w:bookmarkEnd w:id="43"/>
      <w:bookmarkEnd w:id="44"/>
      <w:bookmarkEnd w:id="45"/>
      <w:bookmarkEnd w:id="46"/>
      <w:bookmarkEnd w:id="47"/>
      <w:r>
        <w:rPr>
          <w:rFonts w:hint="eastAsia" w:ascii="Times New Roman" w:hAnsi="Times New Roman"/>
          <w:b/>
          <w:bCs/>
          <w:color w:val="000000" w:themeColor="text1"/>
          <w:sz w:val="24"/>
          <w:szCs w:val="24"/>
          <w14:textFill>
            <w14:solidFill>
              <w14:schemeClr w14:val="tx1"/>
            </w14:solidFill>
          </w14:textFill>
        </w:rPr>
        <w:t>方式</w:t>
      </w:r>
      <w:bookmarkEnd w:id="48"/>
    </w:p>
    <w:p w14:paraId="5559E406">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1、采购人信息</w:t>
      </w:r>
    </w:p>
    <w:p w14:paraId="0F984F1B">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单位名称：常熟市河道管理处</w:t>
      </w:r>
    </w:p>
    <w:p w14:paraId="11A96B15">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单位地址：常熟市琴川街道东环苑一区200号</w:t>
      </w:r>
    </w:p>
    <w:p w14:paraId="665A4E6F">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联系人：张毅彬</w:t>
      </w:r>
    </w:p>
    <w:p w14:paraId="7A6A0E06">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联系方式：</w:t>
      </w:r>
      <w:bookmarkStart w:id="49" w:name="_Toc28359009"/>
      <w:bookmarkStart w:id="50" w:name="_Toc28359086"/>
      <w:r>
        <w:rPr>
          <w:rFonts w:hint="eastAsia" w:ascii="Times New Roman" w:hAnsi="Times New Roman"/>
          <w:color w:val="000000" w:themeColor="text1"/>
          <w:sz w:val="24"/>
          <w:szCs w:val="24"/>
          <w14:textFill>
            <w14:solidFill>
              <w14:schemeClr w14:val="tx1"/>
            </w14:solidFill>
          </w14:textFill>
        </w:rPr>
        <w:t>0512-52340170</w:t>
      </w:r>
    </w:p>
    <w:bookmarkEnd w:id="49"/>
    <w:bookmarkEnd w:id="50"/>
    <w:p w14:paraId="7D650B9C">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2、采购代理机构信息</w:t>
      </w:r>
    </w:p>
    <w:p w14:paraId="09C95382">
      <w:pPr>
        <w:spacing w:line="440" w:lineRule="exact"/>
        <w:ind w:firstLine="480" w:firstLineChars="200"/>
        <w:rPr>
          <w:rFonts w:ascii="Times New Roman" w:hAnsi="Times New Roman"/>
          <w:color w:val="000000" w:themeColor="text1"/>
          <w:sz w:val="24"/>
          <w:szCs w:val="24"/>
          <w14:textFill>
            <w14:solidFill>
              <w14:schemeClr w14:val="tx1"/>
            </w14:solidFill>
          </w14:textFill>
        </w:rPr>
      </w:pPr>
      <w:bookmarkStart w:id="51" w:name="_Toc28359087"/>
      <w:bookmarkStart w:id="52" w:name="_Toc28359010"/>
      <w:r>
        <w:rPr>
          <w:rFonts w:hint="eastAsia" w:ascii="Times New Roman" w:hAnsi="Times New Roman"/>
          <w:color w:val="000000" w:themeColor="text1"/>
          <w:sz w:val="24"/>
          <w:szCs w:val="24"/>
          <w14:textFill>
            <w14:solidFill>
              <w14:schemeClr w14:val="tx1"/>
            </w14:solidFill>
          </w14:textFill>
        </w:rPr>
        <w:t>单位名称：苏州新一造价师价格事务所有限公司</w:t>
      </w:r>
    </w:p>
    <w:p w14:paraId="38AB6105">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单位地址：常熟市九里大街5号</w:t>
      </w:r>
    </w:p>
    <w:p w14:paraId="51DA8960">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联系人：韩忆程</w:t>
      </w:r>
    </w:p>
    <w:p w14:paraId="372D62E8">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联系方式：0512-52808032</w:t>
      </w:r>
    </w:p>
    <w:p w14:paraId="59C85C9B">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3、项目联系方式</w:t>
      </w:r>
    </w:p>
    <w:p w14:paraId="7A5EE62D">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项目联系人：韩忆程</w:t>
      </w:r>
    </w:p>
    <w:p w14:paraId="642D5FE8">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电话：0512-52808032</w:t>
      </w:r>
    </w:p>
    <w:p w14:paraId="07B6CE75">
      <w:pPr>
        <w:spacing w:line="440" w:lineRule="exact"/>
        <w:ind w:firstLine="480"/>
        <w:rPr>
          <w:rFonts w:ascii="Times New Roman" w:hAnsi="Times New Roman"/>
          <w:color w:val="000000" w:themeColor="text1"/>
          <w:sz w:val="24"/>
          <w:szCs w:val="24"/>
          <w14:textFill>
            <w14:solidFill>
              <w14:schemeClr w14:val="tx1"/>
            </w14:solidFill>
          </w14:textFill>
        </w:rPr>
      </w:pPr>
    </w:p>
    <w:bookmarkEnd w:id="51"/>
    <w:bookmarkEnd w:id="52"/>
    <w:p w14:paraId="32C34F49">
      <w:pPr>
        <w:widowControl/>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p>
    <w:p w14:paraId="3336451D">
      <w:pPr>
        <w:keepNext/>
        <w:ind w:firstLine="880"/>
        <w:jc w:val="center"/>
        <w:outlineLvl w:val="0"/>
        <w:rPr>
          <w:rFonts w:ascii="黑体" w:hAnsi="Times New Roman" w:eastAsia="黑体"/>
          <w:color w:val="000000" w:themeColor="text1"/>
          <w:sz w:val="44"/>
          <w:szCs w:val="44"/>
          <w14:textFill>
            <w14:solidFill>
              <w14:schemeClr w14:val="tx1"/>
            </w14:solidFill>
          </w14:textFill>
        </w:rPr>
      </w:pPr>
      <w:bookmarkStart w:id="53" w:name="_Toc120614211"/>
      <w:bookmarkStart w:id="54" w:name="_Toc7851"/>
      <w:r>
        <w:rPr>
          <w:rFonts w:hint="eastAsia" w:ascii="黑体" w:hAnsi="Times New Roman" w:eastAsia="黑体"/>
          <w:color w:val="000000" w:themeColor="text1"/>
          <w:sz w:val="44"/>
          <w:szCs w:val="44"/>
          <w14:textFill>
            <w14:solidFill>
              <w14:schemeClr w14:val="tx1"/>
            </w14:solidFill>
          </w14:textFill>
        </w:rPr>
        <w:t xml:space="preserve">第二章  </w:t>
      </w:r>
      <w:bookmarkEnd w:id="1"/>
      <w:bookmarkEnd w:id="2"/>
      <w:bookmarkEnd w:id="3"/>
      <w:bookmarkEnd w:id="4"/>
      <w:bookmarkEnd w:id="5"/>
      <w:bookmarkEnd w:id="53"/>
      <w:bookmarkStart w:id="55" w:name="_Toc513029202"/>
      <w:bookmarkStart w:id="56" w:name="_Toc20823274"/>
      <w:bookmarkStart w:id="57" w:name="_Toc120614213"/>
      <w:bookmarkStart w:id="58" w:name="_Toc16938518"/>
      <w:r>
        <w:rPr>
          <w:rFonts w:hint="eastAsia" w:ascii="黑体" w:hAnsi="Times New Roman" w:eastAsia="黑体"/>
          <w:color w:val="000000" w:themeColor="text1"/>
          <w:sz w:val="44"/>
          <w:szCs w:val="44"/>
          <w14:textFill>
            <w14:solidFill>
              <w14:schemeClr w14:val="tx1"/>
            </w14:solidFill>
          </w14:textFill>
        </w:rPr>
        <w:t>投标人须知</w:t>
      </w:r>
      <w:bookmarkEnd w:id="54"/>
      <w:bookmarkEnd w:id="55"/>
      <w:bookmarkEnd w:id="56"/>
      <w:bookmarkEnd w:id="57"/>
      <w:bookmarkEnd w:id="58"/>
    </w:p>
    <w:p w14:paraId="04CDDA9F">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59" w:name="_Toc120614214"/>
      <w:bookmarkStart w:id="60" w:name="_Toc20823275"/>
      <w:bookmarkStart w:id="61" w:name="_Toc513029203"/>
      <w:bookmarkStart w:id="62" w:name="_Toc16938519"/>
      <w:bookmarkStart w:id="63" w:name="_Toc15866"/>
      <w:r>
        <w:rPr>
          <w:rFonts w:hint="eastAsia" w:ascii="宋体" w:hAnsi="宋体" w:cs="宋体"/>
          <w:b/>
          <w:bCs/>
          <w:color w:val="000000" w:themeColor="text1"/>
          <w:sz w:val="28"/>
          <w:szCs w:val="28"/>
          <w14:textFill>
            <w14:solidFill>
              <w14:schemeClr w14:val="tx1"/>
            </w14:solidFill>
          </w14:textFill>
        </w:rPr>
        <w:t>一、总则</w:t>
      </w:r>
      <w:bookmarkEnd w:id="59"/>
      <w:bookmarkEnd w:id="60"/>
      <w:bookmarkEnd w:id="61"/>
      <w:bookmarkEnd w:id="62"/>
      <w:bookmarkEnd w:id="63"/>
    </w:p>
    <w:p w14:paraId="6D9ED832">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64" w:name="_Hlt16619475"/>
      <w:bookmarkEnd w:id="64"/>
      <w:bookmarkStart w:id="65" w:name="_Toc458694821"/>
      <w:bookmarkStart w:id="66" w:name="_Toc513029204"/>
      <w:bookmarkStart w:id="67" w:name="_Toc16938520"/>
      <w:bookmarkStart w:id="68" w:name="_Toc20823276"/>
      <w:r>
        <w:rPr>
          <w:rFonts w:hint="eastAsia" w:ascii="宋体" w:hAnsi="宋体" w:cs="宋体"/>
          <w:color w:val="000000" w:themeColor="text1"/>
          <w:sz w:val="24"/>
          <w:szCs w:val="24"/>
          <w14:textFill>
            <w14:solidFill>
              <w14:schemeClr w14:val="tx1"/>
            </w14:solidFill>
          </w14:textFill>
        </w:rPr>
        <w:t>1</w:t>
      </w:r>
      <w:bookmarkEnd w:id="65"/>
      <w:r>
        <w:rPr>
          <w:rFonts w:hint="eastAsia" w:ascii="宋体" w:hAnsi="宋体" w:cs="宋体"/>
          <w:color w:val="000000" w:themeColor="text1"/>
          <w:sz w:val="24"/>
          <w:szCs w:val="24"/>
          <w14:textFill>
            <w14:solidFill>
              <w14:schemeClr w14:val="tx1"/>
            </w14:solidFill>
          </w14:textFill>
        </w:rPr>
        <w:t>、采购方式</w:t>
      </w:r>
      <w:bookmarkEnd w:id="66"/>
      <w:bookmarkEnd w:id="67"/>
      <w:bookmarkEnd w:id="68"/>
      <w:r>
        <w:rPr>
          <w:rFonts w:hint="eastAsia" w:ascii="宋体" w:hAnsi="宋体" w:cs="宋体"/>
          <w:color w:val="000000" w:themeColor="text1"/>
          <w:sz w:val="24"/>
          <w:szCs w:val="24"/>
          <w14:textFill>
            <w14:solidFill>
              <w14:schemeClr w14:val="tx1"/>
            </w14:solidFill>
          </w14:textFill>
        </w:rPr>
        <w:t>及适用法律</w:t>
      </w:r>
    </w:p>
    <w:p w14:paraId="09C40E3A">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本次招标采取公开招标方式，本招标文件仅适用于招标公告中所述项目。</w:t>
      </w:r>
    </w:p>
    <w:p w14:paraId="5AA32D75">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 本次招标及由此产生的合同受中华人民共和国有关的法律法规制约和保护。</w:t>
      </w:r>
    </w:p>
    <w:p w14:paraId="436F455F">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2、定义</w:t>
      </w:r>
    </w:p>
    <w:p w14:paraId="4E7A3109">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“采购人”系指购买本项目货物并接受相关服务的国家机关、事业单位、团体组织。</w:t>
      </w:r>
    </w:p>
    <w:p w14:paraId="47AF9489">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“采购代理机构”系指依法接受采购人委托，从事货物和服务等政府采购业务的采购代理机构（以下简称“代理机构”）。本项目采购代理机构为苏州新一造价师价格事务所有限公司。</w:t>
      </w:r>
    </w:p>
    <w:p w14:paraId="2E614051">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 “投标人”系指响应招标、参加投标竞争的供应商。</w:t>
      </w:r>
    </w:p>
    <w:p w14:paraId="600C1810">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69" w:name="_Toc16938521"/>
      <w:bookmarkStart w:id="70" w:name="_Toc513029205"/>
      <w:bookmarkStart w:id="71" w:name="_Toc20823277"/>
      <w:r>
        <w:rPr>
          <w:rFonts w:hint="eastAsia" w:ascii="宋体" w:hAnsi="宋体" w:cs="宋体"/>
          <w:color w:val="000000" w:themeColor="text1"/>
          <w:sz w:val="24"/>
          <w:szCs w:val="24"/>
          <w14:textFill>
            <w14:solidFill>
              <w14:schemeClr w14:val="tx1"/>
            </w14:solidFill>
          </w14:textFill>
        </w:rPr>
        <w:t>3、合格的投标人</w:t>
      </w:r>
      <w:bookmarkEnd w:id="69"/>
      <w:bookmarkEnd w:id="70"/>
      <w:bookmarkEnd w:id="71"/>
    </w:p>
    <w:p w14:paraId="5A07D4A1">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满足招标公告中供应商的资格要求的规定，详见《第一章 投标邀请》中投标人资格要求。</w:t>
      </w:r>
    </w:p>
    <w:p w14:paraId="7438F51C">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 满足本文件实质性要求和条件的规定。</w:t>
      </w:r>
    </w:p>
    <w:p w14:paraId="4E4233F5">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72" w:name="_Toc513029207"/>
      <w:bookmarkStart w:id="73" w:name="_Toc16938523"/>
      <w:bookmarkStart w:id="74" w:name="_Toc462564067"/>
      <w:bookmarkStart w:id="75" w:name="_Toc20823279"/>
      <w:r>
        <w:rPr>
          <w:rFonts w:hint="eastAsia" w:ascii="宋体" w:hAnsi="宋体" w:cs="宋体"/>
          <w:color w:val="000000" w:themeColor="text1"/>
          <w:sz w:val="24"/>
          <w:szCs w:val="24"/>
          <w14:textFill>
            <w14:solidFill>
              <w14:schemeClr w14:val="tx1"/>
            </w14:solidFill>
          </w14:textFill>
        </w:rPr>
        <w:t>4、投标费用</w:t>
      </w:r>
      <w:bookmarkEnd w:id="72"/>
      <w:bookmarkEnd w:id="73"/>
      <w:bookmarkEnd w:id="74"/>
      <w:bookmarkEnd w:id="75"/>
    </w:p>
    <w:p w14:paraId="4E1A7389">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 无论投标过程中的做法和结果如何，投标人应自行承担所有与准备和参加投标有关的全部费用。</w:t>
      </w:r>
    </w:p>
    <w:p w14:paraId="0C26A7B2">
      <w:pPr>
        <w:spacing w:line="440" w:lineRule="exact"/>
        <w:ind w:firstLine="789" w:firstLineChars="329"/>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w:t>
      </w:r>
      <w:r>
        <w:rPr>
          <w:rFonts w:hint="eastAsia" w:ascii="宋体" w:hAnsi="宋体" w:cs="宋体"/>
          <w:b/>
          <w:color w:val="000000" w:themeColor="text1"/>
          <w:sz w:val="24"/>
          <w:szCs w:val="24"/>
          <w14:textFill>
            <w14:solidFill>
              <w14:schemeClr w14:val="tx1"/>
            </w14:solidFill>
          </w14:textFill>
        </w:rPr>
        <w:t>本次招标不收取采购文件工本费</w:t>
      </w:r>
    </w:p>
    <w:p w14:paraId="7CDC04B5">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w:t>
      </w:r>
      <w:r>
        <w:rPr>
          <w:rFonts w:hint="eastAsia" w:ascii="宋体" w:hAnsi="宋体" w:cs="宋体"/>
          <w:b/>
          <w:color w:val="000000" w:themeColor="text1"/>
          <w:sz w:val="24"/>
          <w:szCs w:val="24"/>
          <w14:textFill>
            <w14:solidFill>
              <w14:schemeClr w14:val="tx1"/>
            </w14:solidFill>
          </w14:textFill>
        </w:rPr>
        <w:t>采购代理服务费用：</w:t>
      </w:r>
    </w:p>
    <w:p w14:paraId="5A935CF2">
      <w:pPr>
        <w:spacing w:line="440" w:lineRule="exact"/>
        <w:ind w:firstLine="790" w:firstLineChars="328"/>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本项目中标服务费由中标人支付，在采购代理机构发中标通知书时由中标人向采购代理机构支付中标服务费</w:t>
      </w:r>
      <w:r>
        <w:rPr>
          <w:rFonts w:hint="eastAsia" w:ascii="宋体" w:hAnsi="宋体" w:cs="宋体"/>
          <w:b/>
          <w:color w:val="000000" w:themeColor="text1"/>
          <w:sz w:val="24"/>
          <w:szCs w:val="24"/>
          <w:lang w:val="en-US" w:eastAsia="zh-CN"/>
          <w14:textFill>
            <w14:solidFill>
              <w14:schemeClr w14:val="tx1"/>
            </w14:solidFill>
          </w14:textFill>
        </w:rPr>
        <w:t>9100.00</w:t>
      </w:r>
      <w:r>
        <w:rPr>
          <w:rFonts w:hint="eastAsia" w:ascii="宋体" w:hAnsi="宋体" w:cs="宋体"/>
          <w:b/>
          <w:color w:val="000000" w:themeColor="text1"/>
          <w:sz w:val="24"/>
          <w:szCs w:val="24"/>
          <w14:textFill>
            <w14:solidFill>
              <w14:schemeClr w14:val="tx1"/>
            </w14:solidFill>
          </w14:textFill>
        </w:rPr>
        <w:t>元整，一次性付清。</w:t>
      </w:r>
    </w:p>
    <w:p w14:paraId="7760AE5B">
      <w:pPr>
        <w:spacing w:line="440" w:lineRule="exact"/>
        <w:ind w:firstLine="790" w:firstLineChars="328"/>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账户名：苏州新一造价师价格事务所有限公司常熟分公司</w:t>
      </w:r>
    </w:p>
    <w:p w14:paraId="590D345F">
      <w:pPr>
        <w:spacing w:line="440" w:lineRule="exact"/>
        <w:ind w:firstLine="790" w:firstLineChars="328"/>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开户银行：常熟农商行开发区支行</w:t>
      </w:r>
    </w:p>
    <w:p w14:paraId="260E25C9">
      <w:pPr>
        <w:spacing w:line="440" w:lineRule="exact"/>
        <w:ind w:firstLine="790" w:firstLineChars="328"/>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账号：101280001017827625</w:t>
      </w:r>
    </w:p>
    <w:p w14:paraId="201AEEB2">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5、招标文件的约束力</w:t>
      </w:r>
    </w:p>
    <w:p w14:paraId="5B17E079">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 投标人一旦参加本项目采购活动，即被认为接受了本招标文件的规定和约束。</w:t>
      </w:r>
    </w:p>
    <w:p w14:paraId="43425F31">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76" w:name="_Toc513029209"/>
      <w:bookmarkStart w:id="77" w:name="_Toc20823281"/>
      <w:bookmarkStart w:id="78" w:name="_Toc120614215"/>
      <w:bookmarkStart w:id="79" w:name="_Toc16938525"/>
      <w:bookmarkStart w:id="80" w:name="_Toc12437"/>
      <w:r>
        <w:rPr>
          <w:rFonts w:hint="eastAsia" w:ascii="宋体" w:hAnsi="宋体" w:cs="宋体"/>
          <w:b/>
          <w:bCs/>
          <w:color w:val="000000" w:themeColor="text1"/>
          <w:sz w:val="28"/>
          <w:szCs w:val="28"/>
          <w14:textFill>
            <w14:solidFill>
              <w14:schemeClr w14:val="tx1"/>
            </w14:solidFill>
          </w14:textFill>
        </w:rPr>
        <w:t>二、招标文件</w:t>
      </w:r>
      <w:bookmarkEnd w:id="76"/>
      <w:bookmarkEnd w:id="77"/>
      <w:bookmarkEnd w:id="78"/>
      <w:bookmarkEnd w:id="79"/>
      <w:bookmarkEnd w:id="80"/>
    </w:p>
    <w:p w14:paraId="36A166ED">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81" w:name="_Toc20823282"/>
      <w:bookmarkStart w:id="82" w:name="_Toc513029210"/>
      <w:bookmarkStart w:id="83" w:name="_Toc16938526"/>
      <w:r>
        <w:rPr>
          <w:rFonts w:hint="eastAsia" w:ascii="宋体" w:hAnsi="宋体" w:cs="宋体"/>
          <w:color w:val="000000" w:themeColor="text1"/>
          <w:sz w:val="24"/>
          <w:szCs w:val="24"/>
          <w14:textFill>
            <w14:solidFill>
              <w14:schemeClr w14:val="tx1"/>
            </w14:solidFill>
          </w14:textFill>
        </w:rPr>
        <w:t>1、招标文件构成</w:t>
      </w:r>
      <w:bookmarkEnd w:id="81"/>
      <w:bookmarkEnd w:id="82"/>
      <w:bookmarkEnd w:id="83"/>
    </w:p>
    <w:p w14:paraId="199C1EF6">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1.1</w:t>
      </w:r>
      <w:r>
        <w:rPr>
          <w:rFonts w:hint="eastAsia" w:ascii="宋体" w:hAnsi="宋体" w:cs="宋体"/>
          <w:color w:val="000000" w:themeColor="text1"/>
          <w:sz w:val="24"/>
          <w:szCs w:val="24"/>
          <w14:textFill>
            <w14:solidFill>
              <w14:schemeClr w14:val="tx1"/>
            </w14:solidFill>
          </w14:textFill>
        </w:rPr>
        <w:t xml:space="preserve"> 招标文件由以下部分组成：</w:t>
      </w:r>
    </w:p>
    <w:p w14:paraId="0A70D968">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（1）投标邀请</w:t>
      </w:r>
    </w:p>
    <w:p w14:paraId="2716A514">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（2）投标人须知</w:t>
      </w:r>
    </w:p>
    <w:p w14:paraId="423B0D18">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（3）合同文本</w:t>
      </w:r>
    </w:p>
    <w:p w14:paraId="1CBE73B9">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（4）采购需求</w:t>
      </w:r>
    </w:p>
    <w:p w14:paraId="4F5E2EFF">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（5）评标方法与评标标准</w:t>
      </w:r>
    </w:p>
    <w:p w14:paraId="06F2271A">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（6）投标文件格式</w:t>
      </w:r>
    </w:p>
    <w:p w14:paraId="22ED32D7">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请仔细检查招标文件是否齐全，如有缺漏请立即与代理机构联系解决。</w:t>
      </w:r>
    </w:p>
    <w:p w14:paraId="13AED38D">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2795892">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 招标文件及其更正事项如不是直接从指定媒体地址下载获得的，采购人或代理机构对招标文件及其补遗的真实性、完整性不承担任何责任。</w:t>
      </w:r>
    </w:p>
    <w:p w14:paraId="42468E29">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84" w:name="_Toc16938527"/>
      <w:bookmarkStart w:id="85" w:name="_Toc462564070"/>
      <w:bookmarkStart w:id="86" w:name="_Toc513029211"/>
      <w:bookmarkStart w:id="87" w:name="_Toc20823283"/>
      <w:r>
        <w:rPr>
          <w:rFonts w:hint="eastAsia" w:ascii="宋体" w:hAnsi="宋体" w:cs="宋体"/>
          <w:color w:val="000000" w:themeColor="text1"/>
          <w:sz w:val="24"/>
          <w:szCs w:val="24"/>
          <w14:textFill>
            <w14:solidFill>
              <w14:schemeClr w14:val="tx1"/>
            </w14:solidFill>
          </w14:textFill>
        </w:rPr>
        <w:t>2、招标文件的澄清、修改</w:t>
      </w:r>
    </w:p>
    <w:p w14:paraId="24C29985">
      <w:pPr>
        <w:spacing w:line="440" w:lineRule="exact"/>
        <w:ind w:firstLine="789" w:firstLineChars="329"/>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14:textFill>
            <w14:solidFill>
              <w14:schemeClr w14:val="tx1"/>
            </w14:solidFill>
          </w14:textFill>
        </w:rPr>
        <w:t>各投标人应在投标截止时间前关注</w:t>
      </w:r>
      <w:r>
        <w:rPr>
          <w:rFonts w:hint="eastAsia" w:ascii="Times New Roman" w:hAnsi="Times New Roman"/>
          <w:b/>
          <w:bCs/>
          <w:color w:val="000000" w:themeColor="text1"/>
          <w:sz w:val="24"/>
          <w:szCs w:val="24"/>
          <w14:textFill>
            <w14:solidFill>
              <w14:schemeClr w14:val="tx1"/>
            </w14:solidFill>
          </w14:textFill>
        </w:rPr>
        <w:t>政府采购信息发布媒体上</w:t>
      </w:r>
      <w:r>
        <w:rPr>
          <w:rFonts w:hint="eastAsia" w:ascii="宋体" w:hAnsi="宋体" w:cs="宋体"/>
          <w:b/>
          <w:bCs/>
          <w:color w:val="000000" w:themeColor="text1"/>
          <w:sz w:val="24"/>
          <w:szCs w:val="24"/>
          <w14:textFill>
            <w14:solidFill>
              <w14:schemeClr w14:val="tx1"/>
            </w14:solidFill>
          </w14:textFill>
        </w:rPr>
        <w:t>“补充通知”栏，按规定获取相关信息内容，否则其投标风险由投标人承担。</w:t>
      </w:r>
    </w:p>
    <w:p w14:paraId="1643931B">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代理机构有权按照法定的要求顺延投标截止时间和开标时间。</w:t>
      </w:r>
    </w:p>
    <w:p w14:paraId="51D393FA">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 有关澄清或者修改的内容将作为招标文件的组成部分，对所有投标人具有约束力。</w:t>
      </w:r>
    </w:p>
    <w:bookmarkEnd w:id="84"/>
    <w:bookmarkEnd w:id="85"/>
    <w:bookmarkEnd w:id="86"/>
    <w:bookmarkEnd w:id="87"/>
    <w:p w14:paraId="6B07644A">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88" w:name="_Toc513029213"/>
      <w:bookmarkStart w:id="89" w:name="_Toc120614216"/>
      <w:bookmarkStart w:id="90" w:name="_Toc462564072"/>
      <w:bookmarkStart w:id="91" w:name="_Toc16938529"/>
      <w:bookmarkStart w:id="92" w:name="_Toc20823285"/>
      <w:bookmarkStart w:id="93" w:name="_Toc11168"/>
      <w:r>
        <w:rPr>
          <w:rFonts w:hint="eastAsia" w:ascii="宋体" w:hAnsi="宋体" w:cs="宋体"/>
          <w:b/>
          <w:bCs/>
          <w:color w:val="000000" w:themeColor="text1"/>
          <w:sz w:val="28"/>
          <w:szCs w:val="28"/>
          <w14:textFill>
            <w14:solidFill>
              <w14:schemeClr w14:val="tx1"/>
            </w14:solidFill>
          </w14:textFill>
        </w:rPr>
        <w:t>三、投标文件的编制</w:t>
      </w:r>
      <w:bookmarkEnd w:id="88"/>
      <w:bookmarkEnd w:id="89"/>
      <w:bookmarkEnd w:id="90"/>
      <w:bookmarkEnd w:id="91"/>
      <w:bookmarkEnd w:id="92"/>
      <w:bookmarkEnd w:id="93"/>
    </w:p>
    <w:p w14:paraId="1F6F8545">
      <w:pPr>
        <w:keepNext/>
        <w:keepLines/>
        <w:spacing w:line="440" w:lineRule="exact"/>
        <w:ind w:firstLine="480"/>
        <w:outlineLvl w:val="3"/>
        <w:rPr>
          <w:rFonts w:ascii="宋体" w:hAnsi="宋体" w:cs="宋体"/>
          <w:b/>
          <w:color w:val="000000" w:themeColor="text1"/>
          <w:sz w:val="24"/>
          <w:szCs w:val="24"/>
          <w14:textFill>
            <w14:solidFill>
              <w14:schemeClr w14:val="tx1"/>
            </w14:solidFill>
          </w14:textFill>
        </w:rPr>
      </w:pPr>
      <w:bookmarkStart w:id="94" w:name="_Toc16938530"/>
      <w:bookmarkStart w:id="95" w:name="_Toc462564073"/>
      <w:bookmarkStart w:id="96" w:name="_Toc513029214"/>
      <w:bookmarkStart w:id="97" w:name="_Toc20823286"/>
      <w:r>
        <w:rPr>
          <w:rFonts w:hint="eastAsia" w:ascii="宋体" w:hAnsi="宋体" w:cs="宋体"/>
          <w:color w:val="000000" w:themeColor="text1"/>
          <w:sz w:val="24"/>
          <w:szCs w:val="24"/>
          <w14:textFill>
            <w14:solidFill>
              <w14:schemeClr w14:val="tx1"/>
            </w14:solidFill>
          </w14:textFill>
        </w:rPr>
        <w:t>1、投标文件的语言及度量衡单位</w:t>
      </w:r>
      <w:bookmarkEnd w:id="94"/>
      <w:bookmarkEnd w:id="95"/>
      <w:bookmarkEnd w:id="96"/>
      <w:bookmarkEnd w:id="97"/>
    </w:p>
    <w:p w14:paraId="1D74D9D3">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投标人提交的投标文件以及投标人与代理机构就有关投标的所有来往通知、函件和文件均应使用</w:t>
      </w:r>
      <w:r>
        <w:rPr>
          <w:rFonts w:hint="eastAsia" w:ascii="宋体" w:hAnsi="宋体" w:cs="宋体"/>
          <w:b/>
          <w:bCs/>
          <w:color w:val="000000" w:themeColor="text1"/>
          <w:sz w:val="24"/>
          <w:szCs w:val="24"/>
          <w14:textFill>
            <w14:solidFill>
              <w14:schemeClr w14:val="tx1"/>
            </w14:solidFill>
          </w14:textFill>
        </w:rPr>
        <w:t>简体中文</w:t>
      </w:r>
      <w:r>
        <w:rPr>
          <w:rFonts w:hint="eastAsia" w:ascii="宋体" w:hAnsi="宋体" w:cs="宋体"/>
          <w:color w:val="000000" w:themeColor="text1"/>
          <w:sz w:val="24"/>
          <w:szCs w:val="24"/>
          <w14:textFill>
            <w14:solidFill>
              <w14:schemeClr w14:val="tx1"/>
            </w14:solidFill>
          </w14:textFill>
        </w:rPr>
        <w:t>。</w:t>
      </w:r>
    </w:p>
    <w:p w14:paraId="735ADA8E">
      <w:pPr>
        <w:spacing w:line="440" w:lineRule="exact"/>
        <w:ind w:firstLine="789" w:firstLineChars="329"/>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 除技术性能另有规定外，投标文件所使用的度量衡单位，均须采用国家法定计量单位。</w:t>
      </w:r>
    </w:p>
    <w:p w14:paraId="29BF8FC4">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98" w:name="_Toc513029215"/>
      <w:bookmarkStart w:id="99" w:name="_Toc20823287"/>
      <w:bookmarkStart w:id="100" w:name="_Toc462564074"/>
      <w:bookmarkStart w:id="101" w:name="_Toc16938531"/>
      <w:r>
        <w:rPr>
          <w:rFonts w:hint="eastAsia" w:ascii="宋体" w:hAnsi="宋体" w:cs="宋体"/>
          <w:color w:val="000000" w:themeColor="text1"/>
          <w:sz w:val="24"/>
          <w:szCs w:val="24"/>
          <w14:textFill>
            <w14:solidFill>
              <w14:schemeClr w14:val="tx1"/>
            </w14:solidFill>
          </w14:textFill>
        </w:rPr>
        <w:t>2、投标文件构成</w:t>
      </w:r>
      <w:bookmarkEnd w:id="98"/>
      <w:bookmarkEnd w:id="99"/>
      <w:bookmarkEnd w:id="100"/>
      <w:bookmarkEnd w:id="101"/>
    </w:p>
    <w:p w14:paraId="5A1E5A3A">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投标人编写的投标文件应包括资格证明文件、开标一览表、报价明细表、投标函、服务（或商务）要求响应及偏离表、项目实施方案、其他证明文件等部分。</w:t>
      </w:r>
    </w:p>
    <w:p w14:paraId="2CF442EF">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如标书制作工具中格式和内容与指定媒体发布的招标文件不一致，请以指定媒体发布的招标文件为准。</w:t>
      </w:r>
    </w:p>
    <w:p w14:paraId="26874D97">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02" w:name="_Hlt26670360"/>
      <w:bookmarkEnd w:id="102"/>
      <w:bookmarkStart w:id="103" w:name="_Hlt26668975"/>
      <w:bookmarkEnd w:id="103"/>
      <w:bookmarkStart w:id="104" w:name="_Hlt26954838"/>
      <w:bookmarkEnd w:id="104"/>
      <w:bookmarkStart w:id="105" w:name="_Toc49090509"/>
      <w:bookmarkStart w:id="106" w:name="_Toc513029219"/>
      <w:bookmarkStart w:id="107" w:name="_Toc14577357"/>
      <w:bookmarkStart w:id="108" w:name="_Toc14577354"/>
      <w:bookmarkStart w:id="109" w:name="_Toc49090507"/>
      <w:bookmarkStart w:id="110" w:name="_Toc513029216"/>
      <w:bookmarkStart w:id="111" w:name="_Toc14577355"/>
      <w:bookmarkStart w:id="112" w:name="_Toc49090508"/>
      <w:r>
        <w:rPr>
          <w:rFonts w:hint="eastAsia" w:ascii="宋体" w:hAnsi="宋体" w:cs="宋体"/>
          <w:color w:val="000000" w:themeColor="text1"/>
          <w:sz w:val="24"/>
          <w:szCs w:val="24"/>
          <w14:textFill>
            <w14:solidFill>
              <w14:schemeClr w14:val="tx1"/>
            </w14:solidFill>
          </w14:textFill>
        </w:rPr>
        <w:t>3、证明投标人及投标标的符合招标文件规定的文件</w:t>
      </w:r>
      <w:bookmarkEnd w:id="105"/>
      <w:bookmarkEnd w:id="106"/>
      <w:bookmarkEnd w:id="107"/>
    </w:p>
    <w:bookmarkEnd w:id="108"/>
    <w:bookmarkEnd w:id="109"/>
    <w:bookmarkEnd w:id="110"/>
    <w:p w14:paraId="26C528CB">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投标人应按照招标文件要求提交证明文件，证明其及投标标的符合招标文件规定。</w:t>
      </w:r>
    </w:p>
    <w:p w14:paraId="6A9FC57A">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3.2招标文件对证明文件无明确形式要求的，证明文件可以以文字资料、图纸和数据等形式提交。</w:t>
      </w:r>
    </w:p>
    <w:bookmarkEnd w:id="111"/>
    <w:bookmarkEnd w:id="112"/>
    <w:p w14:paraId="348D110F">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4、投标函和开标一览表</w:t>
      </w:r>
    </w:p>
    <w:p w14:paraId="57126D28">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 投标人应按照招标文件中提供的格式完整、正确填写投标函、开标一览表。</w:t>
      </w:r>
    </w:p>
    <w:p w14:paraId="0534AB64">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 对于采用货币报价的项目，开标一览表中的投标总报价应与报价明细表中的投标总报价一致，如不一致不作为无效投标处理，但评标时按开标一览表中价格为准。</w:t>
      </w:r>
    </w:p>
    <w:p w14:paraId="7CDADCBD">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5、报价明细表</w:t>
      </w:r>
    </w:p>
    <w:p w14:paraId="272D7247">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 投标人应按照招标文件规定格式填报报价明细表。</w:t>
      </w:r>
    </w:p>
    <w:p w14:paraId="7C5E1875">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 投标货币。投标文件中的单价和总价无特殊规定的采用人民币报价，以元为单位标注。招标文件中另有规定的按规定执行。</w:t>
      </w:r>
    </w:p>
    <w:p w14:paraId="7DD42816">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13" w:name="_Hlt26670486"/>
      <w:bookmarkEnd w:id="113"/>
      <w:bookmarkStart w:id="114" w:name="_Hlt26954848"/>
      <w:bookmarkEnd w:id="114"/>
      <w:bookmarkStart w:id="115" w:name="_Hlt26954846"/>
      <w:bookmarkEnd w:id="115"/>
      <w:bookmarkStart w:id="116" w:name="_Hlt26954731"/>
      <w:bookmarkEnd w:id="116"/>
      <w:bookmarkStart w:id="117" w:name="_Hlt26670482"/>
      <w:bookmarkEnd w:id="117"/>
      <w:bookmarkStart w:id="118" w:name="_Hlk155763835"/>
      <w:r>
        <w:rPr>
          <w:rFonts w:hint="eastAsia" w:ascii="宋体" w:hAnsi="宋体" w:cs="宋体"/>
          <w:color w:val="000000" w:themeColor="text1"/>
          <w:sz w:val="24"/>
          <w:szCs w:val="24"/>
          <w14:textFill>
            <w14:solidFill>
              <w14:schemeClr w14:val="tx1"/>
            </w14:solidFill>
          </w14:textFill>
        </w:rPr>
        <w:t>6、服务、商务要求响应及偏离表</w:t>
      </w:r>
    </w:p>
    <w:p w14:paraId="2A472C28">
      <w:pPr>
        <w:spacing w:line="440" w:lineRule="exact"/>
        <w:ind w:firstLine="789" w:firstLineChars="329"/>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6.1</w:t>
      </w:r>
      <w:r>
        <w:rPr>
          <w:rFonts w:hint="eastAsia" w:ascii="宋体" w:hAnsi="宋体" w:cs="宋体"/>
          <w:color w:val="000000" w:themeColor="text1"/>
          <w:sz w:val="24"/>
          <w:szCs w:val="24"/>
          <w:lang w:val="zh-CN"/>
          <w14:textFill>
            <w14:solidFill>
              <w14:schemeClr w14:val="tx1"/>
            </w14:solidFill>
          </w14:textFill>
        </w:rPr>
        <w:t xml:space="preserve"> 投标人需对招标文件中的服务要求与商务要求逐项作出响应或偏离，并说明原因。</w:t>
      </w:r>
    </w:p>
    <w:p w14:paraId="207BABA5">
      <w:pPr>
        <w:spacing w:line="440" w:lineRule="exact"/>
        <w:ind w:firstLine="789" w:firstLineChars="329"/>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6.2</w:t>
      </w:r>
      <w:r>
        <w:rPr>
          <w:rFonts w:hint="eastAsia" w:ascii="宋体" w:hAnsi="宋体" w:cs="宋体"/>
          <w:color w:val="000000" w:themeColor="text1"/>
          <w:sz w:val="24"/>
          <w:szCs w:val="24"/>
          <w:lang w:val="zh-CN"/>
          <w14:textFill>
            <w14:solidFill>
              <w14:schemeClr w14:val="tx1"/>
            </w14:solidFill>
          </w14:textFill>
        </w:rPr>
        <w:t xml:space="preserve"> 投标人需按照招标文件要求，在投标文件中提供与服务要求和商务要求相关的证明材料。</w:t>
      </w:r>
      <w:bookmarkEnd w:id="118"/>
      <w:r>
        <w:rPr>
          <w:rFonts w:hint="eastAsia" w:ascii="宋体" w:hAnsi="宋体" w:cs="宋体"/>
          <w:color w:val="000000" w:themeColor="text1"/>
          <w:sz w:val="24"/>
          <w:szCs w:val="24"/>
          <w:lang w:val="zh-CN"/>
          <w14:textFill>
            <w14:solidFill>
              <w14:schemeClr w14:val="tx1"/>
            </w14:solidFill>
          </w14:textFill>
        </w:rPr>
        <w:t>（如有）</w:t>
      </w:r>
    </w:p>
    <w:p w14:paraId="25B5C891">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7、项目服务方案业绩情况</w:t>
      </w:r>
    </w:p>
    <w:p w14:paraId="7B3346F1">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7.1 投标人需根据招标文件要求提供有关项目服务方案和关键技术问题及难点分析、项目进度计划安排、质量管理及保证措施、响应承诺等。</w:t>
      </w:r>
    </w:p>
    <w:p w14:paraId="50903105">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7.2 投标人需根据招标文件要求提供实施的类似项目业绩情况。</w:t>
      </w:r>
      <w:bookmarkStart w:id="119" w:name="_Toc49090510"/>
      <w:bookmarkStart w:id="120" w:name="_Toc14577359"/>
    </w:p>
    <w:p w14:paraId="5F4F1EB2">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8、其他</w:t>
      </w:r>
    </w:p>
    <w:p w14:paraId="16625C7A">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8.1 投标人需根据招标文件要求提供的其他证明材料。</w:t>
      </w:r>
    </w:p>
    <w:bookmarkEnd w:id="119"/>
    <w:bookmarkEnd w:id="120"/>
    <w:p w14:paraId="78F7DB38">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21" w:name="_Toc49090511"/>
      <w:bookmarkStart w:id="122" w:name="_Toc14577360"/>
      <w:r>
        <w:rPr>
          <w:rFonts w:hint="eastAsia" w:ascii="宋体" w:hAnsi="宋体" w:cs="宋体"/>
          <w:color w:val="000000" w:themeColor="text1"/>
          <w:sz w:val="24"/>
          <w:szCs w:val="24"/>
          <w14:textFill>
            <w14:solidFill>
              <w14:schemeClr w14:val="tx1"/>
            </w14:solidFill>
          </w14:textFill>
        </w:rPr>
        <w:t>9、投标有效期</w:t>
      </w:r>
      <w:bookmarkEnd w:id="121"/>
      <w:bookmarkEnd w:id="122"/>
    </w:p>
    <w:p w14:paraId="420723AF">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9.1投标有效期为代理机构</w:t>
      </w:r>
      <w:r>
        <w:rPr>
          <w:rFonts w:hint="eastAsia" w:ascii="宋体" w:hAnsi="宋体" w:cs="宋体"/>
          <w:bCs/>
          <w:color w:val="000000" w:themeColor="text1"/>
          <w:sz w:val="24"/>
          <w:szCs w:val="24"/>
          <w14:textFill>
            <w14:solidFill>
              <w14:schemeClr w14:val="tx1"/>
            </w14:solidFill>
          </w14:textFill>
        </w:rPr>
        <w:t>规定的开标之日后</w:t>
      </w:r>
      <w:r>
        <w:rPr>
          <w:rFonts w:hint="eastAsia" w:ascii="宋体" w:hAnsi="宋体" w:cs="宋体"/>
          <w:b/>
          <w:color w:val="000000" w:themeColor="text1"/>
          <w:sz w:val="24"/>
          <w:szCs w:val="24"/>
          <w:u w:val="single"/>
          <w14:textFill>
            <w14:solidFill>
              <w14:schemeClr w14:val="tx1"/>
            </w14:solidFill>
          </w14:textFill>
        </w:rPr>
        <w:t>六十（60）天</w:t>
      </w:r>
      <w:r>
        <w:rPr>
          <w:rFonts w:hint="eastAsia" w:ascii="宋体" w:hAnsi="宋体" w:cs="宋体"/>
          <w:bCs/>
          <w:color w:val="000000" w:themeColor="text1"/>
          <w:sz w:val="24"/>
          <w:szCs w:val="24"/>
          <w14:textFill>
            <w14:solidFill>
              <w14:schemeClr w14:val="tx1"/>
            </w14:solidFill>
          </w14:textFill>
        </w:rPr>
        <w:t>。投标有效期比规定短的将被视为未实质性响应招标文件而予以拒绝。</w:t>
      </w:r>
    </w:p>
    <w:p w14:paraId="6C7D1707">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10、投标有效期的延长</w:t>
      </w:r>
    </w:p>
    <w:p w14:paraId="233D1F10">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09E58616">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123" w:name="_Hlt26954739"/>
      <w:bookmarkEnd w:id="123"/>
      <w:bookmarkStart w:id="124" w:name="_Hlt26954852"/>
      <w:bookmarkEnd w:id="124"/>
      <w:bookmarkStart w:id="125" w:name="_Toc20823296"/>
      <w:bookmarkStart w:id="126" w:name="_Toc16938540"/>
      <w:bookmarkStart w:id="127" w:name="_Toc120614217"/>
      <w:bookmarkStart w:id="128" w:name="_Toc513029224"/>
      <w:bookmarkStart w:id="129" w:name="_Toc13465"/>
      <w:r>
        <w:rPr>
          <w:rFonts w:hint="eastAsia" w:ascii="宋体" w:hAnsi="宋体" w:cs="宋体"/>
          <w:b/>
          <w:bCs/>
          <w:color w:val="000000" w:themeColor="text1"/>
          <w:sz w:val="28"/>
          <w:szCs w:val="28"/>
          <w14:textFill>
            <w14:solidFill>
              <w14:schemeClr w14:val="tx1"/>
            </w14:solidFill>
          </w14:textFill>
        </w:rPr>
        <w:t>四、投标文件的递交</w:t>
      </w:r>
      <w:bookmarkEnd w:id="125"/>
      <w:bookmarkEnd w:id="126"/>
      <w:bookmarkEnd w:id="127"/>
      <w:bookmarkEnd w:id="128"/>
      <w:bookmarkEnd w:id="129"/>
    </w:p>
    <w:p w14:paraId="66728066">
      <w:pPr>
        <w:keepNext/>
        <w:keepLines/>
        <w:spacing w:line="440" w:lineRule="exact"/>
        <w:ind w:firstLine="480" w:firstLineChars="200"/>
        <w:outlineLvl w:val="3"/>
        <w:rPr>
          <w:rFonts w:ascii="宋体" w:hAnsi="宋体" w:cs="宋体"/>
          <w:color w:val="000000" w:themeColor="text1"/>
          <w:sz w:val="24"/>
          <w:szCs w:val="24"/>
          <w14:textFill>
            <w14:solidFill>
              <w14:schemeClr w14:val="tx1"/>
            </w14:solidFill>
          </w14:textFill>
        </w:rPr>
      </w:pPr>
      <w:bookmarkStart w:id="130" w:name="_Toc16938541"/>
      <w:bookmarkStart w:id="131" w:name="_Toc20823297"/>
      <w:bookmarkStart w:id="132" w:name="_Toc513029225"/>
      <w:bookmarkStart w:id="133" w:name="_Toc462564084"/>
      <w:r>
        <w:rPr>
          <w:rFonts w:hint="eastAsia" w:ascii="宋体" w:hAnsi="宋体" w:cs="宋体"/>
          <w:color w:val="000000" w:themeColor="text1"/>
          <w:sz w:val="24"/>
          <w:szCs w:val="24"/>
          <w14:textFill>
            <w14:solidFill>
              <w14:schemeClr w14:val="tx1"/>
            </w14:solidFill>
          </w14:textFill>
        </w:rPr>
        <w:t>1、电子投标文件</w:t>
      </w:r>
      <w:bookmarkEnd w:id="130"/>
      <w:bookmarkEnd w:id="131"/>
      <w:bookmarkEnd w:id="132"/>
      <w:bookmarkEnd w:id="133"/>
      <w:r>
        <w:rPr>
          <w:rFonts w:hint="eastAsia" w:ascii="宋体" w:hAnsi="宋体" w:cs="宋体"/>
          <w:color w:val="000000" w:themeColor="text1"/>
          <w:sz w:val="24"/>
          <w:szCs w:val="24"/>
          <w14:textFill>
            <w14:solidFill>
              <w14:schemeClr w14:val="tx1"/>
            </w14:solidFill>
          </w14:textFill>
        </w:rPr>
        <w:t>的递交</w:t>
      </w:r>
    </w:p>
    <w:p w14:paraId="24BCD216">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1.1投标人应当按照《苏采云系统供应商操作手册》规定，在投标截止时间前制作并上传电子投标文件。</w:t>
      </w:r>
      <w:bookmarkStart w:id="134" w:name="_Toc20823298"/>
      <w:bookmarkStart w:id="135" w:name="_Toc513029226"/>
      <w:bookmarkStart w:id="136" w:name="_Toc16938542"/>
    </w:p>
    <w:p w14:paraId="0169B64F">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2、投标截止日期</w:t>
      </w:r>
      <w:bookmarkEnd w:id="134"/>
      <w:bookmarkEnd w:id="135"/>
      <w:bookmarkEnd w:id="136"/>
    </w:p>
    <w:p w14:paraId="50F0E041">
      <w:pPr>
        <w:spacing w:line="440" w:lineRule="exact"/>
        <w:ind w:firstLine="789" w:firstLineChars="329"/>
        <w:rPr>
          <w:rFonts w:ascii="宋体" w:hAnsi="宋体" w:cs="宋体"/>
          <w:bCs/>
          <w:iCs/>
          <w:color w:val="000000" w:themeColor="text1"/>
          <w:sz w:val="24"/>
          <w:szCs w:val="24"/>
          <w:u w:val="single"/>
          <w14:textFill>
            <w14:solidFill>
              <w14:schemeClr w14:val="tx1"/>
            </w14:solidFill>
          </w14:textFill>
        </w:rPr>
      </w:pPr>
      <w:r>
        <w:rPr>
          <w:rFonts w:hint="eastAsia" w:ascii="宋体" w:hAnsi="宋体" w:cs="宋体"/>
          <w:iCs/>
          <w:color w:val="000000" w:themeColor="text1"/>
          <w:sz w:val="24"/>
          <w:szCs w:val="24"/>
          <w:u w:val="single"/>
          <w14:textFill>
            <w14:solidFill>
              <w14:schemeClr w14:val="tx1"/>
            </w14:solidFill>
          </w14:textFill>
        </w:rPr>
        <w:t>2.1</w:t>
      </w:r>
      <w:r>
        <w:rPr>
          <w:rFonts w:hint="eastAsia" w:ascii="宋体" w:hAnsi="宋体" w:cs="宋体"/>
          <w:bCs/>
          <w:iCs/>
          <w:color w:val="000000" w:themeColor="text1"/>
          <w:sz w:val="24"/>
          <w:szCs w:val="24"/>
          <w:u w:val="single"/>
          <w14:textFill>
            <w14:solidFill>
              <w14:schemeClr w14:val="tx1"/>
            </w14:solidFill>
          </w14:textFill>
        </w:rPr>
        <w:t xml:space="preserve"> 投标人上传电子投标文件的时间不得迟于招标公告中规定的投标截止时间。</w:t>
      </w:r>
    </w:p>
    <w:p w14:paraId="0BEA0389">
      <w:pPr>
        <w:spacing w:line="440" w:lineRule="exact"/>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27342AD9">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w:t>
      </w:r>
      <w:r>
        <w:rPr>
          <w:rFonts w:hint="eastAsia" w:ascii="宋体" w:hAnsi="宋体" w:cs="宋体"/>
          <w:bCs/>
          <w:color w:val="000000" w:themeColor="text1"/>
          <w:sz w:val="24"/>
          <w:szCs w:val="24"/>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p>
    <w:p w14:paraId="1E3FDFAB">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37" w:name="_Toc20823299"/>
      <w:bookmarkStart w:id="138" w:name="_Toc513029227"/>
      <w:bookmarkStart w:id="139" w:name="_Toc16938543"/>
      <w:r>
        <w:rPr>
          <w:rFonts w:hint="eastAsia" w:ascii="宋体" w:hAnsi="宋体" w:cs="宋体"/>
          <w:color w:val="000000" w:themeColor="text1"/>
          <w:sz w:val="24"/>
          <w:szCs w:val="24"/>
          <w14:textFill>
            <w14:solidFill>
              <w14:schemeClr w14:val="tx1"/>
            </w14:solidFill>
          </w14:textFill>
        </w:rPr>
        <w:t>3、投标文件</w:t>
      </w:r>
      <w:bookmarkEnd w:id="137"/>
      <w:bookmarkEnd w:id="138"/>
      <w:bookmarkEnd w:id="139"/>
      <w:r>
        <w:rPr>
          <w:rFonts w:hint="eastAsia" w:ascii="宋体" w:hAnsi="宋体" w:cs="宋体"/>
          <w:color w:val="000000" w:themeColor="text1"/>
          <w:sz w:val="24"/>
          <w:szCs w:val="24"/>
          <w14:textFill>
            <w14:solidFill>
              <w14:schemeClr w14:val="tx1"/>
            </w14:solidFill>
          </w14:textFill>
        </w:rPr>
        <w:t>的拒收</w:t>
      </w:r>
    </w:p>
    <w:p w14:paraId="3927F913">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3.1 代理机构拒绝接收在其规定的投标截止时间后上传的任何投标文件。</w:t>
      </w:r>
    </w:p>
    <w:p w14:paraId="65DDDEB3">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40" w:name="_Toc20823300"/>
      <w:bookmarkStart w:id="141" w:name="_Toc513029228"/>
      <w:bookmarkStart w:id="142" w:name="_Toc16938544"/>
      <w:r>
        <w:rPr>
          <w:rFonts w:hint="eastAsia" w:ascii="宋体" w:hAnsi="宋体" w:cs="宋体"/>
          <w:color w:val="000000" w:themeColor="text1"/>
          <w:sz w:val="24"/>
          <w:szCs w:val="24"/>
          <w14:textFill>
            <w14:solidFill>
              <w14:schemeClr w14:val="tx1"/>
            </w14:solidFill>
          </w14:textFill>
        </w:rPr>
        <w:t>4、投标文件的撤回和修改</w:t>
      </w:r>
      <w:bookmarkEnd w:id="140"/>
      <w:bookmarkEnd w:id="141"/>
      <w:bookmarkEnd w:id="142"/>
    </w:p>
    <w:p w14:paraId="18801C21">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 投标文件的撤回</w:t>
      </w:r>
    </w:p>
    <w:p w14:paraId="7AEB1FA8">
      <w:pPr>
        <w:spacing w:line="440" w:lineRule="exact"/>
        <w:ind w:firstLine="960" w:firstLineChars="4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4.1.1 电子投标文件的撤回</w:t>
      </w:r>
    </w:p>
    <w:p w14:paraId="2F4C85D4">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投标人可在投标截止时间前，撤回其电子投标文件，具体操作方法见《苏采云系统供应商操作手册》。</w:t>
      </w:r>
    </w:p>
    <w:p w14:paraId="2F1FFCE5">
      <w:pPr>
        <w:spacing w:line="440" w:lineRule="exact"/>
        <w:ind w:firstLine="960" w:firstLineChars="4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4.1.2 投标人撤回电子投标文件，则认为其不再参与本项目投标活动。</w:t>
      </w:r>
    </w:p>
    <w:p w14:paraId="4C9A3CC5">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 投标文件的修改</w:t>
      </w:r>
    </w:p>
    <w:p w14:paraId="4CD629CD">
      <w:pPr>
        <w:spacing w:line="440" w:lineRule="exact"/>
        <w:ind w:firstLine="960" w:firstLineChars="4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4.2.1投标人可在投标截止时间前，对其电子投标文件进行修改，具体操作方法见《苏采云系统供应商操作手册》。</w:t>
      </w:r>
    </w:p>
    <w:p w14:paraId="26BDA3EF">
      <w:pPr>
        <w:spacing w:line="440" w:lineRule="exact"/>
        <w:ind w:firstLine="960" w:firstLineChars="4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4.2.2 在投标截止时间之后，投标人不得对其电子投标文件作任何修改。</w:t>
      </w:r>
    </w:p>
    <w:p w14:paraId="60166B95">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4.3 在投标截止时间至招标文件中规定的投标有效期满之间的这段时间内，投标人不得撤回其投标。</w:t>
      </w:r>
    </w:p>
    <w:p w14:paraId="464D7A43">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143" w:name="_Toc20823301"/>
      <w:bookmarkStart w:id="144" w:name="_Toc120614218"/>
      <w:bookmarkStart w:id="145" w:name="_Toc513029229"/>
      <w:bookmarkStart w:id="146" w:name="_Toc16938545"/>
      <w:bookmarkStart w:id="147" w:name="_Toc4947"/>
      <w:r>
        <w:rPr>
          <w:rFonts w:hint="eastAsia" w:ascii="宋体" w:hAnsi="宋体" w:cs="宋体"/>
          <w:b/>
          <w:bCs/>
          <w:color w:val="000000" w:themeColor="text1"/>
          <w:sz w:val="28"/>
          <w:szCs w:val="28"/>
          <w14:textFill>
            <w14:solidFill>
              <w14:schemeClr w14:val="tx1"/>
            </w14:solidFill>
          </w14:textFill>
        </w:rPr>
        <w:t>五、开标与评标</w:t>
      </w:r>
      <w:bookmarkEnd w:id="143"/>
      <w:bookmarkEnd w:id="144"/>
      <w:bookmarkEnd w:id="145"/>
      <w:bookmarkEnd w:id="146"/>
      <w:bookmarkEnd w:id="147"/>
    </w:p>
    <w:p w14:paraId="49191436">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48" w:name="_Toc513029230"/>
      <w:bookmarkStart w:id="149" w:name="_Toc16938546"/>
      <w:bookmarkStart w:id="150" w:name="_Toc20823302"/>
      <w:r>
        <w:rPr>
          <w:rFonts w:hint="eastAsia" w:ascii="宋体" w:hAnsi="宋体" w:cs="宋体"/>
          <w:color w:val="000000" w:themeColor="text1"/>
          <w:sz w:val="24"/>
          <w:szCs w:val="24"/>
          <w14:textFill>
            <w14:solidFill>
              <w14:schemeClr w14:val="tx1"/>
            </w14:solidFill>
          </w14:textFill>
        </w:rPr>
        <w:t>1、开标</w:t>
      </w:r>
      <w:bookmarkEnd w:id="148"/>
      <w:bookmarkEnd w:id="149"/>
      <w:bookmarkEnd w:id="150"/>
    </w:p>
    <w:p w14:paraId="147F26AA">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 代理机构将在招标公告中规定的时间和地点组织公开开标。投标人应当按照《苏采云系统供应商操作手册》规定，参加开标活动和在苏采云系统规定的时间内对投标文件进行解密。</w:t>
      </w:r>
    </w:p>
    <w:p w14:paraId="712EDF9F">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1.2开标仪式由代理机构组织。苏采云系统将自动对项目进行开标，并宣布各投标人名称和投标价格。</w:t>
      </w:r>
    </w:p>
    <w:p w14:paraId="7F5CE1CF">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1.3投标人在开标过程中涉及到的投标文件解密、开标结果确认等工作，应按照《苏采云系统供应商操作手册》规定执行。</w:t>
      </w:r>
    </w:p>
    <w:p w14:paraId="2C161CA1">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1.4投标人如果对开标过程和开标记录有疑义，应当根据《操作手册》规定提出，如苏采云系统中《开标记录表》宣布后5分钟内未提出的，视同认可开标结果。</w:t>
      </w:r>
    </w:p>
    <w:p w14:paraId="05A3DB93">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51" w:name="_Toc20823303"/>
      <w:bookmarkStart w:id="152" w:name="_Toc513029231"/>
      <w:bookmarkStart w:id="153" w:name="_Toc16938547"/>
      <w:r>
        <w:rPr>
          <w:rFonts w:hint="eastAsia" w:ascii="宋体" w:hAnsi="宋体" w:cs="宋体"/>
          <w:color w:val="000000" w:themeColor="text1"/>
          <w:sz w:val="24"/>
          <w:szCs w:val="24"/>
          <w14:textFill>
            <w14:solidFill>
              <w14:schemeClr w14:val="tx1"/>
            </w14:solidFill>
          </w14:textFill>
        </w:rPr>
        <w:t>2、评标委员会</w:t>
      </w:r>
    </w:p>
    <w:p w14:paraId="1EBC1A76">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开标后，代理机构将立即组织评标委员会（以下简称评委会）进行评标。</w:t>
      </w:r>
    </w:p>
    <w:p w14:paraId="2634C1C8">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 评委会由采购人代表和有关技术、经济等方面的专家组成，且人员构成符合政府采购有关规定。</w:t>
      </w:r>
    </w:p>
    <w:p w14:paraId="260EC06D">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2.3评委会独立工作，负责评审所有投标文件并确定中标侯选人。</w:t>
      </w:r>
    </w:p>
    <w:p w14:paraId="088B88F9">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3．评标过程的保密与公正</w:t>
      </w:r>
    </w:p>
    <w:bookmarkEnd w:id="151"/>
    <w:bookmarkEnd w:id="152"/>
    <w:bookmarkEnd w:id="153"/>
    <w:p w14:paraId="46ABC7DF">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w:t>
      </w:r>
      <w:r>
        <w:rPr>
          <w:rFonts w:hint="eastAsia" w:ascii="宋体" w:hAnsi="宋体" w:cs="宋体"/>
          <w:bCs/>
          <w:color w:val="000000" w:themeColor="text1"/>
          <w:sz w:val="24"/>
          <w:szCs w:val="24"/>
          <w14:textFill>
            <w14:solidFill>
              <w14:schemeClr w14:val="tx1"/>
            </w14:solidFill>
          </w14:textFill>
        </w:rPr>
        <w:t>凡是与审查、澄清、评价和比较投标的有关资料以及授标建议等，采购人、评委、代理机构均不得向投标人或与评标无关的其他人员透露。</w:t>
      </w:r>
    </w:p>
    <w:p w14:paraId="657F992E">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3.2在评标过程中，投标人不得以任何行为影响评标过程，否则其投标文件将被作为无效投标文件。</w:t>
      </w:r>
    </w:p>
    <w:p w14:paraId="4D84D03C">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3.3 代理机构和评委会不向未中标的投标人解释未中标原因，也不公布评标过程中的相关细节。</w:t>
      </w:r>
    </w:p>
    <w:p w14:paraId="1E34FCE4">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 采用综合评分法的项目，未中标的投标人可于中标结果公告期限届满之日起通过苏采云系统查看自己的评审得分及排序情况。</w:t>
      </w:r>
    </w:p>
    <w:p w14:paraId="61398631">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bookmarkStart w:id="154" w:name="_Toc16938548"/>
      <w:bookmarkStart w:id="155" w:name="_Toc513029232"/>
      <w:bookmarkStart w:id="156" w:name="_Toc20823304"/>
      <w:r>
        <w:rPr>
          <w:rFonts w:hint="eastAsia" w:ascii="宋体" w:hAnsi="宋体" w:cs="宋体"/>
          <w:color w:val="000000" w:themeColor="text1"/>
          <w:sz w:val="24"/>
          <w:szCs w:val="24"/>
          <w14:textFill>
            <w14:solidFill>
              <w14:schemeClr w14:val="tx1"/>
            </w14:solidFill>
          </w14:textFill>
        </w:rPr>
        <w:t>4. 投标文件的澄清</w:t>
      </w:r>
      <w:bookmarkEnd w:id="154"/>
      <w:bookmarkEnd w:id="155"/>
      <w:bookmarkEnd w:id="156"/>
    </w:p>
    <w:p w14:paraId="66A4F1C3">
      <w:pPr>
        <w:spacing w:line="440" w:lineRule="exact"/>
        <w:ind w:firstLine="789" w:firstLineChars="329"/>
        <w:rPr>
          <w:rFonts w:ascii="宋体" w:hAnsi="宋体" w:cs="宋体"/>
          <w:color w:val="000000" w:themeColor="text1"/>
          <w:sz w:val="24"/>
          <w:szCs w:val="24"/>
          <w14:textFill>
            <w14:solidFill>
              <w14:schemeClr w14:val="tx1"/>
            </w14:solidFill>
          </w14:textFill>
        </w:rPr>
      </w:pPr>
      <w:bookmarkStart w:id="157" w:name="_Toc513029233"/>
      <w:bookmarkStart w:id="158" w:name="_Toc20823305"/>
      <w:bookmarkStart w:id="159" w:name="_Toc16938549"/>
      <w:r>
        <w:rPr>
          <w:rFonts w:hint="eastAsia" w:ascii="宋体" w:hAnsi="宋体" w:cs="宋体"/>
          <w:color w:val="000000" w:themeColor="text1"/>
          <w:sz w:val="24"/>
          <w:szCs w:val="24"/>
          <w14:textFill>
            <w14:solidFill>
              <w14:schemeClr w14:val="tx1"/>
            </w14:solidFill>
          </w14:textFill>
        </w:rPr>
        <w:t>4.1评标期间，评委会对投标文件中含义不明确、同类问题表述不一致或者有明显文字和计算错误的内容 ，有权要求投标人作出必要的澄清、说明或者补正。</w:t>
      </w:r>
    </w:p>
    <w:p w14:paraId="3FDD685F">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投标人的澄清、说明或者补正不得超出投标文件的范围或者改变投标文件的实质性内容。</w:t>
      </w:r>
    </w:p>
    <w:p w14:paraId="6EAC8C97">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评标委员会并非对每个投标人都做澄清要求。</w:t>
      </w:r>
    </w:p>
    <w:p w14:paraId="35931F95">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p>
    <w:p w14:paraId="013DB507">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4.3 接到评委会澄清、说明和补正要求的投标人如未按规定做出澄清、说明和补正，其风险由投标人自行承担。</w:t>
      </w:r>
    </w:p>
    <w:p w14:paraId="0E174B01">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 对投标文件的初审</w:t>
      </w:r>
      <w:bookmarkEnd w:id="157"/>
      <w:bookmarkEnd w:id="158"/>
      <w:bookmarkEnd w:id="159"/>
    </w:p>
    <w:p w14:paraId="0201476A">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w:t>
      </w:r>
      <w:r>
        <w:rPr>
          <w:rFonts w:hint="eastAsia" w:ascii="宋体" w:hAnsi="宋体" w:cs="宋体"/>
          <w:bCs/>
          <w:color w:val="000000" w:themeColor="text1"/>
          <w:sz w:val="24"/>
          <w:szCs w:val="24"/>
          <w14:textFill>
            <w14:solidFill>
              <w14:schemeClr w14:val="tx1"/>
            </w14:solidFill>
          </w14:textFill>
        </w:rPr>
        <w:t>投标文件初审分为资格审查和符合性审查。</w:t>
      </w:r>
    </w:p>
    <w:p w14:paraId="62098D92">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5.1.1 资格审查：依据法律法规和招标文件的规定，由采购人对投标文件中的资格证明文件进行审查。资格审查的结论，采购人以书面形式向评委会进行反馈。</w:t>
      </w:r>
    </w:p>
    <w:p w14:paraId="620928F5">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采购人在进行资格性审查的同时，将在</w:t>
      </w:r>
      <w:r>
        <w:rPr>
          <w:rFonts w:hint="eastAsia" w:cs="宋体"/>
          <w:color w:val="000000" w:themeColor="text1"/>
          <w:sz w:val="24"/>
          <w:szCs w:val="24"/>
          <w14:textFill>
            <w14:solidFill>
              <w14:schemeClr w14:val="tx1"/>
            </w14:solidFill>
          </w14:textFill>
        </w:rPr>
        <w:t>中国政府采购网</w:t>
      </w:r>
      <w:r>
        <w:rPr>
          <w:rFonts w:cs="宋体"/>
          <w:color w:val="000000" w:themeColor="text1"/>
          <w:sz w:val="24"/>
          <w:szCs w:val="24"/>
          <w14:textFill>
            <w14:solidFill>
              <w14:schemeClr w14:val="tx1"/>
            </w14:solidFill>
          </w14:textFill>
        </w:rPr>
        <w:t>(http://www.ccgp.gov.cn/search/cr/)、信用中国（https://www.creditchina.gov.cn/）、信用江苏（http://credit.jiangsu.gov.cn/）、信用中国（江苏苏州）（https://credit.suzhou.gov.cn/）</w:t>
      </w:r>
      <w:r>
        <w:rPr>
          <w:rFonts w:hint="eastAsia" w:ascii="宋体" w:hAnsi="宋体" w:cs="宋体"/>
          <w:bCs/>
          <w:color w:val="000000" w:themeColor="text1"/>
          <w:sz w:val="24"/>
          <w:szCs w:val="24"/>
          <w14:textFill>
            <w14:solidFill>
              <w14:schemeClr w14:val="tx1"/>
            </w14:solidFill>
          </w14:textFill>
        </w:rPr>
        <w:t>等查询投标人的信用记录，以确定投标人是否具备投标资格,查询结果留存并归档。</w:t>
      </w:r>
    </w:p>
    <w:p w14:paraId="12F61B57">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03349D96">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5.1.2 符合性审查：依据招标文件的规定，由评委会从投标文件的有效性、完整性和对招标文件的响应程度进行审查，以确定是否对招标文件的实质性要求作出响应。</w:t>
      </w:r>
    </w:p>
    <w:p w14:paraId="0458CF30">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5.1.3 未通过资格审查或符合性审查的投标人，代理机构将在苏采云系统中告知未通过资格审查或符合性审查的原因，评审结束后，代理机构将不再告知未通过资格审查或符合性审查的原因。</w:t>
      </w:r>
    </w:p>
    <w:p w14:paraId="0A76B2A0">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5.2在详细评标之前，评委会将首先审查每份投标文件是否实质性响应了招标文件的要求。实质性响应的投标应该是与招标文件要求的全部条款、条件和规格相符，没有重大偏离或保留的投标。</w:t>
      </w:r>
    </w:p>
    <w:p w14:paraId="370F813D">
      <w:pPr>
        <w:spacing w:line="440" w:lineRule="exact"/>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14:textFill>
            <w14:solidFill>
              <w14:schemeClr w14:val="tx1"/>
            </w14:solidFill>
          </w14:textFill>
        </w:rPr>
        <w:t>评委决定投标文件的响应性只根据投标文件本身的内容，而不寻求外部的证据。</w:t>
      </w:r>
    </w:p>
    <w:p w14:paraId="13753310">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5.3</w:t>
      </w:r>
      <w:r>
        <w:rPr>
          <w:rFonts w:hint="eastAsia" w:ascii="宋体" w:hAnsi="宋体" w:cs="宋体"/>
          <w:bCs/>
          <w:color w:val="000000" w:themeColor="text1"/>
          <w:sz w:val="24"/>
          <w:szCs w:val="24"/>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595E2BFF">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5.4</w:t>
      </w:r>
      <w:r>
        <w:rPr>
          <w:rFonts w:hint="eastAsia" w:ascii="宋体" w:hAnsi="宋体" w:cs="宋体"/>
          <w:bCs/>
          <w:color w:val="000000" w:themeColor="text1"/>
          <w:sz w:val="24"/>
          <w:szCs w:val="24"/>
          <w14:textFill>
            <w14:solidFill>
              <w14:schemeClr w14:val="tx1"/>
            </w14:solidFill>
          </w14:textFill>
        </w:rPr>
        <w:t>评委会将对确定为实质性响应的投标进行进一步审核，看其是否有计算上或累加上的算术错误，修正错误的原则如下：</w:t>
      </w:r>
    </w:p>
    <w:p w14:paraId="33FECECA">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（1）投标文件中开标一览表内容与投标文件中相应内容不一致的，以开标一览表为准。</w:t>
      </w:r>
    </w:p>
    <w:p w14:paraId="2A4F1465">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（2）大写金额和小写金额不一致的，以大写金额为准。</w:t>
      </w:r>
    </w:p>
    <w:p w14:paraId="0CAEB6EC">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（3）单价金额小数点或者百分比有明显错位的，以开标一览表的总价为准，并修改单价。</w:t>
      </w:r>
    </w:p>
    <w:p w14:paraId="0B38CA92">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（4）总价金额与按单价汇总金额不一致的，以单价金额计算结果为准。</w:t>
      </w:r>
    </w:p>
    <w:p w14:paraId="7375E37F">
      <w:pPr>
        <w:spacing w:line="440" w:lineRule="exact"/>
        <w:ind w:firstLine="960" w:firstLineChars="4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同时出现两种以上错误的，按照前款规定的顺序修正。</w:t>
      </w:r>
    </w:p>
    <w:p w14:paraId="3E524EFA">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5.5</w:t>
      </w:r>
      <w:r>
        <w:rPr>
          <w:rFonts w:hint="eastAsia" w:ascii="宋体" w:hAnsi="宋体" w:cs="宋体"/>
          <w:bCs/>
          <w:color w:val="000000" w:themeColor="text1"/>
          <w:sz w:val="24"/>
          <w:szCs w:val="24"/>
          <w14:textFill>
            <w14:solidFill>
              <w14:schemeClr w14:val="tx1"/>
            </w14:solidFill>
          </w14:textFill>
        </w:rPr>
        <w:t>评委会将按上述修正错误的方法调整投标文件中的投标报价，并通过</w:t>
      </w:r>
      <w:r>
        <w:rPr>
          <w:rFonts w:hint="eastAsia" w:ascii="宋体" w:hAnsi="宋体" w:cs="宋体"/>
          <w:color w:val="000000" w:themeColor="text1"/>
          <w:sz w:val="24"/>
          <w:szCs w:val="24"/>
          <w14:textFill>
            <w14:solidFill>
              <w14:schemeClr w14:val="tx1"/>
            </w14:solidFill>
          </w14:textFill>
        </w:rPr>
        <w:t>苏采云系统</w:t>
      </w:r>
      <w:r>
        <w:rPr>
          <w:rFonts w:hint="eastAsia" w:ascii="宋体" w:hAnsi="宋体" w:cs="宋体"/>
          <w:bCs/>
          <w:color w:val="000000" w:themeColor="text1"/>
          <w:sz w:val="24"/>
          <w:szCs w:val="24"/>
          <w14:textFill>
            <w14:solidFill>
              <w14:schemeClr w14:val="tx1"/>
            </w14:solidFill>
          </w14:textFill>
        </w:rPr>
        <w:t>告知投标人，调整后的价格应对投标人具有约束力。如果投标人不接受修正后的价格，则其投标将被拒绝。</w:t>
      </w:r>
    </w:p>
    <w:p w14:paraId="37DCEC24">
      <w:pPr>
        <w:spacing w:line="440" w:lineRule="exact"/>
        <w:ind w:firstLine="789" w:firstLineChars="329"/>
        <w:rPr>
          <w:rFonts w:ascii="宋体" w:hAnsi="宋体" w:cs="宋体"/>
          <w:color w:val="000000" w:themeColor="text1"/>
          <w:sz w:val="24"/>
          <w:szCs w:val="24"/>
          <w14:textFill>
            <w14:solidFill>
              <w14:schemeClr w14:val="tx1"/>
            </w14:solidFill>
          </w14:textFill>
        </w:rPr>
      </w:pPr>
      <w:bookmarkStart w:id="160" w:name="_Toc20823306"/>
      <w:bookmarkStart w:id="161" w:name="_Toc16938550"/>
      <w:bookmarkStart w:id="162" w:name="_Toc513029234"/>
      <w:r>
        <w:rPr>
          <w:rFonts w:hint="eastAsia" w:ascii="宋体" w:hAnsi="宋体" w:cs="宋体"/>
          <w:color w:val="000000" w:themeColor="text1"/>
          <w:sz w:val="24"/>
          <w:szCs w:val="24"/>
          <w14:textFill>
            <w14:solidFill>
              <w14:schemeClr w14:val="tx1"/>
            </w14:solidFill>
          </w14:textFill>
        </w:rPr>
        <w:t>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14:textFill>
            <w14:solidFill>
              <w14:schemeClr w14:val="tx1"/>
            </w14:solidFill>
          </w14:textFill>
        </w:rPr>
        <w:t>评委会</w:t>
      </w:r>
      <w:r>
        <w:rPr>
          <w:rFonts w:hint="eastAsia" w:ascii="宋体" w:hAnsi="宋体" w:cs="宋体"/>
          <w:color w:val="000000" w:themeColor="text1"/>
          <w:sz w:val="24"/>
          <w:szCs w:val="24"/>
          <w14:textFill>
            <w14:solidFill>
              <w14:schemeClr w14:val="tx1"/>
            </w14:solidFill>
          </w14:textFill>
        </w:rPr>
        <w:t>根据招标文件规定的方式（招标文件未规定的采取随机抽取的方式）确定一个中标候选人。</w:t>
      </w:r>
    </w:p>
    <w:p w14:paraId="1FA097D5">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5.7投标人在开、评标全过程中应保持通讯畅通，及时登录苏采云系统查阅、答复相关信息，并安排专人与代理机构及</w:t>
      </w:r>
      <w:r>
        <w:rPr>
          <w:rFonts w:hint="eastAsia" w:ascii="宋体" w:hAnsi="宋体" w:cs="宋体"/>
          <w:bCs/>
          <w:color w:val="000000" w:themeColor="text1"/>
          <w:sz w:val="24"/>
          <w:szCs w:val="24"/>
          <w14:textFill>
            <w14:solidFill>
              <w14:schemeClr w14:val="tx1"/>
            </w14:solidFill>
          </w14:textFill>
        </w:rPr>
        <w:t>评委会</w:t>
      </w:r>
      <w:r>
        <w:rPr>
          <w:rFonts w:hint="eastAsia" w:ascii="宋体" w:hAnsi="宋体" w:cs="宋体"/>
          <w:color w:val="000000" w:themeColor="text1"/>
          <w:sz w:val="24"/>
          <w:szCs w:val="24"/>
          <w14:textFill>
            <w14:solidFill>
              <w14:schemeClr w14:val="tx1"/>
            </w14:solidFill>
          </w14:textFill>
        </w:rPr>
        <w:t>联系。</w:t>
      </w:r>
    </w:p>
    <w:p w14:paraId="206B6C3F">
      <w:pPr>
        <w:keepNext/>
        <w:keepLines/>
        <w:spacing w:line="440" w:lineRule="exact"/>
        <w:ind w:firstLine="480"/>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bookmarkEnd w:id="160"/>
      <w:bookmarkEnd w:id="161"/>
      <w:bookmarkEnd w:id="162"/>
      <w:r>
        <w:rPr>
          <w:rFonts w:hint="eastAsia" w:ascii="宋体" w:hAnsi="宋体" w:cs="宋体"/>
          <w:color w:val="000000" w:themeColor="text1"/>
          <w:sz w:val="24"/>
          <w:szCs w:val="24"/>
          <w14:textFill>
            <w14:solidFill>
              <w14:schemeClr w14:val="tx1"/>
            </w14:solidFill>
          </w14:textFill>
        </w:rPr>
        <w:t>.无效投标条款和废标条款</w:t>
      </w:r>
    </w:p>
    <w:p w14:paraId="4E004C29">
      <w:pPr>
        <w:spacing w:line="440" w:lineRule="exact"/>
        <w:ind w:firstLine="789" w:firstLineChars="329"/>
        <w:rPr>
          <w:rFonts w:ascii="宋体" w:hAnsi="宋体" w:cs="宋体"/>
          <w:color w:val="000000" w:themeColor="text1"/>
          <w:sz w:val="24"/>
          <w:szCs w:val="24"/>
          <w14:textFill>
            <w14:solidFill>
              <w14:schemeClr w14:val="tx1"/>
            </w14:solidFill>
          </w14:textFill>
        </w:rPr>
      </w:pPr>
      <w:bookmarkStart w:id="163" w:name="_Toc16938551"/>
      <w:bookmarkStart w:id="164" w:name="_Toc20823307"/>
      <w:bookmarkStart w:id="165" w:name="_Toc513029235"/>
      <w:r>
        <w:rPr>
          <w:rFonts w:hint="eastAsia" w:ascii="宋体" w:hAnsi="宋体" w:cs="宋体"/>
          <w:color w:val="000000" w:themeColor="text1"/>
          <w:sz w:val="24"/>
          <w:szCs w:val="24"/>
          <w14:textFill>
            <w14:solidFill>
              <w14:schemeClr w14:val="tx1"/>
            </w14:solidFill>
          </w14:textFill>
        </w:rPr>
        <w:t>6.1无效投标条款</w:t>
      </w:r>
    </w:p>
    <w:p w14:paraId="3ECF501D">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 投标人在苏采云系统规定的时间内未成功解密电子投标文件的。</w:t>
      </w:r>
    </w:p>
    <w:p w14:paraId="39A0DC45">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6.1.2 投标人未按照招标文件要求上传电子投标文件的。</w:t>
      </w:r>
    </w:p>
    <w:p w14:paraId="68D7D8C8">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6.1.3同一投标人提交两个（含两个）以上不同的投标报价的。</w:t>
      </w:r>
    </w:p>
    <w:p w14:paraId="1EE10836">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6.1.4投标人不具备招标文件中规定资格要求的。</w:t>
      </w:r>
    </w:p>
    <w:p w14:paraId="24829534">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6.1.5投标人的报价超过了采购预算或最高限价的。</w:t>
      </w:r>
    </w:p>
    <w:p w14:paraId="56D0B36F">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6.1.6未通过符合性审查的。</w:t>
      </w:r>
    </w:p>
    <w:p w14:paraId="19C704BB">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6.1.7不符合招标文件中规定的实质性要求和条件的</w:t>
      </w:r>
      <w:r>
        <w:rPr>
          <w:rFonts w:hint="eastAsia" w:ascii="宋体" w:hAnsi="宋体"/>
          <w:bCs/>
          <w:color w:val="000000" w:themeColor="text1"/>
          <w:sz w:val="24"/>
          <w:szCs w:val="21"/>
          <w14:textFill>
            <w14:solidFill>
              <w14:schemeClr w14:val="tx1"/>
            </w14:solidFill>
          </w14:textFill>
        </w:rPr>
        <w:t>（</w:t>
      </w:r>
      <w:r>
        <w:rPr>
          <w:rFonts w:hint="eastAsia" w:ascii="宋体" w:hAnsi="宋体"/>
          <w:bCs/>
          <w:i/>
          <w:color w:val="000000" w:themeColor="text1"/>
          <w:sz w:val="24"/>
          <w:szCs w:val="21"/>
          <w:u w:val="single"/>
          <w14:textFill>
            <w14:solidFill>
              <w14:schemeClr w14:val="tx1"/>
            </w14:solidFill>
          </w14:textFill>
        </w:rPr>
        <w:t>本招标文件中斜体且有下划线部分为实质性要求和条件）</w:t>
      </w:r>
      <w:r>
        <w:rPr>
          <w:rFonts w:hint="eastAsia" w:ascii="宋体" w:hAnsi="宋体" w:cs="宋体"/>
          <w:bCs/>
          <w:color w:val="000000" w:themeColor="text1"/>
          <w:sz w:val="24"/>
          <w:szCs w:val="24"/>
          <w14:textFill>
            <w14:solidFill>
              <w14:schemeClr w14:val="tx1"/>
            </w14:solidFill>
          </w14:textFill>
        </w:rPr>
        <w:t>。</w:t>
      </w:r>
    </w:p>
    <w:p w14:paraId="504415E0">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6.1.8 投标人在中国政府采购网、信用中国网站、信用江苏网站、信用中国（江苏苏州）网站存在下列依法拒绝投标人参加政府采购的失信信息的。</w:t>
      </w:r>
    </w:p>
    <w:p w14:paraId="06AB4D3C">
      <w:pPr>
        <w:spacing w:line="44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（1）政府采购严重违法记录，即投标人被全国各级财政部门列入“政府采购严重违法失信行为记录名单”，且在处罚有效期内的。</w:t>
      </w:r>
    </w:p>
    <w:p w14:paraId="2B366D24">
      <w:pPr>
        <w:spacing w:line="44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34AD9237">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6.1.9  投标文件含有采购人不能接受的附加条件的。</w:t>
      </w:r>
    </w:p>
    <w:p w14:paraId="35EDC68F">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6617C50C">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B821A14">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6.1.12 投标文件未按照招标文件要求加盖CA电子公章的。</w:t>
      </w:r>
    </w:p>
    <w:p w14:paraId="3C55E370">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6.1.13其他法律、法规及本招标文件规定的属无效投标的情形。</w:t>
      </w:r>
    </w:p>
    <w:p w14:paraId="5FB775A3">
      <w:pPr>
        <w:spacing w:line="440" w:lineRule="exact"/>
        <w:ind w:left="479" w:firstLine="240" w:firstLineChars="1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6.2废标条款</w:t>
      </w:r>
    </w:p>
    <w:p w14:paraId="7E62FB17">
      <w:pPr>
        <w:spacing w:line="440" w:lineRule="exact"/>
        <w:ind w:left="479"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6.2.1符合专业条件的供应商或者对招标文件作实质响应的供应商不足三家的。</w:t>
      </w:r>
    </w:p>
    <w:p w14:paraId="40C81C6F">
      <w:pPr>
        <w:spacing w:line="440" w:lineRule="exact"/>
        <w:ind w:left="479"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6.2.2出现影响采购公正的违法、违规行为的。</w:t>
      </w:r>
    </w:p>
    <w:p w14:paraId="4EEBF836">
      <w:pPr>
        <w:spacing w:line="440" w:lineRule="exact"/>
        <w:ind w:left="479"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6.2.3因重大变故，采购任务取消的。</w:t>
      </w:r>
    </w:p>
    <w:p w14:paraId="71729197">
      <w:pPr>
        <w:spacing w:line="440" w:lineRule="exact"/>
        <w:ind w:left="479"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6.2.4评标委员会认定招标文件存在歧义、重大缺陷导致评审工作无法进行。</w:t>
      </w:r>
    </w:p>
    <w:p w14:paraId="74AEF21A">
      <w:pPr>
        <w:spacing w:line="440" w:lineRule="exact"/>
        <w:ind w:left="479"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6.2.5 因</w:t>
      </w:r>
      <w:r>
        <w:rPr>
          <w:rFonts w:hint="eastAsia" w:ascii="宋体" w:hAnsi="宋体" w:cs="宋体"/>
          <w:color w:val="000000" w:themeColor="text1"/>
          <w:sz w:val="24"/>
          <w:szCs w:val="24"/>
          <w14:textFill>
            <w14:solidFill>
              <w14:schemeClr w14:val="tx1"/>
            </w14:solidFill>
          </w14:textFill>
        </w:rPr>
        <w:t>苏采云系统</w:t>
      </w:r>
      <w:r>
        <w:rPr>
          <w:rFonts w:hint="eastAsia" w:ascii="宋体" w:hAnsi="宋体" w:cs="宋体"/>
          <w:bCs/>
          <w:color w:val="000000" w:themeColor="text1"/>
          <w:sz w:val="24"/>
          <w:szCs w:val="24"/>
          <w14:textFill>
            <w14:solidFill>
              <w14:schemeClr w14:val="tx1"/>
            </w14:solidFill>
          </w14:textFill>
        </w:rPr>
        <w:t>系统故障原因造成开标不成功的。</w:t>
      </w:r>
    </w:p>
    <w:p w14:paraId="115FC6E9">
      <w:pPr>
        <w:spacing w:line="440" w:lineRule="exact"/>
        <w:ind w:left="479" w:firstLine="240" w:firstLineChars="1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6.3 投标截止时间结束后参加投标的供应商不足三家的处理：</w:t>
      </w:r>
    </w:p>
    <w:p w14:paraId="06313770">
      <w:pPr>
        <w:spacing w:line="440" w:lineRule="exact"/>
        <w:ind w:firstLine="1027" w:firstLineChars="428"/>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6.3.1如出现投标截止时间结束后参加投标的供应商或者在评标期间对招标文件做出实质响应的供应商不足三家情况，按政府采购相关规定执行。</w:t>
      </w:r>
    </w:p>
    <w:p w14:paraId="0495382E">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166" w:name="_Toc120614219"/>
      <w:bookmarkStart w:id="167" w:name="_Toc4711"/>
      <w:r>
        <w:rPr>
          <w:rFonts w:hint="eastAsia" w:ascii="宋体" w:hAnsi="宋体" w:cs="宋体"/>
          <w:b/>
          <w:bCs/>
          <w:color w:val="000000" w:themeColor="text1"/>
          <w:sz w:val="28"/>
          <w:szCs w:val="28"/>
          <w14:textFill>
            <w14:solidFill>
              <w14:schemeClr w14:val="tx1"/>
            </w14:solidFill>
          </w14:textFill>
        </w:rPr>
        <w:t>六、</w:t>
      </w:r>
      <w:bookmarkEnd w:id="163"/>
      <w:bookmarkEnd w:id="164"/>
      <w:bookmarkEnd w:id="165"/>
      <w:r>
        <w:rPr>
          <w:rFonts w:hint="eastAsia" w:ascii="宋体" w:hAnsi="宋体" w:cs="宋体"/>
          <w:b/>
          <w:bCs/>
          <w:color w:val="000000" w:themeColor="text1"/>
          <w:sz w:val="28"/>
          <w:szCs w:val="28"/>
          <w14:textFill>
            <w14:solidFill>
              <w14:schemeClr w14:val="tx1"/>
            </w14:solidFill>
          </w14:textFill>
        </w:rPr>
        <w:t>定标</w:t>
      </w:r>
      <w:bookmarkEnd w:id="166"/>
      <w:bookmarkEnd w:id="167"/>
    </w:p>
    <w:p w14:paraId="3E7C132A">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bookmarkStart w:id="168" w:name="_Toc513029238"/>
      <w:bookmarkStart w:id="169" w:name="_Toc20823310"/>
      <w:bookmarkStart w:id="170" w:name="_Toc16938554"/>
      <w:r>
        <w:rPr>
          <w:rFonts w:hint="eastAsia" w:ascii="宋体" w:hAnsi="宋体" w:cs="宋体"/>
          <w:bCs/>
          <w:color w:val="000000" w:themeColor="text1"/>
          <w:sz w:val="24"/>
          <w:szCs w:val="24"/>
          <w14:textFill>
            <w14:solidFill>
              <w14:schemeClr w14:val="tx1"/>
            </w14:solidFill>
          </w14:textFill>
        </w:rPr>
        <w:t>1、</w:t>
      </w:r>
      <w:bookmarkEnd w:id="168"/>
      <w:r>
        <w:rPr>
          <w:rFonts w:hint="eastAsia" w:ascii="宋体" w:hAnsi="宋体" w:cs="宋体"/>
          <w:bCs/>
          <w:color w:val="000000" w:themeColor="text1"/>
          <w:sz w:val="24"/>
          <w:szCs w:val="24"/>
          <w14:textFill>
            <w14:solidFill>
              <w14:schemeClr w14:val="tx1"/>
            </w14:solidFill>
          </w14:textFill>
        </w:rPr>
        <w:t>确定</w:t>
      </w:r>
      <w:bookmarkEnd w:id="169"/>
      <w:bookmarkEnd w:id="170"/>
      <w:r>
        <w:rPr>
          <w:rFonts w:hint="eastAsia" w:ascii="宋体" w:hAnsi="宋体" w:cs="宋体"/>
          <w:bCs/>
          <w:color w:val="000000" w:themeColor="text1"/>
          <w:sz w:val="24"/>
          <w:szCs w:val="24"/>
          <w14:textFill>
            <w14:solidFill>
              <w14:schemeClr w14:val="tx1"/>
            </w14:solidFill>
          </w14:textFill>
        </w:rPr>
        <w:t>中标单位</w:t>
      </w:r>
    </w:p>
    <w:p w14:paraId="39C02BCC">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1.1中标候选人的选取原则和数量见招标文件第五章规定。 </w:t>
      </w:r>
    </w:p>
    <w:p w14:paraId="2FAB09D1">
      <w:pPr>
        <w:spacing w:line="440" w:lineRule="exact"/>
        <w:ind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1.2 采购人应根据评委会推荐的中标候选人确定中标人。</w:t>
      </w:r>
    </w:p>
    <w:p w14:paraId="2B3C233A">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w:t>
      </w:r>
      <w:r>
        <w:rPr>
          <w:rFonts w:hint="eastAsia" w:ascii="宋体" w:hAnsi="宋体" w:cs="宋体"/>
          <w:color w:val="000000" w:themeColor="text1"/>
          <w:sz w:val="24"/>
          <w:szCs w:val="24"/>
          <w14:textFill>
            <w14:solidFill>
              <w14:schemeClr w14:val="tx1"/>
            </w14:solidFill>
          </w14:textFill>
        </w:rPr>
        <w:t>代理机构将在指定媒体上发布中标公告，公告期限为1个工作日。</w:t>
      </w:r>
    </w:p>
    <w:p w14:paraId="3E6C6373">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  若有充分证据证明，中标人出现下列情况之一的，一经查实，将被取消中标资格：</w:t>
      </w:r>
    </w:p>
    <w:p w14:paraId="28879CAE">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1.4.1提供虚假材料谋取中标的。</w:t>
      </w:r>
    </w:p>
    <w:p w14:paraId="0A7FDEB3">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1.4.2向采购人、代理机构行贿或者提供其他不正当利益的。</w:t>
      </w:r>
    </w:p>
    <w:p w14:paraId="7D6699ED">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1.4.3属于本文件规定的无效条件，但在评标过程中又未被评委会发现的。</w:t>
      </w:r>
    </w:p>
    <w:p w14:paraId="423E7010">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1.4.4与采购人或者其他供应商恶意串通的。</w:t>
      </w:r>
    </w:p>
    <w:p w14:paraId="0BD1A32A">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1.4.5采取不正当手段诋毁、排挤其他供应商的。</w:t>
      </w:r>
    </w:p>
    <w:p w14:paraId="7166EF32">
      <w:pPr>
        <w:spacing w:line="440" w:lineRule="exact"/>
        <w:ind w:firstLine="789" w:firstLineChars="329"/>
        <w:rPr>
          <w:rFonts w:ascii="宋体" w:hAnsi="宋体" w:cs="宋体"/>
          <w:color w:val="000000" w:themeColor="text1"/>
          <w:sz w:val="24"/>
          <w:szCs w:val="24"/>
          <w14:textFill>
            <w14:solidFill>
              <w14:schemeClr w14:val="tx1"/>
            </w14:solidFill>
          </w14:textFill>
        </w:rPr>
      </w:pPr>
      <w:bookmarkStart w:id="171" w:name="_Toc200451960"/>
      <w:r>
        <w:rPr>
          <w:rFonts w:hint="eastAsia" w:ascii="宋体" w:hAnsi="宋体" w:cs="宋体"/>
          <w:color w:val="000000" w:themeColor="text1"/>
          <w:sz w:val="24"/>
          <w:szCs w:val="24"/>
          <w14:textFill>
            <w14:solidFill>
              <w14:schemeClr w14:val="tx1"/>
            </w14:solidFill>
          </w14:textFill>
        </w:rPr>
        <w:t>1.5. 有下列情形之一的，视为投标人串通投标，投标无效：</w:t>
      </w:r>
    </w:p>
    <w:p w14:paraId="5896260F">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1.5.1不同投标人的投标文件由同一单位或者个人编制；</w:t>
      </w:r>
    </w:p>
    <w:p w14:paraId="6CA10A6B">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1.5.2不同投标人委托同一单位或者个人办理投标事宜；</w:t>
      </w:r>
    </w:p>
    <w:p w14:paraId="08399E33">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1.5.3 不同投标人的投标文件载明的项目管理成员或者联系人员为同一人；</w:t>
      </w:r>
    </w:p>
    <w:p w14:paraId="03D6648E">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1.5.4不同投标人的投标文件异常一致或者投标报价呈规律性差异；</w:t>
      </w:r>
    </w:p>
    <w:p w14:paraId="148B9F71">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2、质疑处理</w:t>
      </w:r>
      <w:bookmarkEnd w:id="171"/>
    </w:p>
    <w:p w14:paraId="58DEA658">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 提出质疑的供应商应当是参与所质疑项目采购活动的供应商。潜在供应商依法获取其可质疑的采购文件的，可以对采购文件提出质疑。请将</w:t>
      </w:r>
      <w:bookmarkStart w:id="172" w:name="_Hlk98510751"/>
      <w:r>
        <w:rPr>
          <w:rFonts w:hint="eastAsia" w:ascii="宋体" w:hAnsi="宋体" w:cs="宋体"/>
          <w:color w:val="000000" w:themeColor="text1"/>
          <w:sz w:val="24"/>
          <w:szCs w:val="24"/>
          <w14:textFill>
            <w14:solidFill>
              <w14:schemeClr w14:val="tx1"/>
            </w14:solidFill>
          </w14:textFill>
        </w:rPr>
        <w:t>获取采购文件后打印留存的《投标供应商确认函》等</w:t>
      </w:r>
      <w:bookmarkEnd w:id="172"/>
      <w:r>
        <w:rPr>
          <w:rFonts w:hint="eastAsia" w:ascii="宋体" w:hAnsi="宋体" w:cs="宋体"/>
          <w:color w:val="000000" w:themeColor="text1"/>
          <w:sz w:val="24"/>
          <w:szCs w:val="24"/>
          <w14:textFill>
            <w14:solidFill>
              <w14:schemeClr w14:val="tx1"/>
            </w14:solidFill>
          </w14:textFill>
        </w:rPr>
        <w:t>必要的证明材料与质疑函一起递交，否则不予受理。</w:t>
      </w:r>
    </w:p>
    <w:p w14:paraId="148D3D8D">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2.2供应商认为采购文件、采购过程和采购结果使自己的权益受到损害的，可以在知道或应知其权益受到损害之日起七个工作日内，以书面形式提出质疑。上述应知其权益受到损害之日，是指：</w:t>
      </w:r>
    </w:p>
    <w:p w14:paraId="006FF709">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2.2.1对可以质疑的采购文件提出质疑的，为收到采购文件之日或者采购文件公告期限届满之日；</w:t>
      </w:r>
    </w:p>
    <w:p w14:paraId="145D5C9E">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2.2.2对采购过程提出质疑的，为各采购程序环节结束之日；</w:t>
      </w:r>
    </w:p>
    <w:p w14:paraId="70224922">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2.2.3对中标或者成交结果提出质疑的，为中标或者成交结果公告期限届满之日。</w:t>
      </w:r>
    </w:p>
    <w:p w14:paraId="3E9EB736">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14:paraId="23AD9F42">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2.3质疑函必须按照本招标文件中《质疑函范本》要求的格式和内容进行填写。供应商如组成联合体参加投标，则《质疑函范本》中要求签字、盖章、加盖公章之处，联合体各方均须按要求签字、盖章、加盖公章。</w:t>
      </w:r>
    </w:p>
    <w:p w14:paraId="4BFF800C">
      <w:pPr>
        <w:pBdr>
          <w:top w:val="none" w:color="000000" w:sz="0" w:space="0"/>
          <w:left w:val="none" w:color="000000" w:sz="0" w:space="0"/>
          <w:bottom w:val="none" w:color="000000" w:sz="0" w:space="0"/>
          <w:right w:val="none" w:color="000000" w:sz="0" w:space="0"/>
        </w:pBdr>
        <w:spacing w:line="440" w:lineRule="exact"/>
        <w:ind w:firstLine="787" w:firstLineChars="328"/>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2.4代理机构只接收以纸质原件形式送达的质疑</w:t>
      </w:r>
      <w:r>
        <w:rPr>
          <w:rFonts w:hint="eastAsia" w:ascii="宋体" w:hAnsi="宋体" w:cs="宋体"/>
          <w:b/>
          <w:bCs/>
          <w:color w:val="000000" w:themeColor="text1"/>
          <w:sz w:val="24"/>
          <w:szCs w:val="24"/>
          <w14:textFill>
            <w14:solidFill>
              <w14:schemeClr w14:val="tx1"/>
            </w14:solidFill>
          </w14:textFill>
        </w:rPr>
        <w:t>（采购人和代理机构不接受未填写快递运单的快件），</w:t>
      </w:r>
      <w:r>
        <w:rPr>
          <w:rFonts w:hint="eastAsia" w:ascii="宋体" w:hAnsi="宋体" w:cs="宋体"/>
          <w:color w:val="000000" w:themeColor="text1"/>
          <w:sz w:val="24"/>
          <w14:textFill>
            <w14:solidFill>
              <w14:schemeClr w14:val="tx1"/>
            </w14:solidFill>
          </w14:textFill>
        </w:rPr>
        <w:t>质疑接收单位为苏州新一造价师价格事务所有限公司，联系地址：常熟市九里大街5号三楼，联系人：韩忆程，联系电话：189 1565 5067</w:t>
      </w:r>
      <w:r>
        <w:rPr>
          <w:rFonts w:ascii="宋体" w:hAnsi="宋体" w:cs="宋体"/>
          <w:color w:val="000000" w:themeColor="text1"/>
          <w:sz w:val="24"/>
          <w14:textFill>
            <w14:solidFill>
              <w14:schemeClr w14:val="tx1"/>
            </w14:solidFill>
          </w14:textFill>
        </w:rPr>
        <w:t>。潜在投标人提出书面质疑必须有理、有据，不得捏造事实、提供虚假材料进行恶意质疑。否则，一经查实，将报请监管部门对该供应商进行相应的处罚。</w:t>
      </w:r>
    </w:p>
    <w:p w14:paraId="1BF13FC8">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 以下情形的质疑不予受理</w:t>
      </w:r>
    </w:p>
    <w:p w14:paraId="508EA525">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2.5.1 内容不符合《政府采购质疑和投诉办法》第十二条规定的质疑。</w:t>
      </w:r>
    </w:p>
    <w:p w14:paraId="0EDCAD2A">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2.5.2 超出政府采购法定期限的质疑。</w:t>
      </w:r>
    </w:p>
    <w:p w14:paraId="462A3CDB">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 以传真、电子邮件等方式递交的非原件形式的质疑。</w:t>
      </w:r>
    </w:p>
    <w:p w14:paraId="41480BF3">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2.5.4 未参加投标活动的供应商或在投标活动中自身权益未受到损害的供应商所提出的质疑。</w:t>
      </w:r>
    </w:p>
    <w:p w14:paraId="2F59E4A2">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2.5.5供应商组成联合体参加投标，联合体中任何一方或多方未按要求签字、盖章、加盖公章的质疑。</w:t>
      </w:r>
    </w:p>
    <w:p w14:paraId="5683FA44">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4FADD20B">
      <w:pPr>
        <w:keepNext/>
        <w:keepLines/>
        <w:spacing w:line="440" w:lineRule="exact"/>
        <w:ind w:firstLine="480" w:firstLineChars="20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3、中标通知书</w:t>
      </w:r>
    </w:p>
    <w:p w14:paraId="6CF4271C">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3.l</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D4608D8">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3.2中标通知书将是合同的一个组成部分。对采购人和中标供应商均具有法律效力。中标通知书发出后，采购人改变中标结果的，或者中标供应商放弃中标项目的，应当依法承担法律责任。</w:t>
      </w:r>
    </w:p>
    <w:p w14:paraId="388B5715">
      <w:pPr>
        <w:keepNext/>
        <w:keepLines/>
        <w:spacing w:line="440" w:lineRule="exact"/>
        <w:ind w:firstLine="562"/>
        <w:outlineLvl w:val="1"/>
        <w:rPr>
          <w:rFonts w:ascii="宋体" w:hAnsi="宋体" w:cs="宋体"/>
          <w:b/>
          <w:bCs/>
          <w:color w:val="000000" w:themeColor="text1"/>
          <w:sz w:val="28"/>
          <w:szCs w:val="28"/>
          <w14:textFill>
            <w14:solidFill>
              <w14:schemeClr w14:val="tx1"/>
            </w14:solidFill>
          </w14:textFill>
        </w:rPr>
      </w:pPr>
      <w:bookmarkStart w:id="173" w:name="_Toc120614220"/>
      <w:bookmarkStart w:id="174" w:name="_Toc27346"/>
      <w:bookmarkStart w:id="175" w:name="_Toc513029236"/>
      <w:bookmarkStart w:id="176" w:name="_Toc20823308"/>
      <w:bookmarkStart w:id="177" w:name="_Toc16938552"/>
      <w:r>
        <w:rPr>
          <w:rFonts w:hint="eastAsia" w:ascii="宋体" w:hAnsi="宋体" w:cs="宋体"/>
          <w:b/>
          <w:bCs/>
          <w:color w:val="000000" w:themeColor="text1"/>
          <w:sz w:val="28"/>
          <w:szCs w:val="28"/>
          <w14:textFill>
            <w14:solidFill>
              <w14:schemeClr w14:val="tx1"/>
            </w14:solidFill>
          </w14:textFill>
        </w:rPr>
        <w:t>七、授予合同</w:t>
      </w:r>
      <w:bookmarkEnd w:id="173"/>
      <w:bookmarkEnd w:id="174"/>
    </w:p>
    <w:bookmarkEnd w:id="175"/>
    <w:bookmarkEnd w:id="176"/>
    <w:bookmarkEnd w:id="177"/>
    <w:p w14:paraId="2820B364">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bookmarkStart w:id="178" w:name="_Toc20823309"/>
      <w:bookmarkStart w:id="179" w:name="_Toc513029237"/>
      <w:bookmarkStart w:id="180" w:name="_Toc16938553"/>
      <w:r>
        <w:rPr>
          <w:rFonts w:hint="eastAsia" w:ascii="宋体" w:hAnsi="宋体" w:cs="宋体"/>
          <w:bCs/>
          <w:color w:val="000000" w:themeColor="text1"/>
          <w:sz w:val="24"/>
          <w:szCs w:val="24"/>
          <w14:textFill>
            <w14:solidFill>
              <w14:schemeClr w14:val="tx1"/>
            </w14:solidFill>
          </w14:textFill>
        </w:rPr>
        <w:t>1、签订合同</w:t>
      </w:r>
    </w:p>
    <w:p w14:paraId="24D6E19D">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1.l中标人应当在中标通知书发出之日起三十日内，按照招标文件确定的事项与采购人签订政府采购合同。</w:t>
      </w:r>
    </w:p>
    <w:p w14:paraId="649C7EAD">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招标文件、中标人的投标文件及招标过程中有关澄清、承诺文件均应作为合同附件。</w:t>
      </w:r>
    </w:p>
    <w:p w14:paraId="6C32A061">
      <w:pPr>
        <w:spacing w:line="440" w:lineRule="exact"/>
        <w:ind w:firstLine="789" w:firstLineChars="32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 签订合同后，</w:t>
      </w:r>
      <w:r>
        <w:rPr>
          <w:rFonts w:hint="eastAsia" w:ascii="宋体" w:hAnsi="宋体" w:cs="宋体"/>
          <w:i/>
          <w:color w:val="000000" w:themeColor="text1"/>
          <w:sz w:val="24"/>
          <w:szCs w:val="24"/>
          <w:u w:val="single"/>
          <w14:textFill>
            <w14:solidFill>
              <w14:schemeClr w14:val="tx1"/>
            </w14:solidFill>
          </w14:textFill>
        </w:rPr>
        <w:t>中标人不得将合同标的进行转包</w:t>
      </w:r>
      <w:r>
        <w:rPr>
          <w:rFonts w:hint="eastAsia" w:ascii="宋体" w:hAnsi="宋体" w:cs="宋体"/>
          <w:color w:val="000000" w:themeColor="text1"/>
          <w:sz w:val="24"/>
          <w:szCs w:val="24"/>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1FEB1256">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2、服务（包含与项目有关的服务）的追加</w:t>
      </w:r>
    </w:p>
    <w:p w14:paraId="29968E9C">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2.1政府采购合同履行中，采购人需追加与合同标的相同的服务（包含与项目有关的服务）的，在不改变合同其他条款的前提下，可以与中标人协商签订补充合同，但所有补充合同的采购金额不超过原合同金额10%。</w:t>
      </w:r>
    </w:p>
    <w:bookmarkEnd w:id="178"/>
    <w:bookmarkEnd w:id="179"/>
    <w:bookmarkEnd w:id="180"/>
    <w:p w14:paraId="3F030C79">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bookmarkStart w:id="181" w:name="_Toc479757207"/>
      <w:bookmarkStart w:id="182" w:name="_Toc20823314"/>
      <w:bookmarkStart w:id="183" w:name="_Toc16938558"/>
      <w:bookmarkStart w:id="184" w:name="_Toc120614221"/>
      <w:bookmarkStart w:id="185" w:name="_Toc513029242"/>
      <w:r>
        <w:rPr>
          <w:rFonts w:hint="eastAsia" w:ascii="宋体" w:hAnsi="宋体" w:cs="宋体"/>
          <w:bCs/>
          <w:color w:val="000000" w:themeColor="text1"/>
          <w:sz w:val="24"/>
          <w:szCs w:val="24"/>
          <w14:textFill>
            <w14:solidFill>
              <w14:schemeClr w14:val="tx1"/>
            </w14:solidFill>
          </w14:textFill>
        </w:rPr>
        <w:t>3、政府采购信用融资政策</w:t>
      </w:r>
    </w:p>
    <w:p w14:paraId="40959967">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中标供应商可凭政府采购合同办理融资贷款，详情请见苏州市政府采购网“政府采购合同信用融资”专栏。</w:t>
      </w:r>
    </w:p>
    <w:p w14:paraId="23439D51">
      <w:pPr>
        <w:keepNext/>
        <w:keepLines/>
        <w:spacing w:line="440" w:lineRule="exact"/>
        <w:ind w:firstLine="480"/>
        <w:outlineLvl w:val="3"/>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4、合同公示</w:t>
      </w:r>
    </w:p>
    <w:p w14:paraId="5F47B223">
      <w:pPr>
        <w:spacing w:line="440" w:lineRule="exact"/>
        <w:ind w:firstLine="1027" w:firstLineChars="4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4.1采购合同将在签订之日起2个工作日内在指定媒体公示，涉及国家秘密、商业秘密的内容除外。</w:t>
      </w:r>
    </w:p>
    <w:p w14:paraId="33C0BA49">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10A9D1DA">
      <w:pPr>
        <w:keepNext/>
        <w:ind w:firstLine="880"/>
        <w:jc w:val="center"/>
        <w:outlineLvl w:val="0"/>
        <w:rPr>
          <w:rFonts w:ascii="黑体" w:hAnsi="Times New Roman" w:eastAsia="黑体"/>
          <w:bCs/>
          <w:color w:val="000000" w:themeColor="text1"/>
          <w:sz w:val="44"/>
          <w:szCs w:val="28"/>
          <w14:textFill>
            <w14:solidFill>
              <w14:schemeClr w14:val="tx1"/>
            </w14:solidFill>
          </w14:textFill>
        </w:rPr>
      </w:pPr>
      <w:bookmarkStart w:id="186" w:name="_Toc10830"/>
      <w:r>
        <w:rPr>
          <w:rFonts w:hint="eastAsia" w:ascii="黑体" w:hAnsi="Times New Roman" w:eastAsia="黑体"/>
          <w:bCs/>
          <w:color w:val="000000" w:themeColor="text1"/>
          <w:sz w:val="44"/>
          <w:szCs w:val="28"/>
          <w14:textFill>
            <w14:solidFill>
              <w14:schemeClr w14:val="tx1"/>
            </w14:solidFill>
          </w14:textFill>
        </w:rPr>
        <w:t>第三章  合同</w:t>
      </w:r>
      <w:bookmarkEnd w:id="181"/>
      <w:bookmarkEnd w:id="182"/>
      <w:bookmarkEnd w:id="183"/>
      <w:bookmarkEnd w:id="184"/>
      <w:bookmarkEnd w:id="185"/>
      <w:r>
        <w:rPr>
          <w:rFonts w:hint="eastAsia" w:ascii="黑体" w:hAnsi="Times New Roman" w:eastAsia="黑体"/>
          <w:bCs/>
          <w:color w:val="000000" w:themeColor="text1"/>
          <w:sz w:val="44"/>
          <w:szCs w:val="28"/>
          <w14:textFill>
            <w14:solidFill>
              <w14:schemeClr w14:val="tx1"/>
            </w14:solidFill>
          </w14:textFill>
        </w:rPr>
        <w:t>文本</w:t>
      </w:r>
      <w:bookmarkEnd w:id="186"/>
    </w:p>
    <w:p w14:paraId="3D66E52A">
      <w:pPr>
        <w:spacing w:line="660" w:lineRule="exact"/>
        <w:ind w:left="6237" w:right="-27"/>
        <w:rPr>
          <w:rFonts w:ascii="宋体" w:hAnsi="宋体" w:cs="宋体"/>
          <w:bCs/>
          <w:color w:val="000000" w:themeColor="text1"/>
          <w:sz w:val="24"/>
          <w:szCs w:val="24"/>
          <w14:textFill>
            <w14:solidFill>
              <w14:schemeClr w14:val="tx1"/>
            </w14:solidFill>
          </w14:textFill>
        </w:rPr>
      </w:pPr>
      <w:bookmarkStart w:id="187" w:name="_Hlt16619369"/>
      <w:bookmarkEnd w:id="187"/>
      <w:bookmarkStart w:id="188" w:name="_Hlt16619350"/>
      <w:bookmarkStart w:id="189" w:name="_Toc16938590"/>
      <w:bookmarkStart w:id="190" w:name="_Toc120614244"/>
      <w:bookmarkStart w:id="191" w:name="_Toc20823346"/>
      <w:bookmarkStart w:id="192" w:name="_Toc479757211"/>
      <w:bookmarkStart w:id="193" w:name="_Toc462564139"/>
      <w:r>
        <w:rPr>
          <w:rFonts w:hint="eastAsia" w:ascii="宋体" w:hAnsi="宋体" w:cs="宋体"/>
          <w:bCs/>
          <w:color w:val="000000" w:themeColor="text1"/>
          <w:sz w:val="24"/>
          <w:szCs w:val="24"/>
          <w14:textFill>
            <w14:solidFill>
              <w14:schemeClr w14:val="tx1"/>
            </w14:solidFill>
          </w14:textFill>
        </w:rPr>
        <w:t>编号：</w:t>
      </w:r>
    </w:p>
    <w:p w14:paraId="25A55BCD">
      <w:pPr>
        <w:spacing w:line="440" w:lineRule="exact"/>
        <w:ind w:left="6237" w:right="-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签订地点：常熟市</w:t>
      </w:r>
    </w:p>
    <w:p w14:paraId="1F8E3213">
      <w:pPr>
        <w:tabs>
          <w:tab w:val="left" w:pos="0"/>
        </w:tabs>
        <w:spacing w:line="440" w:lineRule="exact"/>
        <w:ind w:right="-27"/>
        <w:rPr>
          <w:rFonts w:ascii="宋体" w:hAnsi="宋体" w:cs="宋体"/>
          <w:bCs/>
          <w:color w:val="000000" w:themeColor="text1"/>
          <w:sz w:val="24"/>
          <w:szCs w:val="24"/>
          <w14:textFill>
            <w14:solidFill>
              <w14:schemeClr w14:val="tx1"/>
            </w14:solidFill>
          </w14:textFill>
        </w:rPr>
      </w:pPr>
    </w:p>
    <w:p w14:paraId="3572857A">
      <w:pPr>
        <w:tabs>
          <w:tab w:val="left" w:pos="0"/>
        </w:tabs>
        <w:spacing w:line="440" w:lineRule="exact"/>
        <w:ind w:right="-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          </w:t>
      </w:r>
    </w:p>
    <w:p w14:paraId="32B48B4A">
      <w:pPr>
        <w:tabs>
          <w:tab w:val="left" w:pos="0"/>
        </w:tabs>
        <w:spacing w:line="480" w:lineRule="exact"/>
        <w:ind w:right="-27"/>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乙方：</w:t>
      </w:r>
      <w:r>
        <w:rPr>
          <w:rFonts w:hint="eastAsia" w:ascii="宋体" w:hAnsi="宋体" w:cs="宋体"/>
          <w:bCs/>
          <w:color w:val="000000" w:themeColor="text1"/>
          <w:sz w:val="24"/>
          <w:szCs w:val="24"/>
          <w:u w:val="single"/>
          <w14:textFill>
            <w14:solidFill>
              <w14:schemeClr w14:val="tx1"/>
            </w14:solidFill>
          </w14:textFill>
        </w:rPr>
        <w:t xml:space="preserve">                                </w:t>
      </w:r>
    </w:p>
    <w:p w14:paraId="633AAE16">
      <w:pPr>
        <w:spacing w:line="44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信用融资回款账户：</w:t>
      </w:r>
      <w:r>
        <w:rPr>
          <w:rFonts w:hint="eastAsia"/>
          <w:bCs/>
          <w:color w:val="000000" w:themeColor="text1"/>
          <w:sz w:val="24"/>
          <w:szCs w:val="24"/>
          <w:u w:val="single"/>
          <w14:textFill>
            <w14:solidFill>
              <w14:schemeClr w14:val="tx1"/>
            </w14:solidFill>
          </w14:textFill>
        </w:rPr>
        <w:t xml:space="preserve">                               </w:t>
      </w:r>
      <w:r>
        <w:rPr>
          <w:rFonts w:hint="eastAsia"/>
          <w:bCs/>
          <w:color w:val="000000" w:themeColor="text1"/>
          <w:sz w:val="24"/>
          <w:szCs w:val="24"/>
          <w14:textFill>
            <w14:solidFill>
              <w14:schemeClr w14:val="tx1"/>
            </w14:solidFill>
          </w14:textFill>
        </w:rPr>
        <w:t>（如无可不填写）</w:t>
      </w:r>
    </w:p>
    <w:p w14:paraId="5F37B828">
      <w:pPr>
        <w:tabs>
          <w:tab w:val="left" w:pos="0"/>
        </w:tabs>
        <w:spacing w:line="440" w:lineRule="exact"/>
        <w:ind w:right="-27"/>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开户银行：</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w:t>
      </w:r>
    </w:p>
    <w:p w14:paraId="2A418BFA">
      <w:pPr>
        <w:tabs>
          <w:tab w:val="left" w:pos="0"/>
        </w:tabs>
        <w:spacing w:line="480" w:lineRule="exact"/>
        <w:ind w:right="-27" w:firstLine="480"/>
        <w:rPr>
          <w:rFonts w:ascii="宋体" w:hAnsi="宋体" w:cs="宋体"/>
          <w:bCs/>
          <w:color w:val="000000" w:themeColor="text1"/>
          <w:sz w:val="24"/>
          <w:szCs w:val="24"/>
          <w14:textFill>
            <w14:solidFill>
              <w14:schemeClr w14:val="tx1"/>
            </w14:solidFill>
          </w14:textFill>
        </w:rPr>
      </w:pPr>
    </w:p>
    <w:p w14:paraId="02E2F017">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根据《中华人民共和国政府采购法》及其实施条例、《中华人民共和国民法典》等法律法规的规定，甲乙双方按照</w:t>
      </w:r>
      <w:r>
        <w:rPr>
          <w:rFonts w:hint="eastAsia" w:ascii="宋体" w:hAnsi="宋体"/>
          <w:color w:val="000000" w:themeColor="text1"/>
          <w:sz w:val="24"/>
          <w:szCs w:val="24"/>
          <w:u w:val="single"/>
          <w:lang w:eastAsia="zh-CN"/>
          <w14:textFill>
            <w14:solidFill>
              <w14:schemeClr w14:val="tx1"/>
            </w14:solidFill>
          </w14:textFill>
        </w:rPr>
        <w:t>2024-2025年度市级河道绿化养护</w:t>
      </w:r>
      <w:r>
        <w:rPr>
          <w:rFonts w:hint="eastAsia" w:ascii="宋体" w:hAnsi="宋体" w:cs="宋体"/>
          <w:bCs/>
          <w:color w:val="000000" w:themeColor="text1"/>
          <w:sz w:val="24"/>
          <w:szCs w:val="24"/>
          <w14:textFill>
            <w14:solidFill>
              <w14:schemeClr w14:val="tx1"/>
            </w14:solidFill>
          </w14:textFill>
        </w:rPr>
        <w:t>项目（项目编号：</w:t>
      </w:r>
      <w:r>
        <w:rPr>
          <w:rFonts w:ascii="宋体" w:hAnsi="宋体"/>
          <w:color w:val="000000" w:themeColor="text1"/>
          <w:sz w:val="24"/>
          <w:szCs w:val="24"/>
          <w:u w:val="single"/>
          <w14:textFill>
            <w14:solidFill>
              <w14:schemeClr w14:val="tx1"/>
            </w14:solidFill>
          </w14:textFill>
        </w:rPr>
        <w:t>(</w:t>
      </w:r>
      <w:r>
        <w:rPr>
          <w:rFonts w:hint="eastAsia" w:ascii="宋体" w:hAnsi="宋体"/>
          <w:color w:val="000000" w:themeColor="text1"/>
          <w:sz w:val="24"/>
          <w:szCs w:val="24"/>
          <w:u w:val="single"/>
          <w:lang w:eastAsia="zh-CN"/>
          <w14:textFill>
            <w14:solidFill>
              <w14:schemeClr w14:val="tx1"/>
            </w14:solidFill>
          </w14:textFill>
        </w:rPr>
        <w:t>JSZC-320581-SZXY-G2024-0043</w:t>
      </w:r>
      <w:r>
        <w:rPr>
          <w:rFonts w:hint="eastAsia" w:ascii="宋体" w:hAnsi="宋体" w:cs="宋体"/>
          <w:bCs/>
          <w:color w:val="000000" w:themeColor="text1"/>
          <w:sz w:val="24"/>
          <w:szCs w:val="24"/>
          <w14:textFill>
            <w14:solidFill>
              <w14:schemeClr w14:val="tx1"/>
            </w14:solidFill>
          </w14:textFill>
        </w:rPr>
        <w:t>）政府采购结果签订本合同。</w:t>
      </w:r>
    </w:p>
    <w:p w14:paraId="19C13645">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第一条 定义</w:t>
      </w:r>
    </w:p>
    <w:p w14:paraId="74E5A619">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除非另有特别解释或说明，本合同有关词语应按如下定义解释：</w:t>
      </w:r>
    </w:p>
    <w:p w14:paraId="53C453F0">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1、合同：甲乙双方签署的，与本项目相关的合同书、附件、附录、其他文件以及政府采购程序中的全部文件。</w:t>
      </w:r>
    </w:p>
    <w:p w14:paraId="7BC8EB40">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2、甲方：购买本合同项下服务的国家机关、事业单位、团体组织。</w:t>
      </w:r>
    </w:p>
    <w:p w14:paraId="37B87B0F">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3、乙方：提供本合同项下服务的法人、其他组织或自然人。</w:t>
      </w:r>
    </w:p>
    <w:p w14:paraId="522FB299">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4、服务：提供本合同规定的乙方承担的</w:t>
      </w:r>
      <w:r>
        <w:rPr>
          <w:rFonts w:hint="eastAsia" w:ascii="宋体" w:hAnsi="宋体"/>
          <w:color w:val="000000" w:themeColor="text1"/>
          <w:sz w:val="24"/>
          <w:szCs w:val="24"/>
          <w:u w:val="single"/>
          <w:lang w:eastAsia="zh-CN"/>
          <w14:textFill>
            <w14:solidFill>
              <w14:schemeClr w14:val="tx1"/>
            </w14:solidFill>
          </w14:textFill>
        </w:rPr>
        <w:t>2024-2025年度市级河道绿化养护</w:t>
      </w:r>
      <w:r>
        <w:rPr>
          <w:rFonts w:hint="eastAsia" w:ascii="宋体" w:hAnsi="宋体" w:cs="宋体"/>
          <w:bCs/>
          <w:color w:val="000000" w:themeColor="text1"/>
          <w:sz w:val="24"/>
          <w:szCs w:val="24"/>
          <w14:textFill>
            <w14:solidFill>
              <w14:schemeClr w14:val="tx1"/>
            </w14:solidFill>
          </w14:textFill>
        </w:rPr>
        <w:t>及相关工作。</w:t>
      </w:r>
    </w:p>
    <w:p w14:paraId="554A88E9">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5、合同价款：根据合同规定乙方在正确地完全履行合同义务后甲方应支付给乙方的价款，包含了甲方购买合同项下相关服务的一切费用。</w:t>
      </w:r>
    </w:p>
    <w:p w14:paraId="7FD57BAA">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第二条 组成本合同的文件</w:t>
      </w:r>
    </w:p>
    <w:p w14:paraId="62A91CC8">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、下列文件是组成本合同的不可分割的部分：</w:t>
      </w:r>
    </w:p>
    <w:p w14:paraId="5AE823EB">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①中标通知书；</w:t>
      </w:r>
    </w:p>
    <w:p w14:paraId="0A5F65FC">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②招标文件（以下统称“采购文件”）；</w:t>
      </w:r>
    </w:p>
    <w:p w14:paraId="100D19B4">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③乙方的投标文件；</w:t>
      </w:r>
    </w:p>
    <w:p w14:paraId="4C4F7322">
      <w:pPr>
        <w:tabs>
          <w:tab w:val="left" w:pos="0"/>
        </w:tabs>
        <w:spacing w:line="440" w:lineRule="exact"/>
        <w:ind w:right="-27"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④乙方在投标过程中所作的其它承诺、声明、书面澄清等。</w:t>
      </w:r>
    </w:p>
    <w:p w14:paraId="5FC7EBC0">
      <w:pPr>
        <w:tabs>
          <w:tab w:val="left" w:pos="0"/>
        </w:tabs>
        <w:spacing w:line="440" w:lineRule="exact"/>
        <w:ind w:right="-27" w:firstLine="480"/>
        <w:rPr>
          <w:rFonts w:ascii="宋体" w:hAnsi="宋体"/>
          <w:color w:val="000000" w:themeColor="text1"/>
          <w:sz w:val="24"/>
          <w:szCs w:val="24"/>
          <w14:textFill>
            <w14:solidFill>
              <w14:schemeClr w14:val="tx1"/>
            </w14:solidFill>
          </w14:textFill>
        </w:rPr>
      </w:pPr>
      <w:bookmarkStart w:id="194" w:name="_Hlk144021334"/>
      <w:r>
        <w:rPr>
          <w:rFonts w:hint="eastAsia" w:ascii="宋体" w:hAnsi="宋体"/>
          <w:color w:val="000000" w:themeColor="text1"/>
          <w:sz w:val="24"/>
          <w:szCs w:val="24"/>
          <w14:textFill>
            <w14:solidFill>
              <w14:schemeClr w14:val="tx1"/>
            </w14:solidFill>
          </w14:textFill>
        </w:rPr>
        <w:t>2、上述文件之间如果出现不一致的，以甲方文件确定的内容为准，但乙方文件的内容对甲方更有利的，适用乙方文件。</w:t>
      </w:r>
    </w:p>
    <w:p w14:paraId="09C98F18">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3、乙方文件应当符合采购文件确定的原则，如果乙方文件中的表述，形式上符合招标文件原则，但具体内容对甲方不利、对乙方有利的，视为背离采购文件，不予适用。</w:t>
      </w:r>
    </w:p>
    <w:bookmarkEnd w:id="194"/>
    <w:p w14:paraId="4258795E">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第三条 合同内容</w:t>
      </w:r>
    </w:p>
    <w:p w14:paraId="4259AEEF">
      <w:pPr>
        <w:tabs>
          <w:tab w:val="left" w:pos="0"/>
        </w:tabs>
        <w:spacing w:line="420" w:lineRule="exact"/>
        <w:ind w:right="-27" w:firstLine="480"/>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1、服务内容：</w:t>
      </w:r>
      <w:r>
        <w:rPr>
          <w:rFonts w:hint="eastAsia" w:ascii="宋体" w:hAnsi="宋体" w:cs="宋体"/>
          <w:bCs/>
          <w:color w:val="000000" w:themeColor="text1"/>
          <w:sz w:val="24"/>
          <w:szCs w:val="24"/>
          <w:u w:val="single"/>
          <w14:textFill>
            <w14:solidFill>
              <w14:schemeClr w14:val="tx1"/>
            </w14:solidFill>
          </w14:textFill>
        </w:rPr>
        <w:t>常熟市河道管理处所需的</w:t>
      </w:r>
      <w:r>
        <w:rPr>
          <w:rFonts w:hint="eastAsia" w:ascii="宋体" w:hAnsi="宋体" w:cs="宋体"/>
          <w:bCs/>
          <w:color w:val="000000" w:themeColor="text1"/>
          <w:sz w:val="24"/>
          <w:szCs w:val="24"/>
          <w:u w:val="single"/>
          <w:lang w:eastAsia="zh-CN"/>
          <w14:textFill>
            <w14:solidFill>
              <w14:schemeClr w14:val="tx1"/>
            </w14:solidFill>
          </w14:textFill>
        </w:rPr>
        <w:t>2024-2025年度市级河道绿化养护</w:t>
      </w:r>
      <w:r>
        <w:rPr>
          <w:rFonts w:hint="eastAsia" w:ascii="宋体" w:hAnsi="宋体" w:cs="宋体"/>
          <w:bCs/>
          <w:color w:val="000000" w:themeColor="text1"/>
          <w:sz w:val="24"/>
          <w:szCs w:val="24"/>
          <w:u w:val="single"/>
          <w14:textFill>
            <w14:solidFill>
              <w14:schemeClr w14:val="tx1"/>
            </w14:solidFill>
          </w14:textFill>
        </w:rPr>
        <w:t>。</w:t>
      </w:r>
    </w:p>
    <w:p w14:paraId="21807C03">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2、服务期限：自合同签订之日起一年。</w:t>
      </w:r>
    </w:p>
    <w:p w14:paraId="22C01994">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3、乙方承诺上述服务由乙方自行完成，不转包予第三方完成。</w:t>
      </w:r>
    </w:p>
    <w:p w14:paraId="3A6AEA5B">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第四条 合同价款</w:t>
      </w:r>
    </w:p>
    <w:p w14:paraId="1156AFB2">
      <w:pPr>
        <w:tabs>
          <w:tab w:val="left" w:pos="0"/>
        </w:tabs>
        <w:spacing w:line="440" w:lineRule="exact"/>
        <w:ind w:right="-27" w:firstLine="787" w:firstLineChars="328"/>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本项目采用固定总价合同，合同项下合同金额为</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元。</w:t>
      </w:r>
    </w:p>
    <w:p w14:paraId="66F73086">
      <w:pPr>
        <w:tabs>
          <w:tab w:val="left" w:pos="0"/>
        </w:tabs>
        <w:spacing w:line="46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第五条 付款方式 </w:t>
      </w:r>
    </w:p>
    <w:p w14:paraId="7BEED954">
      <w:pPr>
        <w:spacing w:line="440" w:lineRule="exact"/>
        <w:ind w:firstLine="720" w:firstLineChars="300"/>
        <w:rPr>
          <w:rFonts w:ascii="宋体" w:hAnsi="宋体"/>
          <w:i/>
          <w:iCs/>
          <w:color w:val="000000"/>
          <w:kern w:val="2"/>
          <w:sz w:val="24"/>
          <w:szCs w:val="24"/>
          <w:u w:val="single"/>
        </w:rPr>
      </w:pPr>
      <w:r>
        <w:rPr>
          <w:rFonts w:hint="eastAsia" w:ascii="宋体" w:hAnsi="宋体"/>
          <w:i/>
          <w:iCs/>
          <w:color w:val="000000"/>
          <w:kern w:val="2"/>
          <w:sz w:val="24"/>
          <w:szCs w:val="24"/>
          <w:u w:val="single"/>
        </w:rPr>
        <w:t>1</w:t>
      </w:r>
      <w:r>
        <w:rPr>
          <w:rFonts w:hint="eastAsia" w:ascii="宋体" w:hAnsi="宋体"/>
          <w:i/>
          <w:iCs/>
          <w:color w:val="000000"/>
          <w:kern w:val="2"/>
          <w:sz w:val="24"/>
          <w:szCs w:val="24"/>
          <w:u w:val="single"/>
          <w:lang w:eastAsia="zh-CN"/>
        </w:rPr>
        <w:t>、</w:t>
      </w:r>
      <w:r>
        <w:rPr>
          <w:rFonts w:hint="eastAsia" w:ascii="宋体" w:hAnsi="宋体"/>
          <w:i/>
          <w:iCs/>
          <w:color w:val="000000"/>
          <w:kern w:val="2"/>
          <w:sz w:val="24"/>
          <w:szCs w:val="24"/>
          <w:u w:val="single"/>
        </w:rPr>
        <w:t>本项目合同款支付货币：（√）数字人民币，（√）传统实物人民币</w:t>
      </w:r>
    </w:p>
    <w:p w14:paraId="5BFAC793">
      <w:pPr>
        <w:spacing w:line="440" w:lineRule="exact"/>
        <w:ind w:firstLine="720" w:firstLineChars="300"/>
        <w:rPr>
          <w:rFonts w:ascii="宋体" w:hAnsi="宋体"/>
          <w:i/>
          <w:iCs/>
          <w:color w:val="000000"/>
          <w:kern w:val="2"/>
          <w:sz w:val="24"/>
          <w:szCs w:val="24"/>
          <w:u w:val="single"/>
        </w:rPr>
      </w:pPr>
      <w:r>
        <w:rPr>
          <w:rFonts w:ascii="宋体" w:hAnsi="宋体"/>
          <w:i/>
          <w:iCs/>
          <w:color w:val="000000"/>
          <w:kern w:val="2"/>
          <w:sz w:val="24"/>
          <w:szCs w:val="24"/>
          <w:u w:val="single"/>
        </w:rPr>
        <w:t>2</w:t>
      </w:r>
      <w:r>
        <w:rPr>
          <w:rFonts w:hint="eastAsia" w:ascii="宋体" w:hAnsi="宋体"/>
          <w:i/>
          <w:iCs/>
          <w:color w:val="000000"/>
          <w:kern w:val="2"/>
          <w:sz w:val="24"/>
          <w:szCs w:val="24"/>
          <w:u w:val="single"/>
          <w:lang w:eastAsia="zh-CN"/>
        </w:rPr>
        <w:t>、</w:t>
      </w:r>
      <w:r>
        <w:rPr>
          <w:rFonts w:hint="eastAsia" w:ascii="宋体" w:hAnsi="宋体"/>
          <w:i/>
          <w:iCs/>
          <w:color w:val="000000"/>
          <w:kern w:val="2"/>
          <w:sz w:val="24"/>
          <w:szCs w:val="24"/>
          <w:u w:val="single"/>
        </w:rPr>
        <w:t>合同签订后，</w:t>
      </w:r>
      <w:r>
        <w:rPr>
          <w:rFonts w:hint="eastAsia" w:ascii="宋体" w:hAnsi="宋体"/>
          <w:i/>
          <w:iCs/>
          <w:color w:val="000000"/>
          <w:kern w:val="2"/>
          <w:sz w:val="24"/>
          <w:szCs w:val="24"/>
          <w:u w:val="single"/>
          <w:lang w:val="en-US" w:eastAsia="zh-CN"/>
        </w:rPr>
        <w:t>甲方</w:t>
      </w:r>
      <w:r>
        <w:rPr>
          <w:rFonts w:hint="eastAsia" w:ascii="宋体" w:hAnsi="宋体"/>
          <w:i/>
          <w:iCs/>
          <w:color w:val="000000"/>
          <w:kern w:val="2"/>
          <w:sz w:val="24"/>
          <w:szCs w:val="24"/>
          <w:u w:val="single"/>
        </w:rPr>
        <w:t>向</w:t>
      </w:r>
      <w:r>
        <w:rPr>
          <w:rFonts w:hint="eastAsia" w:ascii="宋体" w:hAnsi="宋体"/>
          <w:i/>
          <w:iCs/>
          <w:color w:val="000000"/>
          <w:kern w:val="2"/>
          <w:sz w:val="24"/>
          <w:szCs w:val="24"/>
          <w:u w:val="single"/>
          <w:lang w:val="en-US" w:eastAsia="zh-CN"/>
        </w:rPr>
        <w:t>乙方</w:t>
      </w:r>
      <w:r>
        <w:rPr>
          <w:rFonts w:hint="eastAsia" w:ascii="宋体" w:hAnsi="宋体"/>
          <w:i/>
          <w:iCs/>
          <w:color w:val="000000"/>
          <w:kern w:val="2"/>
          <w:sz w:val="24"/>
          <w:szCs w:val="24"/>
          <w:u w:val="single"/>
        </w:rPr>
        <w:t>预先支付合同金额的10%；</w:t>
      </w:r>
    </w:p>
    <w:p w14:paraId="1293E94D">
      <w:pPr>
        <w:spacing w:line="440" w:lineRule="exact"/>
        <w:ind w:firstLine="720" w:firstLineChars="300"/>
        <w:rPr>
          <w:rFonts w:ascii="宋体" w:hAnsi="宋体"/>
          <w:i/>
          <w:iCs/>
          <w:color w:val="000000"/>
          <w:kern w:val="2"/>
          <w:sz w:val="24"/>
          <w:szCs w:val="24"/>
          <w:u w:val="single"/>
        </w:rPr>
      </w:pPr>
      <w:r>
        <w:rPr>
          <w:rFonts w:ascii="宋体" w:hAnsi="宋体"/>
          <w:i/>
          <w:iCs/>
          <w:color w:val="000000"/>
          <w:kern w:val="2"/>
          <w:sz w:val="24"/>
          <w:szCs w:val="24"/>
          <w:u w:val="single"/>
        </w:rPr>
        <w:t>3</w:t>
      </w:r>
      <w:r>
        <w:rPr>
          <w:rFonts w:hint="eastAsia" w:ascii="宋体" w:hAnsi="宋体"/>
          <w:i/>
          <w:iCs/>
          <w:color w:val="000000"/>
          <w:kern w:val="2"/>
          <w:sz w:val="24"/>
          <w:szCs w:val="24"/>
          <w:u w:val="single"/>
          <w:lang w:eastAsia="zh-CN"/>
        </w:rPr>
        <w:t>、</w:t>
      </w:r>
      <w:r>
        <w:rPr>
          <w:rFonts w:hint="eastAsia" w:ascii="宋体" w:hAnsi="宋体"/>
          <w:i/>
          <w:iCs/>
          <w:color w:val="000000"/>
          <w:kern w:val="2"/>
          <w:sz w:val="24"/>
          <w:szCs w:val="24"/>
          <w:u w:val="single"/>
        </w:rPr>
        <w:t>服务费由</w:t>
      </w:r>
      <w:r>
        <w:rPr>
          <w:rFonts w:hint="eastAsia" w:ascii="宋体" w:hAnsi="宋体"/>
          <w:i/>
          <w:iCs/>
          <w:color w:val="000000"/>
          <w:kern w:val="2"/>
          <w:sz w:val="24"/>
          <w:szCs w:val="24"/>
          <w:u w:val="single"/>
          <w:lang w:val="en-US" w:eastAsia="zh-CN"/>
        </w:rPr>
        <w:t>甲方</w:t>
      </w:r>
      <w:r>
        <w:rPr>
          <w:rFonts w:hint="eastAsia" w:ascii="宋体" w:hAnsi="宋体"/>
          <w:i/>
          <w:iCs/>
          <w:color w:val="000000"/>
          <w:kern w:val="2"/>
          <w:sz w:val="24"/>
          <w:szCs w:val="24"/>
          <w:u w:val="single"/>
        </w:rPr>
        <w:t>对</w:t>
      </w:r>
      <w:r>
        <w:rPr>
          <w:rFonts w:hint="eastAsia" w:ascii="宋体" w:hAnsi="宋体"/>
          <w:i/>
          <w:iCs/>
          <w:color w:val="000000"/>
          <w:kern w:val="2"/>
          <w:sz w:val="24"/>
          <w:szCs w:val="24"/>
          <w:u w:val="single"/>
          <w:lang w:val="en-US" w:eastAsia="zh-CN"/>
        </w:rPr>
        <w:t>乙方</w:t>
      </w:r>
      <w:r>
        <w:rPr>
          <w:rFonts w:hint="eastAsia" w:ascii="宋体" w:hAnsi="宋体"/>
          <w:i/>
          <w:iCs/>
          <w:color w:val="000000"/>
          <w:kern w:val="2"/>
          <w:sz w:val="24"/>
          <w:szCs w:val="24"/>
          <w:u w:val="single"/>
        </w:rPr>
        <w:t>实行季度考核后，按季度考核结果在月后的30个自然日内支付。考核办法详见附件《市级河道绿化养护服务考核办法》。</w:t>
      </w:r>
    </w:p>
    <w:p w14:paraId="60143FEE">
      <w:pPr>
        <w:spacing w:line="440" w:lineRule="exact"/>
        <w:rPr>
          <w:rFonts w:ascii="宋体" w:hAnsi="宋体"/>
          <w:bCs/>
          <w:i/>
          <w:iCs/>
          <w:color w:val="000000"/>
          <w:kern w:val="2"/>
          <w:sz w:val="24"/>
          <w:szCs w:val="24"/>
          <w:u w:val="single"/>
        </w:rPr>
      </w:pPr>
      <w:r>
        <w:rPr>
          <w:rFonts w:hint="eastAsia" w:ascii="宋体" w:hAnsi="宋体"/>
          <w:b/>
          <w:bCs/>
          <w:i/>
          <w:iCs/>
          <w:color w:val="000000"/>
          <w:kern w:val="2"/>
          <w:sz w:val="24"/>
          <w:szCs w:val="24"/>
          <w:u w:val="single"/>
        </w:rPr>
        <w:t>注：</w:t>
      </w:r>
      <w:r>
        <w:rPr>
          <w:rFonts w:hint="eastAsia" w:ascii="宋体" w:hAnsi="宋体"/>
          <w:bCs/>
          <w:i/>
          <w:iCs/>
          <w:color w:val="000000"/>
          <w:kern w:val="2"/>
          <w:sz w:val="24"/>
          <w:szCs w:val="24"/>
          <w:u w:val="single"/>
        </w:rPr>
        <w:t>（1）签订合同时，</w:t>
      </w:r>
      <w:r>
        <w:rPr>
          <w:rFonts w:hint="eastAsia" w:ascii="宋体" w:hAnsi="宋体"/>
          <w:bCs/>
          <w:i/>
          <w:iCs/>
          <w:color w:val="000000"/>
          <w:kern w:val="2"/>
          <w:sz w:val="24"/>
          <w:szCs w:val="24"/>
          <w:u w:val="single"/>
          <w:lang w:val="en-US" w:eastAsia="zh-CN"/>
        </w:rPr>
        <w:t>乙方</w:t>
      </w:r>
      <w:r>
        <w:rPr>
          <w:rFonts w:hint="eastAsia" w:ascii="宋体" w:hAnsi="宋体"/>
          <w:bCs/>
          <w:i/>
          <w:iCs/>
          <w:color w:val="000000"/>
          <w:kern w:val="2"/>
          <w:sz w:val="24"/>
          <w:szCs w:val="24"/>
          <w:u w:val="single"/>
        </w:rPr>
        <w:t>明确表示无需预付款的，可不执行第“</w:t>
      </w:r>
      <w:r>
        <w:rPr>
          <w:rFonts w:ascii="宋体" w:hAnsi="宋体"/>
          <w:bCs/>
          <w:i/>
          <w:iCs/>
          <w:color w:val="000000"/>
          <w:kern w:val="2"/>
          <w:sz w:val="24"/>
          <w:szCs w:val="24"/>
          <w:u w:val="single"/>
        </w:rPr>
        <w:t>2</w:t>
      </w:r>
      <w:r>
        <w:rPr>
          <w:rFonts w:hint="eastAsia" w:ascii="宋体" w:hAnsi="宋体"/>
          <w:bCs/>
          <w:i/>
          <w:iCs/>
          <w:color w:val="000000"/>
          <w:kern w:val="2"/>
          <w:sz w:val="24"/>
          <w:szCs w:val="24"/>
          <w:u w:val="single"/>
        </w:rPr>
        <w:t>”款规定。</w:t>
      </w:r>
    </w:p>
    <w:p w14:paraId="67D9F4BA">
      <w:pPr>
        <w:spacing w:line="440" w:lineRule="exact"/>
        <w:ind w:firstLine="240" w:firstLineChars="100"/>
        <w:rPr>
          <w:rFonts w:ascii="宋体" w:hAnsi="宋体"/>
          <w:bCs/>
          <w:i/>
          <w:iCs/>
          <w:color w:val="000000"/>
          <w:kern w:val="2"/>
          <w:sz w:val="24"/>
          <w:szCs w:val="24"/>
          <w:u w:val="single"/>
        </w:rPr>
      </w:pPr>
      <w:r>
        <w:rPr>
          <w:rFonts w:hint="eastAsia" w:ascii="宋体" w:hAnsi="宋体"/>
          <w:bCs/>
          <w:i/>
          <w:iCs/>
          <w:color w:val="000000"/>
          <w:kern w:val="2"/>
          <w:sz w:val="24"/>
          <w:szCs w:val="24"/>
          <w:u w:val="single"/>
        </w:rPr>
        <w:t>（2）以上每次付款前，</w:t>
      </w:r>
      <w:r>
        <w:rPr>
          <w:rFonts w:hint="eastAsia" w:ascii="宋体" w:hAnsi="宋体"/>
          <w:bCs/>
          <w:i/>
          <w:iCs/>
          <w:color w:val="000000"/>
          <w:kern w:val="2"/>
          <w:sz w:val="24"/>
          <w:szCs w:val="24"/>
          <w:u w:val="single"/>
          <w:lang w:val="en-US" w:eastAsia="zh-CN"/>
        </w:rPr>
        <w:t>乙方</w:t>
      </w:r>
      <w:r>
        <w:rPr>
          <w:rFonts w:hint="eastAsia" w:ascii="宋体" w:hAnsi="宋体"/>
          <w:bCs/>
          <w:i/>
          <w:iCs/>
          <w:color w:val="000000"/>
          <w:kern w:val="2"/>
          <w:sz w:val="24"/>
          <w:szCs w:val="24"/>
          <w:u w:val="single"/>
        </w:rPr>
        <w:t>均应提供符合</w:t>
      </w:r>
      <w:r>
        <w:rPr>
          <w:rFonts w:hint="eastAsia" w:ascii="宋体" w:hAnsi="宋体"/>
          <w:bCs/>
          <w:i/>
          <w:iCs/>
          <w:color w:val="000000"/>
          <w:kern w:val="2"/>
          <w:sz w:val="24"/>
          <w:szCs w:val="24"/>
          <w:u w:val="single"/>
          <w:lang w:val="en-US" w:eastAsia="zh-CN"/>
        </w:rPr>
        <w:t>甲方</w:t>
      </w:r>
      <w:r>
        <w:rPr>
          <w:rFonts w:hint="eastAsia" w:ascii="宋体" w:hAnsi="宋体"/>
          <w:bCs/>
          <w:i/>
          <w:iCs/>
          <w:color w:val="000000"/>
          <w:kern w:val="2"/>
          <w:sz w:val="24"/>
          <w:szCs w:val="24"/>
          <w:u w:val="single"/>
        </w:rPr>
        <w:t>要求的同等金额的合法有效发票。否则，</w:t>
      </w:r>
      <w:r>
        <w:rPr>
          <w:rFonts w:hint="eastAsia" w:ascii="宋体" w:hAnsi="宋体"/>
          <w:bCs/>
          <w:i/>
          <w:iCs/>
          <w:color w:val="000000"/>
          <w:kern w:val="2"/>
          <w:sz w:val="24"/>
          <w:szCs w:val="24"/>
          <w:u w:val="single"/>
          <w:lang w:val="en-US" w:eastAsia="zh-CN"/>
        </w:rPr>
        <w:t>甲方</w:t>
      </w:r>
      <w:r>
        <w:rPr>
          <w:rFonts w:hint="eastAsia" w:ascii="宋体" w:hAnsi="宋体"/>
          <w:bCs/>
          <w:i/>
          <w:iCs/>
          <w:color w:val="000000"/>
          <w:kern w:val="2"/>
          <w:sz w:val="24"/>
          <w:szCs w:val="24"/>
          <w:u w:val="single"/>
        </w:rPr>
        <w:t>有权顺延付款时间，且不承担任何违约或赔偿责任。</w:t>
      </w:r>
    </w:p>
    <w:p w14:paraId="5B71E458">
      <w:pPr>
        <w:spacing w:line="480" w:lineRule="exact"/>
        <w:ind w:firstLine="241" w:firstLineChars="10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注：①签订合同时，乙方明确表示无需预付款的，可不执行第“</w:t>
      </w:r>
      <w:r>
        <w:rPr>
          <w:rFonts w:hint="eastAsia" w:ascii="宋体" w:hAnsi="宋体"/>
          <w:b/>
          <w:color w:val="000000" w:themeColor="text1"/>
          <w:sz w:val="24"/>
          <w:szCs w:val="24"/>
          <w:lang w:val="en-US" w:eastAsia="zh-CN"/>
          <w14:textFill>
            <w14:solidFill>
              <w14:schemeClr w14:val="tx1"/>
            </w14:solidFill>
          </w14:textFill>
        </w:rPr>
        <w:t>2</w:t>
      </w:r>
      <w:r>
        <w:rPr>
          <w:rFonts w:hint="eastAsia" w:ascii="宋体" w:hAnsi="宋体"/>
          <w:b/>
          <w:color w:val="000000" w:themeColor="text1"/>
          <w:sz w:val="24"/>
          <w:szCs w:val="24"/>
          <w14:textFill>
            <w14:solidFill>
              <w14:schemeClr w14:val="tx1"/>
            </w14:solidFill>
          </w14:textFill>
        </w:rPr>
        <w:t>”条款规定；</w:t>
      </w:r>
    </w:p>
    <w:p w14:paraId="026F3FC3">
      <w:pPr>
        <w:spacing w:line="480" w:lineRule="exact"/>
        <w:ind w:firstLine="723" w:firstLineChars="30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②以上每次付款前，乙方均应提供符合甲方要求的同等金额的合法有效发票。否则，甲方有权顺延付款时间，且不承担任何违约及/或赔偿责任。</w:t>
      </w:r>
    </w:p>
    <w:p w14:paraId="2BD2F3FF">
      <w:pPr>
        <w:spacing w:line="440" w:lineRule="exact"/>
        <w:ind w:firstLine="472" w:firstLineChars="196"/>
        <w:rPr>
          <w:b/>
          <w:color w:val="000000"/>
          <w:sz w:val="24"/>
          <w:szCs w:val="24"/>
        </w:rPr>
      </w:pPr>
      <w:r>
        <w:rPr>
          <w:rFonts w:ascii="宋体" w:hAnsi="宋体"/>
          <w:b/>
          <w:color w:val="000000"/>
          <w:sz w:val="24"/>
          <w:szCs w:val="24"/>
        </w:rPr>
        <w:t>第</w:t>
      </w:r>
      <w:r>
        <w:rPr>
          <w:rFonts w:hint="eastAsia" w:ascii="宋体" w:hAnsi="宋体"/>
          <w:b/>
          <w:color w:val="000000"/>
          <w:sz w:val="24"/>
          <w:szCs w:val="24"/>
        </w:rPr>
        <w:t>六</w:t>
      </w:r>
      <w:r>
        <w:rPr>
          <w:rFonts w:ascii="宋体" w:hAnsi="宋体"/>
          <w:b/>
          <w:color w:val="000000"/>
          <w:sz w:val="24"/>
          <w:szCs w:val="24"/>
        </w:rPr>
        <w:t>条</w:t>
      </w:r>
      <w:r>
        <w:rPr>
          <w:b/>
          <w:color w:val="000000"/>
          <w:sz w:val="24"/>
          <w:szCs w:val="24"/>
        </w:rPr>
        <w:t xml:space="preserve">  </w:t>
      </w:r>
      <w:r>
        <w:rPr>
          <w:rFonts w:hint="eastAsia" w:ascii="宋体" w:hAnsi="宋体"/>
          <w:b/>
          <w:color w:val="000000"/>
          <w:sz w:val="24"/>
          <w:szCs w:val="24"/>
        </w:rPr>
        <w:t>考核办法</w:t>
      </w:r>
    </w:p>
    <w:p w14:paraId="53962071">
      <w:pPr>
        <w:spacing w:line="440" w:lineRule="exact"/>
        <w:ind w:firstLine="720" w:firstLineChars="300"/>
        <w:rPr>
          <w:b/>
          <w:color w:val="auto"/>
          <w:sz w:val="24"/>
          <w:szCs w:val="24"/>
        </w:rPr>
      </w:pPr>
      <w:r>
        <w:rPr>
          <w:rFonts w:ascii="宋体" w:hAnsi="宋体"/>
          <w:color w:val="auto"/>
          <w:sz w:val="24"/>
          <w:szCs w:val="24"/>
        </w:rPr>
        <w:t>考核</w:t>
      </w:r>
      <w:r>
        <w:rPr>
          <w:rFonts w:hint="eastAsia" w:ascii="宋体" w:hAnsi="宋体"/>
          <w:color w:val="auto"/>
          <w:sz w:val="24"/>
          <w:szCs w:val="24"/>
        </w:rPr>
        <w:t>办法详见附件</w:t>
      </w:r>
      <w:r>
        <w:rPr>
          <w:rFonts w:ascii="宋体" w:hAnsi="宋体"/>
          <w:color w:val="auto"/>
          <w:sz w:val="24"/>
          <w:szCs w:val="24"/>
        </w:rPr>
        <w:t>。</w:t>
      </w:r>
    </w:p>
    <w:p w14:paraId="1831BE49">
      <w:pPr>
        <w:spacing w:line="440" w:lineRule="exact"/>
        <w:ind w:firstLine="720" w:firstLineChars="300"/>
        <w:rPr>
          <w:color w:val="auto"/>
          <w:sz w:val="24"/>
          <w:szCs w:val="24"/>
        </w:rPr>
      </w:pPr>
      <w:r>
        <w:rPr>
          <w:rFonts w:ascii="宋体" w:hAnsi="宋体"/>
          <w:color w:val="auto"/>
          <w:sz w:val="24"/>
          <w:szCs w:val="24"/>
        </w:rPr>
        <w:t>甲方对乙方实行</w:t>
      </w:r>
      <w:r>
        <w:rPr>
          <w:rFonts w:hint="eastAsia" w:ascii="宋体" w:hAnsi="宋体"/>
          <w:color w:val="auto"/>
          <w:sz w:val="24"/>
          <w:szCs w:val="24"/>
        </w:rPr>
        <w:t>季度</w:t>
      </w:r>
      <w:r>
        <w:rPr>
          <w:rFonts w:ascii="宋体" w:hAnsi="宋体"/>
          <w:color w:val="auto"/>
          <w:sz w:val="24"/>
          <w:szCs w:val="24"/>
        </w:rPr>
        <w:t>考核，服务费用按</w:t>
      </w:r>
      <w:r>
        <w:rPr>
          <w:rFonts w:hint="eastAsia" w:ascii="宋体" w:hAnsi="宋体"/>
          <w:color w:val="auto"/>
          <w:sz w:val="24"/>
          <w:szCs w:val="24"/>
        </w:rPr>
        <w:t>季度</w:t>
      </w:r>
      <w:r>
        <w:rPr>
          <w:rFonts w:ascii="宋体" w:hAnsi="宋体"/>
          <w:color w:val="auto"/>
          <w:sz w:val="24"/>
          <w:szCs w:val="24"/>
        </w:rPr>
        <w:t>依据绩效支付。</w:t>
      </w:r>
    </w:p>
    <w:p w14:paraId="5FD99BC6">
      <w:pPr>
        <w:spacing w:line="440" w:lineRule="exact"/>
        <w:ind w:firstLine="720" w:firstLineChars="300"/>
        <w:jc w:val="left"/>
        <w:rPr>
          <w:color w:val="auto"/>
          <w:sz w:val="24"/>
          <w:szCs w:val="24"/>
        </w:rPr>
      </w:pPr>
      <w:r>
        <w:rPr>
          <w:rFonts w:ascii="宋体" w:hAnsi="宋体"/>
          <w:color w:val="auto"/>
          <w:sz w:val="24"/>
          <w:szCs w:val="24"/>
        </w:rPr>
        <w:t>考核平均得分在</w:t>
      </w:r>
      <w:r>
        <w:rPr>
          <w:color w:val="auto"/>
          <w:sz w:val="24"/>
          <w:szCs w:val="24"/>
        </w:rPr>
        <w:t>95</w:t>
      </w:r>
      <w:r>
        <w:rPr>
          <w:rFonts w:ascii="宋体" w:hAnsi="宋体"/>
          <w:color w:val="auto"/>
          <w:sz w:val="24"/>
          <w:szCs w:val="24"/>
        </w:rPr>
        <w:t>分（含）以上的，支付合同金额季度平均分配额的</w:t>
      </w:r>
      <w:r>
        <w:rPr>
          <w:rFonts w:cs="Calibri"/>
          <w:color w:val="auto"/>
          <w:sz w:val="24"/>
          <w:szCs w:val="24"/>
        </w:rPr>
        <w:t>100%</w:t>
      </w:r>
      <w:r>
        <w:rPr>
          <w:rFonts w:ascii="宋体" w:hAnsi="宋体"/>
          <w:color w:val="auto"/>
          <w:sz w:val="24"/>
          <w:szCs w:val="24"/>
        </w:rPr>
        <w:t>；</w:t>
      </w:r>
    </w:p>
    <w:p w14:paraId="5ADD78E7">
      <w:pPr>
        <w:spacing w:line="440" w:lineRule="exact"/>
        <w:ind w:firstLine="720" w:firstLineChars="300"/>
        <w:jc w:val="left"/>
        <w:rPr>
          <w:color w:val="auto"/>
          <w:sz w:val="24"/>
          <w:szCs w:val="24"/>
        </w:rPr>
      </w:pPr>
      <w:r>
        <w:rPr>
          <w:rFonts w:ascii="宋体" w:hAnsi="宋体"/>
          <w:color w:val="auto"/>
          <w:sz w:val="24"/>
          <w:szCs w:val="24"/>
        </w:rPr>
        <w:t>考核平均得分在</w:t>
      </w:r>
      <w:r>
        <w:rPr>
          <w:color w:val="auto"/>
          <w:sz w:val="24"/>
          <w:szCs w:val="24"/>
        </w:rPr>
        <w:t>90</w:t>
      </w:r>
      <w:r>
        <w:rPr>
          <w:rFonts w:ascii="宋体" w:hAnsi="宋体"/>
          <w:color w:val="auto"/>
          <w:sz w:val="24"/>
          <w:szCs w:val="24"/>
        </w:rPr>
        <w:t>分（含）以上不满</w:t>
      </w:r>
      <w:r>
        <w:rPr>
          <w:rFonts w:cs="Calibri"/>
          <w:color w:val="auto"/>
          <w:sz w:val="24"/>
          <w:szCs w:val="24"/>
        </w:rPr>
        <w:t>95</w:t>
      </w:r>
      <w:r>
        <w:rPr>
          <w:rFonts w:ascii="宋体" w:hAnsi="宋体"/>
          <w:color w:val="auto"/>
          <w:sz w:val="24"/>
          <w:szCs w:val="24"/>
        </w:rPr>
        <w:t>分的，支付合同金额季度平均分配额的</w:t>
      </w:r>
      <w:r>
        <w:rPr>
          <w:rFonts w:hint="eastAsia" w:cs="Calibri"/>
          <w:color w:val="auto"/>
          <w:sz w:val="24"/>
          <w:szCs w:val="24"/>
        </w:rPr>
        <w:t>99%</w:t>
      </w:r>
      <w:r>
        <w:rPr>
          <w:rFonts w:ascii="宋体" w:hAnsi="宋体"/>
          <w:color w:val="auto"/>
          <w:sz w:val="24"/>
          <w:szCs w:val="24"/>
        </w:rPr>
        <w:t>；</w:t>
      </w:r>
    </w:p>
    <w:p w14:paraId="21E6D279">
      <w:pPr>
        <w:spacing w:line="440" w:lineRule="exact"/>
        <w:ind w:firstLine="720" w:firstLineChars="300"/>
        <w:jc w:val="left"/>
        <w:rPr>
          <w:color w:val="auto"/>
          <w:sz w:val="24"/>
          <w:szCs w:val="24"/>
        </w:rPr>
      </w:pPr>
      <w:r>
        <w:rPr>
          <w:rFonts w:ascii="宋体" w:hAnsi="宋体"/>
          <w:color w:val="auto"/>
          <w:sz w:val="24"/>
          <w:szCs w:val="24"/>
        </w:rPr>
        <w:t>考核平均得分在</w:t>
      </w:r>
      <w:r>
        <w:rPr>
          <w:color w:val="auto"/>
          <w:sz w:val="24"/>
          <w:szCs w:val="24"/>
        </w:rPr>
        <w:t>85</w:t>
      </w:r>
      <w:r>
        <w:rPr>
          <w:rFonts w:ascii="宋体" w:hAnsi="宋体"/>
          <w:color w:val="auto"/>
          <w:sz w:val="24"/>
          <w:szCs w:val="24"/>
        </w:rPr>
        <w:t>分（含）以上不满</w:t>
      </w:r>
      <w:r>
        <w:rPr>
          <w:rFonts w:cs="Calibri"/>
          <w:color w:val="auto"/>
          <w:sz w:val="24"/>
          <w:szCs w:val="24"/>
        </w:rPr>
        <w:t>90</w:t>
      </w:r>
      <w:r>
        <w:rPr>
          <w:rFonts w:ascii="宋体" w:hAnsi="宋体"/>
          <w:color w:val="auto"/>
          <w:sz w:val="24"/>
          <w:szCs w:val="24"/>
        </w:rPr>
        <w:t>分的，支付合同金额季度平均分配额的</w:t>
      </w:r>
      <w:r>
        <w:rPr>
          <w:rFonts w:hint="eastAsia" w:cs="Calibri"/>
          <w:color w:val="auto"/>
          <w:sz w:val="24"/>
          <w:szCs w:val="24"/>
        </w:rPr>
        <w:t>97%</w:t>
      </w:r>
      <w:r>
        <w:rPr>
          <w:rFonts w:ascii="宋体" w:hAnsi="宋体"/>
          <w:color w:val="auto"/>
          <w:sz w:val="24"/>
          <w:szCs w:val="24"/>
        </w:rPr>
        <w:t>；</w:t>
      </w:r>
    </w:p>
    <w:p w14:paraId="6D62DBDA">
      <w:pPr>
        <w:spacing w:line="440" w:lineRule="exact"/>
        <w:ind w:firstLine="720" w:firstLineChars="300"/>
        <w:jc w:val="left"/>
        <w:rPr>
          <w:color w:val="auto"/>
          <w:sz w:val="24"/>
          <w:szCs w:val="24"/>
        </w:rPr>
      </w:pPr>
      <w:r>
        <w:rPr>
          <w:rFonts w:ascii="宋体" w:hAnsi="宋体"/>
          <w:color w:val="auto"/>
          <w:sz w:val="24"/>
          <w:szCs w:val="24"/>
        </w:rPr>
        <w:t>考核平均得分在</w:t>
      </w:r>
      <w:r>
        <w:rPr>
          <w:color w:val="auto"/>
          <w:sz w:val="24"/>
          <w:szCs w:val="24"/>
        </w:rPr>
        <w:t>85</w:t>
      </w:r>
      <w:r>
        <w:rPr>
          <w:rFonts w:ascii="宋体" w:hAnsi="宋体"/>
          <w:color w:val="auto"/>
          <w:sz w:val="24"/>
          <w:szCs w:val="24"/>
        </w:rPr>
        <w:t>分以下的，支付合同金额季度平均分配额的</w:t>
      </w:r>
      <w:r>
        <w:rPr>
          <w:rFonts w:cs="Calibri"/>
          <w:color w:val="auto"/>
          <w:sz w:val="24"/>
          <w:szCs w:val="24"/>
        </w:rPr>
        <w:t>9</w:t>
      </w:r>
      <w:r>
        <w:rPr>
          <w:rFonts w:hint="eastAsia" w:cs="Calibri"/>
          <w:color w:val="auto"/>
          <w:sz w:val="24"/>
          <w:szCs w:val="24"/>
        </w:rPr>
        <w:t>5</w:t>
      </w:r>
      <w:r>
        <w:rPr>
          <w:color w:val="auto"/>
          <w:sz w:val="24"/>
          <w:szCs w:val="24"/>
        </w:rPr>
        <w:t>%</w:t>
      </w:r>
      <w:r>
        <w:rPr>
          <w:rFonts w:ascii="宋体" w:hAnsi="宋体"/>
          <w:color w:val="auto"/>
          <w:sz w:val="24"/>
          <w:szCs w:val="24"/>
        </w:rPr>
        <w:t>。</w:t>
      </w:r>
    </w:p>
    <w:p w14:paraId="6E556359">
      <w:pPr>
        <w:spacing w:line="440" w:lineRule="exact"/>
        <w:ind w:firstLine="720" w:firstLineChars="300"/>
        <w:rPr>
          <w:color w:val="auto"/>
          <w:sz w:val="24"/>
          <w:szCs w:val="24"/>
        </w:rPr>
      </w:pPr>
      <w:r>
        <w:rPr>
          <w:rFonts w:ascii="宋体" w:hAnsi="宋体"/>
          <w:color w:val="auto"/>
          <w:sz w:val="24"/>
          <w:szCs w:val="24"/>
        </w:rPr>
        <w:t>注：连续两个</w:t>
      </w:r>
      <w:r>
        <w:rPr>
          <w:rFonts w:hint="eastAsia" w:ascii="宋体" w:hAnsi="宋体"/>
          <w:color w:val="auto"/>
          <w:sz w:val="24"/>
          <w:szCs w:val="24"/>
        </w:rPr>
        <w:t>月</w:t>
      </w:r>
      <w:r>
        <w:rPr>
          <w:rFonts w:ascii="宋体" w:hAnsi="宋体"/>
          <w:color w:val="auto"/>
          <w:sz w:val="24"/>
          <w:szCs w:val="24"/>
        </w:rPr>
        <w:t>考核平均得分在</w:t>
      </w:r>
      <w:r>
        <w:rPr>
          <w:color w:val="auto"/>
          <w:sz w:val="24"/>
          <w:szCs w:val="24"/>
        </w:rPr>
        <w:t>85</w:t>
      </w:r>
      <w:r>
        <w:rPr>
          <w:rFonts w:ascii="宋体" w:hAnsi="宋体"/>
          <w:color w:val="auto"/>
          <w:sz w:val="24"/>
          <w:szCs w:val="24"/>
        </w:rPr>
        <w:t>分以下的，甲方有权终止合同。</w:t>
      </w:r>
    </w:p>
    <w:p w14:paraId="0BC3E8F0">
      <w:pPr>
        <w:tabs>
          <w:tab w:val="left" w:pos="0"/>
          <w:tab w:val="left" w:pos="6983"/>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第七条 验收办法</w:t>
      </w:r>
      <w:r>
        <w:rPr>
          <w:rFonts w:ascii="宋体" w:hAnsi="宋体" w:cs="宋体"/>
          <w:b/>
          <w:bCs/>
          <w:color w:val="000000" w:themeColor="text1"/>
          <w:sz w:val="24"/>
          <w:szCs w:val="24"/>
          <w14:textFill>
            <w14:solidFill>
              <w14:schemeClr w14:val="tx1"/>
            </w14:solidFill>
          </w14:textFill>
        </w:rPr>
        <w:tab/>
      </w:r>
    </w:p>
    <w:p w14:paraId="6D107164">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1、甲方依法组织履约验收工作。</w:t>
      </w:r>
    </w:p>
    <w:p w14:paraId="44806A39">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2、甲方按照确定的验收方案或分期考核方案（包括履约验收的时间、方式、程序等内容），综合考核情况和服务效果进行验收。乙方应根据验收方案内容做好相应配合工作。</w:t>
      </w:r>
    </w:p>
    <w:p w14:paraId="543DBB49">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3、对于实际使用人和甲方分离的项目，甲方邀请实际使用人参与验收。</w:t>
      </w:r>
    </w:p>
    <w:p w14:paraId="5BB88FE2">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4、如有必要，甲方邀请参加本项目的其他投标人或第三方专业机构及专家参与验收，相关意见将作为验收书的参考资料。</w:t>
      </w:r>
    </w:p>
    <w:p w14:paraId="357BD1CB">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6226F8D">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 验收合格的项目,甲方根据采购合同的约定及时向乙方支付合同款项、退还履约保证金（如有）。验收不合格的项目，甲方依法及时处理。</w:t>
      </w:r>
    </w:p>
    <w:p w14:paraId="45B48003">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第八条</w:t>
      </w:r>
      <w:r>
        <w:rPr>
          <w:rFonts w:ascii="宋体" w:hAnsi="宋体" w:cs="宋体"/>
          <w:b/>
          <w:bCs/>
          <w:color w:val="000000" w:themeColor="text1"/>
          <w:sz w:val="24"/>
          <w:szCs w:val="24"/>
          <w14:textFill>
            <w14:solidFill>
              <w14:schemeClr w14:val="tx1"/>
            </w14:solidFill>
          </w14:textFill>
        </w:rPr>
        <w:t xml:space="preserve">  </w:t>
      </w:r>
      <w:r>
        <w:rPr>
          <w:rFonts w:hint="eastAsia" w:ascii="宋体" w:hAnsi="宋体" w:cs="宋体"/>
          <w:b/>
          <w:bCs/>
          <w:color w:val="000000" w:themeColor="text1"/>
          <w:sz w:val="24"/>
          <w:szCs w:val="24"/>
          <w14:textFill>
            <w14:solidFill>
              <w14:schemeClr w14:val="tx1"/>
            </w14:solidFill>
          </w14:textFill>
        </w:rPr>
        <w:t>双方的其他权利义务</w:t>
      </w:r>
    </w:p>
    <w:p w14:paraId="2619CE25">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1、甲方权利义务</w:t>
      </w:r>
    </w:p>
    <w:p w14:paraId="3D268561">
      <w:pPr>
        <w:tabs>
          <w:tab w:val="left" w:pos="0"/>
        </w:tabs>
        <w:spacing w:line="440" w:lineRule="exact"/>
        <w:ind w:right="-27" w:firstLine="720" w:firstLineChars="3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1.1 甲方权利</w:t>
      </w:r>
    </w:p>
    <w:p w14:paraId="3F55A68A">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甲方有权随时向乙方了解服务进展，提出改进意见和建议；甲方有权根据实际履约质量和进度情况要求乙方按照本合同约定加强管理直至提供符合约定的服务。</w:t>
      </w:r>
    </w:p>
    <w:p w14:paraId="579EDF2B">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1.2</w:t>
      </w:r>
      <w:r>
        <w:rPr>
          <w:rFonts w:hint="eastAsia" w:ascii="宋体" w:hAnsi="宋体" w:cs="宋体"/>
          <w:bCs/>
          <w:color w:val="000000" w:themeColor="text1"/>
          <w:sz w:val="24"/>
          <w:szCs w:val="24"/>
          <w14:textFill>
            <w14:solidFill>
              <w14:schemeClr w14:val="tx1"/>
            </w14:solidFill>
          </w14:textFill>
        </w:rPr>
        <w:t>甲方义务</w:t>
      </w:r>
    </w:p>
    <w:p w14:paraId="6E559A9A">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甲方应按时支付合同价款；为乙方履行合同提供必要的便利条件；本合同约定的其他义务。</w:t>
      </w:r>
    </w:p>
    <w:p w14:paraId="42F73CCF">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2乙方权利义务</w:t>
      </w:r>
    </w:p>
    <w:p w14:paraId="6ECCB674">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2.1乙方权利</w:t>
      </w:r>
    </w:p>
    <w:p w14:paraId="47106153">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乙方有权按照合同获得合同价款；乙方有权根据服务内容的需要，请求甲方予以配合。</w:t>
      </w:r>
    </w:p>
    <w:p w14:paraId="27E265FA">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2.2</w:t>
      </w:r>
      <w:r>
        <w:rPr>
          <w:rFonts w:hint="eastAsia" w:ascii="宋体" w:hAnsi="宋体" w:cs="宋体"/>
          <w:bCs/>
          <w:color w:val="000000" w:themeColor="text1"/>
          <w:sz w:val="24"/>
          <w:szCs w:val="24"/>
          <w14:textFill>
            <w14:solidFill>
              <w14:schemeClr w14:val="tx1"/>
            </w14:solidFill>
          </w14:textFill>
        </w:rPr>
        <w:t>除其他有关条款的约定外，乙方义务还包括：</w:t>
      </w:r>
    </w:p>
    <w:p w14:paraId="134BEA0E">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1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①</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的，视为乙方丧失提供服务的能力。</w:t>
      </w:r>
    </w:p>
    <w:p w14:paraId="4418D9E4">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2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②</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乙方应安排身体健康、品性良好的服务人员为甲方提供服务。</w:t>
      </w:r>
    </w:p>
    <w:p w14:paraId="28C600DE">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3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③</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乙方应保证服务人员的稳定，未经甲方同意，不得变更服务人员。</w:t>
      </w:r>
    </w:p>
    <w:p w14:paraId="38EEFD23">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4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④</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乙方应当及时响应甲方的服务需求，在甲方提出派员到场服务时，应当与甲方确定到场时间。甲方紧急服务需求时，乙方应在</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小时内派员到场。</w:t>
      </w:r>
    </w:p>
    <w:p w14:paraId="1302C8ED">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5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⑤</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定期组织服务人员进行培训学习，不断提高服务人员业务技能。</w:t>
      </w:r>
    </w:p>
    <w:p w14:paraId="7DC290B1">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6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⑥</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乙方做好安全生产工作，对在工作中出现的服务人员的人身安全承担责任，并对由于服务人员的原因导致的第三人的人身财产损失承担赔偿责任。</w:t>
      </w:r>
    </w:p>
    <w:p w14:paraId="53EA87A7">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7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⑦</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7C25D545">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8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⑧</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法规、政策规定由乙方承担的其他责任。</w:t>
      </w:r>
    </w:p>
    <w:p w14:paraId="5B62DA46">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第九条 质量保证</w:t>
      </w:r>
    </w:p>
    <w:p w14:paraId="71D9F2CC">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乙方各项服务承诺指标及所采取的措施按照采购文件要求及相应文件的承诺予以确定。  </w:t>
      </w:r>
    </w:p>
    <w:p w14:paraId="72976887">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第十条 违约责任</w:t>
      </w:r>
    </w:p>
    <w:p w14:paraId="2743103D">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、有下列情形之一的，乙方应当向甲方支付合同约定合同价款金额</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5</w:t>
      </w:r>
      <w:r>
        <w:rPr>
          <w:rFonts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的违约金：</w:t>
      </w:r>
    </w:p>
    <w:p w14:paraId="6DC6CAD3">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1.1</w:t>
      </w:r>
      <w:r>
        <w:rPr>
          <w:rFonts w:hint="eastAsia" w:ascii="宋体" w:hAnsi="宋体" w:cs="宋体"/>
          <w:bCs/>
          <w:color w:val="000000" w:themeColor="text1"/>
          <w:sz w:val="24"/>
          <w:szCs w:val="24"/>
          <w14:textFill>
            <w14:solidFill>
              <w14:schemeClr w14:val="tx1"/>
            </w14:solidFill>
          </w14:textFill>
        </w:rPr>
        <w:t>乙方服务团队成员未经甲方同意发生变更，经甲方要求恢复后，未在合理期限内（</w:t>
      </w:r>
      <w:r>
        <w:rPr>
          <w:rFonts w:ascii="宋体" w:hAnsi="宋体" w:cs="宋体"/>
          <w:bCs/>
          <w:color w:val="000000" w:themeColor="text1"/>
          <w:sz w:val="24"/>
          <w:szCs w:val="24"/>
          <w:u w:val="single"/>
          <w14:textFill>
            <w14:solidFill>
              <w14:schemeClr w14:val="tx1"/>
            </w14:solidFill>
          </w14:textFill>
        </w:rPr>
        <w:t>5</w:t>
      </w:r>
      <w:r>
        <w:rPr>
          <w:rFonts w:hint="eastAsia" w:ascii="宋体" w:hAnsi="宋体" w:cs="宋体"/>
          <w:bCs/>
          <w:color w:val="000000" w:themeColor="text1"/>
          <w:sz w:val="24"/>
          <w:szCs w:val="24"/>
          <w:u w:val="single"/>
          <w14:textFill>
            <w14:solidFill>
              <w14:schemeClr w14:val="tx1"/>
            </w14:solidFill>
          </w14:textFill>
        </w:rPr>
        <w:t>个</w:t>
      </w:r>
      <w:r>
        <w:rPr>
          <w:rFonts w:ascii="宋体" w:hAnsi="宋体" w:cs="宋体"/>
          <w:bCs/>
          <w:color w:val="000000" w:themeColor="text1"/>
          <w:sz w:val="24"/>
          <w:szCs w:val="24"/>
          <w:u w:val="single"/>
          <w14:textFill>
            <w14:solidFill>
              <w14:schemeClr w14:val="tx1"/>
            </w14:solidFill>
          </w14:textFill>
        </w:rPr>
        <w:t>工作</w:t>
      </w:r>
      <w:r>
        <w:rPr>
          <w:rFonts w:hint="eastAsia" w:ascii="宋体" w:hAnsi="宋体" w:cs="宋体"/>
          <w:bCs/>
          <w:color w:val="000000" w:themeColor="text1"/>
          <w:sz w:val="24"/>
          <w:szCs w:val="24"/>
          <w14:textFill>
            <w14:solidFill>
              <w14:schemeClr w14:val="tx1"/>
            </w14:solidFill>
          </w14:textFill>
        </w:rPr>
        <w:t>日内）恢复的；</w:t>
      </w:r>
    </w:p>
    <w:p w14:paraId="68AF9E38">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1.2</w:t>
      </w:r>
      <w:r>
        <w:rPr>
          <w:rFonts w:hint="eastAsia" w:ascii="宋体" w:hAnsi="宋体" w:cs="宋体"/>
          <w:bCs/>
          <w:color w:val="000000" w:themeColor="text1"/>
          <w:sz w:val="24"/>
          <w:szCs w:val="24"/>
          <w14:textFill>
            <w14:solidFill>
              <w14:schemeClr w14:val="tx1"/>
            </w14:solidFill>
          </w14:textFill>
        </w:rPr>
        <w:t>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20%</w:t>
      </w:r>
      <w:r>
        <w:rPr>
          <w:rFonts w:hint="eastAsia" w:ascii="宋体" w:hAnsi="宋体" w:cs="宋体"/>
          <w:bCs/>
          <w:color w:val="000000" w:themeColor="text1"/>
          <w:sz w:val="24"/>
          <w:szCs w:val="24"/>
          <w14:textFill>
            <w14:solidFill>
              <w14:schemeClr w14:val="tx1"/>
            </w14:solidFill>
          </w14:textFill>
        </w:rPr>
        <w:t>的；</w:t>
      </w:r>
    </w:p>
    <w:p w14:paraId="5F8A9621">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1.3</w:t>
      </w:r>
      <w:r>
        <w:rPr>
          <w:rFonts w:hint="eastAsia" w:ascii="宋体" w:hAnsi="宋体" w:cs="宋体"/>
          <w:bCs/>
          <w:color w:val="000000" w:themeColor="text1"/>
          <w:sz w:val="24"/>
          <w:szCs w:val="24"/>
          <w14:textFill>
            <w14:solidFill>
              <w14:schemeClr w14:val="tx1"/>
            </w14:solidFill>
          </w14:textFill>
        </w:rPr>
        <w:t>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二</w:t>
      </w:r>
      <w:r>
        <w:rPr>
          <w:rFonts w:hint="eastAsia" w:ascii="宋体" w:hAnsi="宋体" w:cs="宋体"/>
          <w:bCs/>
          <w:color w:val="000000" w:themeColor="text1"/>
          <w:sz w:val="24"/>
          <w:szCs w:val="24"/>
          <w14:textFill>
            <w14:solidFill>
              <w14:schemeClr w14:val="tx1"/>
            </w14:solidFill>
          </w14:textFill>
        </w:rPr>
        <w:t>人次的；</w:t>
      </w:r>
    </w:p>
    <w:p w14:paraId="156AF7A1">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1.4</w:t>
      </w:r>
      <w:r>
        <w:rPr>
          <w:rFonts w:hint="eastAsia" w:ascii="宋体" w:hAnsi="宋体" w:cs="宋体"/>
          <w:bCs/>
          <w:color w:val="000000" w:themeColor="text1"/>
          <w:sz w:val="24"/>
          <w:szCs w:val="24"/>
          <w14:textFill>
            <w14:solidFill>
              <w14:schemeClr w14:val="tx1"/>
            </w14:solidFill>
          </w14:textFill>
        </w:rPr>
        <w:t>乙方人员不能响应甲方紧急服务需求的；</w:t>
      </w:r>
    </w:p>
    <w:p w14:paraId="54AD360C">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1.5因</w:t>
      </w:r>
      <w:r>
        <w:rPr>
          <w:rFonts w:hint="eastAsia" w:ascii="宋体" w:hAnsi="宋体" w:cs="宋体"/>
          <w:bCs/>
          <w:color w:val="000000" w:themeColor="text1"/>
          <w:sz w:val="24"/>
          <w:szCs w:val="24"/>
          <w14:textFill>
            <w14:solidFill>
              <w14:schemeClr w14:val="tx1"/>
            </w14:solidFill>
          </w14:textFill>
        </w:rPr>
        <w:t>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一</w:t>
      </w:r>
      <w:r>
        <w:rPr>
          <w:rFonts w:hint="eastAsia" w:ascii="宋体" w:hAnsi="宋体" w:cs="宋体"/>
          <w:bCs/>
          <w:color w:val="000000" w:themeColor="text1"/>
          <w:sz w:val="24"/>
          <w:szCs w:val="24"/>
          <w14:textFill>
            <w14:solidFill>
              <w14:schemeClr w14:val="tx1"/>
            </w14:solidFill>
          </w14:textFill>
        </w:rPr>
        <w:t>次的；</w:t>
      </w:r>
    </w:p>
    <w:p w14:paraId="6177D7E3">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1.6</w:t>
      </w:r>
      <w:r>
        <w:rPr>
          <w:rFonts w:hint="eastAsia" w:ascii="宋体" w:hAnsi="宋体" w:cs="宋体"/>
          <w:bCs/>
          <w:color w:val="000000" w:themeColor="text1"/>
          <w:sz w:val="24"/>
          <w:szCs w:val="24"/>
          <w14:textFill>
            <w14:solidFill>
              <w14:schemeClr w14:val="tx1"/>
            </w14:solidFill>
          </w14:textFill>
        </w:rPr>
        <w:t>乙方及其服务人员虚报服务内容、服务时间等，骗取甲方服务费用的；</w:t>
      </w:r>
    </w:p>
    <w:p w14:paraId="432B215B">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1.7</w:t>
      </w:r>
      <w:r>
        <w:rPr>
          <w:rFonts w:hint="eastAsia" w:ascii="宋体" w:hAnsi="宋体" w:cs="宋体"/>
          <w:bCs/>
          <w:color w:val="000000" w:themeColor="text1"/>
          <w:sz w:val="24"/>
          <w:szCs w:val="24"/>
          <w14:textFill>
            <w14:solidFill>
              <w14:schemeClr w14:val="tx1"/>
            </w14:solidFill>
          </w14:textFill>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5 </w:t>
      </w:r>
      <w:r>
        <w:rPr>
          <w:rFonts w:hint="eastAsia" w:ascii="宋体" w:hAnsi="宋体" w:cs="宋体"/>
          <w:bCs/>
          <w:color w:val="000000" w:themeColor="text1"/>
          <w:sz w:val="24"/>
          <w:szCs w:val="24"/>
          <w14:textFill>
            <w14:solidFill>
              <w14:schemeClr w14:val="tx1"/>
            </w14:solidFill>
          </w14:textFill>
        </w:rPr>
        <w:t>％的违约金。</w:t>
      </w:r>
    </w:p>
    <w:p w14:paraId="3B4537D9">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、乙方在承担上述“1”项中一项或多项违约责任后，仍应继续履行合同规定的义务（甲方解除合同的除外）。甲方未能及时追究乙方的任何一项违约责任并不表明甲方放弃追究乙方该项或其他违约责任。</w:t>
      </w:r>
    </w:p>
    <w:p w14:paraId="0C4BEBE1">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第十一条 合同的解除</w:t>
      </w:r>
    </w:p>
    <w:p w14:paraId="0E7B7C5A">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出现下列情形之一的，甲方有权解除本合同：</w:t>
      </w:r>
    </w:p>
    <w:p w14:paraId="1DEDFFD2">
      <w:pPr>
        <w:tabs>
          <w:tab w:val="left" w:pos="0"/>
        </w:tabs>
        <w:spacing w:line="440" w:lineRule="exact"/>
        <w:ind w:right="-27" w:firstLine="480" w:firstLineChars="20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30%</w:t>
      </w:r>
      <w:r>
        <w:rPr>
          <w:rFonts w:hint="eastAsia" w:ascii="宋体" w:hAnsi="宋体" w:cs="宋体"/>
          <w:bCs/>
          <w:color w:val="000000" w:themeColor="text1"/>
          <w:sz w:val="24"/>
          <w:szCs w:val="24"/>
          <w14:textFill>
            <w14:solidFill>
              <w14:schemeClr w14:val="tx1"/>
            </w14:solidFill>
          </w14:textFill>
        </w:rPr>
        <w:t>的；</w:t>
      </w:r>
    </w:p>
    <w:p w14:paraId="2E52B2DB">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三</w:t>
      </w:r>
      <w:r>
        <w:rPr>
          <w:rFonts w:hint="eastAsia" w:ascii="宋体" w:hAnsi="宋体" w:cs="宋体"/>
          <w:bCs/>
          <w:color w:val="000000" w:themeColor="text1"/>
          <w:sz w:val="24"/>
          <w:szCs w:val="24"/>
          <w14:textFill>
            <w14:solidFill>
              <w14:schemeClr w14:val="tx1"/>
            </w14:solidFill>
          </w14:textFill>
        </w:rPr>
        <w:t>人次的；</w:t>
      </w:r>
    </w:p>
    <w:p w14:paraId="28166A57">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3</w:t>
      </w:r>
      <w:r>
        <w:rPr>
          <w:rFonts w:hint="eastAsia" w:ascii="宋体" w:hAnsi="宋体" w:cs="宋体"/>
          <w:bCs/>
          <w:color w:val="000000" w:themeColor="text1"/>
          <w:sz w:val="24"/>
          <w:szCs w:val="24"/>
          <w14:textFill>
            <w14:solidFill>
              <w14:schemeClr w14:val="tx1"/>
            </w14:solidFill>
          </w14:textFill>
        </w:rPr>
        <w:t>、乙方人员不能响应甲方紧急服务需求的，经甲方指出后未能改正的；</w:t>
      </w:r>
    </w:p>
    <w:p w14:paraId="1D580F43">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14:textFill>
            <w14:solidFill>
              <w14:schemeClr w14:val="tx1"/>
            </w14:solidFill>
          </w14:textFill>
        </w:rPr>
        <w:t>、</w:t>
      </w:r>
      <w:r>
        <w:rPr>
          <w:rFonts w:ascii="宋体" w:hAnsi="宋体" w:cs="宋体"/>
          <w:bCs/>
          <w:color w:val="000000" w:themeColor="text1"/>
          <w:sz w:val="24"/>
          <w:szCs w:val="24"/>
          <w14:textFill>
            <w14:solidFill>
              <w14:schemeClr w14:val="tx1"/>
            </w14:solidFill>
          </w14:textFill>
        </w:rPr>
        <w:t>因</w:t>
      </w:r>
      <w:r>
        <w:rPr>
          <w:rFonts w:hint="eastAsia" w:ascii="宋体" w:hAnsi="宋体" w:cs="宋体"/>
          <w:bCs/>
          <w:color w:val="000000" w:themeColor="text1"/>
          <w:sz w:val="24"/>
          <w:szCs w:val="24"/>
          <w14:textFill>
            <w14:solidFill>
              <w14:schemeClr w14:val="tx1"/>
            </w14:solidFill>
          </w14:textFill>
        </w:rPr>
        <w:t>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二</w:t>
      </w:r>
      <w:r>
        <w:rPr>
          <w:rFonts w:hint="eastAsia" w:ascii="宋体" w:hAnsi="宋体" w:cs="宋体"/>
          <w:bCs/>
          <w:color w:val="000000" w:themeColor="text1"/>
          <w:sz w:val="24"/>
          <w:szCs w:val="24"/>
          <w14:textFill>
            <w14:solidFill>
              <w14:schemeClr w14:val="tx1"/>
            </w14:solidFill>
          </w14:textFill>
        </w:rPr>
        <w:t>次的；</w:t>
      </w:r>
    </w:p>
    <w:p w14:paraId="48139F91">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、乙方及其服务人员虚报服务内容、服务时间等，骗取甲方服务费用的；</w:t>
      </w:r>
    </w:p>
    <w:p w14:paraId="3DECE338">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6</w:t>
      </w:r>
      <w:r>
        <w:rPr>
          <w:rFonts w:hint="eastAsia" w:ascii="宋体" w:hAnsi="宋体" w:cs="宋体"/>
          <w:bCs/>
          <w:color w:val="000000" w:themeColor="text1"/>
          <w:sz w:val="24"/>
          <w:szCs w:val="24"/>
          <w14:textFill>
            <w14:solidFill>
              <w14:schemeClr w14:val="tx1"/>
            </w14:solidFill>
          </w14:textFill>
        </w:rPr>
        <w:t>、因乙方不当服务或服务人员违法，给甲方造成严重不良影响的；</w:t>
      </w:r>
    </w:p>
    <w:p w14:paraId="7E1E6F4D">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7、乙方一年内因生产安全事故受到行政处罚达到三次的，或者因为乙方发生生产安全事故、环境损害事故，给甲方造成重大不良影响的或导致甲方受到行政处罚的。</w:t>
      </w:r>
    </w:p>
    <w:p w14:paraId="0B232F31">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第十二条 不可抗力</w:t>
      </w:r>
    </w:p>
    <w:p w14:paraId="7C81976C">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14:textFill>
            <w14:solidFill>
              <w14:schemeClr w14:val="tx1"/>
            </w14:solidFill>
          </w14:textFill>
        </w:rPr>
        <w:t>、不可抗力，是指不能预见、不能避免并不能克服的客观情况，如战争、动乱、洪水、地震、风暴等。</w:t>
      </w:r>
    </w:p>
    <w:p w14:paraId="12399DA2">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14:textFill>
            <w14:solidFill>
              <w14:schemeClr w14:val="tx1"/>
            </w14:solidFill>
          </w14:textFill>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4B9D38E1">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3</w:t>
      </w:r>
      <w:r>
        <w:rPr>
          <w:rFonts w:hint="eastAsia" w:ascii="宋体" w:hAnsi="宋体" w:cs="宋体"/>
          <w:bCs/>
          <w:color w:val="000000" w:themeColor="text1"/>
          <w:sz w:val="24"/>
          <w:szCs w:val="24"/>
          <w14:textFill>
            <w14:solidFill>
              <w14:schemeClr w14:val="tx1"/>
            </w14:solidFill>
          </w14:textFill>
        </w:rPr>
        <w:t>、发生不可抗力事件，任何一方均不对因不可抗力无法履行或迟延履行本合同义务而使另一方蒙受的任何损失承担责任，法律另有规定的除外。</w:t>
      </w:r>
    </w:p>
    <w:p w14:paraId="34FE9771">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4</w:t>
      </w:r>
      <w:r>
        <w:rPr>
          <w:rFonts w:hint="eastAsia" w:ascii="宋体" w:hAnsi="宋体" w:cs="宋体"/>
          <w:bCs/>
          <w:color w:val="000000" w:themeColor="text1"/>
          <w:sz w:val="24"/>
          <w:szCs w:val="24"/>
          <w14:textFill>
            <w14:solidFill>
              <w14:schemeClr w14:val="tx1"/>
            </w14:solidFill>
          </w14:textFill>
        </w:rPr>
        <w:t>、合同各方应根据不可抗力对本合同履行的影响程度，协商确定是否终止或是继续履行本合同。</w:t>
      </w:r>
    </w:p>
    <w:p w14:paraId="7FC887D4">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第十三条 合同的变更、中止</w:t>
      </w:r>
    </w:p>
    <w:p w14:paraId="2EC1E423">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本合同一经签订，双方均不得擅自变更或中止合同，除非合同的继续履行将损害国家利益和社会公共利益。</w:t>
      </w:r>
    </w:p>
    <w:p w14:paraId="30C68B32">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第十四条 合同的终止</w:t>
      </w:r>
    </w:p>
    <w:p w14:paraId="74F93864">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1、本合同因下列原因而终止：</w:t>
      </w:r>
    </w:p>
    <w:p w14:paraId="77B5E83F">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1.1 本合同正常履行完毕；</w:t>
      </w:r>
    </w:p>
    <w:p w14:paraId="1E00961F">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1.2 因不可抗力导致本合同无法履行或履行不必要；</w:t>
      </w:r>
    </w:p>
    <w:p w14:paraId="5BC0D2D7">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1.3 任何一方行使解除权解除本合同；</w:t>
      </w:r>
    </w:p>
    <w:p w14:paraId="395DB700">
      <w:pPr>
        <w:tabs>
          <w:tab w:val="left" w:pos="0"/>
        </w:tabs>
        <w:spacing w:line="440" w:lineRule="exact"/>
        <w:ind w:right="-27" w:firstLine="789" w:firstLineChars="329"/>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1.4 合同的继续履行将损害国家利益和社会公共利益且不宜变更、中止的。</w:t>
      </w:r>
    </w:p>
    <w:p w14:paraId="37A87346">
      <w:pPr>
        <w:tabs>
          <w:tab w:val="left" w:pos="0"/>
        </w:tabs>
        <w:spacing w:line="440" w:lineRule="exact"/>
        <w:ind w:right="-27"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2、除上述情形外，甲乙双方不得擅自终止合同。</w:t>
      </w:r>
    </w:p>
    <w:p w14:paraId="06137B73">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第十五条 合同的转让</w:t>
      </w:r>
    </w:p>
    <w:p w14:paraId="611AA68A">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乙方不得将其合同项下的权利义务部分或全部转让给第三方。</w:t>
      </w:r>
    </w:p>
    <w:p w14:paraId="4958C1F4">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第十六条 履约保证金</w:t>
      </w:r>
    </w:p>
    <w:p w14:paraId="33D8DC8F">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本项目不收取履约保证金。</w:t>
      </w:r>
    </w:p>
    <w:p w14:paraId="326CB06D">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第十七条 争议解决方式</w:t>
      </w:r>
    </w:p>
    <w:p w14:paraId="3FC56D7C">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1、在执行本合同过程中所发生的或与本合同有关的一切争端，甲乙双方友好协商解决。如协商不能解决，则全部争端由甲方所在地人民法院管辖。</w:t>
      </w:r>
    </w:p>
    <w:p w14:paraId="4D483544">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2、如因乙方违约，导致甲方起诉的，甲方由此产生的诉讼费用、律师费用、差旅费用等，均由乙方承担。</w:t>
      </w:r>
    </w:p>
    <w:p w14:paraId="49E59A17">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第十八条 通知与送达</w:t>
      </w:r>
    </w:p>
    <w:p w14:paraId="2FADC8CC">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1、甲乙双方因履行本合同需要向对方发送通知、文件、资料的，均以下列联系信息确定内容进行：</w:t>
      </w:r>
    </w:p>
    <w:p w14:paraId="6074D017">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1.1</w:t>
      </w:r>
      <w:r>
        <w:rPr>
          <w:rFonts w:hint="eastAsia" w:ascii="宋体" w:hAnsi="宋体" w:cs="宋体"/>
          <w:bCs/>
          <w:color w:val="000000" w:themeColor="text1"/>
          <w:sz w:val="24"/>
          <w:szCs w:val="24"/>
          <w14:textFill>
            <w14:solidFill>
              <w14:schemeClr w14:val="tx1"/>
            </w14:solidFill>
          </w14:textFill>
        </w:rPr>
        <w:t>甲方联系信息：</w:t>
      </w:r>
    </w:p>
    <w:p w14:paraId="0951F1D1">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指定收件人：</w:t>
      </w:r>
      <w:r>
        <w:rPr>
          <w:rFonts w:hint="eastAsia" w:ascii="宋体" w:hAnsi="宋体" w:cs="宋体"/>
          <w:bCs/>
          <w:color w:val="000000" w:themeColor="text1"/>
          <w:sz w:val="24"/>
          <w:szCs w:val="24"/>
          <w:u w:val="single"/>
          <w14:textFill>
            <w14:solidFill>
              <w14:schemeClr w14:val="tx1"/>
            </w14:solidFill>
          </w14:textFill>
        </w:rPr>
        <w:t xml:space="preserve">                           </w:t>
      </w:r>
    </w:p>
    <w:p w14:paraId="3AE92058">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送达地址：</w:t>
      </w:r>
      <w:r>
        <w:rPr>
          <w:rFonts w:hint="eastAsia" w:ascii="宋体" w:hAnsi="宋体" w:cs="宋体"/>
          <w:bCs/>
          <w:color w:val="000000" w:themeColor="text1"/>
          <w:sz w:val="24"/>
          <w:szCs w:val="24"/>
          <w:u w:val="single"/>
          <w14:textFill>
            <w14:solidFill>
              <w14:schemeClr w14:val="tx1"/>
            </w14:solidFill>
          </w14:textFill>
        </w:rPr>
        <w:t xml:space="preserve">                           </w:t>
      </w:r>
    </w:p>
    <w:p w14:paraId="50B7386E">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指定电子收件方式：</w:t>
      </w:r>
      <w:r>
        <w:rPr>
          <w:rFonts w:hint="eastAsia" w:ascii="宋体" w:hAnsi="宋体" w:cs="宋体"/>
          <w:bCs/>
          <w:color w:val="000000" w:themeColor="text1"/>
          <w:sz w:val="24"/>
          <w:szCs w:val="24"/>
          <w:u w:val="single"/>
          <w14:textFill>
            <w14:solidFill>
              <w14:schemeClr w14:val="tx1"/>
            </w14:solidFill>
          </w14:textFill>
        </w:rPr>
        <w:t xml:space="preserve">                           </w:t>
      </w:r>
    </w:p>
    <w:p w14:paraId="36CEE8A4">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1.2</w:t>
      </w:r>
      <w:r>
        <w:rPr>
          <w:rFonts w:hint="eastAsia" w:ascii="宋体" w:hAnsi="宋体" w:cs="宋体"/>
          <w:bCs/>
          <w:color w:val="000000" w:themeColor="text1"/>
          <w:sz w:val="24"/>
          <w:szCs w:val="24"/>
          <w14:textFill>
            <w14:solidFill>
              <w14:schemeClr w14:val="tx1"/>
            </w14:solidFill>
          </w14:textFill>
        </w:rPr>
        <w:t>乙方联系信息：</w:t>
      </w:r>
    </w:p>
    <w:p w14:paraId="480199E5">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指定收件人：</w:t>
      </w:r>
      <w:r>
        <w:rPr>
          <w:rFonts w:hint="eastAsia" w:ascii="宋体" w:hAnsi="宋体" w:cs="宋体"/>
          <w:bCs/>
          <w:color w:val="000000" w:themeColor="text1"/>
          <w:sz w:val="24"/>
          <w:szCs w:val="24"/>
          <w:u w:val="single"/>
          <w14:textFill>
            <w14:solidFill>
              <w14:schemeClr w14:val="tx1"/>
            </w14:solidFill>
          </w14:textFill>
        </w:rPr>
        <w:t xml:space="preserve">                           </w:t>
      </w:r>
    </w:p>
    <w:p w14:paraId="46C39231">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送达地址：</w:t>
      </w:r>
      <w:r>
        <w:rPr>
          <w:rFonts w:hint="eastAsia" w:ascii="宋体" w:hAnsi="宋体" w:cs="宋体"/>
          <w:bCs/>
          <w:color w:val="000000" w:themeColor="text1"/>
          <w:sz w:val="24"/>
          <w:szCs w:val="24"/>
          <w:u w:val="single"/>
          <w14:textFill>
            <w14:solidFill>
              <w14:schemeClr w14:val="tx1"/>
            </w14:solidFill>
          </w14:textFill>
        </w:rPr>
        <w:t xml:space="preserve">                           </w:t>
      </w:r>
    </w:p>
    <w:p w14:paraId="38A4D7A4">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指定电子收件方式：</w:t>
      </w:r>
      <w:r>
        <w:rPr>
          <w:rFonts w:hint="eastAsia" w:ascii="宋体" w:hAnsi="宋体" w:cs="宋体"/>
          <w:bCs/>
          <w:color w:val="000000" w:themeColor="text1"/>
          <w:sz w:val="24"/>
          <w:szCs w:val="24"/>
          <w:u w:val="single"/>
          <w14:textFill>
            <w14:solidFill>
              <w14:schemeClr w14:val="tx1"/>
            </w14:solidFill>
          </w14:textFill>
        </w:rPr>
        <w:t xml:space="preserve">                           </w:t>
      </w:r>
    </w:p>
    <w:p w14:paraId="660F079F">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2、双方确认前述联系信息作为解决争议时接受人民法院诉讼文书的送达地址和联系方式。</w:t>
      </w:r>
    </w:p>
    <w:p w14:paraId="551E10EE">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3、任何一方改变前述联系信息的，应在发生变更后的3天内告知对方并做好通知到达对方前可能存在的邮件的接收。如未通知的，视为没有变更。</w:t>
      </w:r>
    </w:p>
    <w:p w14:paraId="13E33842">
      <w:pPr>
        <w:tabs>
          <w:tab w:val="left" w:pos="0"/>
        </w:tabs>
        <w:spacing w:line="440" w:lineRule="exact"/>
        <w:ind w:right="-27"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第十九条 合同生效及其他</w:t>
      </w:r>
    </w:p>
    <w:p w14:paraId="5DD6D7BA">
      <w:pPr>
        <w:tabs>
          <w:tab w:val="left" w:pos="0"/>
        </w:tabs>
        <w:spacing w:line="440" w:lineRule="exact"/>
        <w:ind w:right="-27" w:firstLine="480"/>
        <w:rPr>
          <w:rFonts w:ascii="Times New Roman" w:hAnsi="Times New Roman"/>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合同在双方加盖公章或</w:t>
      </w:r>
      <w:r>
        <w:rPr>
          <w:rFonts w:hint="eastAsia" w:ascii="宋体" w:hAnsi="宋体"/>
          <w:b/>
          <w:color w:val="000000" w:themeColor="text1"/>
          <w:sz w:val="24"/>
          <w:szCs w:val="24"/>
          <w14:textFill>
            <w14:solidFill>
              <w14:schemeClr w14:val="tx1"/>
            </w14:solidFill>
          </w14:textFill>
        </w:rPr>
        <w:t>双方法定代表人、授权代表签字后生效</w:t>
      </w:r>
    </w:p>
    <w:p w14:paraId="7FE9B279">
      <w:pPr>
        <w:tabs>
          <w:tab w:val="left" w:pos="0"/>
        </w:tabs>
        <w:spacing w:line="440" w:lineRule="exact"/>
        <w:ind w:right="-27" w:firstLine="480"/>
        <w:rPr>
          <w:rFonts w:ascii="Times New Roman" w:hAnsi="Times New Roman"/>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本合同一式</w:t>
      </w:r>
      <w:r>
        <w:rPr>
          <w:rFonts w:hint="eastAsia" w:ascii="宋体" w:hAnsi="宋体"/>
          <w:color w:val="000000" w:themeColor="text1"/>
          <w:sz w:val="24"/>
          <w:szCs w:val="24"/>
          <w:u w:val="single"/>
          <w14:textFill>
            <w14:solidFill>
              <w14:schemeClr w14:val="tx1"/>
            </w14:solidFill>
          </w14:textFill>
        </w:rPr>
        <w:t>四</w:t>
      </w:r>
      <w:r>
        <w:rPr>
          <w:rFonts w:hint="eastAsia" w:ascii="宋体" w:hAnsi="宋体"/>
          <w:color w:val="000000" w:themeColor="text1"/>
          <w:sz w:val="24"/>
          <w:szCs w:val="24"/>
          <w14:textFill>
            <w14:solidFill>
              <w14:schemeClr w14:val="tx1"/>
            </w14:solidFill>
          </w14:textFill>
        </w:rPr>
        <w:t>份，以简体中文书写，甲方、乙方各执二份。</w:t>
      </w:r>
    </w:p>
    <w:p w14:paraId="5B1AA8DF">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3、本合同应按照中华人民共和国的现行法律进行解释。</w:t>
      </w:r>
    </w:p>
    <w:p w14:paraId="2A8259AD">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p>
    <w:p w14:paraId="534ADE0A">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甲方（公章）：                       乙方（公章）：</w:t>
      </w:r>
    </w:p>
    <w:p w14:paraId="621A66F5">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法定（授权）代表人（签字）：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法定（授权）代表人（签字）：</w:t>
      </w:r>
    </w:p>
    <w:p w14:paraId="5DA5D9E8">
      <w:pPr>
        <w:tabs>
          <w:tab w:val="left" w:pos="0"/>
        </w:tabs>
        <w:spacing w:line="440" w:lineRule="exact"/>
        <w:ind w:right="-27"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年   月   日                        年   月   日</w:t>
      </w:r>
    </w:p>
    <w:p w14:paraId="1735245E">
      <w:pPr>
        <w:keepNext/>
        <w:ind w:firstLine="880"/>
        <w:jc w:val="center"/>
        <w:outlineLvl w:val="0"/>
        <w:rPr>
          <w:rFonts w:ascii="宋体" w:hAnsi="宋体" w:cs="Courier New"/>
          <w:color w:val="000000" w:themeColor="text1"/>
          <w:sz w:val="24"/>
          <w:szCs w:val="24"/>
          <w14:textFill>
            <w14:solidFill>
              <w14:schemeClr w14:val="tx1"/>
            </w14:solidFill>
          </w14:textFill>
        </w:rPr>
      </w:pPr>
      <w:r>
        <w:rPr>
          <w:rFonts w:ascii="黑体" w:hAnsi="Courier New" w:eastAsia="黑体" w:cs="Courier New"/>
          <w:bCs/>
          <w:color w:val="000000" w:themeColor="text1"/>
          <w:sz w:val="44"/>
          <w:szCs w:val="21"/>
          <w14:textFill>
            <w14:solidFill>
              <w14:schemeClr w14:val="tx1"/>
            </w14:solidFill>
          </w14:textFill>
        </w:rPr>
        <w:br w:type="page" w:clear="all"/>
      </w:r>
      <w:bookmarkStart w:id="195" w:name="_Toc29846"/>
      <w:r>
        <w:rPr>
          <w:rFonts w:hint="eastAsia" w:ascii="黑体" w:hAnsi="Courier New" w:eastAsia="黑体" w:cs="Courier New"/>
          <w:bCs/>
          <w:color w:val="000000" w:themeColor="text1"/>
          <w:sz w:val="44"/>
          <w:szCs w:val="21"/>
          <w14:textFill>
            <w14:solidFill>
              <w14:schemeClr w14:val="tx1"/>
            </w14:solidFill>
          </w14:textFill>
        </w:rPr>
        <w:t>第</w:t>
      </w:r>
      <w:bookmarkEnd w:id="188"/>
      <w:r>
        <w:rPr>
          <w:rFonts w:hint="eastAsia" w:ascii="黑体" w:hAnsi="Courier New" w:eastAsia="黑体" w:cs="Courier New"/>
          <w:bCs/>
          <w:color w:val="000000" w:themeColor="text1"/>
          <w:sz w:val="44"/>
          <w:szCs w:val="21"/>
          <w14:textFill>
            <w14:solidFill>
              <w14:schemeClr w14:val="tx1"/>
            </w14:solidFill>
          </w14:textFill>
        </w:rPr>
        <w:t xml:space="preserve">四章 </w:t>
      </w:r>
      <w:r>
        <w:rPr>
          <w:rFonts w:ascii="黑体" w:hAnsi="Courier New" w:eastAsia="黑体" w:cs="Courier New"/>
          <w:bCs/>
          <w:color w:val="000000" w:themeColor="text1"/>
          <w:sz w:val="44"/>
          <w:szCs w:val="21"/>
          <w14:textFill>
            <w14:solidFill>
              <w14:schemeClr w14:val="tx1"/>
            </w14:solidFill>
          </w14:textFill>
        </w:rPr>
        <w:t xml:space="preserve"> </w:t>
      </w:r>
      <w:r>
        <w:rPr>
          <w:rFonts w:hint="eastAsia" w:ascii="黑体" w:hAnsi="Courier New" w:eastAsia="黑体" w:cs="Courier New"/>
          <w:bCs/>
          <w:color w:val="000000" w:themeColor="text1"/>
          <w:sz w:val="44"/>
          <w:szCs w:val="21"/>
          <w14:textFill>
            <w14:solidFill>
              <w14:schemeClr w14:val="tx1"/>
            </w14:solidFill>
          </w14:textFill>
        </w:rPr>
        <w:t>采购需求</w:t>
      </w:r>
      <w:bookmarkEnd w:id="189"/>
      <w:bookmarkEnd w:id="190"/>
      <w:bookmarkEnd w:id="191"/>
      <w:bookmarkEnd w:id="195"/>
    </w:p>
    <w:p w14:paraId="344BDC4A">
      <w:pPr>
        <w:spacing w:line="440" w:lineRule="exact"/>
        <w:rPr>
          <w:rFonts w:ascii="宋体" w:hAnsi="宋体"/>
          <w:b/>
          <w:color w:val="000000"/>
          <w:kern w:val="2"/>
          <w:sz w:val="28"/>
          <w:szCs w:val="24"/>
        </w:rPr>
      </w:pPr>
      <w:bookmarkStart w:id="196" w:name="_Toc49090575"/>
      <w:bookmarkStart w:id="197" w:name="_Toc120614281"/>
      <w:bookmarkStart w:id="198" w:name="_Toc26554093"/>
      <w:r>
        <w:rPr>
          <w:rFonts w:hint="eastAsia" w:ascii="宋体" w:hAnsi="宋体"/>
          <w:b/>
          <w:color w:val="000000"/>
          <w:kern w:val="2"/>
          <w:sz w:val="28"/>
          <w:szCs w:val="24"/>
        </w:rPr>
        <w:t>一、项目说明：</w:t>
      </w:r>
    </w:p>
    <w:p w14:paraId="446D8076">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1、本次采购内容为常熟市河道管理处所需的</w:t>
      </w:r>
      <w:r>
        <w:rPr>
          <w:rFonts w:hint="eastAsia" w:ascii="宋体" w:hAnsi="宋体"/>
          <w:color w:val="000000"/>
          <w:kern w:val="2"/>
          <w:sz w:val="24"/>
          <w:szCs w:val="24"/>
          <w:lang w:eastAsia="zh-CN"/>
        </w:rPr>
        <w:t>2024-2025年度市级河道绿化养护</w:t>
      </w:r>
      <w:r>
        <w:rPr>
          <w:rFonts w:hint="eastAsia" w:ascii="宋体" w:hAnsi="宋体"/>
          <w:color w:val="000000"/>
          <w:kern w:val="2"/>
          <w:sz w:val="24"/>
          <w:szCs w:val="24"/>
        </w:rPr>
        <w:t>，包括常浒河、东环河、海洋泾、耿泾塘绿化养护。</w:t>
      </w:r>
    </w:p>
    <w:p w14:paraId="0B74F1DA">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2、服务范围：详见附件1。</w:t>
      </w:r>
    </w:p>
    <w:p w14:paraId="294AED78">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3、服务内容：</w:t>
      </w:r>
    </w:p>
    <w:p w14:paraId="76000593">
      <w:pPr>
        <w:spacing w:line="440" w:lineRule="exact"/>
        <w:ind w:firstLine="720" w:firstLineChars="300"/>
        <w:rPr>
          <w:rFonts w:ascii="宋体" w:hAnsi="宋体"/>
          <w:color w:val="000000"/>
          <w:kern w:val="2"/>
          <w:sz w:val="24"/>
          <w:szCs w:val="24"/>
        </w:rPr>
      </w:pPr>
      <w:r>
        <w:rPr>
          <w:rFonts w:hint="eastAsia" w:ascii="宋体" w:hAnsi="宋体"/>
          <w:color w:val="000000"/>
          <w:kern w:val="2"/>
          <w:sz w:val="24"/>
          <w:szCs w:val="24"/>
        </w:rPr>
        <w:t>3.1 绿地植物及防护林养护。</w:t>
      </w:r>
    </w:p>
    <w:p w14:paraId="613B9AFC">
      <w:pPr>
        <w:spacing w:line="440" w:lineRule="exact"/>
        <w:ind w:firstLine="720" w:firstLineChars="300"/>
        <w:rPr>
          <w:rFonts w:ascii="宋体" w:hAnsi="宋体"/>
          <w:color w:val="000000"/>
          <w:kern w:val="2"/>
          <w:sz w:val="24"/>
          <w:szCs w:val="24"/>
        </w:rPr>
      </w:pPr>
      <w:r>
        <w:rPr>
          <w:rFonts w:hint="eastAsia" w:ascii="宋体" w:hAnsi="宋体"/>
          <w:color w:val="000000"/>
          <w:kern w:val="2"/>
          <w:sz w:val="24"/>
          <w:szCs w:val="24"/>
        </w:rPr>
        <w:t>3.2 垃圾清理（含防汛道路、边坡）。</w:t>
      </w:r>
    </w:p>
    <w:p w14:paraId="3FE5D2C0">
      <w:pPr>
        <w:spacing w:line="440" w:lineRule="exact"/>
        <w:ind w:firstLine="720" w:firstLineChars="300"/>
        <w:rPr>
          <w:rFonts w:ascii="宋体" w:hAnsi="宋体"/>
          <w:color w:val="000000"/>
          <w:kern w:val="2"/>
          <w:sz w:val="24"/>
          <w:szCs w:val="24"/>
        </w:rPr>
      </w:pPr>
      <w:r>
        <w:rPr>
          <w:rFonts w:hint="eastAsia" w:ascii="宋体" w:hAnsi="宋体"/>
          <w:color w:val="000000"/>
          <w:kern w:val="2"/>
          <w:sz w:val="24"/>
          <w:szCs w:val="24"/>
        </w:rPr>
        <w:t>3.3 垦种清理。</w:t>
      </w:r>
    </w:p>
    <w:p w14:paraId="7B92119A">
      <w:pPr>
        <w:spacing w:line="440" w:lineRule="exact"/>
        <w:ind w:firstLine="480" w:firstLineChars="200"/>
        <w:rPr>
          <w:rFonts w:ascii="宋体" w:hAnsi="宋体"/>
          <w:i/>
          <w:iCs/>
          <w:color w:val="000000"/>
          <w:kern w:val="2"/>
          <w:sz w:val="24"/>
          <w:szCs w:val="24"/>
          <w:u w:val="single"/>
        </w:rPr>
      </w:pPr>
      <w:r>
        <w:rPr>
          <w:rFonts w:ascii="宋体" w:hAnsi="宋体"/>
          <w:i/>
          <w:iCs/>
          <w:color w:val="000000"/>
          <w:kern w:val="2"/>
          <w:sz w:val="24"/>
          <w:szCs w:val="24"/>
          <w:u w:val="single"/>
        </w:rPr>
        <w:t>4</w:t>
      </w:r>
      <w:r>
        <w:rPr>
          <w:rFonts w:hint="eastAsia" w:ascii="宋体" w:hAnsi="宋体"/>
          <w:i/>
          <w:iCs/>
          <w:color w:val="000000"/>
          <w:kern w:val="2"/>
          <w:sz w:val="24"/>
          <w:szCs w:val="24"/>
          <w:u w:val="single"/>
        </w:rPr>
        <w:t>、服务期限：自合同签订之日起一年。</w:t>
      </w:r>
    </w:p>
    <w:p w14:paraId="08F88920">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5</w:t>
      </w:r>
      <w:r>
        <w:rPr>
          <w:rFonts w:hint="eastAsia" w:ascii="宋体" w:hAnsi="宋体"/>
          <w:color w:val="000000"/>
          <w:kern w:val="2"/>
          <w:sz w:val="24"/>
          <w:szCs w:val="24"/>
        </w:rPr>
        <w:t>、投标人应对项目现场进行踏勘，但费用由投标人自行承担。采购单位联系人：张毅彬，联系电话</w:t>
      </w:r>
      <w:r>
        <w:rPr>
          <w:rFonts w:hint="eastAsia" w:ascii="宋体" w:hAnsi="宋体"/>
          <w:color w:val="000000"/>
          <w:kern w:val="2"/>
          <w:sz w:val="24"/>
          <w:szCs w:val="24"/>
          <w:lang w:eastAsia="zh-CN"/>
        </w:rPr>
        <w:t>：</w:t>
      </w:r>
      <w:r>
        <w:rPr>
          <w:rFonts w:hint="eastAsia" w:ascii="宋体" w:hAnsi="宋体"/>
          <w:color w:val="000000"/>
          <w:kern w:val="2"/>
          <w:sz w:val="24"/>
          <w:szCs w:val="24"/>
        </w:rPr>
        <w:t>0512</w:t>
      </w:r>
      <w:r>
        <w:rPr>
          <w:rFonts w:ascii="宋体" w:hAnsi="宋体"/>
          <w:color w:val="000000"/>
          <w:kern w:val="2"/>
          <w:sz w:val="24"/>
          <w:szCs w:val="24"/>
        </w:rPr>
        <w:t>-</w:t>
      </w:r>
      <w:r>
        <w:rPr>
          <w:rFonts w:hint="eastAsia" w:ascii="宋体" w:hAnsi="宋体"/>
          <w:color w:val="000000"/>
          <w:kern w:val="2"/>
          <w:sz w:val="24"/>
          <w:szCs w:val="24"/>
        </w:rPr>
        <w:t>52340170。投标人在报价时应充分考虑现场其他实际情况，采购人不负担因投标人对项目情况考虑不周而产生的其他任何费用。</w:t>
      </w:r>
    </w:p>
    <w:p w14:paraId="1EB1395D">
      <w:pPr>
        <w:spacing w:line="440" w:lineRule="exact"/>
        <w:ind w:firstLine="480" w:firstLineChars="200"/>
        <w:rPr>
          <w:rFonts w:ascii="宋体" w:hAnsi="宋体"/>
          <w:i/>
          <w:iCs/>
          <w:color w:val="000000"/>
          <w:kern w:val="2"/>
          <w:sz w:val="24"/>
          <w:szCs w:val="24"/>
          <w:u w:val="single"/>
        </w:rPr>
      </w:pPr>
      <w:r>
        <w:rPr>
          <w:rFonts w:ascii="宋体" w:hAnsi="宋体"/>
          <w:i/>
          <w:iCs/>
          <w:color w:val="000000"/>
          <w:kern w:val="2"/>
          <w:sz w:val="24"/>
          <w:szCs w:val="24"/>
          <w:u w:val="single"/>
        </w:rPr>
        <w:t>6</w:t>
      </w:r>
      <w:r>
        <w:rPr>
          <w:rFonts w:hint="eastAsia" w:ascii="宋体" w:hAnsi="宋体"/>
          <w:i/>
          <w:iCs/>
          <w:color w:val="000000"/>
          <w:kern w:val="2"/>
          <w:sz w:val="24"/>
          <w:szCs w:val="24"/>
          <w:u w:val="single"/>
        </w:rPr>
        <w:t>、付款方式：</w:t>
      </w:r>
    </w:p>
    <w:p w14:paraId="52B3C785">
      <w:pPr>
        <w:spacing w:line="440" w:lineRule="exact"/>
        <w:ind w:firstLine="720" w:firstLineChars="300"/>
        <w:rPr>
          <w:rFonts w:ascii="宋体" w:hAnsi="宋体"/>
          <w:i/>
          <w:iCs/>
          <w:color w:val="000000"/>
          <w:kern w:val="2"/>
          <w:sz w:val="24"/>
          <w:szCs w:val="24"/>
          <w:u w:val="single"/>
        </w:rPr>
      </w:pPr>
      <w:bookmarkStart w:id="199" w:name="_Hlk136344290"/>
      <w:r>
        <w:rPr>
          <w:rFonts w:ascii="宋体" w:hAnsi="宋体"/>
          <w:i/>
          <w:iCs/>
          <w:color w:val="000000"/>
          <w:kern w:val="2"/>
          <w:sz w:val="24"/>
          <w:szCs w:val="24"/>
          <w:u w:val="single"/>
        </w:rPr>
        <w:t>6</w:t>
      </w:r>
      <w:r>
        <w:rPr>
          <w:rFonts w:hint="eastAsia" w:ascii="宋体" w:hAnsi="宋体"/>
          <w:i/>
          <w:iCs/>
          <w:color w:val="000000"/>
          <w:kern w:val="2"/>
          <w:sz w:val="24"/>
          <w:szCs w:val="24"/>
          <w:u w:val="single"/>
        </w:rPr>
        <w:t>.1 本项目合同款支付货币：（√）数字人民币，（√）传统实物人民币</w:t>
      </w:r>
    </w:p>
    <w:p w14:paraId="14435626">
      <w:pPr>
        <w:spacing w:line="440" w:lineRule="exact"/>
        <w:ind w:firstLine="720" w:firstLineChars="300"/>
        <w:rPr>
          <w:rFonts w:ascii="宋体" w:hAnsi="宋体"/>
          <w:i/>
          <w:iCs/>
          <w:color w:val="000000"/>
          <w:kern w:val="2"/>
          <w:sz w:val="24"/>
          <w:szCs w:val="24"/>
          <w:u w:val="single"/>
        </w:rPr>
      </w:pPr>
      <w:r>
        <w:rPr>
          <w:rFonts w:hint="eastAsia" w:ascii="宋体" w:hAnsi="宋体"/>
          <w:i/>
          <w:iCs/>
          <w:color w:val="000000"/>
          <w:kern w:val="2"/>
          <w:sz w:val="24"/>
          <w:szCs w:val="24"/>
          <w:u w:val="single"/>
        </w:rPr>
        <w:t>6</w:t>
      </w:r>
      <w:r>
        <w:rPr>
          <w:rFonts w:ascii="宋体" w:hAnsi="宋体"/>
          <w:i/>
          <w:iCs/>
          <w:color w:val="000000"/>
          <w:kern w:val="2"/>
          <w:sz w:val="24"/>
          <w:szCs w:val="24"/>
          <w:u w:val="single"/>
        </w:rPr>
        <w:t xml:space="preserve">.2 </w:t>
      </w:r>
      <w:r>
        <w:rPr>
          <w:rFonts w:hint="eastAsia" w:ascii="宋体" w:hAnsi="宋体"/>
          <w:i/>
          <w:iCs/>
          <w:color w:val="000000"/>
          <w:kern w:val="2"/>
          <w:sz w:val="24"/>
          <w:szCs w:val="24"/>
          <w:u w:val="single"/>
        </w:rPr>
        <w:t>合同签订后，采购人向中标人预先支付合同金额的10%；</w:t>
      </w:r>
    </w:p>
    <w:p w14:paraId="03267E0C">
      <w:pPr>
        <w:spacing w:line="440" w:lineRule="exact"/>
        <w:ind w:firstLine="720" w:firstLineChars="300"/>
        <w:rPr>
          <w:rFonts w:ascii="宋体" w:hAnsi="宋体"/>
          <w:i/>
          <w:iCs/>
          <w:color w:val="000000"/>
          <w:kern w:val="2"/>
          <w:sz w:val="24"/>
          <w:szCs w:val="24"/>
          <w:u w:val="single"/>
        </w:rPr>
      </w:pPr>
      <w:r>
        <w:rPr>
          <w:rFonts w:ascii="宋体" w:hAnsi="宋体"/>
          <w:i/>
          <w:iCs/>
          <w:color w:val="000000"/>
          <w:kern w:val="2"/>
          <w:sz w:val="24"/>
          <w:szCs w:val="24"/>
          <w:u w:val="single"/>
        </w:rPr>
        <w:t xml:space="preserve">6.3 </w:t>
      </w:r>
      <w:r>
        <w:rPr>
          <w:rFonts w:hint="eastAsia" w:ascii="宋体" w:hAnsi="宋体"/>
          <w:i/>
          <w:iCs/>
          <w:color w:val="000000"/>
          <w:kern w:val="2"/>
          <w:sz w:val="24"/>
          <w:szCs w:val="24"/>
          <w:u w:val="single"/>
        </w:rPr>
        <w:t>服务费由采购人对中标人实行季度考核后，按季度考核结果在月后的30个自然日内支付。</w:t>
      </w:r>
      <w:bookmarkEnd w:id="199"/>
      <w:r>
        <w:rPr>
          <w:rFonts w:hint="eastAsia" w:ascii="宋体" w:hAnsi="宋体"/>
          <w:i/>
          <w:iCs/>
          <w:color w:val="000000"/>
          <w:kern w:val="2"/>
          <w:sz w:val="24"/>
          <w:szCs w:val="24"/>
          <w:u w:val="single"/>
        </w:rPr>
        <w:t>考核办法详见附件3《市级河道绿化养护服务考核办法》。</w:t>
      </w:r>
    </w:p>
    <w:p w14:paraId="09374361">
      <w:pPr>
        <w:spacing w:line="440" w:lineRule="exact"/>
        <w:rPr>
          <w:rFonts w:ascii="宋体" w:hAnsi="宋体"/>
          <w:bCs/>
          <w:i/>
          <w:iCs/>
          <w:color w:val="000000"/>
          <w:kern w:val="2"/>
          <w:sz w:val="24"/>
          <w:szCs w:val="24"/>
          <w:u w:val="single"/>
        </w:rPr>
      </w:pPr>
      <w:r>
        <w:rPr>
          <w:rFonts w:hint="eastAsia" w:ascii="宋体" w:hAnsi="宋体"/>
          <w:b/>
          <w:bCs/>
          <w:i/>
          <w:iCs/>
          <w:color w:val="000000"/>
          <w:kern w:val="2"/>
          <w:sz w:val="24"/>
          <w:szCs w:val="24"/>
          <w:u w:val="single"/>
        </w:rPr>
        <w:t>注：</w:t>
      </w:r>
      <w:r>
        <w:rPr>
          <w:rFonts w:hint="eastAsia" w:ascii="宋体" w:hAnsi="宋体"/>
          <w:bCs/>
          <w:i/>
          <w:iCs/>
          <w:color w:val="000000"/>
          <w:kern w:val="2"/>
          <w:sz w:val="24"/>
          <w:szCs w:val="24"/>
          <w:u w:val="single"/>
        </w:rPr>
        <w:t>（1）签订合同时，中标人明确表示无需预付款的，可不执行</w:t>
      </w:r>
      <w:r>
        <w:rPr>
          <w:rFonts w:ascii="宋体" w:hAnsi="宋体"/>
          <w:bCs/>
          <w:i/>
          <w:iCs/>
          <w:color w:val="000000"/>
          <w:kern w:val="2"/>
          <w:sz w:val="24"/>
          <w:szCs w:val="24"/>
          <w:u w:val="single"/>
        </w:rPr>
        <w:t>6</w:t>
      </w:r>
      <w:r>
        <w:rPr>
          <w:rFonts w:hint="eastAsia" w:ascii="宋体" w:hAnsi="宋体"/>
          <w:bCs/>
          <w:i/>
          <w:iCs/>
          <w:color w:val="000000"/>
          <w:kern w:val="2"/>
          <w:sz w:val="24"/>
          <w:szCs w:val="24"/>
          <w:u w:val="single"/>
        </w:rPr>
        <w:t>.</w:t>
      </w:r>
      <w:r>
        <w:rPr>
          <w:rFonts w:ascii="宋体" w:hAnsi="宋体"/>
          <w:bCs/>
          <w:i/>
          <w:iCs/>
          <w:color w:val="000000"/>
          <w:kern w:val="2"/>
          <w:sz w:val="24"/>
          <w:szCs w:val="24"/>
          <w:u w:val="single"/>
        </w:rPr>
        <w:t>2</w:t>
      </w:r>
      <w:r>
        <w:rPr>
          <w:rFonts w:hint="eastAsia" w:ascii="宋体" w:hAnsi="宋体"/>
          <w:bCs/>
          <w:i/>
          <w:iCs/>
          <w:color w:val="000000"/>
          <w:kern w:val="2"/>
          <w:sz w:val="24"/>
          <w:szCs w:val="24"/>
          <w:u w:val="single"/>
        </w:rPr>
        <w:t>。</w:t>
      </w:r>
    </w:p>
    <w:p w14:paraId="22A5230E">
      <w:pPr>
        <w:spacing w:line="440" w:lineRule="exact"/>
        <w:ind w:firstLine="480" w:firstLineChars="200"/>
        <w:rPr>
          <w:rFonts w:ascii="宋体" w:hAnsi="宋体"/>
          <w:bCs/>
          <w:i/>
          <w:iCs/>
          <w:color w:val="000000"/>
          <w:kern w:val="2"/>
          <w:sz w:val="24"/>
          <w:szCs w:val="24"/>
          <w:u w:val="single"/>
        </w:rPr>
      </w:pPr>
      <w:r>
        <w:rPr>
          <w:rFonts w:hint="eastAsia" w:ascii="宋体" w:hAnsi="宋体"/>
          <w:bCs/>
          <w:i/>
          <w:iCs/>
          <w:color w:val="000000"/>
          <w:kern w:val="2"/>
          <w:sz w:val="24"/>
          <w:szCs w:val="24"/>
          <w:u w:val="single"/>
        </w:rPr>
        <w:t>（2）以上每次付款前，中标人均应提供符合采购人要求的同等金额的合法有效发票。否则，采购人有权顺延付款时间，且不承担任何违约或赔偿责任。</w:t>
      </w:r>
    </w:p>
    <w:p w14:paraId="263E4D89">
      <w:pPr>
        <w:spacing w:line="440" w:lineRule="exact"/>
        <w:ind w:firstLine="482" w:firstLineChars="200"/>
        <w:rPr>
          <w:rFonts w:ascii="宋体" w:hAnsi="宋体"/>
          <w:b/>
          <w:bCs/>
          <w:color w:val="000000"/>
          <w:kern w:val="2"/>
          <w:sz w:val="24"/>
          <w:szCs w:val="24"/>
        </w:rPr>
      </w:pPr>
      <w:r>
        <w:rPr>
          <w:rFonts w:ascii="宋体" w:hAnsi="宋体"/>
          <w:b/>
          <w:bCs/>
          <w:color w:val="000000"/>
          <w:kern w:val="2"/>
          <w:sz w:val="24"/>
          <w:szCs w:val="24"/>
        </w:rPr>
        <w:t>7</w:t>
      </w:r>
      <w:r>
        <w:rPr>
          <w:rFonts w:hint="eastAsia" w:ascii="宋体" w:hAnsi="宋体"/>
          <w:b/>
          <w:bCs/>
          <w:color w:val="000000"/>
          <w:kern w:val="2"/>
          <w:sz w:val="24"/>
          <w:szCs w:val="24"/>
        </w:rPr>
        <w:t>、</w:t>
      </w:r>
      <w:r>
        <w:rPr>
          <w:rFonts w:ascii="宋体" w:hAnsi="宋体"/>
          <w:b/>
          <w:bCs/>
          <w:color w:val="000000"/>
          <w:kern w:val="2"/>
          <w:sz w:val="24"/>
          <w:szCs w:val="24"/>
        </w:rPr>
        <w:t>本项目采购预算为￥600000.00元</w:t>
      </w:r>
      <w:r>
        <w:rPr>
          <w:rFonts w:hint="eastAsia" w:ascii="宋体" w:hAnsi="宋体"/>
          <w:b/>
          <w:bCs/>
          <w:color w:val="000000"/>
          <w:kern w:val="2"/>
          <w:sz w:val="24"/>
          <w:szCs w:val="24"/>
        </w:rPr>
        <w:t>（人民币陆拾万元整），投标价格不得高于采购预算，否则将做无效投标处理。</w:t>
      </w:r>
    </w:p>
    <w:p w14:paraId="782D59DF">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8</w:t>
      </w:r>
      <w:r>
        <w:rPr>
          <w:rFonts w:hint="eastAsia" w:ascii="宋体" w:hAnsi="宋体"/>
          <w:color w:val="000000"/>
          <w:kern w:val="2"/>
          <w:sz w:val="24"/>
          <w:szCs w:val="24"/>
        </w:rPr>
        <w:t>、</w:t>
      </w:r>
      <w:r>
        <w:rPr>
          <w:rFonts w:ascii="宋体" w:hAnsi="宋体"/>
          <w:color w:val="000000"/>
          <w:kern w:val="2"/>
          <w:sz w:val="24"/>
          <w:szCs w:val="24"/>
        </w:rPr>
        <w:t>本项目不接受联合</w:t>
      </w:r>
      <w:r>
        <w:rPr>
          <w:rFonts w:hint="eastAsia" w:ascii="宋体" w:hAnsi="宋体"/>
          <w:color w:val="000000"/>
          <w:kern w:val="2"/>
          <w:sz w:val="24"/>
          <w:szCs w:val="24"/>
        </w:rPr>
        <w:t>体</w:t>
      </w:r>
      <w:r>
        <w:rPr>
          <w:rFonts w:ascii="宋体" w:hAnsi="宋体"/>
          <w:color w:val="000000"/>
          <w:kern w:val="2"/>
          <w:sz w:val="24"/>
          <w:szCs w:val="24"/>
        </w:rPr>
        <w:t>参加</w:t>
      </w:r>
      <w:r>
        <w:rPr>
          <w:rFonts w:hint="eastAsia" w:ascii="宋体" w:hAnsi="宋体"/>
          <w:color w:val="000000"/>
          <w:kern w:val="2"/>
          <w:sz w:val="24"/>
          <w:szCs w:val="24"/>
        </w:rPr>
        <w:t>公开招标</w:t>
      </w:r>
      <w:r>
        <w:rPr>
          <w:rFonts w:ascii="宋体" w:hAnsi="宋体"/>
          <w:color w:val="000000"/>
          <w:kern w:val="2"/>
          <w:sz w:val="24"/>
          <w:szCs w:val="24"/>
        </w:rPr>
        <w:t>，不得以任何形式进行转包及分包。</w:t>
      </w:r>
    </w:p>
    <w:p w14:paraId="038B0408">
      <w:pPr>
        <w:spacing w:line="440" w:lineRule="exact"/>
        <w:jc w:val="left"/>
        <w:rPr>
          <w:rFonts w:ascii="宋体" w:hAnsi="宋体"/>
          <w:b/>
          <w:color w:val="000000"/>
          <w:kern w:val="2"/>
          <w:sz w:val="28"/>
          <w:szCs w:val="24"/>
        </w:rPr>
      </w:pPr>
      <w:r>
        <w:rPr>
          <w:rFonts w:hint="eastAsia" w:ascii="宋体" w:hAnsi="宋体"/>
          <w:b/>
          <w:color w:val="000000"/>
          <w:kern w:val="2"/>
          <w:sz w:val="28"/>
          <w:szCs w:val="24"/>
        </w:rPr>
        <w:t>二、</w:t>
      </w:r>
      <w:r>
        <w:rPr>
          <w:b/>
          <w:bCs/>
          <w:color w:val="000000"/>
          <w:kern w:val="2"/>
          <w:sz w:val="28"/>
          <w:szCs w:val="28"/>
        </w:rPr>
        <w:t>项目要求</w:t>
      </w:r>
      <w:r>
        <w:rPr>
          <w:rFonts w:hint="eastAsia" w:ascii="宋体" w:hAnsi="宋体"/>
          <w:b/>
          <w:color w:val="000000"/>
          <w:kern w:val="2"/>
          <w:sz w:val="28"/>
          <w:szCs w:val="24"/>
        </w:rPr>
        <w:t>：</w:t>
      </w:r>
    </w:p>
    <w:tbl>
      <w:tblPr>
        <w:tblStyle w:val="39"/>
        <w:tblW w:w="9478" w:type="dxa"/>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6"/>
        <w:gridCol w:w="2943"/>
        <w:gridCol w:w="3409"/>
      </w:tblGrid>
      <w:tr w14:paraId="2D7F1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1" w:hRule="exact"/>
        </w:trPr>
        <w:tc>
          <w:tcPr>
            <w:tcW w:w="3126" w:type="dxa"/>
            <w:vAlign w:val="center"/>
          </w:tcPr>
          <w:p w14:paraId="68EFA24F">
            <w:pPr>
              <w:spacing w:line="360" w:lineRule="exact"/>
              <w:jc w:val="center"/>
              <w:rPr>
                <w:b/>
                <w:bCs/>
                <w:color w:val="000000"/>
                <w:kern w:val="2"/>
                <w:sz w:val="24"/>
                <w:szCs w:val="24"/>
              </w:rPr>
            </w:pPr>
            <w:r>
              <w:rPr>
                <w:b/>
                <w:bCs/>
                <w:color w:val="000000"/>
                <w:kern w:val="2"/>
                <w:sz w:val="24"/>
                <w:szCs w:val="24"/>
              </w:rPr>
              <w:t>绿化总面积（m²）</w:t>
            </w:r>
          </w:p>
        </w:tc>
        <w:tc>
          <w:tcPr>
            <w:tcW w:w="2943" w:type="dxa"/>
            <w:vAlign w:val="center"/>
          </w:tcPr>
          <w:p w14:paraId="3F5055CA">
            <w:pPr>
              <w:spacing w:line="360" w:lineRule="exact"/>
              <w:jc w:val="center"/>
              <w:rPr>
                <w:b/>
                <w:bCs/>
                <w:color w:val="000000"/>
                <w:kern w:val="2"/>
                <w:sz w:val="24"/>
                <w:szCs w:val="24"/>
              </w:rPr>
            </w:pPr>
            <w:r>
              <w:rPr>
                <w:b/>
                <w:bCs/>
                <w:color w:val="000000"/>
                <w:kern w:val="2"/>
                <w:sz w:val="24"/>
                <w:szCs w:val="24"/>
              </w:rPr>
              <w:t>养护要求</w:t>
            </w:r>
          </w:p>
        </w:tc>
        <w:tc>
          <w:tcPr>
            <w:tcW w:w="3409" w:type="dxa"/>
            <w:vAlign w:val="center"/>
          </w:tcPr>
          <w:p w14:paraId="63B840E2">
            <w:pPr>
              <w:spacing w:line="360" w:lineRule="exact"/>
              <w:jc w:val="center"/>
              <w:rPr>
                <w:b/>
                <w:bCs/>
                <w:color w:val="000000"/>
                <w:kern w:val="2"/>
                <w:sz w:val="24"/>
                <w:szCs w:val="24"/>
              </w:rPr>
            </w:pPr>
            <w:r>
              <w:rPr>
                <w:b/>
                <w:bCs/>
                <w:color w:val="000000"/>
                <w:kern w:val="2"/>
                <w:sz w:val="24"/>
                <w:szCs w:val="24"/>
              </w:rPr>
              <w:t>备注</w:t>
            </w:r>
          </w:p>
        </w:tc>
      </w:tr>
      <w:tr w14:paraId="6CA2B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exact"/>
        </w:trPr>
        <w:tc>
          <w:tcPr>
            <w:tcW w:w="3126" w:type="dxa"/>
            <w:vAlign w:val="center"/>
          </w:tcPr>
          <w:p w14:paraId="5115E499">
            <w:pPr>
              <w:widowControl/>
              <w:jc w:val="center"/>
              <w:textAlignment w:val="center"/>
              <w:rPr>
                <w:color w:val="000000"/>
                <w:sz w:val="24"/>
                <w:szCs w:val="24"/>
                <w:lang w:bidi="ar"/>
              </w:rPr>
            </w:pPr>
            <w:r>
              <w:rPr>
                <w:rFonts w:hint="eastAsia"/>
                <w:color w:val="000000"/>
                <w:sz w:val="24"/>
                <w:szCs w:val="24"/>
                <w:lang w:bidi="ar"/>
              </w:rPr>
              <w:t>664000</w:t>
            </w:r>
          </w:p>
        </w:tc>
        <w:tc>
          <w:tcPr>
            <w:tcW w:w="2943" w:type="dxa"/>
            <w:vAlign w:val="center"/>
          </w:tcPr>
          <w:p w14:paraId="190248B5">
            <w:pPr>
              <w:widowControl/>
              <w:jc w:val="center"/>
              <w:textAlignment w:val="center"/>
              <w:rPr>
                <w:color w:val="000000"/>
                <w:sz w:val="24"/>
                <w:szCs w:val="24"/>
                <w:lang w:bidi="ar"/>
              </w:rPr>
            </w:pPr>
            <w:r>
              <w:rPr>
                <w:color w:val="000000"/>
                <w:sz w:val="24"/>
                <w:szCs w:val="24"/>
                <w:lang w:bidi="ar"/>
              </w:rPr>
              <w:t>三级及以上养护</w:t>
            </w:r>
          </w:p>
        </w:tc>
        <w:tc>
          <w:tcPr>
            <w:tcW w:w="3409" w:type="dxa"/>
            <w:vAlign w:val="center"/>
          </w:tcPr>
          <w:p w14:paraId="58FB4891">
            <w:pPr>
              <w:widowControl/>
              <w:jc w:val="left"/>
              <w:textAlignment w:val="center"/>
              <w:rPr>
                <w:color w:val="000000"/>
                <w:kern w:val="2"/>
                <w:sz w:val="24"/>
                <w:szCs w:val="24"/>
              </w:rPr>
            </w:pPr>
            <w:r>
              <w:rPr>
                <w:color w:val="000000"/>
                <w:kern w:val="2"/>
                <w:sz w:val="24"/>
              </w:rPr>
              <w:t>具体服务范围：详见附件1</w:t>
            </w:r>
          </w:p>
        </w:tc>
      </w:tr>
    </w:tbl>
    <w:p w14:paraId="601F42C3">
      <w:pPr>
        <w:spacing w:line="440" w:lineRule="exact"/>
        <w:jc w:val="left"/>
        <w:rPr>
          <w:rFonts w:ascii="宋体" w:hAnsi="宋体"/>
          <w:b/>
          <w:color w:val="000000"/>
          <w:kern w:val="2"/>
          <w:sz w:val="28"/>
          <w:szCs w:val="24"/>
        </w:rPr>
      </w:pPr>
      <w:r>
        <w:rPr>
          <w:rFonts w:hint="eastAsia" w:ascii="宋体" w:hAnsi="宋体"/>
          <w:b/>
          <w:color w:val="000000"/>
          <w:kern w:val="2"/>
          <w:sz w:val="28"/>
          <w:szCs w:val="24"/>
        </w:rPr>
        <w:t>三、项目服务要求：</w:t>
      </w:r>
    </w:p>
    <w:p w14:paraId="2F8040DA">
      <w:pPr>
        <w:snapToGrid w:val="0"/>
        <w:spacing w:line="440" w:lineRule="exact"/>
        <w:rPr>
          <w:b/>
          <w:bCs/>
          <w:color w:val="000000"/>
          <w:sz w:val="24"/>
        </w:rPr>
      </w:pPr>
      <w:r>
        <w:rPr>
          <w:rFonts w:hint="eastAsia"/>
          <w:b/>
          <w:bCs/>
          <w:color w:val="000000"/>
          <w:sz w:val="24"/>
        </w:rPr>
        <w:t>（一）总体要求：</w:t>
      </w:r>
    </w:p>
    <w:p w14:paraId="4C9E23A5">
      <w:pPr>
        <w:spacing w:line="440" w:lineRule="exact"/>
        <w:ind w:firstLine="480" w:firstLineChars="200"/>
        <w:rPr>
          <w:rFonts w:ascii="宋体" w:hAnsi="宋体"/>
          <w:i/>
          <w:iCs/>
          <w:color w:val="000000"/>
          <w:kern w:val="2"/>
          <w:sz w:val="24"/>
          <w:szCs w:val="24"/>
          <w:u w:val="single"/>
        </w:rPr>
      </w:pPr>
      <w:r>
        <w:rPr>
          <w:rFonts w:ascii="宋体" w:hAnsi="宋体"/>
          <w:i/>
          <w:iCs/>
          <w:color w:val="000000"/>
          <w:kern w:val="2"/>
          <w:sz w:val="24"/>
          <w:szCs w:val="24"/>
          <w:u w:val="single"/>
        </w:rPr>
        <w:t>1、</w:t>
      </w:r>
      <w:r>
        <w:rPr>
          <w:rFonts w:hint="eastAsia" w:ascii="宋体" w:hAnsi="宋体"/>
          <w:i/>
          <w:iCs/>
          <w:color w:val="000000"/>
          <w:kern w:val="2"/>
          <w:sz w:val="24"/>
          <w:szCs w:val="24"/>
          <w:u w:val="single"/>
        </w:rPr>
        <w:t>投标人</w:t>
      </w:r>
      <w:r>
        <w:rPr>
          <w:rFonts w:ascii="宋体" w:hAnsi="宋体"/>
          <w:i/>
          <w:iCs/>
          <w:color w:val="000000"/>
          <w:kern w:val="2"/>
          <w:sz w:val="24"/>
          <w:szCs w:val="24"/>
          <w:u w:val="single"/>
        </w:rPr>
        <w:t>需在合同履行日前五日派员对管理现场进行熟悉情况和办理交接手续，相关费用包含在</w:t>
      </w:r>
      <w:r>
        <w:rPr>
          <w:rFonts w:hint="eastAsia" w:ascii="宋体" w:hAnsi="宋体"/>
          <w:i/>
          <w:iCs/>
          <w:color w:val="000000"/>
          <w:kern w:val="2"/>
          <w:sz w:val="24"/>
          <w:szCs w:val="24"/>
          <w:u w:val="single"/>
        </w:rPr>
        <w:t>投标总价</w:t>
      </w:r>
      <w:r>
        <w:rPr>
          <w:rFonts w:ascii="宋体" w:hAnsi="宋体"/>
          <w:i/>
          <w:iCs/>
          <w:color w:val="000000"/>
          <w:kern w:val="2"/>
          <w:sz w:val="24"/>
          <w:szCs w:val="24"/>
          <w:u w:val="single"/>
        </w:rPr>
        <w:t>中。</w:t>
      </w:r>
    </w:p>
    <w:p w14:paraId="6255E075">
      <w:pPr>
        <w:spacing w:line="440" w:lineRule="exact"/>
        <w:ind w:firstLine="480" w:firstLineChars="200"/>
        <w:rPr>
          <w:rFonts w:ascii="宋体" w:hAnsi="宋体"/>
          <w:i/>
          <w:iCs/>
          <w:color w:val="000000"/>
          <w:kern w:val="2"/>
          <w:sz w:val="24"/>
          <w:szCs w:val="24"/>
          <w:u w:val="single"/>
        </w:rPr>
      </w:pPr>
      <w:r>
        <w:rPr>
          <w:rFonts w:ascii="宋体" w:hAnsi="宋体"/>
          <w:i/>
          <w:iCs/>
          <w:color w:val="000000"/>
          <w:kern w:val="2"/>
          <w:sz w:val="24"/>
          <w:szCs w:val="24"/>
          <w:u w:val="single"/>
        </w:rPr>
        <w:t>2、</w:t>
      </w:r>
      <w:r>
        <w:rPr>
          <w:rFonts w:hint="eastAsia" w:ascii="宋体" w:hAnsi="宋体"/>
          <w:i/>
          <w:iCs/>
          <w:color w:val="000000"/>
          <w:kern w:val="2"/>
          <w:sz w:val="24"/>
          <w:szCs w:val="24"/>
          <w:u w:val="single"/>
        </w:rPr>
        <w:t>投标人</w:t>
      </w:r>
      <w:r>
        <w:rPr>
          <w:rFonts w:ascii="宋体" w:hAnsi="宋体"/>
          <w:i/>
          <w:iCs/>
          <w:color w:val="000000"/>
          <w:kern w:val="2"/>
          <w:sz w:val="24"/>
          <w:szCs w:val="24"/>
          <w:u w:val="single"/>
        </w:rPr>
        <w:t>必须遵守劳动法，依法规范用工，全员购买意外险。</w:t>
      </w:r>
    </w:p>
    <w:p w14:paraId="2948E34F">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3、人员工资应不低于最新公布的常熟市最低工资标准。</w:t>
      </w:r>
    </w:p>
    <w:p w14:paraId="34FBF546">
      <w:pPr>
        <w:spacing w:line="440" w:lineRule="exact"/>
        <w:ind w:firstLine="480" w:firstLineChars="200"/>
        <w:rPr>
          <w:rFonts w:ascii="宋体" w:hAnsi="宋体"/>
          <w:i/>
          <w:iCs/>
          <w:color w:val="000000"/>
          <w:kern w:val="2"/>
          <w:sz w:val="24"/>
          <w:szCs w:val="24"/>
          <w:u w:val="single"/>
        </w:rPr>
      </w:pPr>
      <w:r>
        <w:rPr>
          <w:rFonts w:ascii="宋体" w:hAnsi="宋体"/>
          <w:i/>
          <w:iCs/>
          <w:color w:val="000000"/>
          <w:kern w:val="2"/>
          <w:sz w:val="24"/>
          <w:szCs w:val="24"/>
          <w:u w:val="single"/>
        </w:rPr>
        <w:t>4、所有服务项目参照《江苏省城市园林绿化植物种植技术规定（试行）》、《常熟市绿地养护质量标准》（详见附件2）及各项规章制度等内容进行管理，并且不局限于以上要求内容。</w:t>
      </w:r>
    </w:p>
    <w:p w14:paraId="697F5EDC">
      <w:pPr>
        <w:snapToGrid w:val="0"/>
        <w:spacing w:line="440" w:lineRule="exact"/>
        <w:rPr>
          <w:b/>
          <w:bCs/>
          <w:color w:val="000000"/>
          <w:sz w:val="24"/>
        </w:rPr>
      </w:pPr>
      <w:r>
        <w:rPr>
          <w:rFonts w:hint="eastAsia"/>
          <w:b/>
          <w:bCs/>
          <w:color w:val="000000"/>
          <w:sz w:val="24"/>
        </w:rPr>
        <w:t>（二）人员要求：</w:t>
      </w:r>
    </w:p>
    <w:p w14:paraId="569486AD">
      <w:pPr>
        <w:spacing w:line="440" w:lineRule="exact"/>
        <w:ind w:firstLine="480" w:firstLineChars="200"/>
        <w:rPr>
          <w:rFonts w:ascii="宋体" w:hAnsi="宋体"/>
          <w:i/>
          <w:iCs/>
          <w:color w:val="000000"/>
          <w:kern w:val="2"/>
          <w:sz w:val="24"/>
          <w:szCs w:val="24"/>
          <w:u w:val="single"/>
        </w:rPr>
      </w:pPr>
      <w:r>
        <w:rPr>
          <w:rFonts w:ascii="宋体" w:hAnsi="宋体"/>
          <w:i/>
          <w:iCs/>
          <w:color w:val="000000"/>
          <w:kern w:val="2"/>
          <w:sz w:val="24"/>
          <w:szCs w:val="24"/>
          <w:u w:val="single"/>
        </w:rPr>
        <w:t>1、禁止使用65周岁</w:t>
      </w:r>
      <w:r>
        <w:rPr>
          <w:rFonts w:hint="eastAsia" w:ascii="宋体" w:hAnsi="宋体"/>
          <w:i/>
          <w:iCs/>
          <w:color w:val="000000"/>
          <w:kern w:val="2"/>
          <w:sz w:val="24"/>
          <w:szCs w:val="24"/>
          <w:u w:val="single"/>
        </w:rPr>
        <w:t>（不含）</w:t>
      </w:r>
      <w:r>
        <w:rPr>
          <w:rFonts w:ascii="宋体" w:hAnsi="宋体"/>
          <w:i/>
          <w:iCs/>
          <w:color w:val="000000"/>
          <w:kern w:val="2"/>
          <w:sz w:val="24"/>
          <w:szCs w:val="24"/>
          <w:u w:val="single"/>
        </w:rPr>
        <w:t>以上人员（项目负责人为法定代表人的除外）。</w:t>
      </w:r>
    </w:p>
    <w:p w14:paraId="261A585D">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2、爱岗敬业，主人翁意识强，遵纪守法，文明礼貌。</w:t>
      </w:r>
    </w:p>
    <w:p w14:paraId="7AF5BD40">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3、团结协作意识、安全作业意识强，工作高质、高效。</w:t>
      </w:r>
    </w:p>
    <w:p w14:paraId="21923A92">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4、</w:t>
      </w:r>
      <w:r>
        <w:rPr>
          <w:rFonts w:hint="eastAsia" w:ascii="宋体" w:hAnsi="宋体"/>
          <w:color w:val="000000"/>
          <w:kern w:val="2"/>
          <w:sz w:val="24"/>
          <w:szCs w:val="24"/>
        </w:rPr>
        <w:t>统一服装，精神饱满，衣着整洁，注重个人形象</w:t>
      </w:r>
      <w:r>
        <w:rPr>
          <w:rFonts w:ascii="宋体" w:hAnsi="宋体"/>
          <w:color w:val="000000"/>
          <w:kern w:val="2"/>
          <w:sz w:val="24"/>
          <w:szCs w:val="24"/>
        </w:rPr>
        <w:t>。</w:t>
      </w:r>
    </w:p>
    <w:p w14:paraId="71BA8F93">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5、投标人必须配备1名项目负责人。</w:t>
      </w:r>
    </w:p>
    <w:p w14:paraId="647869FC">
      <w:pPr>
        <w:snapToGrid w:val="0"/>
        <w:spacing w:line="440" w:lineRule="exact"/>
        <w:rPr>
          <w:b/>
          <w:bCs/>
          <w:color w:val="000000"/>
          <w:kern w:val="2"/>
          <w:sz w:val="24"/>
          <w:szCs w:val="24"/>
        </w:rPr>
      </w:pPr>
      <w:r>
        <w:rPr>
          <w:rFonts w:hint="eastAsia"/>
          <w:b/>
          <w:bCs/>
          <w:color w:val="000000"/>
          <w:sz w:val="24"/>
        </w:rPr>
        <w:t>（三）</w:t>
      </w:r>
      <w:r>
        <w:rPr>
          <w:b/>
          <w:bCs/>
          <w:color w:val="000000"/>
          <w:kern w:val="2"/>
          <w:sz w:val="24"/>
          <w:szCs w:val="24"/>
        </w:rPr>
        <w:t>车辆、工具设备配置要求</w:t>
      </w:r>
      <w:r>
        <w:rPr>
          <w:rFonts w:hint="eastAsia"/>
          <w:b/>
          <w:bCs/>
          <w:color w:val="000000"/>
          <w:kern w:val="2"/>
          <w:sz w:val="24"/>
          <w:szCs w:val="24"/>
        </w:rPr>
        <w:t>：</w:t>
      </w:r>
    </w:p>
    <w:p w14:paraId="77E4BE02">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投标人</w:t>
      </w:r>
      <w:r>
        <w:rPr>
          <w:rFonts w:ascii="宋体" w:hAnsi="宋体"/>
          <w:color w:val="000000"/>
          <w:kern w:val="2"/>
          <w:sz w:val="24"/>
          <w:szCs w:val="24"/>
        </w:rPr>
        <w:t>应按照服务内容</w:t>
      </w:r>
      <w:r>
        <w:rPr>
          <w:rFonts w:hint="eastAsia" w:ascii="宋体" w:hAnsi="宋体"/>
          <w:color w:val="000000"/>
          <w:kern w:val="2"/>
          <w:sz w:val="24"/>
          <w:szCs w:val="24"/>
        </w:rPr>
        <w:t>要求</w:t>
      </w:r>
      <w:r>
        <w:rPr>
          <w:rFonts w:ascii="宋体" w:hAnsi="宋体"/>
          <w:color w:val="000000"/>
          <w:kern w:val="2"/>
          <w:sz w:val="24"/>
          <w:szCs w:val="24"/>
        </w:rPr>
        <w:t>将相关车辆、工具设备等配备到位，满足绿化养护日常作业及应急服务需求。</w:t>
      </w:r>
    </w:p>
    <w:p w14:paraId="04ADB51E">
      <w:pPr>
        <w:snapToGrid w:val="0"/>
        <w:spacing w:line="440" w:lineRule="exact"/>
        <w:rPr>
          <w:b/>
          <w:bCs/>
          <w:color w:val="000000"/>
          <w:sz w:val="24"/>
        </w:rPr>
      </w:pPr>
      <w:r>
        <w:rPr>
          <w:b/>
          <w:bCs/>
          <w:color w:val="000000"/>
          <w:sz w:val="24"/>
        </w:rPr>
        <w:t>（四）服务要求：</w:t>
      </w:r>
    </w:p>
    <w:p w14:paraId="6580927A">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1、</w:t>
      </w:r>
      <w:r>
        <w:rPr>
          <w:rFonts w:hint="eastAsia" w:ascii="宋体" w:hAnsi="宋体"/>
          <w:color w:val="000000"/>
          <w:kern w:val="2"/>
          <w:sz w:val="24"/>
          <w:szCs w:val="24"/>
        </w:rPr>
        <w:t>投标人</w:t>
      </w:r>
      <w:r>
        <w:rPr>
          <w:rFonts w:ascii="宋体" w:hAnsi="宋体"/>
          <w:color w:val="000000"/>
          <w:kern w:val="2"/>
          <w:sz w:val="24"/>
          <w:szCs w:val="24"/>
        </w:rPr>
        <w:t>负责河道两侧绿化带</w:t>
      </w:r>
      <w:r>
        <w:rPr>
          <w:rFonts w:hint="eastAsia" w:ascii="宋体" w:hAnsi="宋体"/>
          <w:color w:val="000000"/>
          <w:kern w:val="2"/>
          <w:sz w:val="24"/>
          <w:szCs w:val="24"/>
        </w:rPr>
        <w:t>和防汛道路</w:t>
      </w:r>
      <w:r>
        <w:rPr>
          <w:rFonts w:ascii="宋体" w:hAnsi="宋体"/>
          <w:color w:val="000000"/>
          <w:kern w:val="2"/>
          <w:sz w:val="24"/>
          <w:szCs w:val="24"/>
        </w:rPr>
        <w:t>巡视看护、垃圾清理、安全隐患情况的上报。</w:t>
      </w:r>
    </w:p>
    <w:p w14:paraId="32FF46DF">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2、巡视看护要求：</w:t>
      </w:r>
      <w:r>
        <w:rPr>
          <w:rFonts w:hint="eastAsia" w:ascii="宋体" w:hAnsi="宋体"/>
          <w:color w:val="000000"/>
          <w:kern w:val="2"/>
          <w:sz w:val="24"/>
          <w:szCs w:val="24"/>
        </w:rPr>
        <w:t>投标人</w:t>
      </w:r>
      <w:r>
        <w:rPr>
          <w:rFonts w:ascii="宋体" w:hAnsi="宋体"/>
          <w:color w:val="000000"/>
          <w:kern w:val="2"/>
          <w:sz w:val="24"/>
          <w:szCs w:val="24"/>
        </w:rPr>
        <w:t>应落实专人负责巡视看护工作，并按要求做到存在问题当日发现，存在安全隐患的问题当日上报。</w:t>
      </w:r>
    </w:p>
    <w:p w14:paraId="3479DF43">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3、垃圾清理：</w:t>
      </w:r>
      <w:r>
        <w:rPr>
          <w:rFonts w:hint="eastAsia" w:ascii="宋体" w:hAnsi="宋体"/>
          <w:color w:val="000000"/>
          <w:kern w:val="2"/>
          <w:sz w:val="24"/>
          <w:szCs w:val="24"/>
        </w:rPr>
        <w:t>投标人</w:t>
      </w:r>
      <w:r>
        <w:rPr>
          <w:rFonts w:ascii="宋体" w:hAnsi="宋体"/>
          <w:color w:val="000000"/>
          <w:kern w:val="2"/>
          <w:sz w:val="24"/>
          <w:szCs w:val="24"/>
        </w:rPr>
        <w:t>应注意清理河道两侧绿化带</w:t>
      </w:r>
      <w:r>
        <w:rPr>
          <w:rFonts w:hint="eastAsia" w:ascii="宋体" w:hAnsi="宋体"/>
          <w:color w:val="000000"/>
          <w:kern w:val="2"/>
          <w:sz w:val="24"/>
          <w:szCs w:val="24"/>
        </w:rPr>
        <w:t>和防汛道路</w:t>
      </w:r>
      <w:r>
        <w:rPr>
          <w:rFonts w:ascii="宋体" w:hAnsi="宋体"/>
          <w:color w:val="000000"/>
          <w:kern w:val="2"/>
          <w:sz w:val="24"/>
          <w:szCs w:val="24"/>
        </w:rPr>
        <w:t>上的各类垃圾，尤其是白色垃圾。</w:t>
      </w:r>
    </w:p>
    <w:p w14:paraId="561FB670">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4、垦种清理：投标人</w:t>
      </w:r>
      <w:r>
        <w:rPr>
          <w:rFonts w:ascii="宋体" w:hAnsi="宋体"/>
          <w:color w:val="000000"/>
          <w:kern w:val="2"/>
          <w:sz w:val="24"/>
          <w:szCs w:val="24"/>
        </w:rPr>
        <w:t>应</w:t>
      </w:r>
      <w:r>
        <w:rPr>
          <w:rFonts w:hint="eastAsia" w:ascii="宋体" w:hAnsi="宋体"/>
          <w:color w:val="000000"/>
          <w:kern w:val="2"/>
          <w:sz w:val="24"/>
          <w:szCs w:val="24"/>
        </w:rPr>
        <w:t>按时向采购人汇报养护范围内的垦种情况，在接到采购人清理通知后，及时进行垦种清理。</w:t>
      </w:r>
    </w:p>
    <w:p w14:paraId="17EF5930">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5</w:t>
      </w:r>
      <w:r>
        <w:rPr>
          <w:rFonts w:ascii="宋体" w:hAnsi="宋体"/>
          <w:color w:val="000000"/>
          <w:kern w:val="2"/>
          <w:sz w:val="24"/>
          <w:szCs w:val="24"/>
        </w:rPr>
        <w:t>、安全保护：</w:t>
      </w:r>
      <w:r>
        <w:rPr>
          <w:rFonts w:hint="eastAsia" w:ascii="宋体" w:hAnsi="宋体"/>
          <w:color w:val="000000"/>
          <w:kern w:val="2"/>
          <w:sz w:val="24"/>
          <w:szCs w:val="24"/>
        </w:rPr>
        <w:t>投标人</w:t>
      </w:r>
      <w:r>
        <w:rPr>
          <w:rFonts w:ascii="宋体" w:hAnsi="宋体"/>
          <w:color w:val="000000"/>
          <w:kern w:val="2"/>
          <w:sz w:val="24"/>
          <w:szCs w:val="24"/>
        </w:rPr>
        <w:t>在养护期内除按要求做好巡视看护、保洁工作外，应做好安全防范措施，在第一时间内发现安全隐患，采取有效措施。</w:t>
      </w:r>
    </w:p>
    <w:p w14:paraId="4DE871BA">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6</w:t>
      </w:r>
      <w:r>
        <w:rPr>
          <w:rFonts w:ascii="宋体" w:hAnsi="宋体"/>
          <w:color w:val="000000"/>
          <w:kern w:val="2"/>
          <w:sz w:val="24"/>
          <w:szCs w:val="24"/>
        </w:rPr>
        <w:t>、因政府重大活动或突发性事件而必须实施的应急整治任务，由</w:t>
      </w:r>
      <w:r>
        <w:rPr>
          <w:rFonts w:hint="eastAsia" w:ascii="宋体" w:hAnsi="宋体"/>
          <w:color w:val="000000"/>
          <w:kern w:val="2"/>
          <w:sz w:val="24"/>
          <w:szCs w:val="24"/>
        </w:rPr>
        <w:t>投标人</w:t>
      </w:r>
      <w:r>
        <w:rPr>
          <w:rFonts w:ascii="宋体" w:hAnsi="宋体"/>
          <w:color w:val="000000"/>
          <w:kern w:val="2"/>
          <w:sz w:val="24"/>
          <w:szCs w:val="24"/>
        </w:rPr>
        <w:t>按相关规定落实相应</w:t>
      </w:r>
      <w:r>
        <w:rPr>
          <w:rFonts w:hint="eastAsia" w:ascii="宋体" w:hAnsi="宋体"/>
          <w:color w:val="000000"/>
          <w:kern w:val="2"/>
          <w:sz w:val="24"/>
          <w:szCs w:val="24"/>
        </w:rPr>
        <w:t>投标人</w:t>
      </w:r>
      <w:r>
        <w:rPr>
          <w:rFonts w:ascii="宋体" w:hAnsi="宋体"/>
          <w:color w:val="000000"/>
          <w:kern w:val="2"/>
          <w:sz w:val="24"/>
          <w:szCs w:val="24"/>
        </w:rPr>
        <w:t>实施的，</w:t>
      </w:r>
      <w:r>
        <w:rPr>
          <w:rFonts w:hint="eastAsia" w:ascii="宋体" w:hAnsi="宋体"/>
          <w:color w:val="000000"/>
          <w:kern w:val="2"/>
          <w:sz w:val="24"/>
          <w:szCs w:val="24"/>
        </w:rPr>
        <w:t>投标人</w:t>
      </w:r>
      <w:r>
        <w:rPr>
          <w:rFonts w:ascii="宋体" w:hAnsi="宋体"/>
          <w:color w:val="000000"/>
          <w:kern w:val="2"/>
          <w:sz w:val="24"/>
          <w:szCs w:val="24"/>
        </w:rPr>
        <w:t>应保质保量完成。</w:t>
      </w:r>
    </w:p>
    <w:p w14:paraId="308105BC">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7</w:t>
      </w:r>
      <w:r>
        <w:rPr>
          <w:rFonts w:ascii="宋体" w:hAnsi="宋体"/>
          <w:color w:val="000000"/>
          <w:kern w:val="2"/>
          <w:sz w:val="24"/>
          <w:szCs w:val="24"/>
        </w:rPr>
        <w:t>、突击工作应服从采购人安排，增派人员和设备。</w:t>
      </w:r>
    </w:p>
    <w:p w14:paraId="4F062566">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8</w:t>
      </w:r>
      <w:r>
        <w:rPr>
          <w:rFonts w:ascii="宋体" w:hAnsi="宋体"/>
          <w:color w:val="000000"/>
          <w:kern w:val="2"/>
          <w:sz w:val="24"/>
          <w:szCs w:val="24"/>
        </w:rPr>
        <w:t>、养护工人工作服配备：春秋冬季绿马夹二件、夏装二件、雨衣雨裤一套，标明养护单位。</w:t>
      </w:r>
    </w:p>
    <w:p w14:paraId="532BE30D">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9</w:t>
      </w:r>
      <w:r>
        <w:rPr>
          <w:rFonts w:ascii="宋体" w:hAnsi="宋体"/>
          <w:color w:val="000000"/>
          <w:kern w:val="2"/>
          <w:sz w:val="24"/>
          <w:szCs w:val="24"/>
        </w:rPr>
        <w:t>、养护开始之日起应将工作服发放到位，全部统一着装上岗，统一挂牌上岗。</w:t>
      </w:r>
    </w:p>
    <w:p w14:paraId="2659FAE0">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10</w:t>
      </w:r>
      <w:r>
        <w:rPr>
          <w:rFonts w:ascii="宋体" w:hAnsi="宋体"/>
          <w:color w:val="000000"/>
          <w:kern w:val="2"/>
          <w:sz w:val="24"/>
          <w:szCs w:val="24"/>
        </w:rPr>
        <w:t>、落实专人负责养护台</w:t>
      </w:r>
      <w:r>
        <w:rPr>
          <w:rFonts w:hint="eastAsia" w:ascii="宋体" w:hAnsi="宋体"/>
          <w:color w:val="000000"/>
          <w:kern w:val="2"/>
          <w:sz w:val="24"/>
          <w:szCs w:val="24"/>
        </w:rPr>
        <w:t>账</w:t>
      </w:r>
      <w:r>
        <w:rPr>
          <w:rFonts w:ascii="宋体" w:hAnsi="宋体"/>
          <w:color w:val="000000"/>
          <w:kern w:val="2"/>
          <w:sz w:val="24"/>
          <w:szCs w:val="24"/>
        </w:rPr>
        <w:t>资料的制作、管理，确保台</w:t>
      </w:r>
      <w:r>
        <w:rPr>
          <w:rFonts w:hint="eastAsia" w:ascii="宋体" w:hAnsi="宋体"/>
          <w:color w:val="000000"/>
          <w:kern w:val="2"/>
          <w:sz w:val="24"/>
          <w:szCs w:val="24"/>
        </w:rPr>
        <w:t>账</w:t>
      </w:r>
      <w:r>
        <w:rPr>
          <w:rFonts w:ascii="宋体" w:hAnsi="宋体"/>
          <w:color w:val="000000"/>
          <w:kern w:val="2"/>
          <w:sz w:val="24"/>
          <w:szCs w:val="24"/>
        </w:rPr>
        <w:t>资料记录详细</w:t>
      </w:r>
      <w:r>
        <w:rPr>
          <w:rFonts w:hint="eastAsia" w:ascii="宋体" w:hAnsi="宋体"/>
          <w:color w:val="000000"/>
          <w:kern w:val="2"/>
          <w:sz w:val="24"/>
          <w:szCs w:val="24"/>
        </w:rPr>
        <w:t>、</w:t>
      </w:r>
      <w:r>
        <w:rPr>
          <w:rFonts w:ascii="宋体" w:hAnsi="宋体"/>
          <w:color w:val="000000"/>
          <w:kern w:val="2"/>
          <w:sz w:val="24"/>
          <w:szCs w:val="24"/>
        </w:rPr>
        <w:t>分类清楚</w:t>
      </w:r>
      <w:r>
        <w:rPr>
          <w:rFonts w:hint="eastAsia" w:ascii="宋体" w:hAnsi="宋体"/>
          <w:color w:val="000000"/>
          <w:kern w:val="2"/>
          <w:sz w:val="24"/>
          <w:szCs w:val="24"/>
        </w:rPr>
        <w:t>、</w:t>
      </w:r>
      <w:r>
        <w:rPr>
          <w:rFonts w:ascii="宋体" w:hAnsi="宋体"/>
          <w:color w:val="000000"/>
          <w:kern w:val="2"/>
          <w:sz w:val="24"/>
          <w:szCs w:val="24"/>
        </w:rPr>
        <w:t>数据详实；建立养护范围内绿化苗木数据库，并根据实际情况进行动态更新。</w:t>
      </w:r>
    </w:p>
    <w:p w14:paraId="2C9DDB4D">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11</w:t>
      </w:r>
      <w:r>
        <w:rPr>
          <w:rFonts w:ascii="宋体" w:hAnsi="宋体"/>
          <w:color w:val="000000"/>
          <w:kern w:val="2"/>
          <w:sz w:val="24"/>
          <w:szCs w:val="24"/>
        </w:rPr>
        <w:t>、养护期内加强管理，一旦出现枯枝现象，24小时内处理完毕，如出现树木、草坪等植物死亡，在第一时间内按规定及时上报。</w:t>
      </w:r>
    </w:p>
    <w:p w14:paraId="6EBBA488">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12</w:t>
      </w:r>
      <w:r>
        <w:rPr>
          <w:rFonts w:ascii="宋体" w:hAnsi="宋体"/>
          <w:color w:val="000000"/>
          <w:kern w:val="2"/>
          <w:sz w:val="24"/>
          <w:szCs w:val="24"/>
        </w:rPr>
        <w:t>、因</w:t>
      </w:r>
      <w:r>
        <w:rPr>
          <w:rFonts w:hint="eastAsia" w:ascii="宋体" w:hAnsi="宋体"/>
          <w:color w:val="000000"/>
          <w:kern w:val="2"/>
          <w:sz w:val="24"/>
          <w:szCs w:val="24"/>
        </w:rPr>
        <w:t>投标人</w:t>
      </w:r>
      <w:r>
        <w:rPr>
          <w:rFonts w:ascii="宋体" w:hAnsi="宋体"/>
          <w:color w:val="000000"/>
          <w:kern w:val="2"/>
          <w:sz w:val="24"/>
          <w:szCs w:val="24"/>
        </w:rPr>
        <w:t>养护管理不善而死亡的植物，</w:t>
      </w:r>
      <w:r>
        <w:rPr>
          <w:rFonts w:hint="eastAsia" w:ascii="宋体" w:hAnsi="宋体"/>
          <w:color w:val="000000"/>
          <w:kern w:val="2"/>
          <w:sz w:val="24"/>
          <w:szCs w:val="24"/>
        </w:rPr>
        <w:t>投标人</w:t>
      </w:r>
      <w:r>
        <w:rPr>
          <w:rFonts w:ascii="宋体" w:hAnsi="宋体"/>
          <w:color w:val="000000"/>
          <w:kern w:val="2"/>
          <w:sz w:val="24"/>
          <w:szCs w:val="24"/>
        </w:rPr>
        <w:t>应及时补植，并确保成活。</w:t>
      </w:r>
    </w:p>
    <w:p w14:paraId="2CFFA6E7">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13</w:t>
      </w:r>
      <w:r>
        <w:rPr>
          <w:rFonts w:ascii="宋体" w:hAnsi="宋体"/>
          <w:color w:val="000000"/>
          <w:kern w:val="2"/>
          <w:sz w:val="24"/>
          <w:szCs w:val="24"/>
        </w:rPr>
        <w:t>、</w:t>
      </w:r>
      <w:r>
        <w:rPr>
          <w:rFonts w:hint="eastAsia" w:ascii="宋体" w:hAnsi="宋体"/>
          <w:color w:val="000000"/>
          <w:kern w:val="2"/>
          <w:sz w:val="24"/>
          <w:szCs w:val="24"/>
        </w:rPr>
        <w:t>投标人</w:t>
      </w:r>
      <w:r>
        <w:rPr>
          <w:rFonts w:ascii="宋体" w:hAnsi="宋体"/>
          <w:color w:val="000000"/>
          <w:kern w:val="2"/>
          <w:sz w:val="24"/>
          <w:szCs w:val="24"/>
        </w:rPr>
        <w:t>应建立</w:t>
      </w:r>
      <w:r>
        <w:rPr>
          <w:rFonts w:hint="eastAsia" w:ascii="宋体" w:hAnsi="宋体"/>
          <w:color w:val="000000"/>
          <w:kern w:val="2"/>
          <w:sz w:val="24"/>
          <w:szCs w:val="24"/>
        </w:rPr>
        <w:t>应</w:t>
      </w:r>
      <w:r>
        <w:rPr>
          <w:rFonts w:ascii="宋体" w:hAnsi="宋体"/>
          <w:color w:val="000000"/>
          <w:kern w:val="2"/>
          <w:sz w:val="24"/>
          <w:szCs w:val="24"/>
        </w:rPr>
        <w:t>急抢险预案，组织一支稳定的应急抢险队伍，配备必备的抢险车辆、工具设备，并落实专人负责抢险工作，保持全天24小时通信畅通，做到接到抢险任务于半小时内到达现场解除险情。</w:t>
      </w:r>
    </w:p>
    <w:p w14:paraId="113173CB">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14</w:t>
      </w:r>
      <w:r>
        <w:rPr>
          <w:rFonts w:ascii="宋体" w:hAnsi="宋体"/>
          <w:color w:val="000000"/>
          <w:kern w:val="2"/>
          <w:sz w:val="24"/>
          <w:szCs w:val="24"/>
        </w:rPr>
        <w:t>、出现强对流等恶劣天气时，提前1</w:t>
      </w:r>
      <w:r>
        <w:rPr>
          <w:rFonts w:hint="eastAsia" w:ascii="宋体" w:hAnsi="宋体"/>
          <w:color w:val="000000"/>
          <w:kern w:val="2"/>
          <w:sz w:val="24"/>
          <w:szCs w:val="24"/>
        </w:rPr>
        <w:t>-</w:t>
      </w:r>
      <w:r>
        <w:rPr>
          <w:rFonts w:ascii="宋体" w:hAnsi="宋体"/>
          <w:color w:val="000000"/>
          <w:kern w:val="2"/>
          <w:sz w:val="24"/>
          <w:szCs w:val="24"/>
        </w:rPr>
        <w:t>2天做好高大树木加固、危枝危膀剪除等防范措施，抢险应急队伍24小时值班待命；事中做到抢险人员主动上路巡视</w:t>
      </w:r>
      <w:r>
        <w:rPr>
          <w:rFonts w:hint="eastAsia" w:ascii="宋体" w:hAnsi="宋体"/>
          <w:color w:val="000000"/>
          <w:kern w:val="2"/>
          <w:sz w:val="24"/>
          <w:szCs w:val="24"/>
        </w:rPr>
        <w:t>、</w:t>
      </w:r>
      <w:r>
        <w:rPr>
          <w:rFonts w:ascii="宋体" w:hAnsi="宋体"/>
          <w:color w:val="000000"/>
          <w:kern w:val="2"/>
          <w:sz w:val="24"/>
          <w:szCs w:val="24"/>
        </w:rPr>
        <w:t>主动发现问题、主动解除险情；事后及时清理现场做好善后工作。在做好范围绿地内的应急抢险任务外，服从采购人的统一调度，确保完成采购人另行安排的其它应急抢险任务。</w:t>
      </w:r>
    </w:p>
    <w:p w14:paraId="2EC256E2">
      <w:pPr>
        <w:spacing w:line="450" w:lineRule="exact"/>
        <w:rPr>
          <w:b/>
          <w:bCs/>
          <w:color w:val="000000"/>
          <w:kern w:val="2"/>
          <w:sz w:val="28"/>
          <w:szCs w:val="28"/>
        </w:rPr>
      </w:pPr>
      <w:r>
        <w:rPr>
          <w:rFonts w:hint="eastAsia"/>
          <w:b/>
          <w:bCs/>
          <w:color w:val="000000"/>
          <w:kern w:val="2"/>
          <w:sz w:val="28"/>
          <w:szCs w:val="28"/>
        </w:rPr>
        <w:t>四、报价要求：</w:t>
      </w:r>
    </w:p>
    <w:p w14:paraId="215B66A7">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1、投标人须对本项目中包含的所有服务内容进行报价，不得只对其中的部分内容进行报价，否则将作无效投标处理。</w:t>
      </w:r>
    </w:p>
    <w:p w14:paraId="064004FA">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2</w:t>
      </w:r>
      <w:r>
        <w:rPr>
          <w:rFonts w:hint="eastAsia" w:ascii="宋体" w:hAnsi="宋体"/>
          <w:color w:val="000000"/>
          <w:kern w:val="2"/>
          <w:sz w:val="24"/>
          <w:szCs w:val="24"/>
        </w:rPr>
        <w:t>、投标人应以人民币报价，绿化养护服务费用包括一年养护期限内完成该项目工作所需的所有费用，包括人工费（包括人员工资、福利费、加班费、人身意外伤害险等）、设备、易耗品、养护所需的肥料及农药、作业服装、工具费、垃圾清理费、垦种清理费、税费及政策性文件规定和合同所包含的所有风险、责任等各项应有费用。</w:t>
      </w:r>
    </w:p>
    <w:p w14:paraId="03D0FCC8">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3</w:t>
      </w:r>
      <w:r>
        <w:rPr>
          <w:rFonts w:hint="eastAsia" w:ascii="宋体" w:hAnsi="宋体"/>
          <w:color w:val="000000"/>
          <w:kern w:val="2"/>
          <w:sz w:val="24"/>
          <w:szCs w:val="24"/>
        </w:rPr>
        <w:t>、投标人在投标报价时应考虑各种风险因素，相关风险因素费用包含在投标报价中。风险因素包括但不限于遇活动、检查、燃油价格调整、税费调整等。</w:t>
      </w:r>
    </w:p>
    <w:p w14:paraId="1DC69E37">
      <w:pPr>
        <w:spacing w:line="450" w:lineRule="exact"/>
        <w:rPr>
          <w:b/>
          <w:bCs/>
          <w:color w:val="000000"/>
          <w:kern w:val="2"/>
          <w:sz w:val="28"/>
          <w:szCs w:val="28"/>
        </w:rPr>
      </w:pPr>
      <w:r>
        <w:rPr>
          <w:rFonts w:hint="eastAsia"/>
          <w:b/>
          <w:bCs/>
          <w:color w:val="000000"/>
          <w:kern w:val="2"/>
          <w:sz w:val="28"/>
          <w:szCs w:val="28"/>
        </w:rPr>
        <w:t>五、其他要求：</w:t>
      </w:r>
    </w:p>
    <w:p w14:paraId="5D7CC1DE">
      <w:pPr>
        <w:spacing w:line="440" w:lineRule="exact"/>
        <w:ind w:firstLine="482" w:firstLineChars="200"/>
        <w:rPr>
          <w:rFonts w:ascii="宋体" w:hAnsi="宋体"/>
          <w:b/>
          <w:bCs/>
          <w:color w:val="000000"/>
          <w:kern w:val="2"/>
          <w:sz w:val="24"/>
          <w:szCs w:val="24"/>
        </w:rPr>
      </w:pPr>
      <w:r>
        <w:rPr>
          <w:rFonts w:hint="eastAsia" w:ascii="宋体" w:hAnsi="宋体"/>
          <w:b/>
          <w:bCs/>
          <w:color w:val="000000"/>
          <w:kern w:val="2"/>
          <w:sz w:val="24"/>
          <w:szCs w:val="24"/>
        </w:rPr>
        <w:t>1</w:t>
      </w:r>
      <w:r>
        <w:rPr>
          <w:rFonts w:ascii="宋体" w:hAnsi="宋体"/>
          <w:b/>
          <w:bCs/>
          <w:color w:val="000000"/>
          <w:kern w:val="2"/>
          <w:sz w:val="24"/>
          <w:szCs w:val="24"/>
        </w:rPr>
        <w:t>、实质性</w:t>
      </w:r>
      <w:r>
        <w:rPr>
          <w:rFonts w:hint="eastAsia" w:ascii="宋体" w:hAnsi="宋体"/>
          <w:b/>
          <w:bCs/>
          <w:color w:val="000000"/>
          <w:kern w:val="2"/>
          <w:sz w:val="24"/>
          <w:szCs w:val="24"/>
        </w:rPr>
        <w:t>要求：</w:t>
      </w:r>
      <w:r>
        <w:rPr>
          <w:rFonts w:hint="eastAsia" w:ascii="宋体" w:hAnsi="宋体" w:cs="宋体"/>
          <w:b/>
          <w:bCs/>
          <w:color w:val="000000" w:themeColor="text1"/>
          <w:kern w:val="1"/>
          <w:sz w:val="24"/>
          <w:szCs w:val="24"/>
          <w14:textFill>
            <w14:solidFill>
              <w14:schemeClr w14:val="tx1"/>
            </w14:solidFill>
          </w14:textFill>
        </w:rPr>
        <w:t>“第四章  采购需求”中，斜体且有下划线部分为实质性要求，其余的均为常规要求，</w:t>
      </w:r>
      <w:r>
        <w:rPr>
          <w:rFonts w:hint="eastAsia" w:ascii="Times New Roman" w:hAnsi="Times New Roman"/>
          <w:b/>
          <w:bCs/>
          <w:color w:val="000000" w:themeColor="text1"/>
          <w:sz w:val="24"/>
          <w:szCs w:val="24"/>
          <w14:textFill>
            <w14:solidFill>
              <w14:schemeClr w14:val="tx1"/>
            </w14:solidFill>
          </w14:textFill>
        </w:rPr>
        <w:t>任何一项</w:t>
      </w:r>
      <w:r>
        <w:rPr>
          <w:rFonts w:hint="eastAsia"/>
          <w:b/>
          <w:bCs/>
          <w:color w:val="000000" w:themeColor="text1"/>
          <w:sz w:val="24"/>
          <w14:textFill>
            <w14:solidFill>
              <w14:schemeClr w14:val="tx1"/>
            </w14:solidFill>
          </w14:textFill>
        </w:rPr>
        <w:t>实质性要求</w:t>
      </w:r>
      <w:r>
        <w:rPr>
          <w:rFonts w:hint="eastAsia" w:ascii="Times New Roman" w:hAnsi="Times New Roman"/>
          <w:b/>
          <w:bCs/>
          <w:color w:val="000000" w:themeColor="text1"/>
          <w:sz w:val="24"/>
          <w:szCs w:val="24"/>
          <w14:textFill>
            <w14:solidFill>
              <w14:schemeClr w14:val="tx1"/>
            </w14:solidFill>
          </w14:textFill>
        </w:rPr>
        <w:t>未满足的，</w:t>
      </w:r>
      <w:r>
        <w:rPr>
          <w:rFonts w:hint="eastAsia" w:ascii="Times New Roman" w:hAnsi="Times New Roman"/>
          <w:b/>
          <w:bCs/>
          <w:color w:val="000000" w:themeColor="text1"/>
          <w:sz w:val="24"/>
          <w14:textFill>
            <w14:solidFill>
              <w14:schemeClr w14:val="tx1"/>
            </w14:solidFill>
          </w14:textFill>
        </w:rPr>
        <w:t>将作无效投标处理</w:t>
      </w:r>
      <w:r>
        <w:rPr>
          <w:rFonts w:hint="eastAsia" w:ascii="宋体" w:hAnsi="宋体"/>
          <w:b/>
          <w:bCs/>
          <w:color w:val="000000"/>
          <w:kern w:val="2"/>
          <w:sz w:val="24"/>
          <w:szCs w:val="24"/>
        </w:rPr>
        <w:t>。</w:t>
      </w:r>
    </w:p>
    <w:p w14:paraId="7060CB65">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2</w:t>
      </w:r>
      <w:r>
        <w:rPr>
          <w:rFonts w:hint="eastAsia" w:ascii="宋体" w:hAnsi="宋体"/>
          <w:color w:val="000000"/>
          <w:kern w:val="2"/>
          <w:sz w:val="24"/>
          <w:szCs w:val="24"/>
        </w:rPr>
        <w:t>、</w:t>
      </w:r>
      <w:r>
        <w:rPr>
          <w:rFonts w:ascii="宋体" w:hAnsi="宋体"/>
          <w:color w:val="000000"/>
          <w:kern w:val="2"/>
          <w:sz w:val="24"/>
          <w:szCs w:val="24"/>
        </w:rPr>
        <w:t>为保证项目顺利开展，投标人应针对本项目制订详细的</w:t>
      </w:r>
      <w:r>
        <w:rPr>
          <w:rFonts w:hint="eastAsia" w:ascii="宋体" w:hAnsi="宋体"/>
          <w:color w:val="000000"/>
          <w:kern w:val="2"/>
          <w:sz w:val="24"/>
          <w:szCs w:val="24"/>
        </w:rPr>
        <w:t>实施方案、运行管理</w:t>
      </w:r>
      <w:r>
        <w:rPr>
          <w:rFonts w:ascii="宋体" w:hAnsi="宋体"/>
          <w:color w:val="000000"/>
          <w:kern w:val="2"/>
          <w:sz w:val="24"/>
          <w:szCs w:val="24"/>
        </w:rPr>
        <w:t>方案</w:t>
      </w:r>
      <w:r>
        <w:rPr>
          <w:rFonts w:hint="eastAsia" w:ascii="宋体" w:hAnsi="宋体"/>
          <w:color w:val="000000"/>
          <w:kern w:val="2"/>
          <w:sz w:val="24"/>
          <w:szCs w:val="24"/>
        </w:rPr>
        <w:t>、安全</w:t>
      </w:r>
      <w:r>
        <w:rPr>
          <w:rFonts w:ascii="宋体" w:hAnsi="宋体"/>
          <w:color w:val="000000"/>
          <w:kern w:val="2"/>
          <w:sz w:val="24"/>
          <w:szCs w:val="24"/>
        </w:rPr>
        <w:t>与环境保护</w:t>
      </w:r>
      <w:r>
        <w:rPr>
          <w:rFonts w:hint="eastAsia" w:ascii="宋体" w:hAnsi="宋体"/>
          <w:color w:val="000000"/>
          <w:kern w:val="2"/>
          <w:sz w:val="24"/>
          <w:szCs w:val="24"/>
        </w:rPr>
        <w:t>方案</w:t>
      </w:r>
      <w:r>
        <w:rPr>
          <w:rFonts w:ascii="宋体" w:hAnsi="宋体"/>
          <w:color w:val="000000"/>
          <w:kern w:val="2"/>
          <w:sz w:val="24"/>
          <w:szCs w:val="24"/>
        </w:rPr>
        <w:t>及保证措施</w:t>
      </w:r>
      <w:r>
        <w:rPr>
          <w:rFonts w:hint="eastAsia" w:ascii="宋体" w:hAnsi="宋体"/>
          <w:color w:val="000000"/>
          <w:kern w:val="2"/>
          <w:sz w:val="24"/>
          <w:szCs w:val="24"/>
        </w:rPr>
        <w:t>、应急处置方案、工程管理技术档案的内容和措施</w:t>
      </w:r>
      <w:r>
        <w:rPr>
          <w:rFonts w:ascii="宋体" w:hAnsi="宋体"/>
          <w:color w:val="000000"/>
          <w:kern w:val="2"/>
          <w:sz w:val="24"/>
          <w:szCs w:val="24"/>
        </w:rPr>
        <w:t>。</w:t>
      </w:r>
    </w:p>
    <w:p w14:paraId="47447FE0">
      <w:pPr>
        <w:spacing w:line="450" w:lineRule="exact"/>
        <w:rPr>
          <w:b/>
          <w:bCs/>
          <w:color w:val="000000"/>
          <w:kern w:val="2"/>
          <w:sz w:val="28"/>
          <w:szCs w:val="28"/>
        </w:rPr>
      </w:pPr>
      <w:r>
        <w:rPr>
          <w:rFonts w:hint="eastAsia"/>
          <w:b/>
          <w:bCs/>
          <w:color w:val="000000"/>
          <w:kern w:val="2"/>
          <w:sz w:val="28"/>
          <w:szCs w:val="28"/>
        </w:rPr>
        <w:t>六、附件：</w:t>
      </w:r>
    </w:p>
    <w:p w14:paraId="57F57E18">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1、附件1：绿化养护服务范围</w:t>
      </w:r>
    </w:p>
    <w:p w14:paraId="7B3C65BC">
      <w:pPr>
        <w:spacing w:line="440" w:lineRule="exact"/>
        <w:ind w:firstLine="480" w:firstLineChars="200"/>
        <w:rPr>
          <w:rFonts w:ascii="宋体" w:hAnsi="宋体"/>
          <w:color w:val="000000"/>
          <w:kern w:val="2"/>
          <w:sz w:val="24"/>
          <w:szCs w:val="24"/>
        </w:rPr>
      </w:pPr>
      <w:r>
        <w:rPr>
          <w:rFonts w:ascii="宋体" w:hAnsi="宋体"/>
          <w:color w:val="000000"/>
          <w:kern w:val="2"/>
          <w:sz w:val="24"/>
          <w:szCs w:val="24"/>
        </w:rPr>
        <w:t>2、附件2：常熟市绿地养护质量标准</w:t>
      </w:r>
    </w:p>
    <w:p w14:paraId="19FD3CB3">
      <w:pPr>
        <w:spacing w:line="440" w:lineRule="exact"/>
        <w:ind w:firstLine="480" w:firstLineChars="200"/>
        <w:rPr>
          <w:rFonts w:ascii="宋体" w:hAnsi="宋体"/>
          <w:color w:val="000000"/>
          <w:kern w:val="2"/>
          <w:sz w:val="24"/>
          <w:szCs w:val="24"/>
        </w:rPr>
      </w:pPr>
      <w:r>
        <w:rPr>
          <w:rFonts w:hint="eastAsia" w:ascii="宋体" w:hAnsi="宋体"/>
          <w:color w:val="000000"/>
          <w:kern w:val="2"/>
          <w:sz w:val="24"/>
          <w:szCs w:val="24"/>
        </w:rPr>
        <w:t>3、附件3：市级河道绿化养护服务考核办法</w:t>
      </w:r>
    </w:p>
    <w:p w14:paraId="02AD8B67">
      <w:pPr>
        <w:widowControl/>
        <w:jc w:val="center"/>
        <w:rPr>
          <w:rFonts w:ascii="宋体" w:hAnsi="宋体" w:cs="宋体"/>
          <w:b/>
          <w:bCs/>
          <w:color w:val="000000"/>
          <w:sz w:val="24"/>
          <w:szCs w:val="24"/>
        </w:rPr>
      </w:pPr>
    </w:p>
    <w:p w14:paraId="731BDF52">
      <w:pPr>
        <w:rPr>
          <w:rFonts w:ascii="宋体" w:hAnsi="宋体" w:cs="宋体"/>
          <w:b/>
          <w:bCs/>
          <w:color w:val="000000"/>
          <w:sz w:val="24"/>
          <w:szCs w:val="24"/>
        </w:rPr>
      </w:pPr>
      <w:r>
        <w:rPr>
          <w:rFonts w:ascii="宋体" w:hAnsi="宋体" w:cs="宋体"/>
          <w:b/>
          <w:bCs/>
          <w:color w:val="000000"/>
          <w:sz w:val="24"/>
          <w:szCs w:val="24"/>
        </w:rPr>
        <w:br w:type="page"/>
      </w:r>
    </w:p>
    <w:p w14:paraId="3A970130">
      <w:pPr>
        <w:widowControl/>
        <w:jc w:val="center"/>
        <w:rPr>
          <w:rFonts w:ascii="宋体" w:hAnsi="宋体" w:cs="宋体"/>
          <w:b/>
          <w:bCs/>
          <w:color w:val="000000"/>
          <w:sz w:val="24"/>
          <w:szCs w:val="24"/>
        </w:rPr>
      </w:pPr>
      <w:r>
        <w:rPr>
          <w:rFonts w:ascii="宋体" w:hAnsi="宋体" w:cs="宋体"/>
          <w:b/>
          <w:bCs/>
          <w:color w:val="000000"/>
          <w:sz w:val="24"/>
          <w:szCs w:val="24"/>
        </w:rPr>
        <w:t>附件1：绿化养护服务范围</w:t>
      </w:r>
    </w:p>
    <w:tbl>
      <w:tblPr>
        <w:tblStyle w:val="39"/>
        <w:tblW w:w="9940" w:type="dxa"/>
        <w:jc w:val="center"/>
        <w:tblLayout w:type="fixed"/>
        <w:tblCellMar>
          <w:top w:w="0" w:type="dxa"/>
          <w:left w:w="108" w:type="dxa"/>
          <w:bottom w:w="0" w:type="dxa"/>
          <w:right w:w="108" w:type="dxa"/>
        </w:tblCellMar>
      </w:tblPr>
      <w:tblGrid>
        <w:gridCol w:w="617"/>
        <w:gridCol w:w="1279"/>
        <w:gridCol w:w="2088"/>
        <w:gridCol w:w="1477"/>
        <w:gridCol w:w="1296"/>
        <w:gridCol w:w="1485"/>
        <w:gridCol w:w="1698"/>
      </w:tblGrid>
      <w:tr w14:paraId="1B1B99FF">
        <w:tblPrEx>
          <w:tblCellMar>
            <w:top w:w="0" w:type="dxa"/>
            <w:left w:w="108" w:type="dxa"/>
            <w:bottom w:w="0" w:type="dxa"/>
            <w:right w:w="108" w:type="dxa"/>
          </w:tblCellMar>
        </w:tblPrEx>
        <w:trPr>
          <w:trHeight w:val="466" w:hRule="atLeast"/>
          <w:jc w:val="center"/>
        </w:trPr>
        <w:tc>
          <w:tcPr>
            <w:tcW w:w="9940" w:type="dxa"/>
            <w:gridSpan w:val="7"/>
            <w:tcBorders>
              <w:top w:val="nil"/>
              <w:left w:val="nil"/>
              <w:bottom w:val="nil"/>
              <w:right w:val="nil"/>
            </w:tcBorders>
            <w:vAlign w:val="center"/>
          </w:tcPr>
          <w:p w14:paraId="24B06022">
            <w:pPr>
              <w:widowControl/>
              <w:jc w:val="left"/>
              <w:rPr>
                <w:rFonts w:ascii="宋体" w:hAnsi="宋体" w:cs="宋体"/>
                <w:b/>
                <w:bCs/>
                <w:color w:val="000000"/>
                <w:sz w:val="24"/>
                <w:szCs w:val="24"/>
              </w:rPr>
            </w:pPr>
          </w:p>
        </w:tc>
      </w:tr>
      <w:tr w14:paraId="426A16C8">
        <w:tblPrEx>
          <w:tblCellMar>
            <w:top w:w="0" w:type="dxa"/>
            <w:left w:w="108" w:type="dxa"/>
            <w:bottom w:w="0" w:type="dxa"/>
            <w:right w:w="108" w:type="dxa"/>
          </w:tblCellMar>
        </w:tblPrEx>
        <w:trPr>
          <w:trHeight w:val="826" w:hRule="atLeast"/>
          <w:jc w:val="center"/>
        </w:trPr>
        <w:tc>
          <w:tcPr>
            <w:tcW w:w="9940" w:type="dxa"/>
            <w:gridSpan w:val="7"/>
            <w:tcBorders>
              <w:top w:val="single" w:color="auto" w:sz="4" w:space="0"/>
              <w:left w:val="single" w:color="auto" w:sz="4" w:space="0"/>
              <w:bottom w:val="single" w:color="auto" w:sz="4" w:space="0"/>
              <w:right w:val="single" w:color="auto" w:sz="4" w:space="0"/>
            </w:tcBorders>
            <w:vAlign w:val="center"/>
          </w:tcPr>
          <w:p w14:paraId="31AAB9CE">
            <w:pPr>
              <w:widowControl/>
              <w:jc w:val="center"/>
              <w:rPr>
                <w:rFonts w:ascii="宋体" w:hAnsi="宋体" w:cs="宋体"/>
                <w:b/>
                <w:bCs/>
                <w:color w:val="000000"/>
                <w:sz w:val="32"/>
                <w:szCs w:val="32"/>
              </w:rPr>
            </w:pPr>
            <w:r>
              <w:rPr>
                <w:rFonts w:hint="eastAsia" w:ascii="宋体" w:hAnsi="宋体" w:cs="宋体"/>
                <w:b/>
                <w:bCs/>
                <w:color w:val="000000"/>
                <w:sz w:val="32"/>
                <w:szCs w:val="32"/>
              </w:rPr>
              <w:t>绿化养护服务范围</w:t>
            </w:r>
          </w:p>
        </w:tc>
      </w:tr>
      <w:tr w14:paraId="3535D081">
        <w:tblPrEx>
          <w:tblCellMar>
            <w:top w:w="0" w:type="dxa"/>
            <w:left w:w="108" w:type="dxa"/>
            <w:bottom w:w="0" w:type="dxa"/>
            <w:right w:w="108" w:type="dxa"/>
          </w:tblCellMar>
        </w:tblPrEx>
        <w:trPr>
          <w:trHeight w:val="1856" w:hRule="atLeast"/>
          <w:jc w:val="center"/>
        </w:trPr>
        <w:tc>
          <w:tcPr>
            <w:tcW w:w="617" w:type="dxa"/>
            <w:tcBorders>
              <w:top w:val="nil"/>
              <w:left w:val="single" w:color="auto" w:sz="4" w:space="0"/>
              <w:bottom w:val="single" w:color="auto" w:sz="4" w:space="0"/>
              <w:right w:val="single" w:color="auto" w:sz="4" w:space="0"/>
            </w:tcBorders>
            <w:vAlign w:val="center"/>
          </w:tcPr>
          <w:p w14:paraId="072F7AAB">
            <w:pPr>
              <w:widowControl/>
              <w:jc w:val="center"/>
              <w:rPr>
                <w:rFonts w:ascii="宋体" w:hAnsi="宋体" w:cs="宋体"/>
                <w:b/>
                <w:bCs/>
                <w:color w:val="000000"/>
                <w:sz w:val="28"/>
                <w:szCs w:val="28"/>
              </w:rPr>
            </w:pPr>
            <w:r>
              <w:rPr>
                <w:rFonts w:hint="eastAsia" w:ascii="宋体" w:hAnsi="宋体" w:cs="宋体"/>
                <w:b/>
                <w:bCs/>
                <w:color w:val="000000"/>
                <w:sz w:val="28"/>
                <w:szCs w:val="28"/>
              </w:rPr>
              <w:t>序号</w:t>
            </w:r>
          </w:p>
        </w:tc>
        <w:tc>
          <w:tcPr>
            <w:tcW w:w="1279" w:type="dxa"/>
            <w:tcBorders>
              <w:top w:val="nil"/>
              <w:left w:val="nil"/>
              <w:bottom w:val="single" w:color="auto" w:sz="4" w:space="0"/>
              <w:right w:val="single" w:color="auto" w:sz="4" w:space="0"/>
            </w:tcBorders>
            <w:vAlign w:val="center"/>
          </w:tcPr>
          <w:p w14:paraId="27D9ED05">
            <w:pPr>
              <w:widowControl/>
              <w:jc w:val="center"/>
              <w:rPr>
                <w:rFonts w:ascii="宋体" w:hAnsi="宋体" w:cs="宋体"/>
                <w:b/>
                <w:bCs/>
                <w:color w:val="000000"/>
                <w:sz w:val="28"/>
                <w:szCs w:val="28"/>
              </w:rPr>
            </w:pPr>
            <w:r>
              <w:rPr>
                <w:rFonts w:hint="eastAsia" w:ascii="宋体" w:hAnsi="宋体" w:cs="宋体"/>
                <w:b/>
                <w:bCs/>
                <w:color w:val="000000"/>
                <w:sz w:val="28"/>
                <w:szCs w:val="28"/>
              </w:rPr>
              <w:t>地</w:t>
            </w:r>
            <w:r>
              <w:rPr>
                <w:b/>
                <w:bCs/>
                <w:color w:val="000000"/>
                <w:sz w:val="28"/>
                <w:szCs w:val="28"/>
              </w:rPr>
              <w:t xml:space="preserve">  </w:t>
            </w:r>
            <w:r>
              <w:rPr>
                <w:rFonts w:hint="eastAsia" w:ascii="宋体" w:hAnsi="宋体" w:cs="宋体"/>
                <w:b/>
                <w:bCs/>
                <w:color w:val="000000"/>
                <w:sz w:val="28"/>
                <w:szCs w:val="28"/>
              </w:rPr>
              <w:t>段</w:t>
            </w:r>
          </w:p>
        </w:tc>
        <w:tc>
          <w:tcPr>
            <w:tcW w:w="2088" w:type="dxa"/>
            <w:tcBorders>
              <w:top w:val="nil"/>
              <w:left w:val="nil"/>
              <w:bottom w:val="single" w:color="auto" w:sz="4" w:space="0"/>
              <w:right w:val="single" w:color="auto" w:sz="4" w:space="0"/>
            </w:tcBorders>
            <w:vAlign w:val="center"/>
          </w:tcPr>
          <w:p w14:paraId="2EE5AF91">
            <w:pPr>
              <w:widowControl/>
              <w:jc w:val="center"/>
              <w:rPr>
                <w:rFonts w:ascii="宋体" w:hAnsi="宋体" w:cs="宋体"/>
                <w:b/>
                <w:bCs/>
                <w:color w:val="000000"/>
                <w:sz w:val="28"/>
                <w:szCs w:val="28"/>
              </w:rPr>
            </w:pPr>
            <w:r>
              <w:rPr>
                <w:rFonts w:hint="eastAsia" w:ascii="宋体" w:hAnsi="宋体" w:cs="宋体"/>
                <w:b/>
                <w:bCs/>
                <w:color w:val="000000"/>
                <w:sz w:val="28"/>
                <w:szCs w:val="28"/>
              </w:rPr>
              <w:t>详细范围</w:t>
            </w:r>
          </w:p>
        </w:tc>
        <w:tc>
          <w:tcPr>
            <w:tcW w:w="1477" w:type="dxa"/>
            <w:tcBorders>
              <w:top w:val="nil"/>
              <w:left w:val="nil"/>
              <w:bottom w:val="single" w:color="auto" w:sz="4" w:space="0"/>
              <w:right w:val="single" w:color="auto" w:sz="4" w:space="0"/>
            </w:tcBorders>
            <w:vAlign w:val="center"/>
          </w:tcPr>
          <w:p w14:paraId="5BEC8A32">
            <w:pPr>
              <w:widowControl/>
              <w:jc w:val="center"/>
              <w:rPr>
                <w:rFonts w:ascii="宋体" w:hAnsi="宋体" w:cs="宋体"/>
                <w:b/>
                <w:bCs/>
                <w:color w:val="000000"/>
                <w:sz w:val="28"/>
                <w:szCs w:val="28"/>
              </w:rPr>
            </w:pPr>
            <w:r>
              <w:rPr>
                <w:rFonts w:hint="eastAsia" w:ascii="宋体" w:hAnsi="宋体" w:cs="宋体"/>
                <w:b/>
                <w:bCs/>
                <w:color w:val="000000"/>
                <w:sz w:val="28"/>
                <w:szCs w:val="28"/>
              </w:rPr>
              <w:t>绿化长度（</w:t>
            </w:r>
            <w:r>
              <w:rPr>
                <w:b/>
                <w:bCs/>
                <w:color w:val="000000"/>
                <w:sz w:val="28"/>
                <w:szCs w:val="28"/>
              </w:rPr>
              <w:t>km</w:t>
            </w:r>
            <w:r>
              <w:rPr>
                <w:rFonts w:hint="eastAsia" w:ascii="宋体" w:hAnsi="宋体" w:cs="宋体"/>
                <w:b/>
                <w:bCs/>
                <w:color w:val="000000"/>
                <w:sz w:val="28"/>
                <w:szCs w:val="28"/>
              </w:rPr>
              <w:t>）</w:t>
            </w:r>
          </w:p>
        </w:tc>
        <w:tc>
          <w:tcPr>
            <w:tcW w:w="1296" w:type="dxa"/>
            <w:tcBorders>
              <w:top w:val="nil"/>
              <w:left w:val="nil"/>
              <w:bottom w:val="single" w:color="auto" w:sz="4" w:space="0"/>
              <w:right w:val="single" w:color="auto" w:sz="4" w:space="0"/>
            </w:tcBorders>
            <w:vAlign w:val="center"/>
          </w:tcPr>
          <w:p w14:paraId="026AA6C1">
            <w:pPr>
              <w:widowControl/>
              <w:jc w:val="center"/>
              <w:rPr>
                <w:rFonts w:ascii="宋体" w:hAnsi="宋体" w:cs="宋体"/>
                <w:b/>
                <w:bCs/>
                <w:color w:val="000000"/>
                <w:sz w:val="28"/>
                <w:szCs w:val="28"/>
              </w:rPr>
            </w:pPr>
            <w:r>
              <w:rPr>
                <w:rFonts w:hint="eastAsia" w:ascii="宋体" w:hAnsi="宋体" w:cs="宋体"/>
                <w:b/>
                <w:bCs/>
                <w:color w:val="000000"/>
                <w:sz w:val="28"/>
                <w:szCs w:val="28"/>
              </w:rPr>
              <w:t>绿化面积（㎡</w:t>
            </w:r>
            <w:r>
              <w:rPr>
                <w:rFonts w:hint="eastAsia" w:ascii="宋体" w:hAnsi="宋体" w:cs="宋体"/>
                <w:color w:val="000000"/>
                <w:sz w:val="28"/>
                <w:szCs w:val="28"/>
              </w:rPr>
              <w:t>）</w:t>
            </w:r>
          </w:p>
        </w:tc>
        <w:tc>
          <w:tcPr>
            <w:tcW w:w="1485" w:type="dxa"/>
            <w:tcBorders>
              <w:top w:val="nil"/>
              <w:left w:val="nil"/>
              <w:bottom w:val="single" w:color="auto" w:sz="4" w:space="0"/>
              <w:right w:val="single" w:color="auto" w:sz="4" w:space="0"/>
            </w:tcBorders>
            <w:vAlign w:val="center"/>
          </w:tcPr>
          <w:p w14:paraId="600032D9">
            <w:pPr>
              <w:widowControl/>
              <w:jc w:val="center"/>
              <w:rPr>
                <w:rFonts w:ascii="宋体" w:hAnsi="宋体" w:cs="宋体"/>
                <w:b/>
                <w:bCs/>
                <w:color w:val="000000"/>
                <w:sz w:val="28"/>
                <w:szCs w:val="28"/>
              </w:rPr>
            </w:pPr>
            <w:r>
              <w:rPr>
                <w:rFonts w:hint="eastAsia" w:ascii="宋体" w:hAnsi="宋体" w:cs="宋体"/>
                <w:b/>
                <w:bCs/>
                <w:color w:val="000000"/>
                <w:sz w:val="28"/>
                <w:szCs w:val="28"/>
              </w:rPr>
              <w:t>防汛道路长度</w:t>
            </w:r>
            <w:r>
              <w:rPr>
                <w:rFonts w:hint="eastAsia" w:ascii="宋体" w:hAnsi="宋体" w:cs="宋体"/>
                <w:b/>
                <w:bCs/>
                <w:color w:val="000000"/>
                <w:sz w:val="28"/>
                <w:szCs w:val="28"/>
              </w:rPr>
              <w:br w:type="textWrapping"/>
            </w:r>
            <w:r>
              <w:rPr>
                <w:rFonts w:hint="eastAsia" w:ascii="宋体" w:hAnsi="宋体" w:cs="宋体"/>
                <w:b/>
                <w:bCs/>
                <w:color w:val="000000"/>
                <w:sz w:val="28"/>
                <w:szCs w:val="28"/>
              </w:rPr>
              <w:t>（km）</w:t>
            </w:r>
          </w:p>
        </w:tc>
        <w:tc>
          <w:tcPr>
            <w:tcW w:w="1698" w:type="dxa"/>
            <w:tcBorders>
              <w:top w:val="nil"/>
              <w:left w:val="nil"/>
              <w:bottom w:val="single" w:color="auto" w:sz="4" w:space="0"/>
              <w:right w:val="single" w:color="auto" w:sz="4" w:space="0"/>
            </w:tcBorders>
            <w:vAlign w:val="center"/>
          </w:tcPr>
          <w:p w14:paraId="2F88C5BE">
            <w:pPr>
              <w:widowControl/>
              <w:jc w:val="center"/>
              <w:rPr>
                <w:rFonts w:ascii="宋体" w:hAnsi="宋体" w:cs="宋体"/>
                <w:b/>
                <w:bCs/>
                <w:color w:val="000000"/>
                <w:sz w:val="28"/>
                <w:szCs w:val="28"/>
              </w:rPr>
            </w:pPr>
            <w:r>
              <w:rPr>
                <w:rFonts w:hint="eastAsia" w:ascii="宋体" w:hAnsi="宋体" w:cs="宋体"/>
                <w:b/>
                <w:bCs/>
                <w:color w:val="000000"/>
                <w:sz w:val="28"/>
                <w:szCs w:val="28"/>
              </w:rPr>
              <w:t>备注</w:t>
            </w:r>
          </w:p>
        </w:tc>
      </w:tr>
      <w:tr w14:paraId="5FD29E0C">
        <w:tblPrEx>
          <w:tblCellMar>
            <w:top w:w="0" w:type="dxa"/>
            <w:left w:w="108" w:type="dxa"/>
            <w:bottom w:w="0" w:type="dxa"/>
            <w:right w:w="108" w:type="dxa"/>
          </w:tblCellMar>
        </w:tblPrEx>
        <w:trPr>
          <w:trHeight w:val="1667" w:hRule="atLeast"/>
          <w:jc w:val="center"/>
        </w:trPr>
        <w:tc>
          <w:tcPr>
            <w:tcW w:w="617" w:type="dxa"/>
            <w:tcBorders>
              <w:top w:val="nil"/>
              <w:left w:val="single" w:color="auto" w:sz="4" w:space="0"/>
              <w:bottom w:val="single" w:color="auto" w:sz="4" w:space="0"/>
              <w:right w:val="single" w:color="auto" w:sz="4" w:space="0"/>
            </w:tcBorders>
            <w:vAlign w:val="center"/>
          </w:tcPr>
          <w:p w14:paraId="6F95FC92">
            <w:pPr>
              <w:widowControl/>
              <w:jc w:val="center"/>
              <w:rPr>
                <w:color w:val="000000"/>
                <w:sz w:val="24"/>
                <w:szCs w:val="24"/>
              </w:rPr>
            </w:pPr>
            <w:r>
              <w:rPr>
                <w:color w:val="000000"/>
                <w:sz w:val="24"/>
                <w:szCs w:val="24"/>
              </w:rPr>
              <w:t>1</w:t>
            </w:r>
          </w:p>
        </w:tc>
        <w:tc>
          <w:tcPr>
            <w:tcW w:w="1279" w:type="dxa"/>
            <w:tcBorders>
              <w:top w:val="nil"/>
              <w:left w:val="nil"/>
              <w:bottom w:val="single" w:color="auto" w:sz="4" w:space="0"/>
              <w:right w:val="single" w:color="auto" w:sz="4" w:space="0"/>
            </w:tcBorders>
            <w:vAlign w:val="center"/>
          </w:tcPr>
          <w:p w14:paraId="54B8CB5E">
            <w:pPr>
              <w:widowControl/>
              <w:jc w:val="center"/>
              <w:rPr>
                <w:color w:val="000000"/>
                <w:sz w:val="24"/>
                <w:szCs w:val="24"/>
              </w:rPr>
            </w:pPr>
            <w:r>
              <w:rPr>
                <w:rFonts w:hint="eastAsia" w:ascii="宋体" w:hAnsi="宋体"/>
                <w:color w:val="000000"/>
                <w:sz w:val="24"/>
                <w:szCs w:val="24"/>
              </w:rPr>
              <w:t>常浒河</w:t>
            </w:r>
          </w:p>
        </w:tc>
        <w:tc>
          <w:tcPr>
            <w:tcW w:w="2088" w:type="dxa"/>
            <w:tcBorders>
              <w:top w:val="nil"/>
              <w:left w:val="nil"/>
              <w:bottom w:val="single" w:color="auto" w:sz="4" w:space="0"/>
              <w:right w:val="single" w:color="auto" w:sz="4" w:space="0"/>
            </w:tcBorders>
            <w:vAlign w:val="center"/>
          </w:tcPr>
          <w:p w14:paraId="21CFD99B">
            <w:pPr>
              <w:widowControl/>
              <w:jc w:val="left"/>
              <w:rPr>
                <w:color w:val="000000"/>
                <w:sz w:val="24"/>
                <w:szCs w:val="24"/>
              </w:rPr>
            </w:pPr>
            <w:r>
              <w:rPr>
                <w:rFonts w:hint="eastAsia" w:ascii="宋体" w:hAnsi="宋体"/>
                <w:color w:val="000000"/>
                <w:sz w:val="24"/>
                <w:szCs w:val="24"/>
              </w:rPr>
              <w:t>陈泾口至灰管桥段两侧</w:t>
            </w:r>
            <w:r>
              <w:rPr>
                <w:color w:val="000000"/>
                <w:sz w:val="24"/>
                <w:szCs w:val="24"/>
              </w:rPr>
              <w:t>5m~10m</w:t>
            </w:r>
            <w:r>
              <w:rPr>
                <w:rFonts w:hint="eastAsia" w:ascii="宋体" w:hAnsi="宋体"/>
                <w:color w:val="000000"/>
                <w:sz w:val="24"/>
                <w:szCs w:val="24"/>
              </w:rPr>
              <w:t>绿化区域</w:t>
            </w:r>
          </w:p>
        </w:tc>
        <w:tc>
          <w:tcPr>
            <w:tcW w:w="1477" w:type="dxa"/>
            <w:tcBorders>
              <w:top w:val="nil"/>
              <w:left w:val="nil"/>
              <w:bottom w:val="single" w:color="auto" w:sz="4" w:space="0"/>
              <w:right w:val="single" w:color="auto" w:sz="4" w:space="0"/>
            </w:tcBorders>
            <w:vAlign w:val="center"/>
          </w:tcPr>
          <w:p w14:paraId="5DDCF2FA">
            <w:pPr>
              <w:widowControl/>
              <w:jc w:val="center"/>
              <w:rPr>
                <w:color w:val="000000"/>
                <w:sz w:val="24"/>
                <w:szCs w:val="24"/>
              </w:rPr>
            </w:pPr>
            <w:r>
              <w:rPr>
                <w:color w:val="000000"/>
                <w:sz w:val="24"/>
                <w:szCs w:val="24"/>
              </w:rPr>
              <w:t>28.9</w:t>
            </w:r>
          </w:p>
        </w:tc>
        <w:tc>
          <w:tcPr>
            <w:tcW w:w="1296" w:type="dxa"/>
            <w:tcBorders>
              <w:top w:val="nil"/>
              <w:left w:val="nil"/>
              <w:bottom w:val="single" w:color="auto" w:sz="4" w:space="0"/>
              <w:right w:val="single" w:color="auto" w:sz="4" w:space="0"/>
            </w:tcBorders>
            <w:vAlign w:val="center"/>
          </w:tcPr>
          <w:p w14:paraId="0163DD5B">
            <w:pPr>
              <w:widowControl/>
              <w:jc w:val="center"/>
              <w:rPr>
                <w:color w:val="000000"/>
                <w:sz w:val="24"/>
                <w:szCs w:val="24"/>
              </w:rPr>
            </w:pPr>
            <w:r>
              <w:rPr>
                <w:color w:val="000000"/>
                <w:sz w:val="24"/>
                <w:szCs w:val="24"/>
              </w:rPr>
              <w:t>15</w:t>
            </w:r>
            <w:r>
              <w:rPr>
                <w:rFonts w:hint="eastAsia"/>
                <w:color w:val="000000"/>
                <w:sz w:val="24"/>
                <w:szCs w:val="24"/>
              </w:rPr>
              <w:t>3000</w:t>
            </w:r>
          </w:p>
        </w:tc>
        <w:tc>
          <w:tcPr>
            <w:tcW w:w="1485" w:type="dxa"/>
            <w:tcBorders>
              <w:top w:val="nil"/>
              <w:left w:val="nil"/>
              <w:bottom w:val="single" w:color="auto" w:sz="4" w:space="0"/>
              <w:right w:val="single" w:color="auto" w:sz="4" w:space="0"/>
            </w:tcBorders>
            <w:vAlign w:val="center"/>
          </w:tcPr>
          <w:p w14:paraId="1A8F3FBD">
            <w:pPr>
              <w:widowControl/>
              <w:jc w:val="center"/>
              <w:rPr>
                <w:color w:val="000000"/>
                <w:sz w:val="24"/>
                <w:szCs w:val="24"/>
              </w:rPr>
            </w:pPr>
            <w:r>
              <w:rPr>
                <w:color w:val="000000"/>
                <w:sz w:val="24"/>
                <w:szCs w:val="24"/>
              </w:rPr>
              <w:t>　</w:t>
            </w:r>
          </w:p>
        </w:tc>
        <w:tc>
          <w:tcPr>
            <w:tcW w:w="1698" w:type="dxa"/>
            <w:tcBorders>
              <w:top w:val="nil"/>
              <w:left w:val="nil"/>
              <w:bottom w:val="single" w:color="auto" w:sz="4" w:space="0"/>
              <w:right w:val="single" w:color="auto" w:sz="4" w:space="0"/>
            </w:tcBorders>
            <w:vAlign w:val="center"/>
          </w:tcPr>
          <w:p w14:paraId="4B17F354">
            <w:pPr>
              <w:widowControl/>
              <w:jc w:val="center"/>
              <w:rPr>
                <w:b/>
                <w:bCs/>
                <w:color w:val="000000"/>
                <w:sz w:val="24"/>
                <w:szCs w:val="24"/>
              </w:rPr>
            </w:pPr>
            <w:r>
              <w:rPr>
                <w:b/>
                <w:bCs/>
                <w:color w:val="000000"/>
                <w:sz w:val="24"/>
                <w:szCs w:val="24"/>
              </w:rPr>
              <w:t>　</w:t>
            </w:r>
          </w:p>
        </w:tc>
      </w:tr>
      <w:tr w14:paraId="76709D34">
        <w:tblPrEx>
          <w:tblCellMar>
            <w:top w:w="0" w:type="dxa"/>
            <w:left w:w="108" w:type="dxa"/>
            <w:bottom w:w="0" w:type="dxa"/>
            <w:right w:w="108" w:type="dxa"/>
          </w:tblCellMar>
        </w:tblPrEx>
        <w:trPr>
          <w:trHeight w:val="2136" w:hRule="atLeast"/>
          <w:jc w:val="center"/>
        </w:trPr>
        <w:tc>
          <w:tcPr>
            <w:tcW w:w="617" w:type="dxa"/>
            <w:tcBorders>
              <w:top w:val="nil"/>
              <w:left w:val="single" w:color="auto" w:sz="4" w:space="0"/>
              <w:bottom w:val="single" w:color="auto" w:sz="4" w:space="0"/>
              <w:right w:val="single" w:color="auto" w:sz="4" w:space="0"/>
            </w:tcBorders>
            <w:vAlign w:val="center"/>
          </w:tcPr>
          <w:p w14:paraId="376F11FD">
            <w:pPr>
              <w:widowControl/>
              <w:jc w:val="center"/>
              <w:rPr>
                <w:color w:val="000000"/>
                <w:sz w:val="24"/>
                <w:szCs w:val="24"/>
              </w:rPr>
            </w:pPr>
            <w:r>
              <w:rPr>
                <w:color w:val="000000"/>
                <w:sz w:val="24"/>
                <w:szCs w:val="24"/>
              </w:rPr>
              <w:t>2</w:t>
            </w:r>
          </w:p>
        </w:tc>
        <w:tc>
          <w:tcPr>
            <w:tcW w:w="1279" w:type="dxa"/>
            <w:tcBorders>
              <w:top w:val="nil"/>
              <w:left w:val="nil"/>
              <w:bottom w:val="single" w:color="auto" w:sz="4" w:space="0"/>
              <w:right w:val="single" w:color="auto" w:sz="4" w:space="0"/>
            </w:tcBorders>
            <w:vAlign w:val="center"/>
          </w:tcPr>
          <w:p w14:paraId="62C5AAD9">
            <w:pPr>
              <w:widowControl/>
              <w:jc w:val="center"/>
              <w:rPr>
                <w:color w:val="000000"/>
                <w:sz w:val="24"/>
                <w:szCs w:val="24"/>
              </w:rPr>
            </w:pPr>
            <w:r>
              <w:rPr>
                <w:rFonts w:hint="eastAsia" w:ascii="宋体" w:hAnsi="宋体"/>
                <w:color w:val="000000"/>
                <w:sz w:val="24"/>
                <w:szCs w:val="24"/>
              </w:rPr>
              <w:t>东环河</w:t>
            </w:r>
          </w:p>
        </w:tc>
        <w:tc>
          <w:tcPr>
            <w:tcW w:w="2088" w:type="dxa"/>
            <w:tcBorders>
              <w:top w:val="nil"/>
              <w:left w:val="nil"/>
              <w:bottom w:val="single" w:color="auto" w:sz="4" w:space="0"/>
              <w:right w:val="single" w:color="auto" w:sz="4" w:space="0"/>
            </w:tcBorders>
            <w:vAlign w:val="center"/>
          </w:tcPr>
          <w:p w14:paraId="61B3E8AD">
            <w:pPr>
              <w:widowControl/>
              <w:jc w:val="left"/>
              <w:rPr>
                <w:color w:val="000000"/>
                <w:sz w:val="24"/>
                <w:szCs w:val="24"/>
              </w:rPr>
            </w:pPr>
            <w:r>
              <w:rPr>
                <w:rFonts w:hint="eastAsia" w:ascii="宋体" w:hAnsi="宋体"/>
                <w:color w:val="000000"/>
                <w:sz w:val="24"/>
                <w:szCs w:val="24"/>
              </w:rPr>
              <w:t>常浒河交汇处至张家港交汇处河段内绿化区域及防汛道路</w:t>
            </w:r>
          </w:p>
        </w:tc>
        <w:tc>
          <w:tcPr>
            <w:tcW w:w="1477" w:type="dxa"/>
            <w:tcBorders>
              <w:top w:val="nil"/>
              <w:left w:val="nil"/>
              <w:bottom w:val="single" w:color="auto" w:sz="4" w:space="0"/>
              <w:right w:val="single" w:color="auto" w:sz="4" w:space="0"/>
            </w:tcBorders>
            <w:vAlign w:val="center"/>
          </w:tcPr>
          <w:p w14:paraId="788A9A7F">
            <w:pPr>
              <w:widowControl/>
              <w:jc w:val="center"/>
              <w:rPr>
                <w:color w:val="000000"/>
                <w:sz w:val="24"/>
                <w:szCs w:val="24"/>
              </w:rPr>
            </w:pPr>
            <w:r>
              <w:rPr>
                <w:color w:val="000000"/>
                <w:sz w:val="24"/>
                <w:szCs w:val="24"/>
              </w:rPr>
              <w:t>18.44</w:t>
            </w:r>
          </w:p>
        </w:tc>
        <w:tc>
          <w:tcPr>
            <w:tcW w:w="1296" w:type="dxa"/>
            <w:tcBorders>
              <w:top w:val="nil"/>
              <w:left w:val="nil"/>
              <w:bottom w:val="single" w:color="auto" w:sz="4" w:space="0"/>
              <w:right w:val="single" w:color="auto" w:sz="4" w:space="0"/>
            </w:tcBorders>
            <w:vAlign w:val="center"/>
          </w:tcPr>
          <w:p w14:paraId="28275460">
            <w:pPr>
              <w:widowControl/>
              <w:jc w:val="center"/>
              <w:rPr>
                <w:color w:val="000000"/>
                <w:sz w:val="24"/>
                <w:szCs w:val="24"/>
              </w:rPr>
            </w:pPr>
            <w:r>
              <w:rPr>
                <w:color w:val="000000"/>
                <w:sz w:val="24"/>
                <w:szCs w:val="24"/>
              </w:rPr>
              <w:t>3</w:t>
            </w:r>
            <w:r>
              <w:rPr>
                <w:rFonts w:hint="eastAsia"/>
                <w:color w:val="000000"/>
                <w:sz w:val="24"/>
                <w:szCs w:val="24"/>
              </w:rPr>
              <w:t>60000</w:t>
            </w:r>
          </w:p>
        </w:tc>
        <w:tc>
          <w:tcPr>
            <w:tcW w:w="1485" w:type="dxa"/>
            <w:tcBorders>
              <w:top w:val="nil"/>
              <w:left w:val="nil"/>
              <w:bottom w:val="single" w:color="auto" w:sz="4" w:space="0"/>
              <w:right w:val="single" w:color="auto" w:sz="4" w:space="0"/>
            </w:tcBorders>
            <w:vAlign w:val="center"/>
          </w:tcPr>
          <w:p w14:paraId="132197C8">
            <w:pPr>
              <w:widowControl/>
              <w:jc w:val="center"/>
              <w:rPr>
                <w:color w:val="000000"/>
                <w:sz w:val="24"/>
                <w:szCs w:val="24"/>
              </w:rPr>
            </w:pPr>
            <w:r>
              <w:rPr>
                <w:color w:val="000000"/>
                <w:sz w:val="24"/>
                <w:szCs w:val="24"/>
              </w:rPr>
              <w:t>9</w:t>
            </w:r>
            <w:r>
              <w:rPr>
                <w:rFonts w:hint="eastAsia"/>
                <w:color w:val="000000"/>
                <w:sz w:val="24"/>
                <w:szCs w:val="24"/>
              </w:rPr>
              <w:t>.22</w:t>
            </w:r>
          </w:p>
        </w:tc>
        <w:tc>
          <w:tcPr>
            <w:tcW w:w="1698" w:type="dxa"/>
            <w:tcBorders>
              <w:top w:val="nil"/>
              <w:left w:val="nil"/>
              <w:bottom w:val="single" w:color="auto" w:sz="4" w:space="0"/>
              <w:right w:val="single" w:color="auto" w:sz="4" w:space="0"/>
            </w:tcBorders>
            <w:vAlign w:val="center"/>
          </w:tcPr>
          <w:p w14:paraId="5FDE8CFE">
            <w:pPr>
              <w:widowControl/>
              <w:jc w:val="center"/>
              <w:rPr>
                <w:color w:val="000000"/>
                <w:sz w:val="24"/>
                <w:szCs w:val="24"/>
              </w:rPr>
            </w:pPr>
            <w:r>
              <w:rPr>
                <w:rFonts w:hint="eastAsia" w:ascii="宋体" w:hAnsi="宋体"/>
                <w:color w:val="000000"/>
                <w:sz w:val="24"/>
                <w:szCs w:val="24"/>
              </w:rPr>
              <w:t>含办公区域绿化面积</w:t>
            </w:r>
            <w:r>
              <w:rPr>
                <w:color w:val="000000"/>
                <w:sz w:val="24"/>
                <w:szCs w:val="24"/>
              </w:rPr>
              <w:t>4300</w:t>
            </w:r>
            <w:r>
              <w:rPr>
                <w:rFonts w:hint="eastAsia" w:ascii="宋体" w:hAnsi="宋体"/>
                <w:color w:val="000000"/>
                <w:sz w:val="24"/>
                <w:szCs w:val="24"/>
              </w:rPr>
              <w:t>㎡</w:t>
            </w:r>
          </w:p>
        </w:tc>
      </w:tr>
      <w:tr w14:paraId="081B4446">
        <w:tblPrEx>
          <w:tblCellMar>
            <w:top w:w="0" w:type="dxa"/>
            <w:left w:w="108" w:type="dxa"/>
            <w:bottom w:w="0" w:type="dxa"/>
            <w:right w:w="108" w:type="dxa"/>
          </w:tblCellMar>
        </w:tblPrEx>
        <w:trPr>
          <w:trHeight w:val="1702"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14:paraId="6884645E">
            <w:pPr>
              <w:widowControl/>
              <w:jc w:val="center"/>
              <w:rPr>
                <w:color w:val="000000"/>
                <w:sz w:val="24"/>
                <w:szCs w:val="24"/>
              </w:rPr>
            </w:pPr>
            <w:r>
              <w:rPr>
                <w:color w:val="000000"/>
                <w:sz w:val="24"/>
                <w:szCs w:val="24"/>
              </w:rPr>
              <w:t>3</w:t>
            </w:r>
          </w:p>
        </w:tc>
        <w:tc>
          <w:tcPr>
            <w:tcW w:w="1279" w:type="dxa"/>
            <w:tcBorders>
              <w:top w:val="single" w:color="auto" w:sz="4" w:space="0"/>
              <w:left w:val="nil"/>
              <w:bottom w:val="single" w:color="auto" w:sz="4" w:space="0"/>
              <w:right w:val="single" w:color="auto" w:sz="4" w:space="0"/>
            </w:tcBorders>
            <w:vAlign w:val="center"/>
          </w:tcPr>
          <w:p w14:paraId="4786203E">
            <w:pPr>
              <w:widowControl/>
              <w:jc w:val="center"/>
              <w:rPr>
                <w:color w:val="000000"/>
                <w:sz w:val="24"/>
                <w:szCs w:val="24"/>
              </w:rPr>
            </w:pPr>
            <w:r>
              <w:rPr>
                <w:rFonts w:hint="eastAsia" w:ascii="宋体" w:hAnsi="宋体"/>
                <w:color w:val="000000"/>
                <w:sz w:val="24"/>
                <w:szCs w:val="24"/>
              </w:rPr>
              <w:t>海洋泾沿线</w:t>
            </w:r>
          </w:p>
        </w:tc>
        <w:tc>
          <w:tcPr>
            <w:tcW w:w="2088" w:type="dxa"/>
            <w:tcBorders>
              <w:top w:val="single" w:color="auto" w:sz="4" w:space="0"/>
              <w:left w:val="nil"/>
              <w:bottom w:val="single" w:color="auto" w:sz="4" w:space="0"/>
              <w:right w:val="single" w:color="auto" w:sz="4" w:space="0"/>
            </w:tcBorders>
            <w:vAlign w:val="center"/>
          </w:tcPr>
          <w:p w14:paraId="6D3ED1F1">
            <w:pPr>
              <w:widowControl/>
              <w:jc w:val="left"/>
              <w:rPr>
                <w:color w:val="000000"/>
                <w:sz w:val="24"/>
                <w:szCs w:val="24"/>
              </w:rPr>
            </w:pPr>
            <w:r>
              <w:rPr>
                <w:rFonts w:hint="eastAsia" w:ascii="宋体" w:hAnsi="宋体"/>
                <w:color w:val="000000"/>
                <w:sz w:val="24"/>
                <w:szCs w:val="24"/>
              </w:rPr>
              <w:t>海洋泾沿线边坡、绿化区域及防汛道路</w:t>
            </w:r>
          </w:p>
        </w:tc>
        <w:tc>
          <w:tcPr>
            <w:tcW w:w="1477" w:type="dxa"/>
            <w:tcBorders>
              <w:top w:val="single" w:color="auto" w:sz="4" w:space="0"/>
              <w:left w:val="nil"/>
              <w:bottom w:val="single" w:color="auto" w:sz="4" w:space="0"/>
              <w:right w:val="single" w:color="auto" w:sz="4" w:space="0"/>
            </w:tcBorders>
            <w:vAlign w:val="center"/>
          </w:tcPr>
          <w:p w14:paraId="24006691">
            <w:pPr>
              <w:widowControl/>
              <w:jc w:val="center"/>
              <w:rPr>
                <w:color w:val="000000"/>
                <w:sz w:val="24"/>
                <w:szCs w:val="24"/>
              </w:rPr>
            </w:pPr>
            <w:r>
              <w:rPr>
                <w:color w:val="000000"/>
                <w:sz w:val="24"/>
                <w:szCs w:val="24"/>
              </w:rPr>
              <w:t>15.2</w:t>
            </w:r>
          </w:p>
        </w:tc>
        <w:tc>
          <w:tcPr>
            <w:tcW w:w="1296" w:type="dxa"/>
            <w:tcBorders>
              <w:top w:val="single" w:color="auto" w:sz="4" w:space="0"/>
              <w:left w:val="nil"/>
              <w:bottom w:val="single" w:color="auto" w:sz="4" w:space="0"/>
              <w:right w:val="single" w:color="auto" w:sz="4" w:space="0"/>
            </w:tcBorders>
            <w:vAlign w:val="center"/>
          </w:tcPr>
          <w:p w14:paraId="2ACA6E25">
            <w:pPr>
              <w:widowControl/>
              <w:jc w:val="center"/>
              <w:rPr>
                <w:color w:val="000000"/>
                <w:sz w:val="24"/>
                <w:szCs w:val="24"/>
              </w:rPr>
            </w:pPr>
            <w:r>
              <w:rPr>
                <w:color w:val="000000"/>
                <w:sz w:val="24"/>
                <w:szCs w:val="24"/>
              </w:rPr>
              <w:t>1</w:t>
            </w:r>
            <w:r>
              <w:rPr>
                <w:rFonts w:hint="eastAsia"/>
                <w:color w:val="000000"/>
                <w:sz w:val="24"/>
                <w:szCs w:val="24"/>
              </w:rPr>
              <w:t>44000</w:t>
            </w:r>
          </w:p>
        </w:tc>
        <w:tc>
          <w:tcPr>
            <w:tcW w:w="1485" w:type="dxa"/>
            <w:tcBorders>
              <w:top w:val="single" w:color="auto" w:sz="4" w:space="0"/>
              <w:left w:val="nil"/>
              <w:bottom w:val="single" w:color="auto" w:sz="4" w:space="0"/>
              <w:right w:val="single" w:color="auto" w:sz="4" w:space="0"/>
            </w:tcBorders>
            <w:vAlign w:val="center"/>
          </w:tcPr>
          <w:p w14:paraId="5CB121EE">
            <w:pPr>
              <w:widowControl/>
              <w:jc w:val="center"/>
              <w:rPr>
                <w:color w:val="000000"/>
                <w:sz w:val="24"/>
                <w:szCs w:val="24"/>
              </w:rPr>
            </w:pPr>
            <w:r>
              <w:rPr>
                <w:color w:val="000000"/>
                <w:sz w:val="24"/>
                <w:szCs w:val="24"/>
              </w:rPr>
              <w:t>15.2</w:t>
            </w:r>
          </w:p>
        </w:tc>
        <w:tc>
          <w:tcPr>
            <w:tcW w:w="1698" w:type="dxa"/>
            <w:tcBorders>
              <w:top w:val="single" w:color="auto" w:sz="4" w:space="0"/>
              <w:left w:val="nil"/>
              <w:bottom w:val="single" w:color="auto" w:sz="4" w:space="0"/>
              <w:right w:val="single" w:color="auto" w:sz="4" w:space="0"/>
            </w:tcBorders>
            <w:vAlign w:val="center"/>
          </w:tcPr>
          <w:p w14:paraId="1CF79C4F">
            <w:pPr>
              <w:widowControl/>
              <w:jc w:val="center"/>
              <w:rPr>
                <w:color w:val="000000"/>
                <w:sz w:val="24"/>
                <w:szCs w:val="24"/>
              </w:rPr>
            </w:pPr>
            <w:r>
              <w:rPr>
                <w:rFonts w:hint="eastAsia" w:ascii="宋体" w:hAnsi="宋体"/>
                <w:color w:val="000000"/>
                <w:sz w:val="24"/>
                <w:szCs w:val="24"/>
              </w:rPr>
              <w:t>含闸室区域绿化面积</w:t>
            </w:r>
            <w:r>
              <w:rPr>
                <w:color w:val="000000"/>
                <w:sz w:val="24"/>
                <w:szCs w:val="24"/>
              </w:rPr>
              <w:t>13000</w:t>
            </w:r>
            <w:r>
              <w:rPr>
                <w:rFonts w:hint="eastAsia" w:ascii="宋体" w:hAnsi="宋体"/>
                <w:color w:val="000000"/>
                <w:sz w:val="24"/>
                <w:szCs w:val="24"/>
              </w:rPr>
              <w:t>㎡</w:t>
            </w:r>
          </w:p>
        </w:tc>
      </w:tr>
      <w:tr w14:paraId="18920BE0">
        <w:tblPrEx>
          <w:tblCellMar>
            <w:top w:w="0" w:type="dxa"/>
            <w:left w:w="108" w:type="dxa"/>
            <w:bottom w:w="0" w:type="dxa"/>
            <w:right w:w="108" w:type="dxa"/>
          </w:tblCellMar>
        </w:tblPrEx>
        <w:trPr>
          <w:trHeight w:val="1486" w:hRule="atLeast"/>
          <w:jc w:val="center"/>
        </w:trPr>
        <w:tc>
          <w:tcPr>
            <w:tcW w:w="617" w:type="dxa"/>
            <w:tcBorders>
              <w:top w:val="single" w:color="auto" w:sz="4" w:space="0"/>
              <w:left w:val="single" w:color="auto" w:sz="4" w:space="0"/>
              <w:bottom w:val="single" w:color="auto" w:sz="4" w:space="0"/>
              <w:right w:val="single" w:color="auto" w:sz="4" w:space="0"/>
            </w:tcBorders>
            <w:vAlign w:val="center"/>
          </w:tcPr>
          <w:p w14:paraId="0E832244">
            <w:pPr>
              <w:widowControl/>
              <w:jc w:val="center"/>
              <w:rPr>
                <w:color w:val="000000"/>
                <w:sz w:val="24"/>
                <w:szCs w:val="24"/>
              </w:rPr>
            </w:pPr>
            <w:r>
              <w:rPr>
                <w:rFonts w:hint="eastAsia"/>
                <w:color w:val="000000"/>
                <w:sz w:val="24"/>
                <w:szCs w:val="24"/>
              </w:rPr>
              <w:t>4</w:t>
            </w:r>
          </w:p>
        </w:tc>
        <w:tc>
          <w:tcPr>
            <w:tcW w:w="1279" w:type="dxa"/>
            <w:tcBorders>
              <w:top w:val="single" w:color="auto" w:sz="4" w:space="0"/>
              <w:left w:val="nil"/>
              <w:bottom w:val="single" w:color="auto" w:sz="4" w:space="0"/>
              <w:right w:val="single" w:color="auto" w:sz="4" w:space="0"/>
            </w:tcBorders>
            <w:vAlign w:val="center"/>
          </w:tcPr>
          <w:p w14:paraId="579F3ED5">
            <w:pPr>
              <w:widowControl/>
              <w:jc w:val="center"/>
              <w:rPr>
                <w:rFonts w:ascii="宋体" w:hAnsi="宋体"/>
                <w:color w:val="000000"/>
                <w:sz w:val="24"/>
                <w:szCs w:val="24"/>
              </w:rPr>
            </w:pPr>
            <w:r>
              <w:rPr>
                <w:rFonts w:hint="eastAsia" w:ascii="宋体" w:hAnsi="宋体"/>
                <w:color w:val="000000"/>
                <w:sz w:val="24"/>
                <w:szCs w:val="24"/>
              </w:rPr>
              <w:t>耿泾塘沿线</w:t>
            </w:r>
          </w:p>
        </w:tc>
        <w:tc>
          <w:tcPr>
            <w:tcW w:w="2088" w:type="dxa"/>
            <w:tcBorders>
              <w:top w:val="single" w:color="auto" w:sz="4" w:space="0"/>
              <w:left w:val="nil"/>
              <w:bottom w:val="single" w:color="auto" w:sz="4" w:space="0"/>
              <w:right w:val="single" w:color="auto" w:sz="4" w:space="0"/>
            </w:tcBorders>
            <w:vAlign w:val="center"/>
          </w:tcPr>
          <w:p w14:paraId="1A6A84BE">
            <w:pPr>
              <w:widowControl/>
              <w:jc w:val="left"/>
              <w:rPr>
                <w:rFonts w:ascii="宋体" w:hAnsi="宋体"/>
                <w:color w:val="000000"/>
                <w:sz w:val="24"/>
                <w:szCs w:val="24"/>
              </w:rPr>
            </w:pPr>
            <w:r>
              <w:rPr>
                <w:rFonts w:hint="eastAsia" w:ascii="宋体" w:hAnsi="宋体"/>
                <w:color w:val="000000"/>
                <w:sz w:val="24"/>
                <w:szCs w:val="24"/>
              </w:rPr>
              <w:t>耿泾塘三环路至耿泾南闸段边坡</w:t>
            </w:r>
          </w:p>
        </w:tc>
        <w:tc>
          <w:tcPr>
            <w:tcW w:w="1477" w:type="dxa"/>
            <w:tcBorders>
              <w:top w:val="single" w:color="auto" w:sz="4" w:space="0"/>
              <w:left w:val="nil"/>
              <w:bottom w:val="single" w:color="auto" w:sz="4" w:space="0"/>
              <w:right w:val="single" w:color="auto" w:sz="4" w:space="0"/>
            </w:tcBorders>
            <w:vAlign w:val="center"/>
          </w:tcPr>
          <w:p w14:paraId="1DEE4C5E">
            <w:pPr>
              <w:widowControl/>
              <w:jc w:val="center"/>
              <w:rPr>
                <w:color w:val="000000"/>
                <w:sz w:val="24"/>
                <w:szCs w:val="24"/>
              </w:rPr>
            </w:pPr>
            <w:r>
              <w:rPr>
                <w:rFonts w:hint="eastAsia"/>
                <w:color w:val="000000"/>
                <w:sz w:val="24"/>
                <w:szCs w:val="24"/>
              </w:rPr>
              <w:t>2.2</w:t>
            </w:r>
          </w:p>
        </w:tc>
        <w:tc>
          <w:tcPr>
            <w:tcW w:w="1296" w:type="dxa"/>
            <w:tcBorders>
              <w:top w:val="single" w:color="auto" w:sz="4" w:space="0"/>
              <w:left w:val="nil"/>
              <w:bottom w:val="single" w:color="auto" w:sz="4" w:space="0"/>
              <w:right w:val="single" w:color="auto" w:sz="4" w:space="0"/>
            </w:tcBorders>
            <w:vAlign w:val="center"/>
          </w:tcPr>
          <w:p w14:paraId="2A9F0360">
            <w:pPr>
              <w:widowControl/>
              <w:jc w:val="center"/>
              <w:rPr>
                <w:color w:val="000000"/>
                <w:sz w:val="24"/>
                <w:szCs w:val="24"/>
              </w:rPr>
            </w:pPr>
            <w:r>
              <w:rPr>
                <w:rFonts w:hint="eastAsia"/>
                <w:color w:val="000000"/>
                <w:sz w:val="24"/>
                <w:szCs w:val="24"/>
              </w:rPr>
              <w:t>7000</w:t>
            </w:r>
          </w:p>
        </w:tc>
        <w:tc>
          <w:tcPr>
            <w:tcW w:w="1485" w:type="dxa"/>
            <w:tcBorders>
              <w:top w:val="single" w:color="auto" w:sz="4" w:space="0"/>
              <w:left w:val="nil"/>
              <w:bottom w:val="single" w:color="auto" w:sz="4" w:space="0"/>
              <w:right w:val="single" w:color="auto" w:sz="4" w:space="0"/>
            </w:tcBorders>
            <w:vAlign w:val="center"/>
          </w:tcPr>
          <w:p w14:paraId="2DA324B9">
            <w:pPr>
              <w:widowControl/>
              <w:jc w:val="center"/>
              <w:rPr>
                <w:color w:val="000000"/>
                <w:sz w:val="24"/>
                <w:szCs w:val="24"/>
              </w:rPr>
            </w:pPr>
          </w:p>
        </w:tc>
        <w:tc>
          <w:tcPr>
            <w:tcW w:w="1698" w:type="dxa"/>
            <w:tcBorders>
              <w:top w:val="single" w:color="auto" w:sz="4" w:space="0"/>
              <w:left w:val="nil"/>
              <w:bottom w:val="single" w:color="auto" w:sz="4" w:space="0"/>
              <w:right w:val="single" w:color="auto" w:sz="4" w:space="0"/>
            </w:tcBorders>
            <w:vAlign w:val="center"/>
          </w:tcPr>
          <w:p w14:paraId="2FDB4A30">
            <w:pPr>
              <w:widowControl/>
              <w:jc w:val="center"/>
              <w:rPr>
                <w:rFonts w:ascii="宋体" w:hAnsi="宋体"/>
                <w:color w:val="000000"/>
                <w:sz w:val="24"/>
                <w:szCs w:val="24"/>
              </w:rPr>
            </w:pPr>
          </w:p>
        </w:tc>
      </w:tr>
    </w:tbl>
    <w:p w14:paraId="2A3DBAAA">
      <w:pPr>
        <w:spacing w:line="440" w:lineRule="exact"/>
        <w:jc w:val="left"/>
        <w:rPr>
          <w:color w:val="000000"/>
          <w:kern w:val="2"/>
          <w:sz w:val="24"/>
          <w:szCs w:val="20"/>
        </w:rPr>
      </w:pPr>
    </w:p>
    <w:p w14:paraId="74E869EE">
      <w:pPr>
        <w:spacing w:line="440" w:lineRule="exact"/>
        <w:jc w:val="left"/>
        <w:rPr>
          <w:color w:val="000000"/>
          <w:kern w:val="2"/>
          <w:sz w:val="24"/>
          <w:szCs w:val="20"/>
        </w:rPr>
      </w:pPr>
    </w:p>
    <w:p w14:paraId="5238BE0F">
      <w:pPr>
        <w:spacing w:line="440" w:lineRule="exact"/>
        <w:jc w:val="left"/>
        <w:rPr>
          <w:color w:val="000000"/>
          <w:kern w:val="2"/>
          <w:sz w:val="24"/>
          <w:szCs w:val="20"/>
        </w:rPr>
      </w:pPr>
    </w:p>
    <w:p w14:paraId="53E9CABA">
      <w:pPr>
        <w:spacing w:line="440" w:lineRule="exact"/>
        <w:jc w:val="left"/>
        <w:rPr>
          <w:color w:val="000000"/>
          <w:kern w:val="2"/>
          <w:sz w:val="24"/>
          <w:szCs w:val="20"/>
        </w:rPr>
      </w:pPr>
    </w:p>
    <w:p w14:paraId="5C6AE116">
      <w:pPr>
        <w:spacing w:line="440" w:lineRule="exact"/>
        <w:jc w:val="left"/>
        <w:rPr>
          <w:color w:val="000000"/>
          <w:kern w:val="2"/>
          <w:sz w:val="24"/>
          <w:szCs w:val="20"/>
        </w:rPr>
      </w:pPr>
    </w:p>
    <w:p w14:paraId="318989DE">
      <w:pPr>
        <w:spacing w:line="440" w:lineRule="exact"/>
        <w:jc w:val="left"/>
        <w:rPr>
          <w:color w:val="000000"/>
          <w:kern w:val="2"/>
          <w:sz w:val="24"/>
          <w:szCs w:val="20"/>
        </w:rPr>
      </w:pPr>
    </w:p>
    <w:p w14:paraId="171E9ACC">
      <w:pPr>
        <w:spacing w:line="440" w:lineRule="exact"/>
        <w:jc w:val="left"/>
        <w:rPr>
          <w:color w:val="000000"/>
          <w:kern w:val="2"/>
          <w:sz w:val="24"/>
          <w:szCs w:val="20"/>
        </w:rPr>
      </w:pPr>
    </w:p>
    <w:p w14:paraId="65AD5CA3">
      <w:pPr>
        <w:widowControl/>
        <w:jc w:val="center"/>
        <w:rPr>
          <w:rFonts w:ascii="宋体" w:hAnsi="宋体" w:cs="宋体"/>
          <w:b/>
          <w:bCs/>
          <w:color w:val="000000"/>
          <w:sz w:val="24"/>
          <w:szCs w:val="24"/>
        </w:rPr>
      </w:pPr>
    </w:p>
    <w:p w14:paraId="3FD9B120">
      <w:pPr>
        <w:widowControl/>
        <w:jc w:val="center"/>
        <w:rPr>
          <w:rFonts w:ascii="宋体" w:hAnsi="宋体" w:cs="宋体"/>
          <w:b/>
          <w:bCs/>
          <w:color w:val="000000"/>
          <w:sz w:val="24"/>
          <w:szCs w:val="24"/>
        </w:rPr>
      </w:pPr>
    </w:p>
    <w:p w14:paraId="4548F3AE">
      <w:pPr>
        <w:widowControl/>
        <w:jc w:val="center"/>
        <w:rPr>
          <w:rFonts w:ascii="宋体" w:hAnsi="宋体" w:cs="宋体"/>
          <w:b/>
          <w:bCs/>
          <w:color w:val="000000"/>
          <w:sz w:val="24"/>
          <w:szCs w:val="24"/>
        </w:rPr>
      </w:pPr>
    </w:p>
    <w:p w14:paraId="5EF222EB">
      <w:pPr>
        <w:widowControl/>
        <w:jc w:val="center"/>
        <w:rPr>
          <w:rFonts w:ascii="宋体" w:hAnsi="宋体" w:cs="宋体"/>
          <w:b/>
          <w:bCs/>
          <w:color w:val="000000"/>
          <w:sz w:val="24"/>
          <w:szCs w:val="24"/>
        </w:rPr>
      </w:pPr>
    </w:p>
    <w:p w14:paraId="0479B0AE">
      <w:pPr>
        <w:widowControl/>
        <w:jc w:val="center"/>
        <w:rPr>
          <w:rFonts w:ascii="宋体" w:hAnsi="宋体" w:cs="宋体"/>
          <w:b/>
          <w:bCs/>
          <w:color w:val="000000"/>
          <w:sz w:val="24"/>
          <w:szCs w:val="24"/>
        </w:rPr>
      </w:pPr>
      <w:r>
        <w:rPr>
          <w:rFonts w:ascii="宋体" w:hAnsi="宋体" w:cs="宋体"/>
          <w:b/>
          <w:bCs/>
          <w:color w:val="000000"/>
          <w:sz w:val="24"/>
          <w:szCs w:val="24"/>
        </w:rPr>
        <w:t>附件2：常熟市绿地养护质量标准</w:t>
      </w:r>
    </w:p>
    <w:p w14:paraId="30D07A0B">
      <w:pPr>
        <w:jc w:val="center"/>
        <w:rPr>
          <w:b/>
          <w:bCs/>
          <w:color w:val="000000"/>
          <w:spacing w:val="12"/>
          <w:kern w:val="2"/>
          <w:sz w:val="30"/>
          <w:szCs w:val="30"/>
        </w:rPr>
      </w:pPr>
      <w:r>
        <w:rPr>
          <w:b/>
          <w:bCs/>
          <w:color w:val="000000"/>
          <w:spacing w:val="12"/>
          <w:kern w:val="2"/>
          <w:sz w:val="30"/>
          <w:szCs w:val="30"/>
        </w:rPr>
        <w:t>常熟市绿地养护质量标准</w:t>
      </w:r>
    </w:p>
    <w:tbl>
      <w:tblPr>
        <w:tblStyle w:val="39"/>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855"/>
        <w:gridCol w:w="3018"/>
        <w:gridCol w:w="2442"/>
        <w:gridCol w:w="2633"/>
      </w:tblGrid>
      <w:tr w14:paraId="3F599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67" w:type="dxa"/>
            <w:vAlign w:val="center"/>
          </w:tcPr>
          <w:p w14:paraId="0E94958D">
            <w:pPr>
              <w:spacing w:line="320" w:lineRule="exact"/>
              <w:jc w:val="center"/>
              <w:rPr>
                <w:b/>
                <w:bCs/>
                <w:color w:val="000000"/>
                <w:spacing w:val="12"/>
                <w:kern w:val="2"/>
                <w:sz w:val="24"/>
                <w:szCs w:val="20"/>
              </w:rPr>
            </w:pPr>
            <w:r>
              <w:rPr>
                <w:b/>
                <w:bCs/>
                <w:color w:val="000000"/>
                <w:spacing w:val="12"/>
                <w:kern w:val="2"/>
                <w:sz w:val="24"/>
                <w:szCs w:val="20"/>
              </w:rPr>
              <w:t>序号</w:t>
            </w:r>
          </w:p>
        </w:tc>
        <w:tc>
          <w:tcPr>
            <w:tcW w:w="855" w:type="dxa"/>
            <w:vAlign w:val="center"/>
          </w:tcPr>
          <w:p w14:paraId="0474D739">
            <w:pPr>
              <w:spacing w:line="320" w:lineRule="exact"/>
              <w:jc w:val="center"/>
              <w:rPr>
                <w:b/>
                <w:bCs/>
                <w:color w:val="000000"/>
                <w:spacing w:val="12"/>
                <w:kern w:val="2"/>
                <w:sz w:val="24"/>
                <w:szCs w:val="20"/>
              </w:rPr>
            </w:pPr>
            <w:r>
              <w:rPr>
                <w:b/>
                <w:bCs/>
                <w:color w:val="000000"/>
                <w:spacing w:val="12"/>
                <w:kern w:val="2"/>
                <w:sz w:val="24"/>
                <w:szCs w:val="20"/>
              </w:rPr>
              <w:t>内容</w:t>
            </w:r>
          </w:p>
        </w:tc>
        <w:tc>
          <w:tcPr>
            <w:tcW w:w="3018" w:type="dxa"/>
            <w:vAlign w:val="center"/>
          </w:tcPr>
          <w:p w14:paraId="712D8789">
            <w:pPr>
              <w:spacing w:line="320" w:lineRule="exact"/>
              <w:jc w:val="center"/>
              <w:rPr>
                <w:b/>
                <w:bCs/>
                <w:color w:val="000000"/>
                <w:spacing w:val="12"/>
                <w:kern w:val="2"/>
                <w:sz w:val="24"/>
                <w:szCs w:val="20"/>
              </w:rPr>
            </w:pPr>
            <w:r>
              <w:rPr>
                <w:b/>
                <w:bCs/>
                <w:color w:val="000000"/>
                <w:spacing w:val="12"/>
                <w:kern w:val="2"/>
                <w:sz w:val="24"/>
                <w:szCs w:val="20"/>
              </w:rPr>
              <w:t>一级</w:t>
            </w:r>
          </w:p>
        </w:tc>
        <w:tc>
          <w:tcPr>
            <w:tcW w:w="2442" w:type="dxa"/>
            <w:vAlign w:val="center"/>
          </w:tcPr>
          <w:p w14:paraId="44BAEB9B">
            <w:pPr>
              <w:spacing w:line="320" w:lineRule="exact"/>
              <w:jc w:val="center"/>
              <w:rPr>
                <w:b/>
                <w:bCs/>
                <w:color w:val="000000"/>
                <w:spacing w:val="12"/>
                <w:kern w:val="2"/>
                <w:sz w:val="24"/>
                <w:szCs w:val="20"/>
              </w:rPr>
            </w:pPr>
            <w:r>
              <w:rPr>
                <w:b/>
                <w:bCs/>
                <w:color w:val="000000"/>
                <w:spacing w:val="12"/>
                <w:kern w:val="2"/>
                <w:sz w:val="24"/>
                <w:szCs w:val="20"/>
              </w:rPr>
              <w:t>二级</w:t>
            </w:r>
          </w:p>
        </w:tc>
        <w:tc>
          <w:tcPr>
            <w:tcW w:w="2633" w:type="dxa"/>
            <w:vAlign w:val="center"/>
          </w:tcPr>
          <w:p w14:paraId="43C5896D">
            <w:pPr>
              <w:spacing w:line="320" w:lineRule="exact"/>
              <w:jc w:val="center"/>
              <w:rPr>
                <w:b/>
                <w:bCs/>
                <w:color w:val="000000"/>
                <w:spacing w:val="12"/>
                <w:kern w:val="2"/>
                <w:sz w:val="24"/>
                <w:szCs w:val="20"/>
              </w:rPr>
            </w:pPr>
            <w:r>
              <w:rPr>
                <w:b/>
                <w:bCs/>
                <w:color w:val="000000"/>
                <w:spacing w:val="12"/>
                <w:kern w:val="2"/>
                <w:sz w:val="24"/>
                <w:szCs w:val="20"/>
              </w:rPr>
              <w:t>三级</w:t>
            </w:r>
          </w:p>
        </w:tc>
      </w:tr>
      <w:tr w14:paraId="6BF1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vAlign w:val="center"/>
          </w:tcPr>
          <w:p w14:paraId="58918ED5">
            <w:pPr>
              <w:spacing w:line="300" w:lineRule="exact"/>
              <w:jc w:val="center"/>
              <w:rPr>
                <w:color w:val="000000"/>
                <w:spacing w:val="12"/>
                <w:kern w:val="2"/>
                <w:sz w:val="24"/>
                <w:szCs w:val="20"/>
              </w:rPr>
            </w:pPr>
            <w:r>
              <w:rPr>
                <w:color w:val="000000"/>
                <w:spacing w:val="12"/>
                <w:kern w:val="2"/>
                <w:sz w:val="24"/>
                <w:szCs w:val="20"/>
              </w:rPr>
              <w:t>1</w:t>
            </w:r>
          </w:p>
        </w:tc>
        <w:tc>
          <w:tcPr>
            <w:tcW w:w="855" w:type="dxa"/>
            <w:vAlign w:val="center"/>
          </w:tcPr>
          <w:p w14:paraId="32512CB6">
            <w:pPr>
              <w:spacing w:line="300" w:lineRule="exact"/>
              <w:jc w:val="center"/>
              <w:rPr>
                <w:b/>
                <w:bCs/>
                <w:color w:val="000000"/>
                <w:spacing w:val="12"/>
                <w:kern w:val="2"/>
                <w:sz w:val="24"/>
                <w:szCs w:val="20"/>
              </w:rPr>
            </w:pPr>
            <w:r>
              <w:rPr>
                <w:b/>
                <w:bCs/>
                <w:color w:val="000000"/>
                <w:spacing w:val="12"/>
                <w:kern w:val="2"/>
                <w:sz w:val="24"/>
                <w:szCs w:val="20"/>
              </w:rPr>
              <w:t>群落</w:t>
            </w:r>
          </w:p>
          <w:p w14:paraId="50656B05">
            <w:pPr>
              <w:spacing w:line="300" w:lineRule="exact"/>
              <w:jc w:val="center"/>
              <w:rPr>
                <w:b/>
                <w:bCs/>
                <w:color w:val="000000"/>
                <w:spacing w:val="12"/>
                <w:kern w:val="2"/>
                <w:sz w:val="24"/>
                <w:szCs w:val="20"/>
              </w:rPr>
            </w:pPr>
            <w:r>
              <w:rPr>
                <w:b/>
                <w:bCs/>
                <w:color w:val="000000"/>
                <w:spacing w:val="12"/>
                <w:kern w:val="2"/>
                <w:sz w:val="24"/>
                <w:szCs w:val="20"/>
              </w:rPr>
              <w:t>结构</w:t>
            </w:r>
          </w:p>
        </w:tc>
        <w:tc>
          <w:tcPr>
            <w:tcW w:w="3018" w:type="dxa"/>
            <w:vAlign w:val="center"/>
          </w:tcPr>
          <w:p w14:paraId="7DF155E1">
            <w:pPr>
              <w:spacing w:line="300" w:lineRule="exact"/>
              <w:jc w:val="center"/>
              <w:rPr>
                <w:color w:val="000000"/>
                <w:spacing w:val="12"/>
                <w:kern w:val="2"/>
                <w:sz w:val="24"/>
                <w:szCs w:val="20"/>
              </w:rPr>
            </w:pPr>
            <w:r>
              <w:rPr>
                <w:color w:val="000000"/>
                <w:spacing w:val="12"/>
                <w:kern w:val="2"/>
                <w:sz w:val="24"/>
                <w:szCs w:val="20"/>
              </w:rPr>
              <w:t>随着植物生长的各个时期，不断进行更新、调整、间伐，使群落结构稳定，树种配置科学合理，层次丰富，物种多样覆盖地表，黄土不裸露，生态观赏效果好。</w:t>
            </w:r>
          </w:p>
        </w:tc>
        <w:tc>
          <w:tcPr>
            <w:tcW w:w="2442" w:type="dxa"/>
            <w:vAlign w:val="center"/>
          </w:tcPr>
          <w:p w14:paraId="65D75027">
            <w:pPr>
              <w:spacing w:line="300" w:lineRule="exact"/>
              <w:rPr>
                <w:color w:val="000000"/>
                <w:spacing w:val="12"/>
                <w:kern w:val="2"/>
                <w:sz w:val="24"/>
                <w:szCs w:val="20"/>
              </w:rPr>
            </w:pPr>
            <w:r>
              <w:rPr>
                <w:color w:val="000000"/>
                <w:spacing w:val="12"/>
                <w:kern w:val="2"/>
                <w:sz w:val="24"/>
                <w:szCs w:val="20"/>
              </w:rPr>
              <w:t>随着植物生长的各个时期，不断进行更新与调整，使林相结构合理，有较完整的层次和不少于二层的林相结构，林下处理得当。</w:t>
            </w:r>
          </w:p>
        </w:tc>
        <w:tc>
          <w:tcPr>
            <w:tcW w:w="2633" w:type="dxa"/>
          </w:tcPr>
          <w:p w14:paraId="0672DD62">
            <w:pPr>
              <w:spacing w:line="300" w:lineRule="exact"/>
              <w:rPr>
                <w:color w:val="000000"/>
                <w:spacing w:val="12"/>
                <w:kern w:val="2"/>
                <w:sz w:val="24"/>
                <w:szCs w:val="20"/>
              </w:rPr>
            </w:pPr>
            <w:r>
              <w:rPr>
                <w:color w:val="000000"/>
                <w:spacing w:val="12"/>
                <w:kern w:val="2"/>
                <w:sz w:val="24"/>
                <w:szCs w:val="20"/>
              </w:rPr>
              <w:t>植物种植成片或带状，有较好的绿化效果，地表整洁。</w:t>
            </w:r>
          </w:p>
        </w:tc>
      </w:tr>
      <w:tr w14:paraId="17B5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vAlign w:val="center"/>
          </w:tcPr>
          <w:p w14:paraId="2059B5F8">
            <w:pPr>
              <w:spacing w:line="300" w:lineRule="exact"/>
              <w:jc w:val="center"/>
              <w:rPr>
                <w:color w:val="000000"/>
                <w:spacing w:val="12"/>
                <w:kern w:val="2"/>
                <w:sz w:val="24"/>
                <w:szCs w:val="20"/>
              </w:rPr>
            </w:pPr>
            <w:r>
              <w:rPr>
                <w:color w:val="000000"/>
                <w:spacing w:val="12"/>
                <w:kern w:val="2"/>
                <w:sz w:val="24"/>
                <w:szCs w:val="20"/>
              </w:rPr>
              <w:t>2</w:t>
            </w:r>
          </w:p>
        </w:tc>
        <w:tc>
          <w:tcPr>
            <w:tcW w:w="855" w:type="dxa"/>
            <w:vAlign w:val="center"/>
          </w:tcPr>
          <w:p w14:paraId="71F31B11">
            <w:pPr>
              <w:spacing w:line="300" w:lineRule="exact"/>
              <w:jc w:val="center"/>
              <w:rPr>
                <w:b/>
                <w:bCs/>
                <w:color w:val="000000"/>
                <w:spacing w:val="12"/>
                <w:kern w:val="2"/>
                <w:sz w:val="24"/>
                <w:szCs w:val="20"/>
              </w:rPr>
            </w:pPr>
            <w:r>
              <w:rPr>
                <w:b/>
                <w:bCs/>
                <w:color w:val="000000"/>
                <w:spacing w:val="12"/>
                <w:kern w:val="2"/>
                <w:sz w:val="24"/>
                <w:szCs w:val="20"/>
              </w:rPr>
              <w:t>树木</w:t>
            </w:r>
          </w:p>
          <w:p w14:paraId="17D8F742">
            <w:pPr>
              <w:spacing w:line="300" w:lineRule="exact"/>
              <w:jc w:val="center"/>
              <w:rPr>
                <w:b/>
                <w:bCs/>
                <w:color w:val="000000"/>
                <w:spacing w:val="12"/>
                <w:kern w:val="2"/>
                <w:sz w:val="24"/>
                <w:szCs w:val="20"/>
              </w:rPr>
            </w:pPr>
            <w:r>
              <w:rPr>
                <w:b/>
                <w:bCs/>
                <w:color w:val="000000"/>
                <w:spacing w:val="12"/>
                <w:kern w:val="2"/>
                <w:sz w:val="24"/>
                <w:szCs w:val="20"/>
              </w:rPr>
              <w:t>养护</w:t>
            </w:r>
          </w:p>
        </w:tc>
        <w:tc>
          <w:tcPr>
            <w:tcW w:w="3018" w:type="dxa"/>
            <w:vAlign w:val="center"/>
          </w:tcPr>
          <w:p w14:paraId="1DE80B47">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树木生长健壮，不歪斜。</w:t>
            </w:r>
          </w:p>
          <w:p w14:paraId="7EF25B6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新建绿地各种植物两年内恢复正常生长。</w:t>
            </w:r>
          </w:p>
          <w:p w14:paraId="5132B6B8">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树冠完整美观，修剪科学合理，主侧枝分布均匀，数量适宜，内膛不乱，通风透气，无枯枝、死杈。</w:t>
            </w:r>
          </w:p>
          <w:p w14:paraId="0ED8CAC1">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花灌木按时开花结果，株形丰满，花后修剪及时。</w:t>
            </w:r>
          </w:p>
          <w:p w14:paraId="368F70EC">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整形植物修剪及时，保持外型轮廓清楚，外缘枝叶紧密。</w:t>
            </w:r>
          </w:p>
          <w:p w14:paraId="341C3581">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6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⑥</w:t>
            </w:r>
            <w:r>
              <w:rPr>
                <w:color w:val="000000"/>
                <w:spacing w:val="12"/>
                <w:kern w:val="2"/>
                <w:sz w:val="24"/>
                <w:szCs w:val="20"/>
              </w:rPr>
              <w:fldChar w:fldCharType="end"/>
            </w:r>
            <w:r>
              <w:rPr>
                <w:color w:val="000000"/>
                <w:spacing w:val="12"/>
                <w:kern w:val="2"/>
                <w:sz w:val="24"/>
                <w:szCs w:val="20"/>
              </w:rPr>
              <w:t>地被植物整齐，覆盖率在98%以上。</w:t>
            </w:r>
          </w:p>
          <w:p w14:paraId="2B64270B">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7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⑦</w:t>
            </w:r>
            <w:r>
              <w:rPr>
                <w:color w:val="000000"/>
                <w:spacing w:val="12"/>
                <w:kern w:val="2"/>
                <w:sz w:val="24"/>
                <w:szCs w:val="20"/>
              </w:rPr>
              <w:fldChar w:fldCharType="end"/>
            </w:r>
            <w:r>
              <w:rPr>
                <w:color w:val="000000"/>
                <w:spacing w:val="12"/>
                <w:kern w:val="2"/>
                <w:sz w:val="24"/>
                <w:szCs w:val="20"/>
              </w:rPr>
              <w:t>树木存活率在98%以上。</w:t>
            </w:r>
          </w:p>
        </w:tc>
        <w:tc>
          <w:tcPr>
            <w:tcW w:w="2442" w:type="dxa"/>
            <w:vAlign w:val="center"/>
          </w:tcPr>
          <w:p w14:paraId="796760E9">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树木生长正常，不歪斜。</w:t>
            </w:r>
          </w:p>
          <w:p w14:paraId="33FD034B">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新建绿地各种植物三年内恢复正常生长。</w:t>
            </w:r>
          </w:p>
          <w:p w14:paraId="3E74D286">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树冠基本完整，主侧枝匀称，数量适宜，修剪合理，内膛不乱，通风透气，无枯枝死杈。</w:t>
            </w:r>
          </w:p>
          <w:p w14:paraId="036AF7B3">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花灌木开花及时，正常，花后修剪及时。</w:t>
            </w:r>
          </w:p>
          <w:p w14:paraId="03324AC0">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整形植物修剪及时，枝叶生长正常，整齐一致。</w:t>
            </w:r>
          </w:p>
          <w:p w14:paraId="32505DD7">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6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⑥</w:t>
            </w:r>
            <w:r>
              <w:rPr>
                <w:color w:val="000000"/>
                <w:spacing w:val="12"/>
                <w:kern w:val="2"/>
                <w:sz w:val="24"/>
                <w:szCs w:val="20"/>
              </w:rPr>
              <w:fldChar w:fldCharType="end"/>
            </w:r>
            <w:r>
              <w:rPr>
                <w:color w:val="000000"/>
                <w:spacing w:val="12"/>
                <w:kern w:val="2"/>
                <w:sz w:val="24"/>
                <w:szCs w:val="20"/>
              </w:rPr>
              <w:t>地被植物整齐，覆盖率在98%以上。</w:t>
            </w:r>
          </w:p>
          <w:p w14:paraId="57A0705A">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7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⑦</w:t>
            </w:r>
            <w:r>
              <w:rPr>
                <w:color w:val="000000"/>
                <w:spacing w:val="12"/>
                <w:kern w:val="2"/>
                <w:sz w:val="24"/>
                <w:szCs w:val="20"/>
              </w:rPr>
              <w:fldChar w:fldCharType="end"/>
            </w:r>
            <w:r>
              <w:rPr>
                <w:color w:val="000000"/>
                <w:spacing w:val="12"/>
                <w:kern w:val="2"/>
                <w:sz w:val="24"/>
                <w:szCs w:val="20"/>
              </w:rPr>
              <w:t>树木存活率在98%以上。</w:t>
            </w:r>
          </w:p>
        </w:tc>
        <w:tc>
          <w:tcPr>
            <w:tcW w:w="2633" w:type="dxa"/>
          </w:tcPr>
          <w:p w14:paraId="0F13DFAC">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树木生长正常，不歪斜，有绿色效果。</w:t>
            </w:r>
          </w:p>
          <w:p w14:paraId="5EA0AD17">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新建绿地各种植物三年内基本恢复正常生长。</w:t>
            </w:r>
          </w:p>
          <w:p w14:paraId="4C653C7F">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树冠基本完整，修剪及时，无明显枯枝死杈。</w:t>
            </w:r>
          </w:p>
          <w:p w14:paraId="05A685BB">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花灌木开花及时，花后修剪及时。</w:t>
            </w:r>
          </w:p>
          <w:p w14:paraId="3FC66069">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整形植物及时修剪，有一定形态。</w:t>
            </w:r>
          </w:p>
          <w:p w14:paraId="47D4AA19">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6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⑥</w:t>
            </w:r>
            <w:r>
              <w:rPr>
                <w:color w:val="000000"/>
                <w:spacing w:val="12"/>
                <w:kern w:val="2"/>
                <w:sz w:val="24"/>
                <w:szCs w:val="20"/>
              </w:rPr>
              <w:fldChar w:fldCharType="end"/>
            </w:r>
            <w:r>
              <w:rPr>
                <w:color w:val="000000"/>
                <w:spacing w:val="12"/>
                <w:kern w:val="2"/>
                <w:sz w:val="24"/>
                <w:szCs w:val="20"/>
              </w:rPr>
              <w:t>地被植物整齐，覆盖率在98%以上。</w:t>
            </w:r>
          </w:p>
          <w:p w14:paraId="53D79C25">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7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⑦</w:t>
            </w:r>
            <w:r>
              <w:rPr>
                <w:color w:val="000000"/>
                <w:spacing w:val="12"/>
                <w:kern w:val="2"/>
                <w:sz w:val="24"/>
                <w:szCs w:val="20"/>
              </w:rPr>
              <w:fldChar w:fldCharType="end"/>
            </w:r>
            <w:r>
              <w:rPr>
                <w:color w:val="000000"/>
                <w:spacing w:val="12"/>
                <w:kern w:val="2"/>
                <w:sz w:val="24"/>
                <w:szCs w:val="20"/>
              </w:rPr>
              <w:t>树木存活率在98%以上。</w:t>
            </w:r>
          </w:p>
        </w:tc>
      </w:tr>
      <w:tr w14:paraId="11E35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vAlign w:val="center"/>
          </w:tcPr>
          <w:p w14:paraId="08034CA7">
            <w:pPr>
              <w:spacing w:line="300" w:lineRule="exact"/>
              <w:jc w:val="center"/>
              <w:rPr>
                <w:color w:val="000000"/>
                <w:spacing w:val="12"/>
                <w:kern w:val="2"/>
                <w:sz w:val="24"/>
                <w:szCs w:val="20"/>
              </w:rPr>
            </w:pPr>
            <w:r>
              <w:rPr>
                <w:color w:val="000000"/>
                <w:spacing w:val="12"/>
                <w:kern w:val="2"/>
                <w:sz w:val="24"/>
                <w:szCs w:val="20"/>
              </w:rPr>
              <w:t>3</w:t>
            </w:r>
          </w:p>
        </w:tc>
        <w:tc>
          <w:tcPr>
            <w:tcW w:w="855" w:type="dxa"/>
            <w:vAlign w:val="center"/>
          </w:tcPr>
          <w:p w14:paraId="4DBD1927">
            <w:pPr>
              <w:spacing w:line="300" w:lineRule="exact"/>
              <w:jc w:val="center"/>
              <w:rPr>
                <w:b/>
                <w:bCs/>
                <w:color w:val="000000"/>
                <w:spacing w:val="12"/>
                <w:kern w:val="2"/>
                <w:sz w:val="24"/>
                <w:szCs w:val="20"/>
              </w:rPr>
            </w:pPr>
            <w:r>
              <w:rPr>
                <w:b/>
                <w:bCs/>
                <w:color w:val="000000"/>
                <w:spacing w:val="12"/>
                <w:kern w:val="2"/>
                <w:sz w:val="24"/>
                <w:szCs w:val="20"/>
              </w:rPr>
              <w:t>草坪</w:t>
            </w:r>
          </w:p>
          <w:p w14:paraId="196A8178">
            <w:pPr>
              <w:spacing w:line="300" w:lineRule="exact"/>
              <w:jc w:val="center"/>
              <w:rPr>
                <w:b/>
                <w:bCs/>
                <w:color w:val="000000"/>
                <w:spacing w:val="12"/>
                <w:kern w:val="2"/>
                <w:sz w:val="24"/>
                <w:szCs w:val="20"/>
              </w:rPr>
            </w:pPr>
            <w:r>
              <w:rPr>
                <w:b/>
                <w:bCs/>
                <w:color w:val="000000"/>
                <w:spacing w:val="12"/>
                <w:kern w:val="2"/>
                <w:sz w:val="24"/>
                <w:szCs w:val="20"/>
              </w:rPr>
              <w:t>养护</w:t>
            </w:r>
          </w:p>
        </w:tc>
        <w:tc>
          <w:tcPr>
            <w:tcW w:w="3018" w:type="dxa"/>
            <w:vAlign w:val="center"/>
          </w:tcPr>
          <w:p w14:paraId="07A01E19">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草种纯正，生长茂盛。</w:t>
            </w:r>
          </w:p>
          <w:p w14:paraId="6974CE52">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颜色一致，高度一致，密度一致，质地均一。</w:t>
            </w:r>
          </w:p>
          <w:p w14:paraId="2B1F2B3E">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草高不超过（冷）6cm，（暖）3cm。</w:t>
            </w:r>
          </w:p>
          <w:p w14:paraId="09D17B73">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草坪边缘线清晰（与路面、树穴、花坛交界处）。</w:t>
            </w:r>
          </w:p>
          <w:p w14:paraId="127E6F93">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无杂草。</w:t>
            </w:r>
          </w:p>
          <w:p w14:paraId="01E74489">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6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⑥</w:t>
            </w:r>
            <w:r>
              <w:rPr>
                <w:color w:val="000000"/>
                <w:spacing w:val="12"/>
                <w:kern w:val="2"/>
                <w:sz w:val="24"/>
                <w:szCs w:val="20"/>
              </w:rPr>
              <w:fldChar w:fldCharType="end"/>
            </w:r>
            <w:r>
              <w:rPr>
                <w:color w:val="000000"/>
                <w:spacing w:val="12"/>
                <w:kern w:val="2"/>
                <w:sz w:val="24"/>
                <w:szCs w:val="20"/>
              </w:rPr>
              <w:t>草坪覆盖率在98%以上，无大于20×20cm的秃斑。</w:t>
            </w:r>
          </w:p>
          <w:p w14:paraId="4E704310">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7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⑦</w:t>
            </w:r>
            <w:r>
              <w:rPr>
                <w:color w:val="000000"/>
                <w:spacing w:val="12"/>
                <w:kern w:val="2"/>
                <w:sz w:val="24"/>
                <w:szCs w:val="20"/>
              </w:rPr>
              <w:fldChar w:fldCharType="end"/>
            </w:r>
            <w:r>
              <w:rPr>
                <w:color w:val="000000"/>
                <w:spacing w:val="12"/>
                <w:kern w:val="2"/>
                <w:sz w:val="24"/>
                <w:szCs w:val="20"/>
              </w:rPr>
              <w:t>绿地平整，雨后无积水。</w:t>
            </w:r>
          </w:p>
        </w:tc>
        <w:tc>
          <w:tcPr>
            <w:tcW w:w="2442" w:type="dxa"/>
          </w:tcPr>
          <w:p w14:paraId="580A7A7C">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草种基本纯正，生长整齐。</w:t>
            </w:r>
          </w:p>
          <w:p w14:paraId="76084196">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生长期草高不超过（冷）6cm，（暖）3.5cm。</w:t>
            </w:r>
          </w:p>
          <w:p w14:paraId="7073AF53">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基本无杂草。</w:t>
            </w:r>
          </w:p>
          <w:p w14:paraId="57FFB3DE">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草坪覆盖度98%以上，无大于50×50cm的秃斑。</w:t>
            </w:r>
          </w:p>
          <w:p w14:paraId="73DF10F9">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草坪边缘线清晰（树穴、花坛交界处）。</w:t>
            </w:r>
          </w:p>
        </w:tc>
        <w:tc>
          <w:tcPr>
            <w:tcW w:w="2633" w:type="dxa"/>
          </w:tcPr>
          <w:p w14:paraId="30BDD2E5">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草坪生长茂盛。</w:t>
            </w:r>
          </w:p>
          <w:p w14:paraId="24085CA5">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生长期草高不超过（冷）8cm，（暖）4cm。</w:t>
            </w:r>
          </w:p>
          <w:p w14:paraId="6639B46B">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基本无阔叶杂草，杂草控制高度：5cm以下。</w:t>
            </w:r>
          </w:p>
          <w:p w14:paraId="3BE41E5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草坪覆盖度98%以上，集中空秃面积不超1m</w:t>
            </w:r>
            <w:r>
              <w:rPr>
                <w:color w:val="000000"/>
                <w:spacing w:val="12"/>
                <w:kern w:val="2"/>
                <w:sz w:val="24"/>
                <w:szCs w:val="20"/>
                <w:vertAlign w:val="superscript"/>
              </w:rPr>
              <w:t>2</w:t>
            </w:r>
            <w:r>
              <w:rPr>
                <w:color w:val="000000"/>
                <w:spacing w:val="12"/>
                <w:kern w:val="2"/>
                <w:sz w:val="24"/>
                <w:szCs w:val="20"/>
              </w:rPr>
              <w:t>。</w:t>
            </w:r>
          </w:p>
          <w:p w14:paraId="1A04B054">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草坪与树穴交界处有边缘线。</w:t>
            </w:r>
          </w:p>
        </w:tc>
      </w:tr>
      <w:tr w14:paraId="7085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4" w:hRule="atLeast"/>
          <w:jc w:val="center"/>
        </w:trPr>
        <w:tc>
          <w:tcPr>
            <w:tcW w:w="767" w:type="dxa"/>
            <w:vAlign w:val="center"/>
          </w:tcPr>
          <w:p w14:paraId="7DC81042">
            <w:pPr>
              <w:spacing w:line="300" w:lineRule="exact"/>
              <w:jc w:val="center"/>
              <w:rPr>
                <w:color w:val="000000"/>
                <w:spacing w:val="12"/>
                <w:kern w:val="2"/>
                <w:sz w:val="24"/>
                <w:szCs w:val="20"/>
              </w:rPr>
            </w:pPr>
            <w:r>
              <w:rPr>
                <w:color w:val="000000"/>
                <w:spacing w:val="12"/>
                <w:kern w:val="2"/>
                <w:sz w:val="24"/>
                <w:szCs w:val="20"/>
              </w:rPr>
              <w:t>4</w:t>
            </w:r>
          </w:p>
        </w:tc>
        <w:tc>
          <w:tcPr>
            <w:tcW w:w="855" w:type="dxa"/>
            <w:vAlign w:val="center"/>
          </w:tcPr>
          <w:p w14:paraId="6641FCD0">
            <w:pPr>
              <w:spacing w:line="300" w:lineRule="exact"/>
              <w:jc w:val="center"/>
              <w:rPr>
                <w:b/>
                <w:bCs/>
                <w:color w:val="000000"/>
                <w:spacing w:val="12"/>
                <w:kern w:val="2"/>
                <w:sz w:val="24"/>
                <w:szCs w:val="20"/>
              </w:rPr>
            </w:pPr>
            <w:r>
              <w:rPr>
                <w:b/>
                <w:bCs/>
                <w:color w:val="000000"/>
                <w:spacing w:val="12"/>
                <w:kern w:val="2"/>
                <w:sz w:val="24"/>
                <w:szCs w:val="20"/>
              </w:rPr>
              <w:t>卫生</w:t>
            </w:r>
          </w:p>
          <w:p w14:paraId="58A81001">
            <w:pPr>
              <w:spacing w:line="300" w:lineRule="exact"/>
              <w:jc w:val="center"/>
              <w:rPr>
                <w:b/>
                <w:bCs/>
                <w:color w:val="000000"/>
                <w:spacing w:val="12"/>
                <w:kern w:val="2"/>
                <w:sz w:val="24"/>
                <w:szCs w:val="20"/>
              </w:rPr>
            </w:pPr>
            <w:r>
              <w:rPr>
                <w:b/>
                <w:bCs/>
                <w:color w:val="000000"/>
                <w:spacing w:val="12"/>
                <w:kern w:val="2"/>
                <w:sz w:val="24"/>
                <w:szCs w:val="20"/>
              </w:rPr>
              <w:t>标准</w:t>
            </w:r>
          </w:p>
        </w:tc>
        <w:tc>
          <w:tcPr>
            <w:tcW w:w="3018" w:type="dxa"/>
            <w:vAlign w:val="center"/>
          </w:tcPr>
          <w:p w14:paraId="07B7856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绿地整洁，无枯枝病叶，无垃圾，植物叶面无陈旧积尘。</w:t>
            </w:r>
          </w:p>
          <w:p w14:paraId="2460275C">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无杂物（纸屑、果壳、塑料纸、砖头石块、堆物、堆料、搭棚等）。</w:t>
            </w:r>
          </w:p>
          <w:p w14:paraId="777F526B">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绿化生产垃圾（树枝、树叶、草屑等）、水面杂物，重点地区随产随清，其它地区日产日清，做到巡视保洁。</w:t>
            </w:r>
          </w:p>
          <w:p w14:paraId="071A81D1">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绿地设施整洁，立面无涂刻、招贴。</w:t>
            </w:r>
          </w:p>
          <w:p w14:paraId="298DE945">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无卫生死角。</w:t>
            </w:r>
          </w:p>
        </w:tc>
        <w:tc>
          <w:tcPr>
            <w:tcW w:w="2442" w:type="dxa"/>
          </w:tcPr>
          <w:p w14:paraId="5036859E">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绿地整洁，无枯枝病叶，无垃圾，植物叶面无陈旧积尘。</w:t>
            </w:r>
          </w:p>
          <w:p w14:paraId="1BCDF139">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无杂物（纸屑、果壳、塑料纸、砖头石块、堆物、堆料、搭棚等）。</w:t>
            </w:r>
          </w:p>
          <w:p w14:paraId="1BBFC040">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绿化生产垃圾（树枝、树叶、草屑等）、水面杂物，应日产日清，做到保洁及时。</w:t>
            </w:r>
          </w:p>
          <w:p w14:paraId="4FA7FA9A">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绿地设施整洁，立面无涂刻、招贴。</w:t>
            </w:r>
          </w:p>
          <w:p w14:paraId="234BE1B4">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无卫生死角。</w:t>
            </w:r>
          </w:p>
        </w:tc>
        <w:tc>
          <w:tcPr>
            <w:tcW w:w="2633" w:type="dxa"/>
          </w:tcPr>
          <w:p w14:paraId="197A92E5">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绿地基本整洁，无枯枝病叶，无垃圾。</w:t>
            </w:r>
          </w:p>
          <w:p w14:paraId="46913D27">
            <w:pPr>
              <w:spacing w:line="300" w:lineRule="exact"/>
              <w:rPr>
                <w:color w:val="000000"/>
                <w:spacing w:val="12"/>
                <w:kern w:val="2"/>
                <w:sz w:val="24"/>
                <w:szCs w:val="20"/>
              </w:rPr>
            </w:pPr>
            <w:r>
              <w:rPr>
                <w:color w:val="000000"/>
                <w:spacing w:val="12"/>
                <w:kern w:val="2"/>
                <w:sz w:val="24"/>
                <w:szCs w:val="20"/>
              </w:rPr>
              <w:t xml:space="preserve"> </w:t>
            </w: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无明显杂物（纸屑、果壳、塑料纸、砖头石块、堆物、堆料、搭棚等）。</w:t>
            </w:r>
          </w:p>
          <w:p w14:paraId="287FC126">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绿化生产垃圾（树枝、树叶、草屑等），水面杂物能日产日清，能做到保洁及时。</w:t>
            </w:r>
          </w:p>
          <w:p w14:paraId="6A623A3E">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绿地设施整洁，立面无涂刻、招贴。</w:t>
            </w:r>
          </w:p>
          <w:p w14:paraId="5AF324B5">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无卫生死角。</w:t>
            </w:r>
          </w:p>
          <w:p w14:paraId="511E6D50">
            <w:pPr>
              <w:spacing w:line="300" w:lineRule="exact"/>
              <w:rPr>
                <w:color w:val="000000"/>
                <w:spacing w:val="12"/>
                <w:kern w:val="2"/>
                <w:sz w:val="24"/>
                <w:szCs w:val="20"/>
              </w:rPr>
            </w:pPr>
          </w:p>
        </w:tc>
      </w:tr>
      <w:tr w14:paraId="2303E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5" w:hRule="atLeast"/>
          <w:jc w:val="center"/>
        </w:trPr>
        <w:tc>
          <w:tcPr>
            <w:tcW w:w="767" w:type="dxa"/>
            <w:vAlign w:val="center"/>
          </w:tcPr>
          <w:p w14:paraId="7B9D9447">
            <w:pPr>
              <w:spacing w:line="300" w:lineRule="exact"/>
              <w:jc w:val="center"/>
              <w:rPr>
                <w:color w:val="000000"/>
                <w:spacing w:val="12"/>
                <w:kern w:val="2"/>
                <w:sz w:val="24"/>
                <w:szCs w:val="20"/>
              </w:rPr>
            </w:pPr>
            <w:r>
              <w:rPr>
                <w:color w:val="000000"/>
                <w:spacing w:val="12"/>
                <w:kern w:val="2"/>
                <w:sz w:val="24"/>
                <w:szCs w:val="20"/>
              </w:rPr>
              <w:t>5</w:t>
            </w:r>
          </w:p>
        </w:tc>
        <w:tc>
          <w:tcPr>
            <w:tcW w:w="855" w:type="dxa"/>
            <w:vAlign w:val="center"/>
          </w:tcPr>
          <w:p w14:paraId="17BEC960">
            <w:pPr>
              <w:spacing w:line="300" w:lineRule="exact"/>
              <w:jc w:val="center"/>
              <w:rPr>
                <w:b/>
                <w:bCs/>
                <w:color w:val="000000"/>
                <w:spacing w:val="12"/>
                <w:kern w:val="2"/>
                <w:sz w:val="24"/>
                <w:szCs w:val="20"/>
              </w:rPr>
            </w:pPr>
            <w:r>
              <w:rPr>
                <w:b/>
                <w:bCs/>
                <w:color w:val="000000"/>
                <w:spacing w:val="12"/>
                <w:kern w:val="2"/>
                <w:sz w:val="24"/>
                <w:szCs w:val="20"/>
              </w:rPr>
              <w:t>灌溉与排水</w:t>
            </w:r>
          </w:p>
        </w:tc>
        <w:tc>
          <w:tcPr>
            <w:tcW w:w="3018" w:type="dxa"/>
            <w:vAlign w:val="center"/>
          </w:tcPr>
          <w:p w14:paraId="0A91727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绿地内有灌水、排水设施，灌溉用水水质符合园林植物灌溉水质要求。</w:t>
            </w:r>
          </w:p>
          <w:p w14:paraId="3F2A579A">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浇水树堰规范（直径为树木胸径的10倍），浇水后无跑水、漏水现象。</w:t>
            </w:r>
          </w:p>
          <w:p w14:paraId="7E3EAC24">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绿地无超过12小时的积水。</w:t>
            </w:r>
          </w:p>
        </w:tc>
        <w:tc>
          <w:tcPr>
            <w:tcW w:w="2442" w:type="dxa"/>
          </w:tcPr>
          <w:p w14:paraId="55F1DDAA">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绿地内有排水设施，灌溉用水水源便利，水质符合园林植物灌溉水质要求。</w:t>
            </w:r>
          </w:p>
          <w:p w14:paraId="3C10817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浇水树堰完整，浇水后无明显跑水、漏水现象。</w:t>
            </w:r>
          </w:p>
          <w:p w14:paraId="7CA8F404">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绿地无超过24小时的积水。</w:t>
            </w:r>
          </w:p>
        </w:tc>
        <w:tc>
          <w:tcPr>
            <w:tcW w:w="2633" w:type="dxa"/>
          </w:tcPr>
          <w:p w14:paraId="35BCEE7F">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灌溉用水水源便利，水质符合园林植物灌溉水质要求。</w:t>
            </w:r>
          </w:p>
          <w:p w14:paraId="72A0AE52">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有浇水树堰，浇水后水不溢出绿地。</w:t>
            </w:r>
          </w:p>
          <w:p w14:paraId="3DAFFFDA">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无超过36小时的积水。</w:t>
            </w:r>
          </w:p>
        </w:tc>
      </w:tr>
      <w:tr w14:paraId="59E20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7" w:hRule="atLeast"/>
          <w:jc w:val="center"/>
        </w:trPr>
        <w:tc>
          <w:tcPr>
            <w:tcW w:w="767" w:type="dxa"/>
            <w:vAlign w:val="center"/>
          </w:tcPr>
          <w:p w14:paraId="66855A5A">
            <w:pPr>
              <w:spacing w:line="300" w:lineRule="exact"/>
              <w:jc w:val="center"/>
              <w:rPr>
                <w:color w:val="000000"/>
                <w:spacing w:val="12"/>
                <w:kern w:val="2"/>
                <w:sz w:val="24"/>
                <w:szCs w:val="20"/>
              </w:rPr>
            </w:pPr>
            <w:r>
              <w:rPr>
                <w:color w:val="000000"/>
                <w:spacing w:val="12"/>
                <w:kern w:val="2"/>
                <w:sz w:val="24"/>
                <w:szCs w:val="20"/>
              </w:rPr>
              <w:t>6</w:t>
            </w:r>
          </w:p>
        </w:tc>
        <w:tc>
          <w:tcPr>
            <w:tcW w:w="855" w:type="dxa"/>
            <w:vAlign w:val="center"/>
          </w:tcPr>
          <w:p w14:paraId="17F15638">
            <w:pPr>
              <w:spacing w:line="300" w:lineRule="exact"/>
              <w:jc w:val="center"/>
              <w:rPr>
                <w:b/>
                <w:bCs/>
                <w:color w:val="000000"/>
                <w:spacing w:val="12"/>
                <w:kern w:val="2"/>
                <w:sz w:val="24"/>
                <w:szCs w:val="20"/>
              </w:rPr>
            </w:pPr>
            <w:r>
              <w:rPr>
                <w:b/>
                <w:bCs/>
                <w:color w:val="000000"/>
                <w:spacing w:val="12"/>
                <w:kern w:val="2"/>
                <w:sz w:val="24"/>
                <w:szCs w:val="20"/>
              </w:rPr>
              <w:t>杂草</w:t>
            </w:r>
          </w:p>
          <w:p w14:paraId="45091026">
            <w:pPr>
              <w:spacing w:line="300" w:lineRule="exact"/>
              <w:jc w:val="center"/>
              <w:rPr>
                <w:b/>
                <w:bCs/>
                <w:color w:val="000000"/>
                <w:spacing w:val="12"/>
                <w:kern w:val="2"/>
                <w:sz w:val="24"/>
                <w:szCs w:val="20"/>
              </w:rPr>
            </w:pPr>
            <w:r>
              <w:rPr>
                <w:b/>
                <w:bCs/>
                <w:color w:val="000000"/>
                <w:spacing w:val="12"/>
                <w:kern w:val="2"/>
                <w:sz w:val="24"/>
                <w:szCs w:val="20"/>
              </w:rPr>
              <w:t>控制</w:t>
            </w:r>
          </w:p>
        </w:tc>
        <w:tc>
          <w:tcPr>
            <w:tcW w:w="3018" w:type="dxa"/>
          </w:tcPr>
          <w:p w14:paraId="144F2E13">
            <w:pPr>
              <w:spacing w:line="300" w:lineRule="exact"/>
              <w:rPr>
                <w:color w:val="000000"/>
                <w:spacing w:val="12"/>
                <w:kern w:val="2"/>
                <w:sz w:val="24"/>
                <w:szCs w:val="20"/>
              </w:rPr>
            </w:pPr>
            <w:r>
              <w:rPr>
                <w:color w:val="000000"/>
                <w:spacing w:val="12"/>
                <w:kern w:val="2"/>
                <w:sz w:val="24"/>
                <w:szCs w:val="20"/>
              </w:rPr>
              <w:t>无大型野草，无缠绕性、攀缘性杂草，基本无杂草。</w:t>
            </w:r>
          </w:p>
        </w:tc>
        <w:tc>
          <w:tcPr>
            <w:tcW w:w="2442" w:type="dxa"/>
            <w:vAlign w:val="center"/>
          </w:tcPr>
          <w:p w14:paraId="5BCC49A8">
            <w:pPr>
              <w:spacing w:line="300" w:lineRule="exact"/>
              <w:rPr>
                <w:color w:val="000000"/>
                <w:spacing w:val="12"/>
                <w:kern w:val="2"/>
                <w:sz w:val="24"/>
                <w:szCs w:val="20"/>
              </w:rPr>
            </w:pPr>
            <w:r>
              <w:rPr>
                <w:color w:val="000000"/>
                <w:spacing w:val="12"/>
                <w:kern w:val="2"/>
                <w:sz w:val="24"/>
                <w:szCs w:val="20"/>
              </w:rPr>
              <w:t>无大型野草，无缠绕性、攀缘性杂草，路边及零星区域的杂草控制在5cm以下，并不得蔓延到路面、花树坛，不影响景观效果。</w:t>
            </w:r>
          </w:p>
        </w:tc>
        <w:tc>
          <w:tcPr>
            <w:tcW w:w="2633" w:type="dxa"/>
          </w:tcPr>
          <w:p w14:paraId="011D5B2C">
            <w:pPr>
              <w:spacing w:line="300" w:lineRule="exact"/>
              <w:rPr>
                <w:color w:val="000000"/>
                <w:spacing w:val="12"/>
                <w:kern w:val="2"/>
                <w:sz w:val="24"/>
                <w:szCs w:val="20"/>
              </w:rPr>
            </w:pPr>
            <w:r>
              <w:rPr>
                <w:color w:val="000000"/>
                <w:spacing w:val="12"/>
                <w:kern w:val="2"/>
                <w:sz w:val="24"/>
                <w:szCs w:val="20"/>
              </w:rPr>
              <w:t>无缠绕性、攀缘性杂草，控制杂草高度以不影响景观效果为度。</w:t>
            </w:r>
          </w:p>
        </w:tc>
      </w:tr>
      <w:tr w14:paraId="4FC3D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vAlign w:val="center"/>
          </w:tcPr>
          <w:p w14:paraId="50913ABA">
            <w:pPr>
              <w:spacing w:line="300" w:lineRule="exact"/>
              <w:jc w:val="center"/>
              <w:rPr>
                <w:color w:val="000000"/>
                <w:spacing w:val="12"/>
                <w:kern w:val="2"/>
                <w:sz w:val="24"/>
                <w:szCs w:val="20"/>
              </w:rPr>
            </w:pPr>
            <w:r>
              <w:rPr>
                <w:color w:val="000000"/>
                <w:spacing w:val="12"/>
                <w:kern w:val="2"/>
                <w:sz w:val="24"/>
                <w:szCs w:val="20"/>
              </w:rPr>
              <w:t>7</w:t>
            </w:r>
          </w:p>
        </w:tc>
        <w:tc>
          <w:tcPr>
            <w:tcW w:w="855" w:type="dxa"/>
            <w:vAlign w:val="center"/>
          </w:tcPr>
          <w:p w14:paraId="159BD177">
            <w:pPr>
              <w:spacing w:line="300" w:lineRule="exact"/>
              <w:jc w:val="center"/>
              <w:rPr>
                <w:b/>
                <w:bCs/>
                <w:color w:val="000000"/>
                <w:spacing w:val="12"/>
                <w:kern w:val="2"/>
                <w:sz w:val="24"/>
                <w:szCs w:val="20"/>
              </w:rPr>
            </w:pPr>
            <w:r>
              <w:rPr>
                <w:b/>
                <w:bCs/>
                <w:color w:val="000000"/>
                <w:spacing w:val="12"/>
                <w:kern w:val="2"/>
                <w:sz w:val="24"/>
                <w:szCs w:val="20"/>
              </w:rPr>
              <w:t>病虫害控制</w:t>
            </w:r>
          </w:p>
        </w:tc>
        <w:tc>
          <w:tcPr>
            <w:tcW w:w="3018" w:type="dxa"/>
            <w:vAlign w:val="center"/>
          </w:tcPr>
          <w:p w14:paraId="190AED71">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有病虫害控制措施。</w:t>
            </w:r>
          </w:p>
          <w:p w14:paraId="2428B3C2">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基本无病虫危害迹象。</w:t>
            </w:r>
          </w:p>
          <w:p w14:paraId="1DFF3D83">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食叶、刺吸性害虫危害的叶片控制在每株不超过5-10%。</w:t>
            </w: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蛀干性害虫危害的株数在3%以下。</w:t>
            </w:r>
          </w:p>
        </w:tc>
        <w:tc>
          <w:tcPr>
            <w:tcW w:w="2442" w:type="dxa"/>
          </w:tcPr>
          <w:p w14:paraId="5517FA6B">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有病虫害控制措施。</w:t>
            </w: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无明显病虫危害迹象。</w:t>
            </w:r>
          </w:p>
          <w:p w14:paraId="6A37204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食叶、刺吸性害虫危害的叶片控制在每株不超过10-15%。</w:t>
            </w:r>
          </w:p>
          <w:p w14:paraId="0766E406">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蛀干性害虫危害的株数在5%以下。</w:t>
            </w:r>
          </w:p>
        </w:tc>
        <w:tc>
          <w:tcPr>
            <w:tcW w:w="2633" w:type="dxa"/>
          </w:tcPr>
          <w:p w14:paraId="474AA53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有病虫害控制措施。</w:t>
            </w:r>
          </w:p>
          <w:p w14:paraId="3813E621">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无因病虫害而引起断枝倒伏现象。</w:t>
            </w:r>
          </w:p>
          <w:p w14:paraId="4B8ABB50">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食叶、刺吸性害虫危害的叶片控制在每株不超过15-20%。</w:t>
            </w:r>
          </w:p>
          <w:p w14:paraId="7E244788">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蛀干性害虫危害的株数在8%以下。</w:t>
            </w:r>
          </w:p>
        </w:tc>
      </w:tr>
      <w:tr w14:paraId="3675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vAlign w:val="center"/>
          </w:tcPr>
          <w:p w14:paraId="3EBA3CA3">
            <w:pPr>
              <w:spacing w:line="300" w:lineRule="exact"/>
              <w:jc w:val="center"/>
              <w:rPr>
                <w:color w:val="000000"/>
                <w:spacing w:val="12"/>
                <w:kern w:val="2"/>
                <w:sz w:val="24"/>
                <w:szCs w:val="20"/>
              </w:rPr>
            </w:pPr>
            <w:r>
              <w:rPr>
                <w:color w:val="000000"/>
                <w:spacing w:val="12"/>
                <w:kern w:val="2"/>
                <w:sz w:val="24"/>
                <w:szCs w:val="20"/>
              </w:rPr>
              <w:t>8</w:t>
            </w:r>
          </w:p>
        </w:tc>
        <w:tc>
          <w:tcPr>
            <w:tcW w:w="855" w:type="dxa"/>
            <w:vAlign w:val="center"/>
          </w:tcPr>
          <w:p w14:paraId="7758A820">
            <w:pPr>
              <w:spacing w:line="300" w:lineRule="exact"/>
              <w:jc w:val="center"/>
              <w:rPr>
                <w:b/>
                <w:bCs/>
                <w:color w:val="000000"/>
                <w:spacing w:val="12"/>
                <w:kern w:val="2"/>
                <w:sz w:val="24"/>
                <w:szCs w:val="20"/>
              </w:rPr>
            </w:pPr>
            <w:r>
              <w:rPr>
                <w:b/>
                <w:bCs/>
                <w:color w:val="000000"/>
                <w:spacing w:val="12"/>
                <w:kern w:val="2"/>
                <w:sz w:val="24"/>
                <w:szCs w:val="20"/>
              </w:rPr>
              <w:t>设施</w:t>
            </w:r>
          </w:p>
          <w:p w14:paraId="16B4D545">
            <w:pPr>
              <w:spacing w:line="300" w:lineRule="exact"/>
              <w:jc w:val="center"/>
              <w:rPr>
                <w:b/>
                <w:bCs/>
                <w:color w:val="000000"/>
                <w:spacing w:val="12"/>
                <w:kern w:val="2"/>
                <w:sz w:val="24"/>
                <w:szCs w:val="20"/>
              </w:rPr>
            </w:pPr>
            <w:r>
              <w:rPr>
                <w:b/>
                <w:bCs/>
                <w:color w:val="000000"/>
                <w:spacing w:val="12"/>
                <w:kern w:val="2"/>
                <w:sz w:val="24"/>
                <w:szCs w:val="20"/>
              </w:rPr>
              <w:t>维护</w:t>
            </w:r>
          </w:p>
        </w:tc>
        <w:tc>
          <w:tcPr>
            <w:tcW w:w="3018" w:type="dxa"/>
            <w:vAlign w:val="center"/>
          </w:tcPr>
          <w:p w14:paraId="13EF14C5">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树木支撑桩位扎缚规范统一。</w:t>
            </w:r>
          </w:p>
          <w:p w14:paraId="76C35C85">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建筑小品、辅助设施完整、安全、规范，有问题及时上报。</w:t>
            </w:r>
          </w:p>
          <w:p w14:paraId="491E140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硬地卫生，不积水，无沉积垃圾杂物。</w:t>
            </w:r>
          </w:p>
          <w:p w14:paraId="20BF0E3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设施完善率98%以上。</w:t>
            </w:r>
          </w:p>
        </w:tc>
        <w:tc>
          <w:tcPr>
            <w:tcW w:w="2442" w:type="dxa"/>
          </w:tcPr>
          <w:p w14:paraId="1CB45C42">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树木支撑规范，扎缚有效。</w:t>
            </w:r>
          </w:p>
          <w:p w14:paraId="57FDAD4A">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建筑小品、辅助设施整洁无损，安全，有问题及时上报。</w:t>
            </w:r>
          </w:p>
          <w:p w14:paraId="232A6916">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硬地卫生，无沉积垃圾杂物。</w:t>
            </w:r>
          </w:p>
          <w:p w14:paraId="03CB9E4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设施完善率95%。</w:t>
            </w:r>
          </w:p>
        </w:tc>
        <w:tc>
          <w:tcPr>
            <w:tcW w:w="2633" w:type="dxa"/>
          </w:tcPr>
          <w:p w14:paraId="63DCAA32">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园林设施基本完整，有问题及时上报。</w:t>
            </w:r>
          </w:p>
          <w:p w14:paraId="632C9B5A">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设施完善率90%。</w:t>
            </w:r>
          </w:p>
        </w:tc>
      </w:tr>
      <w:tr w14:paraId="7DDD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vAlign w:val="center"/>
          </w:tcPr>
          <w:p w14:paraId="63866191">
            <w:pPr>
              <w:spacing w:line="300" w:lineRule="exact"/>
              <w:jc w:val="center"/>
              <w:rPr>
                <w:color w:val="000000"/>
                <w:spacing w:val="12"/>
                <w:kern w:val="2"/>
                <w:sz w:val="24"/>
                <w:szCs w:val="20"/>
              </w:rPr>
            </w:pPr>
            <w:r>
              <w:rPr>
                <w:color w:val="000000"/>
                <w:spacing w:val="12"/>
                <w:kern w:val="2"/>
                <w:sz w:val="24"/>
                <w:szCs w:val="20"/>
              </w:rPr>
              <w:t>9</w:t>
            </w:r>
          </w:p>
        </w:tc>
        <w:tc>
          <w:tcPr>
            <w:tcW w:w="855" w:type="dxa"/>
            <w:vAlign w:val="center"/>
          </w:tcPr>
          <w:p w14:paraId="4ED47F3F">
            <w:pPr>
              <w:spacing w:line="300" w:lineRule="exact"/>
              <w:jc w:val="center"/>
              <w:rPr>
                <w:b/>
                <w:bCs/>
                <w:color w:val="000000"/>
                <w:spacing w:val="12"/>
                <w:kern w:val="2"/>
                <w:sz w:val="24"/>
                <w:szCs w:val="20"/>
              </w:rPr>
            </w:pPr>
            <w:r>
              <w:rPr>
                <w:b/>
                <w:bCs/>
                <w:color w:val="000000"/>
                <w:spacing w:val="12"/>
                <w:kern w:val="2"/>
                <w:sz w:val="24"/>
                <w:szCs w:val="20"/>
              </w:rPr>
              <w:t>管理</w:t>
            </w:r>
          </w:p>
          <w:p w14:paraId="76A66D57">
            <w:pPr>
              <w:spacing w:line="300" w:lineRule="exact"/>
              <w:jc w:val="center"/>
              <w:rPr>
                <w:b/>
                <w:bCs/>
                <w:color w:val="000000"/>
                <w:spacing w:val="12"/>
                <w:kern w:val="2"/>
                <w:sz w:val="24"/>
                <w:szCs w:val="20"/>
              </w:rPr>
            </w:pPr>
            <w:r>
              <w:rPr>
                <w:b/>
                <w:bCs/>
                <w:color w:val="000000"/>
                <w:spacing w:val="12"/>
                <w:kern w:val="2"/>
                <w:sz w:val="24"/>
                <w:szCs w:val="20"/>
              </w:rPr>
              <w:t>标准</w:t>
            </w:r>
          </w:p>
        </w:tc>
        <w:tc>
          <w:tcPr>
            <w:tcW w:w="3018" w:type="dxa"/>
            <w:vAlign w:val="center"/>
          </w:tcPr>
          <w:p w14:paraId="1FA44CAC">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绿地管理制度全面落实，档案资料完整、详尽，工作人员统一着装。</w:t>
            </w:r>
          </w:p>
          <w:p w14:paraId="3434AFC6">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根据绿地质量标准，制订养护管理技术措施及年度养护计划。</w:t>
            </w:r>
          </w:p>
          <w:p w14:paraId="48035D35">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加强对职工的培训，提高职工的技术素质。</w:t>
            </w:r>
          </w:p>
          <w:p w14:paraId="665B66EB">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无违章占绿，无违法建设。</w:t>
            </w:r>
          </w:p>
          <w:p w14:paraId="1B56553A">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秩序良好，无乱堆乱放、晾晒衣物现象。</w:t>
            </w:r>
          </w:p>
          <w:p w14:paraId="542E7F1F">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6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⑥</w:t>
            </w:r>
            <w:r>
              <w:rPr>
                <w:color w:val="000000"/>
                <w:spacing w:val="12"/>
                <w:kern w:val="2"/>
                <w:sz w:val="24"/>
                <w:szCs w:val="20"/>
              </w:rPr>
              <w:fldChar w:fldCharType="end"/>
            </w:r>
            <w:r>
              <w:rPr>
                <w:color w:val="000000"/>
                <w:spacing w:val="12"/>
                <w:kern w:val="2"/>
                <w:sz w:val="24"/>
                <w:szCs w:val="20"/>
              </w:rPr>
              <w:t>有紧急抢险预案措施。</w:t>
            </w:r>
          </w:p>
          <w:p w14:paraId="6DEA4123">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7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⑦</w:t>
            </w:r>
            <w:r>
              <w:rPr>
                <w:color w:val="000000"/>
                <w:spacing w:val="12"/>
                <w:kern w:val="2"/>
                <w:sz w:val="24"/>
                <w:szCs w:val="20"/>
              </w:rPr>
              <w:fldChar w:fldCharType="end"/>
            </w:r>
            <w:r>
              <w:rPr>
                <w:color w:val="000000"/>
                <w:spacing w:val="12"/>
                <w:kern w:val="2"/>
                <w:sz w:val="24"/>
                <w:szCs w:val="20"/>
              </w:rPr>
              <w:t>对被破坏或其他原因引起的绿地损坏及时上报。</w:t>
            </w:r>
          </w:p>
          <w:p w14:paraId="103B99C0">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8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⑧</w:t>
            </w:r>
            <w:r>
              <w:rPr>
                <w:color w:val="000000"/>
                <w:spacing w:val="12"/>
                <w:kern w:val="2"/>
                <w:sz w:val="24"/>
                <w:szCs w:val="20"/>
              </w:rPr>
              <w:fldChar w:fldCharType="end"/>
            </w:r>
            <w:r>
              <w:rPr>
                <w:color w:val="000000"/>
                <w:spacing w:val="12"/>
                <w:kern w:val="2"/>
                <w:sz w:val="24"/>
                <w:szCs w:val="20"/>
              </w:rPr>
              <w:t>按照有关安全生产操作规程组织作业。</w:t>
            </w:r>
          </w:p>
        </w:tc>
        <w:tc>
          <w:tcPr>
            <w:tcW w:w="2442" w:type="dxa"/>
          </w:tcPr>
          <w:p w14:paraId="56207A29">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绿地管理制度全面落实，档案资料完整、详尽，工作人员统一着装。</w:t>
            </w:r>
          </w:p>
          <w:p w14:paraId="67D359C7">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根据绿地质量标准，制订养护管理技术措施及年度养护计划。</w:t>
            </w:r>
          </w:p>
          <w:p w14:paraId="66353D7B">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加强对职工的培训，提高职工的技术素质。</w:t>
            </w:r>
          </w:p>
          <w:p w14:paraId="14EFE753">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无违章占绿，无违法建设。</w:t>
            </w:r>
          </w:p>
          <w:p w14:paraId="73BD8539">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秩序良好，无乱堆乱放、晾晒衣物现象。</w:t>
            </w:r>
          </w:p>
          <w:p w14:paraId="262A6C83">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6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⑥</w:t>
            </w:r>
            <w:r>
              <w:rPr>
                <w:color w:val="000000"/>
                <w:spacing w:val="12"/>
                <w:kern w:val="2"/>
                <w:sz w:val="24"/>
                <w:szCs w:val="20"/>
              </w:rPr>
              <w:fldChar w:fldCharType="end"/>
            </w:r>
            <w:r>
              <w:rPr>
                <w:color w:val="000000"/>
                <w:spacing w:val="12"/>
                <w:kern w:val="2"/>
                <w:sz w:val="24"/>
                <w:szCs w:val="20"/>
              </w:rPr>
              <w:t>有紧急抢险预案措施。</w:t>
            </w:r>
          </w:p>
          <w:p w14:paraId="2ABE5158">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7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⑦</w:t>
            </w:r>
            <w:r>
              <w:rPr>
                <w:color w:val="000000"/>
                <w:spacing w:val="12"/>
                <w:kern w:val="2"/>
                <w:sz w:val="24"/>
                <w:szCs w:val="20"/>
              </w:rPr>
              <w:fldChar w:fldCharType="end"/>
            </w:r>
            <w:r>
              <w:rPr>
                <w:color w:val="000000"/>
                <w:spacing w:val="12"/>
                <w:kern w:val="2"/>
                <w:sz w:val="24"/>
                <w:szCs w:val="20"/>
              </w:rPr>
              <w:t>对被破坏或其他原因引起的绿地损坏及时上报。</w:t>
            </w:r>
          </w:p>
          <w:p w14:paraId="57C6DB36">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8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⑧</w:t>
            </w:r>
            <w:r>
              <w:rPr>
                <w:color w:val="000000"/>
                <w:spacing w:val="12"/>
                <w:kern w:val="2"/>
                <w:sz w:val="24"/>
                <w:szCs w:val="20"/>
              </w:rPr>
              <w:fldChar w:fldCharType="end"/>
            </w:r>
            <w:r>
              <w:rPr>
                <w:color w:val="000000"/>
                <w:spacing w:val="12"/>
                <w:kern w:val="2"/>
                <w:sz w:val="24"/>
                <w:szCs w:val="20"/>
              </w:rPr>
              <w:t>按照有关安全生产操作规程组织作业。</w:t>
            </w:r>
          </w:p>
        </w:tc>
        <w:tc>
          <w:tcPr>
            <w:tcW w:w="2633" w:type="dxa"/>
          </w:tcPr>
          <w:p w14:paraId="6AFC838C">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1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①</w:t>
            </w:r>
            <w:r>
              <w:rPr>
                <w:color w:val="000000"/>
                <w:spacing w:val="12"/>
                <w:kern w:val="2"/>
                <w:sz w:val="24"/>
                <w:szCs w:val="20"/>
              </w:rPr>
              <w:fldChar w:fldCharType="end"/>
            </w:r>
            <w:r>
              <w:rPr>
                <w:color w:val="000000"/>
                <w:spacing w:val="12"/>
                <w:kern w:val="2"/>
                <w:sz w:val="24"/>
                <w:szCs w:val="20"/>
              </w:rPr>
              <w:t>绿地管理制度全面落实，档案资料完整、详尽，工作人员统一着装。</w:t>
            </w:r>
          </w:p>
          <w:p w14:paraId="4852804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2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②</w:t>
            </w:r>
            <w:r>
              <w:rPr>
                <w:color w:val="000000"/>
                <w:spacing w:val="12"/>
                <w:kern w:val="2"/>
                <w:sz w:val="24"/>
                <w:szCs w:val="20"/>
              </w:rPr>
              <w:fldChar w:fldCharType="end"/>
            </w:r>
            <w:r>
              <w:rPr>
                <w:color w:val="000000"/>
                <w:spacing w:val="12"/>
                <w:kern w:val="2"/>
                <w:sz w:val="24"/>
                <w:szCs w:val="20"/>
              </w:rPr>
              <w:t>根据绿地质量标准，制订养护管理技术措施及年度养护计划。</w:t>
            </w:r>
          </w:p>
          <w:p w14:paraId="13CC454D">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3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③</w:t>
            </w:r>
            <w:r>
              <w:rPr>
                <w:color w:val="000000"/>
                <w:spacing w:val="12"/>
                <w:kern w:val="2"/>
                <w:sz w:val="24"/>
                <w:szCs w:val="20"/>
              </w:rPr>
              <w:fldChar w:fldCharType="end"/>
            </w:r>
            <w:r>
              <w:rPr>
                <w:color w:val="000000"/>
                <w:spacing w:val="12"/>
                <w:kern w:val="2"/>
                <w:sz w:val="24"/>
                <w:szCs w:val="20"/>
              </w:rPr>
              <w:t>加强对职工的培训，提高职工的技术素质。</w:t>
            </w:r>
          </w:p>
          <w:p w14:paraId="5A94B918">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4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④</w:t>
            </w:r>
            <w:r>
              <w:rPr>
                <w:color w:val="000000"/>
                <w:spacing w:val="12"/>
                <w:kern w:val="2"/>
                <w:sz w:val="24"/>
                <w:szCs w:val="20"/>
              </w:rPr>
              <w:fldChar w:fldCharType="end"/>
            </w:r>
            <w:r>
              <w:rPr>
                <w:color w:val="000000"/>
                <w:spacing w:val="12"/>
                <w:kern w:val="2"/>
                <w:sz w:val="24"/>
                <w:szCs w:val="20"/>
              </w:rPr>
              <w:t>无违章占绿，无违法建设。</w:t>
            </w:r>
          </w:p>
          <w:p w14:paraId="7972DF4F">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5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⑤</w:t>
            </w:r>
            <w:r>
              <w:rPr>
                <w:color w:val="000000"/>
                <w:spacing w:val="12"/>
                <w:kern w:val="2"/>
                <w:sz w:val="24"/>
                <w:szCs w:val="20"/>
              </w:rPr>
              <w:fldChar w:fldCharType="end"/>
            </w:r>
            <w:r>
              <w:rPr>
                <w:color w:val="000000"/>
                <w:spacing w:val="12"/>
                <w:kern w:val="2"/>
                <w:sz w:val="24"/>
                <w:szCs w:val="20"/>
              </w:rPr>
              <w:t>秩序良好，无乱堆乱放、晾晒衣物现象。</w:t>
            </w:r>
          </w:p>
          <w:p w14:paraId="6AE242DE">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6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⑥</w:t>
            </w:r>
            <w:r>
              <w:rPr>
                <w:color w:val="000000"/>
                <w:spacing w:val="12"/>
                <w:kern w:val="2"/>
                <w:sz w:val="24"/>
                <w:szCs w:val="20"/>
              </w:rPr>
              <w:fldChar w:fldCharType="end"/>
            </w:r>
            <w:r>
              <w:rPr>
                <w:color w:val="000000"/>
                <w:spacing w:val="12"/>
                <w:kern w:val="2"/>
                <w:sz w:val="24"/>
                <w:szCs w:val="20"/>
              </w:rPr>
              <w:t>有紧急抢险预案措施。</w:t>
            </w:r>
          </w:p>
          <w:p w14:paraId="7476DF7B">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7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⑦</w:t>
            </w:r>
            <w:r>
              <w:rPr>
                <w:color w:val="000000"/>
                <w:spacing w:val="12"/>
                <w:kern w:val="2"/>
                <w:sz w:val="24"/>
                <w:szCs w:val="20"/>
              </w:rPr>
              <w:fldChar w:fldCharType="end"/>
            </w:r>
            <w:r>
              <w:rPr>
                <w:color w:val="000000"/>
                <w:spacing w:val="12"/>
                <w:kern w:val="2"/>
                <w:sz w:val="24"/>
                <w:szCs w:val="20"/>
              </w:rPr>
              <w:t>对被破坏或其他原因引起的绿地损坏及时上报。</w:t>
            </w:r>
          </w:p>
          <w:p w14:paraId="146EA717">
            <w:pPr>
              <w:spacing w:line="300" w:lineRule="exact"/>
              <w:rPr>
                <w:color w:val="000000"/>
                <w:spacing w:val="12"/>
                <w:kern w:val="2"/>
                <w:sz w:val="24"/>
                <w:szCs w:val="20"/>
              </w:rPr>
            </w:pPr>
            <w:r>
              <w:rPr>
                <w:color w:val="000000"/>
                <w:spacing w:val="12"/>
                <w:kern w:val="2"/>
                <w:sz w:val="24"/>
                <w:szCs w:val="20"/>
              </w:rPr>
              <w:fldChar w:fldCharType="begin"/>
            </w:r>
            <w:r>
              <w:rPr>
                <w:color w:val="000000"/>
                <w:spacing w:val="12"/>
                <w:kern w:val="2"/>
                <w:sz w:val="24"/>
                <w:szCs w:val="20"/>
              </w:rPr>
              <w:instrText xml:space="preserve"> = 8 \* GB3 </w:instrText>
            </w:r>
            <w:r>
              <w:rPr>
                <w:color w:val="000000"/>
                <w:spacing w:val="12"/>
                <w:kern w:val="2"/>
                <w:sz w:val="24"/>
                <w:szCs w:val="20"/>
              </w:rPr>
              <w:fldChar w:fldCharType="separate"/>
            </w:r>
            <w:r>
              <w:rPr>
                <w:rFonts w:hint="eastAsia" w:ascii="宋体" w:hAnsi="宋体" w:cs="宋体"/>
                <w:color w:val="000000"/>
                <w:spacing w:val="12"/>
                <w:kern w:val="2"/>
                <w:sz w:val="24"/>
                <w:szCs w:val="20"/>
              </w:rPr>
              <w:t>⑧</w:t>
            </w:r>
            <w:r>
              <w:rPr>
                <w:color w:val="000000"/>
                <w:spacing w:val="12"/>
                <w:kern w:val="2"/>
                <w:sz w:val="24"/>
                <w:szCs w:val="20"/>
              </w:rPr>
              <w:fldChar w:fldCharType="end"/>
            </w:r>
            <w:r>
              <w:rPr>
                <w:color w:val="000000"/>
                <w:spacing w:val="12"/>
                <w:kern w:val="2"/>
                <w:sz w:val="24"/>
                <w:szCs w:val="20"/>
              </w:rPr>
              <w:t>按照有关安全生产操作规程组织作业。</w:t>
            </w:r>
          </w:p>
        </w:tc>
      </w:tr>
    </w:tbl>
    <w:p w14:paraId="4B58617E">
      <w:pPr>
        <w:keepNext/>
        <w:keepLines/>
        <w:spacing w:line="460" w:lineRule="exact"/>
        <w:jc w:val="center"/>
        <w:rPr>
          <w:rFonts w:ascii="宋体" w:hAnsi="宋体"/>
          <w:color w:val="000000" w:themeColor="text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br w:type="page"/>
      </w:r>
      <w:bookmarkStart w:id="200" w:name="_Toc139725716"/>
      <w:r>
        <w:rPr>
          <w:rFonts w:hint="eastAsia" w:ascii="宋体" w:hAnsi="宋体" w:cs="宋体"/>
          <w:b/>
          <w:bCs/>
          <w:color w:val="000000"/>
          <w:sz w:val="24"/>
          <w:szCs w:val="24"/>
        </w:rPr>
        <w:t xml:space="preserve">附件3 </w:t>
      </w:r>
      <w:r>
        <w:rPr>
          <w:rFonts w:ascii="宋体" w:hAnsi="宋体" w:cs="宋体"/>
          <w:b/>
          <w:bCs/>
          <w:color w:val="000000"/>
          <w:sz w:val="24"/>
          <w:szCs w:val="24"/>
        </w:rPr>
        <w:t xml:space="preserve"> </w:t>
      </w:r>
      <w:r>
        <w:rPr>
          <w:rFonts w:hint="eastAsia" w:ascii="宋体" w:hAnsi="宋体" w:cs="宋体"/>
          <w:b/>
          <w:bCs/>
          <w:color w:val="000000"/>
          <w:sz w:val="24"/>
          <w:szCs w:val="24"/>
        </w:rPr>
        <w:t>市级河道绿化养护服务考核办法</w:t>
      </w:r>
      <w:bookmarkEnd w:id="200"/>
    </w:p>
    <w:tbl>
      <w:tblPr>
        <w:tblStyle w:val="39"/>
        <w:tblW w:w="10238" w:type="dxa"/>
        <w:jc w:val="center"/>
        <w:tblLayout w:type="fixed"/>
        <w:tblCellMar>
          <w:top w:w="0" w:type="dxa"/>
          <w:left w:w="108" w:type="dxa"/>
          <w:bottom w:w="0" w:type="dxa"/>
          <w:right w:w="108" w:type="dxa"/>
        </w:tblCellMar>
      </w:tblPr>
      <w:tblGrid>
        <w:gridCol w:w="684"/>
        <w:gridCol w:w="917"/>
        <w:gridCol w:w="4109"/>
        <w:gridCol w:w="549"/>
        <w:gridCol w:w="3979"/>
      </w:tblGrid>
      <w:tr w14:paraId="4BC52019">
        <w:tblPrEx>
          <w:tblCellMar>
            <w:top w:w="0" w:type="dxa"/>
            <w:left w:w="108" w:type="dxa"/>
            <w:bottom w:w="0" w:type="dxa"/>
            <w:right w:w="108" w:type="dxa"/>
          </w:tblCellMar>
        </w:tblPrEx>
        <w:trPr>
          <w:trHeight w:val="370" w:hRule="atLeast"/>
          <w:jc w:val="center"/>
        </w:trPr>
        <w:tc>
          <w:tcPr>
            <w:tcW w:w="1601" w:type="dxa"/>
            <w:gridSpan w:val="2"/>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5757277C">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考 核 内 容</w:t>
            </w:r>
          </w:p>
        </w:tc>
        <w:tc>
          <w:tcPr>
            <w:tcW w:w="41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572375">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养 护 管 理 要 求</w:t>
            </w:r>
          </w:p>
        </w:tc>
        <w:tc>
          <w:tcPr>
            <w:tcW w:w="5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7CC6D6">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计分</w:t>
            </w:r>
          </w:p>
        </w:tc>
        <w:tc>
          <w:tcPr>
            <w:tcW w:w="39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B1DA28">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  分  标  准</w:t>
            </w:r>
          </w:p>
        </w:tc>
      </w:tr>
      <w:tr w14:paraId="121FCEEC">
        <w:tblPrEx>
          <w:tblCellMar>
            <w:top w:w="0" w:type="dxa"/>
            <w:left w:w="108" w:type="dxa"/>
            <w:bottom w:w="0" w:type="dxa"/>
            <w:right w:w="108" w:type="dxa"/>
          </w:tblCellMar>
        </w:tblPrEx>
        <w:trPr>
          <w:trHeight w:val="364" w:hRule="atLeast"/>
          <w:jc w:val="center"/>
        </w:trPr>
        <w:tc>
          <w:tcPr>
            <w:tcW w:w="1601" w:type="dxa"/>
            <w:gridSpan w:val="2"/>
            <w:vMerge w:val="continue"/>
            <w:tcBorders>
              <w:top w:val="single" w:color="000000" w:sz="4" w:space="0"/>
              <w:left w:val="single" w:color="000000" w:sz="8" w:space="0"/>
              <w:bottom w:val="single" w:color="000000" w:sz="4" w:space="0"/>
              <w:right w:val="single" w:color="000000" w:sz="4" w:space="0"/>
            </w:tcBorders>
            <w:vAlign w:val="center"/>
          </w:tcPr>
          <w:p w14:paraId="3CF5F8D6">
            <w:pPr>
              <w:widowControl/>
              <w:jc w:val="left"/>
              <w:rPr>
                <w:rFonts w:ascii="宋体" w:hAnsi="宋体" w:cs="宋体"/>
                <w:color w:val="000000" w:themeColor="text1"/>
                <w:szCs w:val="21"/>
                <w14:textFill>
                  <w14:solidFill>
                    <w14:schemeClr w14:val="tx1"/>
                  </w14:solidFill>
                </w14:textFill>
              </w:rPr>
            </w:pPr>
          </w:p>
        </w:tc>
        <w:tc>
          <w:tcPr>
            <w:tcW w:w="4109" w:type="dxa"/>
            <w:vMerge w:val="continue"/>
            <w:tcBorders>
              <w:top w:val="single" w:color="000000" w:sz="4" w:space="0"/>
              <w:left w:val="single" w:color="000000" w:sz="4" w:space="0"/>
              <w:bottom w:val="single" w:color="000000" w:sz="4" w:space="0"/>
              <w:right w:val="single" w:color="000000" w:sz="4" w:space="0"/>
            </w:tcBorders>
            <w:vAlign w:val="center"/>
          </w:tcPr>
          <w:p w14:paraId="78027A3F">
            <w:pPr>
              <w:widowControl/>
              <w:jc w:val="left"/>
              <w:rPr>
                <w:rFonts w:ascii="宋体" w:hAnsi="宋体" w:cs="宋体"/>
                <w:color w:val="000000" w:themeColor="text1"/>
                <w:szCs w:val="21"/>
                <w14:textFill>
                  <w14:solidFill>
                    <w14:schemeClr w14:val="tx1"/>
                  </w14:solidFill>
                </w14:textFill>
              </w:rPr>
            </w:pPr>
          </w:p>
        </w:tc>
        <w:tc>
          <w:tcPr>
            <w:tcW w:w="549" w:type="dxa"/>
            <w:vMerge w:val="continue"/>
            <w:tcBorders>
              <w:top w:val="single" w:color="000000" w:sz="4" w:space="0"/>
              <w:left w:val="single" w:color="000000" w:sz="4" w:space="0"/>
              <w:bottom w:val="single" w:color="000000" w:sz="4" w:space="0"/>
              <w:right w:val="single" w:color="000000" w:sz="4" w:space="0"/>
            </w:tcBorders>
            <w:vAlign w:val="center"/>
          </w:tcPr>
          <w:p w14:paraId="63116C6D">
            <w:pPr>
              <w:widowControl/>
              <w:jc w:val="left"/>
              <w:rPr>
                <w:rFonts w:ascii="宋体" w:hAnsi="宋体" w:cs="宋体"/>
                <w:color w:val="000000" w:themeColor="text1"/>
                <w:szCs w:val="21"/>
                <w14:textFill>
                  <w14:solidFill>
                    <w14:schemeClr w14:val="tx1"/>
                  </w14:solidFill>
                </w14:textFill>
              </w:rPr>
            </w:pPr>
          </w:p>
        </w:tc>
        <w:tc>
          <w:tcPr>
            <w:tcW w:w="3979" w:type="dxa"/>
            <w:vMerge w:val="continue"/>
            <w:tcBorders>
              <w:top w:val="single" w:color="000000" w:sz="4" w:space="0"/>
              <w:left w:val="single" w:color="000000" w:sz="4" w:space="0"/>
              <w:bottom w:val="single" w:color="000000" w:sz="4" w:space="0"/>
              <w:right w:val="single" w:color="000000" w:sz="4" w:space="0"/>
            </w:tcBorders>
            <w:vAlign w:val="center"/>
          </w:tcPr>
          <w:p w14:paraId="7560846A">
            <w:pPr>
              <w:widowControl/>
              <w:jc w:val="left"/>
              <w:rPr>
                <w:rFonts w:ascii="宋体" w:hAnsi="宋体" w:cs="宋体"/>
                <w:color w:val="000000" w:themeColor="text1"/>
                <w:szCs w:val="21"/>
                <w14:textFill>
                  <w14:solidFill>
                    <w14:schemeClr w14:val="tx1"/>
                  </w14:solidFill>
                </w14:textFill>
              </w:rPr>
            </w:pPr>
          </w:p>
        </w:tc>
      </w:tr>
      <w:tr w14:paraId="7D91F3A1">
        <w:tblPrEx>
          <w:tblCellMar>
            <w:top w:w="0" w:type="dxa"/>
            <w:left w:w="108" w:type="dxa"/>
            <w:bottom w:w="0" w:type="dxa"/>
            <w:right w:w="108" w:type="dxa"/>
          </w:tblCellMar>
        </w:tblPrEx>
        <w:trPr>
          <w:trHeight w:val="670" w:hRule="atLeast"/>
          <w:jc w:val="center"/>
        </w:trPr>
        <w:tc>
          <w:tcPr>
            <w:tcW w:w="684"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7F8C5353">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绿化养护（50分）</w:t>
            </w: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9DBC4A">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树木修剪、剥芽</w:t>
            </w: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FE1A1">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根据树木品种和生长习性进行修剪、剥芽（含脚芽），树冠基本完整，修剪及时，无明显枯枝死杈</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4147B">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2780">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每发现一处不符合要求，扣1分，扣完为止</w:t>
            </w:r>
          </w:p>
        </w:tc>
      </w:tr>
      <w:tr w14:paraId="0F4801E7">
        <w:tblPrEx>
          <w:tblCellMar>
            <w:top w:w="0" w:type="dxa"/>
            <w:left w:w="108" w:type="dxa"/>
            <w:bottom w:w="0" w:type="dxa"/>
            <w:right w:w="108" w:type="dxa"/>
          </w:tblCellMar>
        </w:tblPrEx>
        <w:trPr>
          <w:trHeight w:val="670" w:hRule="atLeast"/>
          <w:jc w:val="center"/>
        </w:trPr>
        <w:tc>
          <w:tcPr>
            <w:tcW w:w="684" w:type="dxa"/>
            <w:vMerge w:val="continue"/>
            <w:tcBorders>
              <w:top w:val="single" w:color="000000" w:sz="4" w:space="0"/>
              <w:left w:val="single" w:color="000000" w:sz="8" w:space="0"/>
              <w:bottom w:val="single" w:color="000000" w:sz="4" w:space="0"/>
              <w:right w:val="single" w:color="000000" w:sz="4" w:space="0"/>
            </w:tcBorders>
            <w:vAlign w:val="center"/>
          </w:tcPr>
          <w:p w14:paraId="50ADD06A">
            <w:pPr>
              <w:widowControl/>
              <w:jc w:val="left"/>
              <w:rPr>
                <w:rFonts w:ascii="宋体" w:hAnsi="宋体" w:cs="宋体"/>
                <w:color w:val="000000" w:themeColor="text1"/>
                <w:szCs w:val="21"/>
                <w14:textFill>
                  <w14:solidFill>
                    <w14:schemeClr w14:val="tx1"/>
                  </w14:solidFill>
                </w14:textFill>
              </w:rPr>
            </w:pPr>
          </w:p>
        </w:tc>
        <w:tc>
          <w:tcPr>
            <w:tcW w:w="917" w:type="dxa"/>
            <w:vMerge w:val="continue"/>
            <w:tcBorders>
              <w:top w:val="single" w:color="000000" w:sz="4" w:space="0"/>
              <w:left w:val="single" w:color="000000" w:sz="4" w:space="0"/>
              <w:bottom w:val="single" w:color="000000" w:sz="4" w:space="0"/>
              <w:right w:val="single" w:color="000000" w:sz="4" w:space="0"/>
            </w:tcBorders>
            <w:vAlign w:val="center"/>
          </w:tcPr>
          <w:p w14:paraId="6E3E40D8">
            <w:pPr>
              <w:widowControl/>
              <w:jc w:val="left"/>
              <w:rPr>
                <w:rFonts w:ascii="宋体" w:hAnsi="宋体" w:cs="宋体"/>
                <w:color w:val="000000" w:themeColor="text1"/>
                <w:szCs w:val="21"/>
                <w14:textFill>
                  <w14:solidFill>
                    <w14:schemeClr w14:val="tx1"/>
                  </w14:solidFill>
                </w14:textFill>
              </w:rPr>
            </w:pP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CD41F">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树木生长正常，无歪斜或倒伏现象，有绿色效果</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64C1">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FA9A5">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每发现一处不符合要求，扣1分，扣完为止</w:t>
            </w:r>
          </w:p>
        </w:tc>
      </w:tr>
      <w:tr w14:paraId="7B26D2AD">
        <w:tblPrEx>
          <w:tblCellMar>
            <w:top w:w="0" w:type="dxa"/>
            <w:left w:w="108" w:type="dxa"/>
            <w:bottom w:w="0" w:type="dxa"/>
            <w:right w:w="108" w:type="dxa"/>
          </w:tblCellMar>
        </w:tblPrEx>
        <w:trPr>
          <w:trHeight w:val="670" w:hRule="atLeast"/>
          <w:jc w:val="center"/>
        </w:trPr>
        <w:tc>
          <w:tcPr>
            <w:tcW w:w="684" w:type="dxa"/>
            <w:vMerge w:val="continue"/>
            <w:tcBorders>
              <w:top w:val="single" w:color="000000" w:sz="4" w:space="0"/>
              <w:left w:val="single" w:color="000000" w:sz="8" w:space="0"/>
              <w:bottom w:val="single" w:color="000000" w:sz="4" w:space="0"/>
              <w:right w:val="single" w:color="000000" w:sz="4" w:space="0"/>
            </w:tcBorders>
            <w:vAlign w:val="center"/>
          </w:tcPr>
          <w:p w14:paraId="4E430D57">
            <w:pPr>
              <w:widowControl/>
              <w:jc w:val="left"/>
              <w:rPr>
                <w:rFonts w:ascii="宋体" w:hAnsi="宋体" w:cs="宋体"/>
                <w:color w:val="000000" w:themeColor="text1"/>
                <w:szCs w:val="21"/>
                <w14:textFill>
                  <w14:solidFill>
                    <w14:schemeClr w14:val="tx1"/>
                  </w14:solidFill>
                </w14:textFill>
              </w:rPr>
            </w:pPr>
          </w:p>
        </w:tc>
        <w:tc>
          <w:tcPr>
            <w:tcW w:w="917" w:type="dxa"/>
            <w:vMerge w:val="continue"/>
            <w:tcBorders>
              <w:top w:val="single" w:color="000000" w:sz="4" w:space="0"/>
              <w:left w:val="single" w:color="000000" w:sz="4" w:space="0"/>
              <w:bottom w:val="single" w:color="000000" w:sz="4" w:space="0"/>
              <w:right w:val="single" w:color="000000" w:sz="4" w:space="0"/>
            </w:tcBorders>
            <w:vAlign w:val="center"/>
          </w:tcPr>
          <w:p w14:paraId="316D0AB7">
            <w:pPr>
              <w:widowControl/>
              <w:jc w:val="left"/>
              <w:rPr>
                <w:rFonts w:ascii="宋体" w:hAnsi="宋体" w:cs="宋体"/>
                <w:color w:val="000000" w:themeColor="text1"/>
                <w:szCs w:val="21"/>
                <w14:textFill>
                  <w14:solidFill>
                    <w14:schemeClr w14:val="tx1"/>
                  </w14:solidFill>
                </w14:textFill>
              </w:rPr>
            </w:pP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5D93">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无缠绕性、攀缘性杂草，树基树干无萌条、无捆扎物、</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E08B">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6F01F">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每发现一处不符合要求，扣0.5分，扣完为止</w:t>
            </w:r>
          </w:p>
        </w:tc>
      </w:tr>
      <w:tr w14:paraId="7539A162">
        <w:tblPrEx>
          <w:tblCellMar>
            <w:top w:w="0" w:type="dxa"/>
            <w:left w:w="108" w:type="dxa"/>
            <w:bottom w:w="0" w:type="dxa"/>
            <w:right w:w="108" w:type="dxa"/>
          </w:tblCellMar>
        </w:tblPrEx>
        <w:trPr>
          <w:trHeight w:val="670" w:hRule="atLeast"/>
          <w:jc w:val="center"/>
        </w:trPr>
        <w:tc>
          <w:tcPr>
            <w:tcW w:w="684" w:type="dxa"/>
            <w:vMerge w:val="continue"/>
            <w:tcBorders>
              <w:top w:val="single" w:color="000000" w:sz="4" w:space="0"/>
              <w:left w:val="single" w:color="000000" w:sz="8" w:space="0"/>
              <w:bottom w:val="single" w:color="000000" w:sz="4" w:space="0"/>
              <w:right w:val="single" w:color="000000" w:sz="4" w:space="0"/>
            </w:tcBorders>
            <w:vAlign w:val="center"/>
          </w:tcPr>
          <w:p w14:paraId="14937D3E">
            <w:pPr>
              <w:widowControl/>
              <w:jc w:val="left"/>
              <w:rPr>
                <w:rFonts w:ascii="宋体" w:hAnsi="宋体" w:cs="宋体"/>
                <w:color w:val="000000" w:themeColor="text1"/>
                <w:szCs w:val="21"/>
                <w14:textFill>
                  <w14:solidFill>
                    <w14:schemeClr w14:val="tx1"/>
                  </w14:solidFill>
                </w14:textFill>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757135">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防治病虫害</w:t>
            </w: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1EF2">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及时防治和控制病虫害的发生，无因病虫害而引起断枝、倒伏现象</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B4257">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07FDD">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发现一处虫害扣1分，防治不力，对苗木造成损害，每次扣4分，扣完为止</w:t>
            </w:r>
          </w:p>
        </w:tc>
      </w:tr>
      <w:tr w14:paraId="1082EC7E">
        <w:tblPrEx>
          <w:tblCellMar>
            <w:top w:w="0" w:type="dxa"/>
            <w:left w:w="108" w:type="dxa"/>
            <w:bottom w:w="0" w:type="dxa"/>
            <w:right w:w="108" w:type="dxa"/>
          </w:tblCellMar>
        </w:tblPrEx>
        <w:trPr>
          <w:trHeight w:val="670" w:hRule="atLeast"/>
          <w:jc w:val="center"/>
        </w:trPr>
        <w:tc>
          <w:tcPr>
            <w:tcW w:w="684" w:type="dxa"/>
            <w:vMerge w:val="continue"/>
            <w:tcBorders>
              <w:top w:val="single" w:color="000000" w:sz="4" w:space="0"/>
              <w:left w:val="single" w:color="000000" w:sz="8" w:space="0"/>
              <w:bottom w:val="single" w:color="000000" w:sz="4" w:space="0"/>
              <w:right w:val="single" w:color="000000" w:sz="4" w:space="0"/>
            </w:tcBorders>
            <w:vAlign w:val="center"/>
          </w:tcPr>
          <w:p w14:paraId="46470C8B">
            <w:pPr>
              <w:widowControl/>
              <w:jc w:val="left"/>
              <w:rPr>
                <w:rFonts w:ascii="宋体" w:hAnsi="宋体" w:cs="宋体"/>
                <w:color w:val="000000" w:themeColor="text1"/>
                <w:szCs w:val="21"/>
                <w14:textFill>
                  <w14:solidFill>
                    <w14:schemeClr w14:val="tx1"/>
                  </w14:solidFill>
                </w14:textFill>
              </w:rPr>
            </w:pPr>
          </w:p>
        </w:tc>
        <w:tc>
          <w:tcPr>
            <w:tcW w:w="917" w:type="dxa"/>
            <w:vMerge w:val="continue"/>
            <w:tcBorders>
              <w:top w:val="single" w:color="000000" w:sz="4" w:space="0"/>
              <w:left w:val="single" w:color="000000" w:sz="4" w:space="0"/>
              <w:bottom w:val="single" w:color="000000" w:sz="4" w:space="0"/>
              <w:right w:val="single" w:color="000000" w:sz="4" w:space="0"/>
            </w:tcBorders>
            <w:vAlign w:val="center"/>
          </w:tcPr>
          <w:p w14:paraId="1EF6D30F">
            <w:pPr>
              <w:widowControl/>
              <w:jc w:val="left"/>
              <w:rPr>
                <w:rFonts w:ascii="宋体" w:hAnsi="宋体" w:cs="宋体"/>
                <w:color w:val="000000" w:themeColor="text1"/>
                <w:szCs w:val="21"/>
                <w14:textFill>
                  <w14:solidFill>
                    <w14:schemeClr w14:val="tx1"/>
                  </w14:solidFill>
                </w14:textFill>
              </w:rPr>
            </w:pP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12E7">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有病虫害预防和控制措施，用药配比正确，操作安全，不发生药害和人身安全事故</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1906">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D7B3">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不及时实施病虫害预防或控制措施的，发现一起扣1分，如有一起事故发生，本项即不得分</w:t>
            </w:r>
          </w:p>
        </w:tc>
      </w:tr>
      <w:tr w14:paraId="70D7E6EF">
        <w:tblPrEx>
          <w:tblCellMar>
            <w:top w:w="0" w:type="dxa"/>
            <w:left w:w="108" w:type="dxa"/>
            <w:bottom w:w="0" w:type="dxa"/>
            <w:right w:w="108" w:type="dxa"/>
          </w:tblCellMar>
        </w:tblPrEx>
        <w:trPr>
          <w:trHeight w:val="670" w:hRule="atLeast"/>
          <w:jc w:val="center"/>
        </w:trPr>
        <w:tc>
          <w:tcPr>
            <w:tcW w:w="684" w:type="dxa"/>
            <w:vMerge w:val="continue"/>
            <w:tcBorders>
              <w:top w:val="single" w:color="000000" w:sz="4" w:space="0"/>
              <w:left w:val="single" w:color="000000" w:sz="8" w:space="0"/>
              <w:bottom w:val="single" w:color="000000" w:sz="4" w:space="0"/>
              <w:right w:val="single" w:color="000000" w:sz="4" w:space="0"/>
            </w:tcBorders>
            <w:vAlign w:val="center"/>
          </w:tcPr>
          <w:p w14:paraId="0D78C158">
            <w:pPr>
              <w:widowControl/>
              <w:jc w:val="left"/>
              <w:rPr>
                <w:rFonts w:ascii="宋体" w:hAnsi="宋体" w:cs="宋体"/>
                <w:color w:val="000000" w:themeColor="text1"/>
                <w:szCs w:val="21"/>
                <w14:textFill>
                  <w14:solidFill>
                    <w14:schemeClr w14:val="tx1"/>
                  </w14:solidFill>
                </w14:textFill>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632EF">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树木保存率</w:t>
            </w: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2F8">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地被植物整齐，覆盖率在98%以上,树木存活率在98%以上</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D60C6">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632B9">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保存率每下降1%扣1分，扣完为止，树木被盗、损毁未及时汇报的不得分</w:t>
            </w:r>
          </w:p>
        </w:tc>
      </w:tr>
      <w:tr w14:paraId="6687BDC0">
        <w:tblPrEx>
          <w:tblCellMar>
            <w:top w:w="0" w:type="dxa"/>
            <w:left w:w="108" w:type="dxa"/>
            <w:bottom w:w="0" w:type="dxa"/>
            <w:right w:w="108" w:type="dxa"/>
          </w:tblCellMar>
        </w:tblPrEx>
        <w:trPr>
          <w:trHeight w:val="882" w:hRule="atLeast"/>
          <w:jc w:val="center"/>
        </w:trPr>
        <w:tc>
          <w:tcPr>
            <w:tcW w:w="684" w:type="dxa"/>
            <w:vMerge w:val="continue"/>
            <w:tcBorders>
              <w:top w:val="single" w:color="000000" w:sz="4" w:space="0"/>
              <w:left w:val="single" w:color="000000" w:sz="8" w:space="0"/>
              <w:bottom w:val="single" w:color="000000" w:sz="4" w:space="0"/>
              <w:right w:val="single" w:color="000000" w:sz="4" w:space="0"/>
            </w:tcBorders>
            <w:vAlign w:val="center"/>
          </w:tcPr>
          <w:p w14:paraId="7B0A282A">
            <w:pPr>
              <w:widowControl/>
              <w:jc w:val="left"/>
              <w:rPr>
                <w:rFonts w:ascii="宋体" w:hAnsi="宋体" w:cs="宋体"/>
                <w:color w:val="000000" w:themeColor="text1"/>
                <w:szCs w:val="21"/>
                <w14:textFill>
                  <w14:solidFill>
                    <w14:schemeClr w14:val="tx1"/>
                  </w14:solidFill>
                </w14:textFill>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38E646">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施肥、抗旱</w:t>
            </w: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E8A32">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根据植株生长态势，及时施基肥、追肥</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41A60">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A38AB">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抽查10株，一株长势衰弱，扣0.5分，扣完为止，不能根据植株生长态势及时提出合理化建议的每次扣1分</w:t>
            </w:r>
          </w:p>
        </w:tc>
      </w:tr>
      <w:tr w14:paraId="4764E2B8">
        <w:tblPrEx>
          <w:tblCellMar>
            <w:top w:w="0" w:type="dxa"/>
            <w:left w:w="108" w:type="dxa"/>
            <w:bottom w:w="0" w:type="dxa"/>
            <w:right w:w="108" w:type="dxa"/>
          </w:tblCellMar>
        </w:tblPrEx>
        <w:trPr>
          <w:trHeight w:val="882" w:hRule="atLeast"/>
          <w:jc w:val="center"/>
        </w:trPr>
        <w:tc>
          <w:tcPr>
            <w:tcW w:w="684" w:type="dxa"/>
            <w:vMerge w:val="continue"/>
            <w:tcBorders>
              <w:top w:val="single" w:color="000000" w:sz="4" w:space="0"/>
              <w:left w:val="single" w:color="000000" w:sz="8" w:space="0"/>
              <w:bottom w:val="single" w:color="000000" w:sz="4" w:space="0"/>
              <w:right w:val="single" w:color="000000" w:sz="4" w:space="0"/>
            </w:tcBorders>
            <w:vAlign w:val="center"/>
          </w:tcPr>
          <w:p w14:paraId="69E3FD20">
            <w:pPr>
              <w:widowControl/>
              <w:jc w:val="left"/>
              <w:rPr>
                <w:rFonts w:ascii="宋体" w:hAnsi="宋体" w:cs="宋体"/>
                <w:color w:val="000000" w:themeColor="text1"/>
                <w:szCs w:val="21"/>
                <w14:textFill>
                  <w14:solidFill>
                    <w14:schemeClr w14:val="tx1"/>
                  </w14:solidFill>
                </w14:textFill>
              </w:rPr>
            </w:pPr>
          </w:p>
        </w:tc>
        <w:tc>
          <w:tcPr>
            <w:tcW w:w="917" w:type="dxa"/>
            <w:vMerge w:val="continue"/>
            <w:tcBorders>
              <w:top w:val="single" w:color="000000" w:sz="4" w:space="0"/>
              <w:left w:val="single" w:color="000000" w:sz="4" w:space="0"/>
              <w:bottom w:val="single" w:color="000000" w:sz="4" w:space="0"/>
              <w:right w:val="single" w:color="000000" w:sz="4" w:space="0"/>
            </w:tcBorders>
            <w:vAlign w:val="center"/>
          </w:tcPr>
          <w:p w14:paraId="3F8B355E">
            <w:pPr>
              <w:widowControl/>
              <w:jc w:val="left"/>
              <w:rPr>
                <w:rFonts w:ascii="宋体" w:hAnsi="宋体" w:cs="宋体"/>
                <w:color w:val="000000" w:themeColor="text1"/>
                <w:szCs w:val="21"/>
                <w14:textFill>
                  <w14:solidFill>
                    <w14:schemeClr w14:val="tx1"/>
                  </w14:solidFill>
                </w14:textFill>
              </w:rPr>
            </w:pP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66D5">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灾害性天气，及时抗旱</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0EFD">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26A36">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树木严重缺水，叶片枯萎，每次扣1分，扣完为止，不能及时提出合理化建议的每次扣1分，扣完为止</w:t>
            </w:r>
          </w:p>
        </w:tc>
      </w:tr>
      <w:tr w14:paraId="288E815C">
        <w:tblPrEx>
          <w:tblCellMar>
            <w:top w:w="0" w:type="dxa"/>
            <w:left w:w="108" w:type="dxa"/>
            <w:bottom w:w="0" w:type="dxa"/>
            <w:right w:w="108" w:type="dxa"/>
          </w:tblCellMar>
        </w:tblPrEx>
        <w:trPr>
          <w:trHeight w:val="766" w:hRule="atLeast"/>
          <w:jc w:val="center"/>
        </w:trPr>
        <w:tc>
          <w:tcPr>
            <w:tcW w:w="1601" w:type="dxa"/>
            <w:gridSpan w:val="2"/>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5BA4368C">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堤防青坎养护                               （35分）</w:t>
            </w: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2DD9B">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堤防青坎（含防汛道路）整齐清洁，草坪生长茂盛，无各类零散垃圾倾倒或堆放，无其他杂物堆放</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6450">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59051">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沿线检查，每发现一处不符合要求各扣1分，扣完为止</w:t>
            </w:r>
          </w:p>
        </w:tc>
      </w:tr>
      <w:tr w14:paraId="63AF9870">
        <w:tblPrEx>
          <w:tblCellMar>
            <w:top w:w="0" w:type="dxa"/>
            <w:left w:w="108" w:type="dxa"/>
            <w:bottom w:w="0" w:type="dxa"/>
            <w:right w:w="108" w:type="dxa"/>
          </w:tblCellMar>
        </w:tblPrEx>
        <w:trPr>
          <w:trHeight w:val="1015" w:hRule="atLeast"/>
          <w:jc w:val="center"/>
        </w:trPr>
        <w:tc>
          <w:tcPr>
            <w:tcW w:w="1601" w:type="dxa"/>
            <w:gridSpan w:val="2"/>
            <w:vMerge w:val="continue"/>
            <w:tcBorders>
              <w:top w:val="single" w:color="000000" w:sz="4" w:space="0"/>
              <w:left w:val="single" w:color="000000" w:sz="8" w:space="0"/>
              <w:bottom w:val="single" w:color="000000" w:sz="4" w:space="0"/>
              <w:right w:val="single" w:color="000000" w:sz="4" w:space="0"/>
            </w:tcBorders>
            <w:vAlign w:val="center"/>
          </w:tcPr>
          <w:p w14:paraId="43378014">
            <w:pPr>
              <w:widowControl/>
              <w:jc w:val="left"/>
              <w:rPr>
                <w:rFonts w:ascii="宋体" w:hAnsi="宋体" w:cs="宋体"/>
                <w:color w:val="000000" w:themeColor="text1"/>
                <w:szCs w:val="21"/>
                <w14:textFill>
                  <w14:solidFill>
                    <w14:schemeClr w14:val="tx1"/>
                  </w14:solidFill>
                </w14:textFill>
              </w:rPr>
            </w:pP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E1683">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青坎清洁大方，绿地留草长度应一致保持在20cm以下，基本无阔叶杂草，杂草控制高度：5cm以下，道路及护坡内无杂草</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AFCD">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C26B9">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抽查10个点，每个点顺护岸挡墙20米，每发现一处不符合要求扣0.5分，扣完为止</w:t>
            </w:r>
          </w:p>
        </w:tc>
      </w:tr>
      <w:tr w14:paraId="1F8C1B69">
        <w:tblPrEx>
          <w:tblCellMar>
            <w:top w:w="0" w:type="dxa"/>
            <w:left w:w="108" w:type="dxa"/>
            <w:bottom w:w="0" w:type="dxa"/>
            <w:right w:w="108" w:type="dxa"/>
          </w:tblCellMar>
        </w:tblPrEx>
        <w:trPr>
          <w:trHeight w:val="728" w:hRule="atLeast"/>
          <w:jc w:val="center"/>
        </w:trPr>
        <w:tc>
          <w:tcPr>
            <w:tcW w:w="1601" w:type="dxa"/>
            <w:gridSpan w:val="2"/>
            <w:vMerge w:val="continue"/>
            <w:tcBorders>
              <w:top w:val="single" w:color="000000" w:sz="4" w:space="0"/>
              <w:left w:val="single" w:color="000000" w:sz="8" w:space="0"/>
              <w:bottom w:val="single" w:color="000000" w:sz="4" w:space="0"/>
              <w:right w:val="single" w:color="000000" w:sz="4" w:space="0"/>
            </w:tcBorders>
            <w:vAlign w:val="center"/>
          </w:tcPr>
          <w:p w14:paraId="42B5DB7A">
            <w:pPr>
              <w:widowControl/>
              <w:jc w:val="left"/>
              <w:rPr>
                <w:rFonts w:ascii="宋体" w:hAnsi="宋体" w:cs="宋体"/>
                <w:color w:val="000000" w:themeColor="text1"/>
                <w:szCs w:val="21"/>
                <w14:textFill>
                  <w14:solidFill>
                    <w14:schemeClr w14:val="tx1"/>
                  </w14:solidFill>
                </w14:textFill>
              </w:rPr>
            </w:pP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36D62">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路肩、护岸挡墙压顶后土方饱满，雨后青坎无大片积水，无超过36小时的积水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9A494">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C498F">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沿线检查，每发现一处不符合要求各扣1分，扣完为止</w:t>
            </w:r>
          </w:p>
        </w:tc>
      </w:tr>
      <w:tr w14:paraId="0C5175B6">
        <w:tblPrEx>
          <w:tblCellMar>
            <w:top w:w="0" w:type="dxa"/>
            <w:left w:w="108" w:type="dxa"/>
            <w:bottom w:w="0" w:type="dxa"/>
            <w:right w:w="108" w:type="dxa"/>
          </w:tblCellMar>
        </w:tblPrEx>
        <w:trPr>
          <w:trHeight w:val="766" w:hRule="atLeast"/>
          <w:jc w:val="center"/>
        </w:trPr>
        <w:tc>
          <w:tcPr>
            <w:tcW w:w="1601" w:type="dxa"/>
            <w:gridSpan w:val="2"/>
            <w:vMerge w:val="continue"/>
            <w:tcBorders>
              <w:top w:val="single" w:color="000000" w:sz="4" w:space="0"/>
              <w:left w:val="single" w:color="000000" w:sz="8" w:space="0"/>
              <w:bottom w:val="single" w:color="000000" w:sz="4" w:space="0"/>
              <w:right w:val="single" w:color="000000" w:sz="4" w:space="0"/>
            </w:tcBorders>
            <w:vAlign w:val="center"/>
          </w:tcPr>
          <w:p w14:paraId="5536094E">
            <w:pPr>
              <w:widowControl/>
              <w:jc w:val="left"/>
              <w:rPr>
                <w:rFonts w:ascii="宋体" w:hAnsi="宋体" w:cs="宋体"/>
                <w:color w:val="000000" w:themeColor="text1"/>
                <w:szCs w:val="21"/>
                <w14:textFill>
                  <w14:solidFill>
                    <w14:schemeClr w14:val="tx1"/>
                  </w14:solidFill>
                </w14:textFill>
              </w:rPr>
            </w:pP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74B4">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护坡及青坎内无乱垦乱种</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160C">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0F061">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沿线检查，每发现一处不符合要求各扣1分，扣完为止</w:t>
            </w:r>
          </w:p>
        </w:tc>
      </w:tr>
      <w:tr w14:paraId="48E5A98E">
        <w:tblPrEx>
          <w:tblCellMar>
            <w:top w:w="0" w:type="dxa"/>
            <w:left w:w="108" w:type="dxa"/>
            <w:bottom w:w="0" w:type="dxa"/>
            <w:right w:w="108" w:type="dxa"/>
          </w:tblCellMar>
        </w:tblPrEx>
        <w:trPr>
          <w:trHeight w:val="766" w:hRule="atLeast"/>
          <w:jc w:val="center"/>
        </w:trPr>
        <w:tc>
          <w:tcPr>
            <w:tcW w:w="1601" w:type="dxa"/>
            <w:gridSpan w:val="2"/>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07E9A6C2">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堤防配套设施养护                 （10分）</w:t>
            </w: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AA48">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各类标志及配套设施不缺损</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B8B05">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87AC4">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绿化标志牌、宣传牌、河界桩等有损环现象未及时汇报的每次各扣1分</w:t>
            </w:r>
          </w:p>
        </w:tc>
      </w:tr>
      <w:tr w14:paraId="0E08FCD6">
        <w:tblPrEx>
          <w:tblCellMar>
            <w:top w:w="0" w:type="dxa"/>
            <w:left w:w="108" w:type="dxa"/>
            <w:bottom w:w="0" w:type="dxa"/>
            <w:right w:w="108" w:type="dxa"/>
          </w:tblCellMar>
        </w:tblPrEx>
        <w:trPr>
          <w:trHeight w:val="766" w:hRule="atLeast"/>
          <w:jc w:val="center"/>
        </w:trPr>
        <w:tc>
          <w:tcPr>
            <w:tcW w:w="1601" w:type="dxa"/>
            <w:gridSpan w:val="2"/>
            <w:vMerge w:val="continue"/>
            <w:tcBorders>
              <w:top w:val="single" w:color="000000" w:sz="4" w:space="0"/>
              <w:left w:val="single" w:color="000000" w:sz="8" w:space="0"/>
              <w:bottom w:val="single" w:color="000000" w:sz="4" w:space="0"/>
              <w:right w:val="single" w:color="000000" w:sz="4" w:space="0"/>
            </w:tcBorders>
            <w:vAlign w:val="center"/>
          </w:tcPr>
          <w:p w14:paraId="465830EF">
            <w:pPr>
              <w:widowControl/>
              <w:jc w:val="left"/>
              <w:rPr>
                <w:rFonts w:ascii="宋体" w:hAnsi="宋体" w:cs="宋体"/>
                <w:color w:val="000000" w:themeColor="text1"/>
                <w:szCs w:val="21"/>
                <w14:textFill>
                  <w14:solidFill>
                    <w14:schemeClr w14:val="tx1"/>
                  </w14:solidFill>
                </w14:textFill>
              </w:rPr>
            </w:pP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8CEF">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无违章占绿，无违法建设，发现违法行为及时制止报告，发现自然坏损河道配套设施及时报告</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DDACD">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D627C">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发现违法行为不及时制止，发现自然坏损河道配套设施不及时报告的每次各扣1分</w:t>
            </w:r>
          </w:p>
        </w:tc>
      </w:tr>
      <w:tr w14:paraId="0561288F">
        <w:tblPrEx>
          <w:tblCellMar>
            <w:top w:w="0" w:type="dxa"/>
            <w:left w:w="108" w:type="dxa"/>
            <w:bottom w:w="0" w:type="dxa"/>
            <w:right w:w="108" w:type="dxa"/>
          </w:tblCellMar>
        </w:tblPrEx>
        <w:trPr>
          <w:trHeight w:val="766" w:hRule="atLeast"/>
          <w:jc w:val="center"/>
        </w:trPr>
        <w:tc>
          <w:tcPr>
            <w:tcW w:w="1601"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B877884">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定员定岗（5分）</w:t>
            </w: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79661">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绿地管理制度全面落实，工作人员统一着装，按照有关安全生产操作规程组织作业</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83EAB">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0990">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统一着装，人数符合合同要求，每少一人扣1分</w:t>
            </w:r>
          </w:p>
        </w:tc>
      </w:tr>
      <w:tr w14:paraId="21ED67BB">
        <w:tblPrEx>
          <w:tblCellMar>
            <w:top w:w="0" w:type="dxa"/>
            <w:left w:w="108" w:type="dxa"/>
            <w:bottom w:w="0" w:type="dxa"/>
            <w:right w:w="108" w:type="dxa"/>
          </w:tblCellMar>
        </w:tblPrEx>
        <w:trPr>
          <w:trHeight w:val="645" w:hRule="atLeast"/>
          <w:jc w:val="center"/>
        </w:trPr>
        <w:tc>
          <w:tcPr>
            <w:tcW w:w="1601"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C42D508">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总分</w:t>
            </w:r>
          </w:p>
        </w:tc>
        <w:tc>
          <w:tcPr>
            <w:tcW w:w="4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5221">
            <w:pPr>
              <w:widowControl/>
              <w:jc w:val="left"/>
              <w:rPr>
                <w:rFonts w:ascii="宋体" w:hAnsi="宋体" w:cs="宋体"/>
                <w:color w:val="000000" w:themeColor="text1"/>
                <w:szCs w:val="21"/>
                <w14:textFill>
                  <w14:solidFill>
                    <w14:schemeClr w14:val="tx1"/>
                  </w14:solidFill>
                </w14:textFill>
              </w:rPr>
            </w:pP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6624">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ascii="宋体" w:hAnsi="宋体" w:cs="宋体"/>
                <w:color w:val="000000" w:themeColor="text1"/>
                <w:szCs w:val="21"/>
                <w14:textFill>
                  <w14:solidFill>
                    <w14:schemeClr w14:val="tx1"/>
                  </w14:solidFill>
                </w14:textFill>
              </w:rPr>
              <w:t>00</w:t>
            </w:r>
          </w:p>
        </w:tc>
        <w:tc>
          <w:tcPr>
            <w:tcW w:w="3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E752F">
            <w:pPr>
              <w:widowControl/>
              <w:jc w:val="left"/>
              <w:rPr>
                <w:rFonts w:ascii="宋体" w:hAnsi="宋体" w:cs="宋体"/>
                <w:color w:val="000000" w:themeColor="text1"/>
                <w:szCs w:val="21"/>
                <w14:textFill>
                  <w14:solidFill>
                    <w14:schemeClr w14:val="tx1"/>
                  </w14:solidFill>
                </w14:textFill>
              </w:rPr>
            </w:pPr>
          </w:p>
        </w:tc>
      </w:tr>
    </w:tbl>
    <w:p w14:paraId="6D312E3D">
      <w:pPr>
        <w:rPr>
          <w:rFonts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br w:type="page"/>
      </w:r>
    </w:p>
    <w:p w14:paraId="37364E64">
      <w:pPr>
        <w:autoSpaceDE w:val="0"/>
        <w:autoSpaceDN w:val="0"/>
        <w:spacing w:before="240" w:beforeLines="100" w:after="240" w:afterLines="100" w:line="440" w:lineRule="exact"/>
        <w:ind w:firstLine="880" w:firstLineChars="200"/>
        <w:jc w:val="center"/>
        <w:outlineLvl w:val="0"/>
        <w:rPr>
          <w:rFonts w:ascii="黑体" w:hAnsi="Courier New" w:eastAsia="黑体" w:cs="Courier New"/>
          <w:bCs/>
          <w:color w:val="000000" w:themeColor="text1"/>
          <w:sz w:val="44"/>
          <w:szCs w:val="21"/>
          <w14:textFill>
            <w14:solidFill>
              <w14:schemeClr w14:val="tx1"/>
            </w14:solidFill>
          </w14:textFill>
        </w:rPr>
      </w:pPr>
      <w:bookmarkStart w:id="201" w:name="_Toc4794"/>
      <w:r>
        <w:rPr>
          <w:rFonts w:hint="eastAsia" w:ascii="黑体" w:hAnsi="Courier New" w:eastAsia="黑体" w:cs="Courier New"/>
          <w:bCs/>
          <w:color w:val="000000" w:themeColor="text1"/>
          <w:sz w:val="44"/>
          <w:szCs w:val="21"/>
          <w14:textFill>
            <w14:solidFill>
              <w14:schemeClr w14:val="tx1"/>
            </w14:solidFill>
          </w14:textFill>
        </w:rPr>
        <w:t>第五章  评标方法与评标标准</w:t>
      </w:r>
      <w:bookmarkEnd w:id="201"/>
    </w:p>
    <w:p w14:paraId="25BB3DCE">
      <w:pPr>
        <w:rPr>
          <w:rFonts w:ascii="Times New Roman" w:hAnsi="Times New Roman"/>
          <w:color w:val="000000" w:themeColor="text1"/>
          <w:szCs w:val="21"/>
          <w14:textFill>
            <w14:solidFill>
              <w14:schemeClr w14:val="tx1"/>
            </w14:solidFill>
          </w14:textFill>
        </w:rPr>
      </w:pPr>
    </w:p>
    <w:p w14:paraId="75344268">
      <w:pPr>
        <w:spacing w:line="360" w:lineRule="auto"/>
        <w:ind w:firstLine="422"/>
        <w:rPr>
          <w:rFonts w:ascii="宋体" w:hAnsi="宋体"/>
          <w:b/>
          <w:color w:val="000000" w:themeColor="text1"/>
          <w:sz w:val="24"/>
          <w:szCs w:val="24"/>
          <w14:textFill>
            <w14:solidFill>
              <w14:schemeClr w14:val="tx1"/>
            </w14:solidFill>
          </w14:textFill>
        </w:rPr>
      </w:pPr>
      <w:bookmarkStart w:id="202" w:name="_Toc16264"/>
      <w:bookmarkStart w:id="203" w:name="_Toc17476"/>
      <w:bookmarkStart w:id="204" w:name="_Toc698"/>
      <w:r>
        <w:rPr>
          <w:rFonts w:hint="eastAsia" w:ascii="宋体" w:hAnsi="宋体"/>
          <w:b/>
          <w:color w:val="000000" w:themeColor="text1"/>
          <w:sz w:val="24"/>
          <w:szCs w:val="24"/>
          <w14:textFill>
            <w14:solidFill>
              <w14:schemeClr w14:val="tx1"/>
            </w14:solidFill>
          </w14:textFill>
        </w:rPr>
        <w:t>一、评标办法：</w:t>
      </w:r>
      <w:bookmarkEnd w:id="202"/>
      <w:bookmarkEnd w:id="203"/>
      <w:bookmarkEnd w:id="204"/>
    </w:p>
    <w:p w14:paraId="5C867A0D">
      <w:pPr>
        <w:spacing w:line="480" w:lineRule="exact"/>
        <w:ind w:firstLine="42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、评标办法采用</w:t>
      </w:r>
      <w:r>
        <w:rPr>
          <w:rFonts w:hint="eastAsia" w:ascii="宋体" w:hAnsi="宋体"/>
          <w:b/>
          <w:color w:val="000000" w:themeColor="text1"/>
          <w:sz w:val="24"/>
          <w:szCs w:val="24"/>
          <w14:textFill>
            <w14:solidFill>
              <w14:schemeClr w14:val="tx1"/>
            </w14:solidFill>
          </w14:textFill>
        </w:rPr>
        <w:t>综合评分法</w:t>
      </w:r>
      <w:r>
        <w:rPr>
          <w:rFonts w:hint="eastAsia" w:ascii="宋体" w:hAnsi="宋体"/>
          <w:color w:val="000000" w:themeColor="text1"/>
          <w:sz w:val="24"/>
          <w:szCs w:val="24"/>
          <w14:textFill>
            <w14:solidFill>
              <w14:schemeClr w14:val="tx1"/>
            </w14:solidFill>
          </w14:textFill>
        </w:rPr>
        <w:t>。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1F56ADD5">
      <w:pPr>
        <w:spacing w:line="480" w:lineRule="exact"/>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二、评分标准：</w:t>
      </w:r>
    </w:p>
    <w:p w14:paraId="2CA4846D">
      <w:pPr>
        <w:spacing w:line="440" w:lineRule="exact"/>
        <w:ind w:firstLine="482" w:firstLineChars="200"/>
        <w:rPr>
          <w:rFonts w:ascii="宋体" w:hAnsi="宋体"/>
          <w:color w:val="auto"/>
          <w:sz w:val="24"/>
          <w:szCs w:val="24"/>
        </w:rPr>
      </w:pPr>
      <w:r>
        <w:rPr>
          <w:rFonts w:ascii="宋体" w:hAnsi="宋体"/>
          <w:b/>
          <w:bCs/>
          <w:color w:val="auto"/>
          <w:sz w:val="24"/>
          <w:szCs w:val="24"/>
        </w:rPr>
        <w:t>1</w:t>
      </w:r>
      <w:r>
        <w:rPr>
          <w:rFonts w:hint="eastAsia" w:ascii="宋体" w:hAnsi="宋体"/>
          <w:b/>
          <w:bCs/>
          <w:color w:val="auto"/>
          <w:sz w:val="24"/>
          <w:szCs w:val="24"/>
        </w:rPr>
        <w:t>、报价20分</w:t>
      </w:r>
    </w:p>
    <w:p w14:paraId="10BE47B5">
      <w:pPr>
        <w:spacing w:line="440" w:lineRule="exact"/>
        <w:ind w:firstLine="480"/>
        <w:rPr>
          <w:color w:val="auto"/>
          <w:sz w:val="24"/>
          <w:szCs w:val="24"/>
        </w:rPr>
      </w:pPr>
      <w:r>
        <w:rPr>
          <w:rFonts w:hint="eastAsia"/>
          <w:color w:val="auto"/>
          <w:sz w:val="24"/>
          <w:szCs w:val="24"/>
        </w:rPr>
        <w:t>满足招标文件要求且投标价格最低的投标报价为评标基准价，其价格分为20分；其他投标人的价格分按下列公式计算：投标报价得分＝（评标基准价／投标报价）×20分。</w:t>
      </w:r>
    </w:p>
    <w:p w14:paraId="1C735300">
      <w:pPr>
        <w:spacing w:line="440" w:lineRule="exact"/>
        <w:ind w:firstLine="480" w:firstLineChars="200"/>
        <w:rPr>
          <w:color w:val="auto"/>
          <w:sz w:val="24"/>
          <w:szCs w:val="24"/>
        </w:rPr>
      </w:pPr>
      <w:r>
        <w:rPr>
          <w:rFonts w:hint="eastAsia"/>
          <w:color w:val="auto"/>
          <w:sz w:val="24"/>
          <w:szCs w:val="24"/>
        </w:rPr>
        <w:t>投标人的报价明显低于其他通过符合性审查投标人的，有可能影响服务质量或者不能诚信履约的，评标委员会可要求其在开评标现场合理的时间内提供书面说明，必要时提交相关证明材料；投标人不能证明其投标报价合理性的，评标委员会可将其作为无效投标处理。</w:t>
      </w:r>
    </w:p>
    <w:p w14:paraId="3771FF64">
      <w:pPr>
        <w:spacing w:line="440" w:lineRule="exact"/>
        <w:ind w:firstLine="482" w:firstLineChars="200"/>
        <w:rPr>
          <w:rFonts w:ascii="宋体" w:hAnsi="宋体"/>
          <w:b/>
          <w:bCs/>
          <w:color w:val="auto"/>
          <w:sz w:val="24"/>
          <w:szCs w:val="24"/>
        </w:rPr>
      </w:pPr>
      <w:r>
        <w:rPr>
          <w:rFonts w:hint="eastAsia" w:ascii="宋体" w:hAnsi="宋体"/>
          <w:b/>
          <w:bCs/>
          <w:color w:val="auto"/>
          <w:sz w:val="24"/>
          <w:szCs w:val="24"/>
        </w:rPr>
        <w:t>2、养护服务方案39分</w:t>
      </w:r>
    </w:p>
    <w:tbl>
      <w:tblPr>
        <w:tblStyle w:val="39"/>
        <w:tblW w:w="1023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94"/>
        <w:gridCol w:w="812"/>
        <w:gridCol w:w="6810"/>
      </w:tblGrid>
      <w:tr w14:paraId="052A4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4" w:type="dxa"/>
            <w:vAlign w:val="center"/>
          </w:tcPr>
          <w:p w14:paraId="4EAB4D20">
            <w:pPr>
              <w:spacing w:line="420" w:lineRule="exact"/>
              <w:jc w:val="center"/>
              <w:rPr>
                <w:b/>
                <w:color w:val="auto"/>
                <w:sz w:val="24"/>
                <w:szCs w:val="24"/>
              </w:rPr>
            </w:pPr>
            <w:r>
              <w:rPr>
                <w:b/>
                <w:color w:val="auto"/>
                <w:sz w:val="24"/>
                <w:szCs w:val="24"/>
              </w:rPr>
              <w:t>序号</w:t>
            </w:r>
          </w:p>
        </w:tc>
        <w:tc>
          <w:tcPr>
            <w:tcW w:w="1894" w:type="dxa"/>
            <w:vAlign w:val="center"/>
          </w:tcPr>
          <w:p w14:paraId="50FE644A">
            <w:pPr>
              <w:spacing w:line="420" w:lineRule="exact"/>
              <w:jc w:val="center"/>
              <w:rPr>
                <w:b/>
                <w:color w:val="auto"/>
                <w:sz w:val="24"/>
                <w:szCs w:val="24"/>
              </w:rPr>
            </w:pPr>
            <w:r>
              <w:rPr>
                <w:b/>
                <w:color w:val="auto"/>
                <w:sz w:val="24"/>
                <w:szCs w:val="24"/>
              </w:rPr>
              <w:t>评审因素</w:t>
            </w:r>
          </w:p>
        </w:tc>
        <w:tc>
          <w:tcPr>
            <w:tcW w:w="812" w:type="dxa"/>
            <w:vAlign w:val="center"/>
          </w:tcPr>
          <w:p w14:paraId="5ECAF6BE">
            <w:pPr>
              <w:spacing w:line="420" w:lineRule="exact"/>
              <w:jc w:val="center"/>
              <w:rPr>
                <w:b/>
                <w:color w:val="auto"/>
                <w:sz w:val="24"/>
                <w:szCs w:val="24"/>
              </w:rPr>
            </w:pPr>
            <w:r>
              <w:rPr>
                <w:b/>
                <w:color w:val="auto"/>
                <w:sz w:val="24"/>
                <w:szCs w:val="24"/>
              </w:rPr>
              <w:t>权值</w:t>
            </w:r>
          </w:p>
        </w:tc>
        <w:tc>
          <w:tcPr>
            <w:tcW w:w="6810" w:type="dxa"/>
            <w:vAlign w:val="center"/>
          </w:tcPr>
          <w:p w14:paraId="44630EF9">
            <w:pPr>
              <w:spacing w:line="420" w:lineRule="exact"/>
              <w:jc w:val="center"/>
              <w:rPr>
                <w:b/>
                <w:color w:val="auto"/>
                <w:sz w:val="24"/>
                <w:szCs w:val="24"/>
              </w:rPr>
            </w:pPr>
            <w:r>
              <w:rPr>
                <w:b/>
                <w:color w:val="auto"/>
                <w:sz w:val="24"/>
                <w:szCs w:val="24"/>
              </w:rPr>
              <w:t>评分标准</w:t>
            </w:r>
          </w:p>
        </w:tc>
      </w:tr>
      <w:tr w14:paraId="67BDC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714" w:type="dxa"/>
            <w:vAlign w:val="center"/>
          </w:tcPr>
          <w:p w14:paraId="462FDFA6">
            <w:pPr>
              <w:spacing w:line="0" w:lineRule="atLeast"/>
              <w:jc w:val="center"/>
              <w:rPr>
                <w:color w:val="auto"/>
                <w:sz w:val="24"/>
              </w:rPr>
            </w:pPr>
            <w:r>
              <w:rPr>
                <w:rFonts w:hint="eastAsia"/>
                <w:color w:val="auto"/>
                <w:sz w:val="24"/>
              </w:rPr>
              <w:t>1</w:t>
            </w:r>
          </w:p>
        </w:tc>
        <w:tc>
          <w:tcPr>
            <w:tcW w:w="1894" w:type="dxa"/>
            <w:vAlign w:val="center"/>
          </w:tcPr>
          <w:p w14:paraId="5F479BA9">
            <w:pPr>
              <w:jc w:val="center"/>
              <w:rPr>
                <w:color w:val="auto"/>
                <w:sz w:val="24"/>
              </w:rPr>
            </w:pPr>
            <w:r>
              <w:rPr>
                <w:color w:val="auto"/>
                <w:sz w:val="24"/>
              </w:rPr>
              <w:t>服务响应情况</w:t>
            </w:r>
          </w:p>
        </w:tc>
        <w:tc>
          <w:tcPr>
            <w:tcW w:w="812" w:type="dxa"/>
            <w:vAlign w:val="center"/>
          </w:tcPr>
          <w:p w14:paraId="7F7389F3">
            <w:pPr>
              <w:jc w:val="center"/>
              <w:rPr>
                <w:color w:val="auto"/>
                <w:sz w:val="24"/>
              </w:rPr>
            </w:pPr>
            <w:r>
              <w:rPr>
                <w:rFonts w:hint="eastAsia"/>
                <w:color w:val="auto"/>
                <w:sz w:val="24"/>
              </w:rPr>
              <w:t>10</w:t>
            </w:r>
            <w:r>
              <w:rPr>
                <w:color w:val="auto"/>
                <w:sz w:val="24"/>
              </w:rPr>
              <w:t>分</w:t>
            </w:r>
          </w:p>
        </w:tc>
        <w:tc>
          <w:tcPr>
            <w:tcW w:w="6810" w:type="dxa"/>
            <w:vAlign w:val="center"/>
          </w:tcPr>
          <w:p w14:paraId="1D38688E">
            <w:pPr>
              <w:rPr>
                <w:color w:val="auto"/>
                <w:sz w:val="24"/>
              </w:rPr>
            </w:pPr>
            <w:r>
              <w:rPr>
                <w:color w:val="auto"/>
                <w:sz w:val="24"/>
                <w:szCs w:val="24"/>
              </w:rPr>
              <w:t>投标人承诺提供的服务全部满足招标文件要求的得基本分</w:t>
            </w:r>
            <w:r>
              <w:rPr>
                <w:rFonts w:hint="eastAsia"/>
                <w:color w:val="auto"/>
                <w:sz w:val="24"/>
                <w:szCs w:val="24"/>
              </w:rPr>
              <w:t>10</w:t>
            </w:r>
            <w:r>
              <w:rPr>
                <w:color w:val="auto"/>
                <w:sz w:val="24"/>
                <w:szCs w:val="24"/>
              </w:rPr>
              <w:t>分；有</w:t>
            </w:r>
            <w:r>
              <w:rPr>
                <w:rFonts w:hint="eastAsia"/>
                <w:color w:val="auto"/>
                <w:sz w:val="24"/>
                <w:szCs w:val="24"/>
              </w:rPr>
              <w:t>负</w:t>
            </w:r>
            <w:r>
              <w:rPr>
                <w:color w:val="auto"/>
                <w:sz w:val="24"/>
                <w:szCs w:val="24"/>
              </w:rPr>
              <w:t>偏离</w:t>
            </w:r>
            <w:r>
              <w:rPr>
                <w:rFonts w:hint="eastAsia"/>
                <w:color w:val="auto"/>
                <w:sz w:val="24"/>
                <w:szCs w:val="24"/>
              </w:rPr>
              <w:t>的</w:t>
            </w:r>
            <w:r>
              <w:rPr>
                <w:color w:val="auto"/>
                <w:sz w:val="24"/>
                <w:szCs w:val="24"/>
              </w:rPr>
              <w:t>，每条扣</w:t>
            </w:r>
            <w:r>
              <w:rPr>
                <w:rFonts w:hint="eastAsia"/>
                <w:color w:val="auto"/>
                <w:sz w:val="24"/>
                <w:szCs w:val="24"/>
              </w:rPr>
              <w:t>0.5</w:t>
            </w:r>
            <w:r>
              <w:rPr>
                <w:color w:val="auto"/>
                <w:sz w:val="24"/>
                <w:szCs w:val="24"/>
              </w:rPr>
              <w:t>分，</w:t>
            </w:r>
            <w:r>
              <w:rPr>
                <w:rFonts w:hint="eastAsia"/>
                <w:color w:val="auto"/>
                <w:sz w:val="24"/>
                <w:szCs w:val="24"/>
              </w:rPr>
              <w:t>扣完为止</w:t>
            </w:r>
            <w:r>
              <w:rPr>
                <w:color w:val="auto"/>
                <w:sz w:val="24"/>
                <w:szCs w:val="24"/>
              </w:rPr>
              <w:t>。</w:t>
            </w:r>
          </w:p>
        </w:tc>
      </w:tr>
      <w:tr w14:paraId="1F78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714" w:type="dxa"/>
            <w:vAlign w:val="center"/>
          </w:tcPr>
          <w:p w14:paraId="2016430B">
            <w:pPr>
              <w:spacing w:line="0" w:lineRule="atLeast"/>
              <w:jc w:val="center"/>
              <w:rPr>
                <w:color w:val="auto"/>
                <w:sz w:val="24"/>
              </w:rPr>
            </w:pPr>
            <w:r>
              <w:rPr>
                <w:color w:val="auto"/>
                <w:sz w:val="24"/>
              </w:rPr>
              <w:t>2</w:t>
            </w:r>
          </w:p>
        </w:tc>
        <w:tc>
          <w:tcPr>
            <w:tcW w:w="1894" w:type="dxa"/>
            <w:vAlign w:val="center"/>
          </w:tcPr>
          <w:p w14:paraId="26CDD004">
            <w:pPr>
              <w:jc w:val="center"/>
              <w:rPr>
                <w:color w:val="auto"/>
                <w:sz w:val="24"/>
                <w:szCs w:val="24"/>
              </w:rPr>
            </w:pPr>
            <w:r>
              <w:rPr>
                <w:rFonts w:hint="eastAsia"/>
                <w:color w:val="auto"/>
                <w:sz w:val="24"/>
                <w:szCs w:val="24"/>
              </w:rPr>
              <w:t>内部管理制度</w:t>
            </w:r>
          </w:p>
        </w:tc>
        <w:tc>
          <w:tcPr>
            <w:tcW w:w="812" w:type="dxa"/>
            <w:vAlign w:val="center"/>
          </w:tcPr>
          <w:p w14:paraId="7B8FE468">
            <w:pPr>
              <w:jc w:val="center"/>
              <w:rPr>
                <w:color w:val="auto"/>
                <w:sz w:val="24"/>
                <w:szCs w:val="24"/>
              </w:rPr>
            </w:pPr>
            <w:r>
              <w:rPr>
                <w:rFonts w:hint="eastAsia"/>
                <w:color w:val="auto"/>
                <w:sz w:val="24"/>
                <w:szCs w:val="24"/>
              </w:rPr>
              <w:t>8分</w:t>
            </w:r>
          </w:p>
        </w:tc>
        <w:tc>
          <w:tcPr>
            <w:tcW w:w="6810" w:type="dxa"/>
            <w:vAlign w:val="center"/>
          </w:tcPr>
          <w:p w14:paraId="2BBB3F99">
            <w:pPr>
              <w:widowControl/>
              <w:jc w:val="left"/>
              <w:rPr>
                <w:bCs/>
                <w:color w:val="auto"/>
                <w:sz w:val="24"/>
                <w:szCs w:val="24"/>
              </w:rPr>
            </w:pPr>
            <w:r>
              <w:rPr>
                <w:rFonts w:hint="eastAsia"/>
                <w:bCs/>
                <w:color w:val="auto"/>
                <w:sz w:val="24"/>
                <w:szCs w:val="24"/>
              </w:rPr>
              <w:t>根据投标人制定的内部管理制度进行评定：</w:t>
            </w:r>
          </w:p>
          <w:p w14:paraId="71E8D75B">
            <w:pPr>
              <w:widowControl/>
              <w:jc w:val="left"/>
              <w:rPr>
                <w:bCs/>
                <w:color w:val="auto"/>
                <w:sz w:val="24"/>
                <w:szCs w:val="24"/>
              </w:rPr>
            </w:pPr>
            <w:r>
              <w:rPr>
                <w:rFonts w:hint="eastAsia"/>
                <w:bCs/>
                <w:color w:val="auto"/>
                <w:sz w:val="24"/>
                <w:szCs w:val="24"/>
              </w:rPr>
              <w:t>1、组织架构内容完整科学合理的得2分；</w:t>
            </w:r>
          </w:p>
          <w:p w14:paraId="45060578">
            <w:pPr>
              <w:widowControl/>
              <w:jc w:val="left"/>
              <w:rPr>
                <w:bCs/>
                <w:color w:val="auto"/>
                <w:sz w:val="24"/>
                <w:szCs w:val="24"/>
              </w:rPr>
            </w:pPr>
            <w:r>
              <w:rPr>
                <w:bCs/>
                <w:color w:val="auto"/>
                <w:sz w:val="24"/>
                <w:szCs w:val="24"/>
              </w:rPr>
              <w:t>2</w:t>
            </w:r>
            <w:r>
              <w:rPr>
                <w:rFonts w:hint="eastAsia"/>
                <w:bCs/>
                <w:color w:val="auto"/>
                <w:sz w:val="24"/>
                <w:szCs w:val="24"/>
              </w:rPr>
              <w:t>、内部养护检查考核制度完善合理的得2分；</w:t>
            </w:r>
          </w:p>
          <w:p w14:paraId="6F3C75BF">
            <w:pPr>
              <w:widowControl/>
              <w:jc w:val="left"/>
              <w:rPr>
                <w:bCs/>
                <w:color w:val="auto"/>
                <w:sz w:val="24"/>
                <w:szCs w:val="24"/>
              </w:rPr>
            </w:pPr>
            <w:r>
              <w:rPr>
                <w:rFonts w:hint="eastAsia"/>
                <w:bCs/>
                <w:color w:val="auto"/>
                <w:sz w:val="24"/>
                <w:szCs w:val="24"/>
              </w:rPr>
              <w:t>3、养护档案管理制度完善合理的得2分；</w:t>
            </w:r>
          </w:p>
          <w:p w14:paraId="22F7E900">
            <w:pPr>
              <w:widowControl/>
              <w:jc w:val="left"/>
              <w:rPr>
                <w:bCs/>
                <w:color w:val="auto"/>
                <w:sz w:val="24"/>
                <w:szCs w:val="24"/>
              </w:rPr>
            </w:pPr>
            <w:r>
              <w:rPr>
                <w:rFonts w:hint="eastAsia"/>
                <w:bCs/>
                <w:color w:val="auto"/>
                <w:sz w:val="24"/>
                <w:szCs w:val="24"/>
              </w:rPr>
              <w:t>4、人员培训方案完善合理的得2分；</w:t>
            </w:r>
          </w:p>
          <w:p w14:paraId="7C76724E">
            <w:pPr>
              <w:rPr>
                <w:color w:val="auto"/>
                <w:sz w:val="24"/>
              </w:rPr>
            </w:pPr>
            <w:r>
              <w:rPr>
                <w:rFonts w:hint="eastAsia"/>
                <w:bCs/>
                <w:color w:val="auto"/>
                <w:sz w:val="24"/>
                <w:szCs w:val="24"/>
              </w:rPr>
              <w:t>注：以上内容存在缺项或不符合采购单位需求的不得分。</w:t>
            </w:r>
          </w:p>
        </w:tc>
      </w:tr>
      <w:tr w14:paraId="5181C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4" w:type="dxa"/>
            <w:vAlign w:val="center"/>
          </w:tcPr>
          <w:p w14:paraId="7A1C02D9">
            <w:pPr>
              <w:spacing w:line="0" w:lineRule="atLeast"/>
              <w:jc w:val="center"/>
              <w:rPr>
                <w:color w:val="auto"/>
                <w:sz w:val="24"/>
              </w:rPr>
            </w:pPr>
            <w:r>
              <w:rPr>
                <w:color w:val="auto"/>
                <w:sz w:val="24"/>
              </w:rPr>
              <w:t>3</w:t>
            </w:r>
          </w:p>
        </w:tc>
        <w:tc>
          <w:tcPr>
            <w:tcW w:w="1894" w:type="dxa"/>
            <w:vAlign w:val="center"/>
          </w:tcPr>
          <w:p w14:paraId="0E3559E7">
            <w:pPr>
              <w:jc w:val="center"/>
              <w:rPr>
                <w:color w:val="auto"/>
                <w:sz w:val="24"/>
              </w:rPr>
            </w:pPr>
            <w:r>
              <w:rPr>
                <w:color w:val="auto"/>
                <w:sz w:val="24"/>
              </w:rPr>
              <w:t>项目服务方案</w:t>
            </w:r>
          </w:p>
        </w:tc>
        <w:tc>
          <w:tcPr>
            <w:tcW w:w="812" w:type="dxa"/>
            <w:vAlign w:val="center"/>
          </w:tcPr>
          <w:p w14:paraId="46E9C5C1">
            <w:pPr>
              <w:jc w:val="center"/>
              <w:rPr>
                <w:color w:val="auto"/>
                <w:sz w:val="24"/>
              </w:rPr>
            </w:pPr>
            <w:r>
              <w:rPr>
                <w:rFonts w:hint="eastAsia"/>
                <w:color w:val="auto"/>
                <w:sz w:val="24"/>
              </w:rPr>
              <w:t>12分</w:t>
            </w:r>
          </w:p>
        </w:tc>
        <w:tc>
          <w:tcPr>
            <w:tcW w:w="6810" w:type="dxa"/>
            <w:vAlign w:val="center"/>
          </w:tcPr>
          <w:p w14:paraId="20FC3266">
            <w:pPr>
              <w:widowControl/>
              <w:jc w:val="left"/>
              <w:rPr>
                <w:bCs/>
                <w:color w:val="auto"/>
                <w:sz w:val="24"/>
                <w:szCs w:val="24"/>
              </w:rPr>
            </w:pPr>
            <w:r>
              <w:rPr>
                <w:rFonts w:hint="eastAsia"/>
                <w:bCs/>
                <w:color w:val="auto"/>
                <w:sz w:val="24"/>
                <w:szCs w:val="24"/>
              </w:rPr>
              <w:t>根据投标人制定的项目实施方案进行评定；</w:t>
            </w:r>
          </w:p>
          <w:p w14:paraId="3505910E">
            <w:pPr>
              <w:widowControl/>
              <w:jc w:val="left"/>
              <w:rPr>
                <w:bCs/>
                <w:color w:val="auto"/>
                <w:sz w:val="24"/>
                <w:szCs w:val="24"/>
              </w:rPr>
            </w:pPr>
            <w:r>
              <w:rPr>
                <w:rFonts w:hint="eastAsia"/>
                <w:bCs/>
                <w:color w:val="auto"/>
                <w:sz w:val="24"/>
                <w:szCs w:val="24"/>
              </w:rPr>
              <w:t>1、防护林养护服务方案符合本项目实际情况且合理完善的得2分；</w:t>
            </w:r>
          </w:p>
          <w:p w14:paraId="470F2735">
            <w:pPr>
              <w:widowControl/>
              <w:jc w:val="left"/>
              <w:rPr>
                <w:bCs/>
                <w:color w:val="auto"/>
                <w:sz w:val="24"/>
                <w:szCs w:val="24"/>
              </w:rPr>
            </w:pPr>
            <w:r>
              <w:rPr>
                <w:rFonts w:hint="eastAsia"/>
                <w:bCs/>
                <w:color w:val="auto"/>
                <w:sz w:val="24"/>
                <w:szCs w:val="24"/>
              </w:rPr>
              <w:t>2、绿地植物养护服务方案符合本项目实际情况且合理完善的得2分；</w:t>
            </w:r>
          </w:p>
          <w:p w14:paraId="7BC8A42E">
            <w:pPr>
              <w:widowControl/>
              <w:jc w:val="left"/>
              <w:rPr>
                <w:bCs/>
                <w:color w:val="auto"/>
                <w:sz w:val="24"/>
                <w:szCs w:val="24"/>
              </w:rPr>
            </w:pPr>
            <w:r>
              <w:rPr>
                <w:rFonts w:hint="eastAsia"/>
                <w:bCs/>
                <w:color w:val="auto"/>
                <w:sz w:val="24"/>
                <w:szCs w:val="24"/>
              </w:rPr>
              <w:t>3、养护垃圾及其他垃圾（含防汛道路、边坡垃圾）处理措施，符合本项目实际情况且合理完善的得2分；</w:t>
            </w:r>
          </w:p>
          <w:p w14:paraId="30838587">
            <w:pPr>
              <w:widowControl/>
              <w:jc w:val="left"/>
              <w:rPr>
                <w:bCs/>
                <w:color w:val="auto"/>
                <w:sz w:val="24"/>
                <w:szCs w:val="24"/>
              </w:rPr>
            </w:pPr>
            <w:r>
              <w:rPr>
                <w:rFonts w:hint="eastAsia"/>
                <w:bCs/>
                <w:color w:val="auto"/>
                <w:sz w:val="24"/>
                <w:szCs w:val="24"/>
              </w:rPr>
              <w:t>4、垦种清理方案符合本项目实际情况且合理完善的得2分；</w:t>
            </w:r>
          </w:p>
          <w:p w14:paraId="54185C43">
            <w:pPr>
              <w:widowControl/>
              <w:jc w:val="left"/>
              <w:rPr>
                <w:bCs/>
                <w:color w:val="auto"/>
                <w:sz w:val="24"/>
                <w:szCs w:val="24"/>
              </w:rPr>
            </w:pPr>
            <w:r>
              <w:rPr>
                <w:bCs/>
                <w:color w:val="auto"/>
                <w:sz w:val="24"/>
                <w:szCs w:val="24"/>
              </w:rPr>
              <w:t>5</w:t>
            </w:r>
            <w:r>
              <w:rPr>
                <w:rFonts w:hint="eastAsia"/>
                <w:bCs/>
                <w:color w:val="auto"/>
                <w:sz w:val="24"/>
                <w:szCs w:val="24"/>
              </w:rPr>
              <w:t>、迎检预案符合本项目实际情况且合理完善的得2分；</w:t>
            </w:r>
          </w:p>
          <w:p w14:paraId="2F6A5D85">
            <w:pPr>
              <w:widowControl/>
              <w:jc w:val="left"/>
              <w:rPr>
                <w:bCs/>
                <w:color w:val="auto"/>
                <w:sz w:val="24"/>
                <w:szCs w:val="24"/>
              </w:rPr>
            </w:pPr>
            <w:r>
              <w:rPr>
                <w:rFonts w:hint="eastAsia"/>
                <w:bCs/>
                <w:color w:val="auto"/>
                <w:sz w:val="24"/>
                <w:szCs w:val="24"/>
              </w:rPr>
              <w:t>6、恶劣天气或特殊情况养护方案，符合本项目实际情况且合理完善的得2分；</w:t>
            </w:r>
          </w:p>
          <w:p w14:paraId="44A5D320">
            <w:pPr>
              <w:rPr>
                <w:strike/>
                <w:color w:val="auto"/>
                <w:sz w:val="24"/>
                <w:szCs w:val="24"/>
              </w:rPr>
            </w:pPr>
            <w:r>
              <w:rPr>
                <w:rFonts w:hint="eastAsia"/>
                <w:bCs/>
                <w:color w:val="auto"/>
                <w:sz w:val="24"/>
                <w:szCs w:val="24"/>
              </w:rPr>
              <w:t>注：以上内容存在缺项或不符合采购单位需求的不得分。</w:t>
            </w:r>
          </w:p>
        </w:tc>
      </w:tr>
      <w:tr w14:paraId="406C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trPr>
        <w:tc>
          <w:tcPr>
            <w:tcW w:w="714" w:type="dxa"/>
            <w:vAlign w:val="center"/>
          </w:tcPr>
          <w:p w14:paraId="6912DEAE">
            <w:pPr>
              <w:spacing w:line="0" w:lineRule="atLeast"/>
              <w:jc w:val="center"/>
              <w:rPr>
                <w:color w:val="auto"/>
                <w:sz w:val="24"/>
              </w:rPr>
            </w:pPr>
            <w:r>
              <w:rPr>
                <w:color w:val="auto"/>
                <w:sz w:val="24"/>
              </w:rPr>
              <w:t>4</w:t>
            </w:r>
          </w:p>
        </w:tc>
        <w:tc>
          <w:tcPr>
            <w:tcW w:w="1894" w:type="dxa"/>
            <w:vAlign w:val="center"/>
          </w:tcPr>
          <w:p w14:paraId="171DD4CC">
            <w:pPr>
              <w:jc w:val="center"/>
              <w:rPr>
                <w:color w:val="auto"/>
                <w:sz w:val="24"/>
              </w:rPr>
            </w:pPr>
            <w:r>
              <w:rPr>
                <w:color w:val="auto"/>
                <w:sz w:val="24"/>
                <w:szCs w:val="24"/>
              </w:rPr>
              <w:t>现场管理方案、安全管理方案</w:t>
            </w:r>
          </w:p>
        </w:tc>
        <w:tc>
          <w:tcPr>
            <w:tcW w:w="812" w:type="dxa"/>
            <w:vAlign w:val="center"/>
          </w:tcPr>
          <w:p w14:paraId="6AFCD22C">
            <w:pPr>
              <w:jc w:val="center"/>
              <w:rPr>
                <w:color w:val="auto"/>
                <w:sz w:val="24"/>
              </w:rPr>
            </w:pPr>
            <w:r>
              <w:rPr>
                <w:color w:val="auto"/>
                <w:sz w:val="24"/>
              </w:rPr>
              <w:t>5分</w:t>
            </w:r>
          </w:p>
        </w:tc>
        <w:tc>
          <w:tcPr>
            <w:tcW w:w="6810" w:type="dxa"/>
            <w:vAlign w:val="center"/>
          </w:tcPr>
          <w:p w14:paraId="290DAF69">
            <w:pPr>
              <w:widowControl/>
              <w:jc w:val="left"/>
              <w:rPr>
                <w:bCs/>
                <w:color w:val="auto"/>
                <w:sz w:val="24"/>
                <w:szCs w:val="24"/>
              </w:rPr>
            </w:pPr>
            <w:r>
              <w:rPr>
                <w:rFonts w:hint="eastAsia"/>
                <w:bCs/>
                <w:color w:val="auto"/>
                <w:sz w:val="24"/>
                <w:szCs w:val="24"/>
              </w:rPr>
              <w:t>1、现场管理方案符合本项目实际情况且合理完善的得</w:t>
            </w:r>
            <w:r>
              <w:rPr>
                <w:bCs/>
                <w:color w:val="auto"/>
                <w:sz w:val="24"/>
                <w:szCs w:val="24"/>
              </w:rPr>
              <w:t>2.5</w:t>
            </w:r>
            <w:r>
              <w:rPr>
                <w:rFonts w:hint="eastAsia"/>
                <w:bCs/>
                <w:color w:val="auto"/>
                <w:sz w:val="24"/>
                <w:szCs w:val="24"/>
              </w:rPr>
              <w:t>分；</w:t>
            </w:r>
          </w:p>
          <w:p w14:paraId="5BB4AECA">
            <w:pPr>
              <w:widowControl/>
              <w:jc w:val="left"/>
              <w:rPr>
                <w:bCs/>
                <w:color w:val="auto"/>
                <w:sz w:val="24"/>
                <w:szCs w:val="24"/>
              </w:rPr>
            </w:pPr>
            <w:r>
              <w:rPr>
                <w:bCs/>
                <w:color w:val="auto"/>
                <w:sz w:val="24"/>
                <w:szCs w:val="24"/>
              </w:rPr>
              <w:t>2</w:t>
            </w:r>
            <w:r>
              <w:rPr>
                <w:rFonts w:hint="eastAsia"/>
                <w:bCs/>
                <w:color w:val="auto"/>
                <w:sz w:val="24"/>
                <w:szCs w:val="24"/>
              </w:rPr>
              <w:t>、</w:t>
            </w:r>
            <w:r>
              <w:rPr>
                <w:bCs/>
                <w:color w:val="auto"/>
                <w:sz w:val="24"/>
                <w:szCs w:val="24"/>
              </w:rPr>
              <w:t>安全管理方案</w:t>
            </w:r>
            <w:r>
              <w:rPr>
                <w:rFonts w:hint="eastAsia"/>
                <w:bCs/>
                <w:color w:val="auto"/>
                <w:sz w:val="24"/>
                <w:szCs w:val="24"/>
              </w:rPr>
              <w:t>符合本项目实际情况且合理完善的得</w:t>
            </w:r>
            <w:r>
              <w:rPr>
                <w:bCs/>
                <w:color w:val="auto"/>
                <w:sz w:val="24"/>
                <w:szCs w:val="24"/>
              </w:rPr>
              <w:t>2.5</w:t>
            </w:r>
            <w:r>
              <w:rPr>
                <w:rFonts w:hint="eastAsia"/>
                <w:bCs/>
                <w:color w:val="auto"/>
                <w:sz w:val="24"/>
                <w:szCs w:val="24"/>
              </w:rPr>
              <w:t>分；</w:t>
            </w:r>
          </w:p>
          <w:p w14:paraId="665ADB9F">
            <w:pPr>
              <w:rPr>
                <w:b/>
                <w:bCs/>
                <w:color w:val="auto"/>
                <w:sz w:val="24"/>
                <w:szCs w:val="24"/>
              </w:rPr>
            </w:pPr>
            <w:r>
              <w:rPr>
                <w:rFonts w:hint="eastAsia"/>
                <w:bCs/>
                <w:color w:val="auto"/>
                <w:sz w:val="24"/>
                <w:szCs w:val="24"/>
              </w:rPr>
              <w:t>注：以上内容存在缺项或不符合采购单位需求的不得分。</w:t>
            </w:r>
          </w:p>
        </w:tc>
      </w:tr>
      <w:tr w14:paraId="643FA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714" w:type="dxa"/>
            <w:vAlign w:val="center"/>
          </w:tcPr>
          <w:p w14:paraId="0E0F07DA">
            <w:pPr>
              <w:spacing w:line="0" w:lineRule="atLeast"/>
              <w:jc w:val="center"/>
              <w:rPr>
                <w:color w:val="auto"/>
                <w:sz w:val="24"/>
              </w:rPr>
            </w:pPr>
            <w:r>
              <w:rPr>
                <w:color w:val="auto"/>
                <w:sz w:val="24"/>
              </w:rPr>
              <w:t>5</w:t>
            </w:r>
          </w:p>
        </w:tc>
        <w:tc>
          <w:tcPr>
            <w:tcW w:w="1894" w:type="dxa"/>
            <w:vAlign w:val="center"/>
          </w:tcPr>
          <w:p w14:paraId="2A93BD00">
            <w:pPr>
              <w:jc w:val="center"/>
              <w:rPr>
                <w:color w:val="auto"/>
                <w:sz w:val="24"/>
              </w:rPr>
            </w:pPr>
            <w:r>
              <w:rPr>
                <w:color w:val="auto"/>
                <w:sz w:val="24"/>
                <w:szCs w:val="24"/>
              </w:rPr>
              <w:t>车辆设备、人员到位方案</w:t>
            </w:r>
          </w:p>
        </w:tc>
        <w:tc>
          <w:tcPr>
            <w:tcW w:w="812" w:type="dxa"/>
            <w:vAlign w:val="center"/>
          </w:tcPr>
          <w:p w14:paraId="2A34DA54">
            <w:pPr>
              <w:jc w:val="center"/>
              <w:rPr>
                <w:color w:val="auto"/>
                <w:sz w:val="24"/>
              </w:rPr>
            </w:pPr>
            <w:r>
              <w:rPr>
                <w:color w:val="auto"/>
                <w:sz w:val="24"/>
                <w:szCs w:val="24"/>
              </w:rPr>
              <w:t>4分</w:t>
            </w:r>
          </w:p>
        </w:tc>
        <w:tc>
          <w:tcPr>
            <w:tcW w:w="6810" w:type="dxa"/>
            <w:vAlign w:val="center"/>
          </w:tcPr>
          <w:p w14:paraId="3AEF1340">
            <w:pPr>
              <w:widowControl/>
              <w:jc w:val="left"/>
              <w:rPr>
                <w:bCs/>
                <w:color w:val="auto"/>
                <w:sz w:val="24"/>
                <w:szCs w:val="24"/>
              </w:rPr>
            </w:pPr>
            <w:r>
              <w:rPr>
                <w:rFonts w:hint="eastAsia"/>
                <w:bCs/>
                <w:color w:val="auto"/>
                <w:sz w:val="24"/>
                <w:szCs w:val="24"/>
              </w:rPr>
              <w:t>1、车辆设备到位方案符合本项目实际情况且合理完善的得</w:t>
            </w:r>
            <w:r>
              <w:rPr>
                <w:bCs/>
                <w:color w:val="auto"/>
                <w:sz w:val="24"/>
                <w:szCs w:val="24"/>
              </w:rPr>
              <w:t>2</w:t>
            </w:r>
            <w:r>
              <w:rPr>
                <w:rFonts w:hint="eastAsia"/>
                <w:bCs/>
                <w:color w:val="auto"/>
                <w:sz w:val="24"/>
                <w:szCs w:val="24"/>
              </w:rPr>
              <w:t>分；</w:t>
            </w:r>
          </w:p>
          <w:p w14:paraId="1D220067">
            <w:pPr>
              <w:widowControl/>
              <w:jc w:val="left"/>
              <w:rPr>
                <w:bCs/>
                <w:color w:val="auto"/>
                <w:sz w:val="24"/>
                <w:szCs w:val="24"/>
              </w:rPr>
            </w:pPr>
            <w:r>
              <w:rPr>
                <w:rFonts w:hint="eastAsia"/>
                <w:bCs/>
                <w:color w:val="auto"/>
                <w:sz w:val="24"/>
                <w:szCs w:val="24"/>
              </w:rPr>
              <w:t>2、人员到位方案符合本项目实际情况且合理完善的得</w:t>
            </w:r>
            <w:r>
              <w:rPr>
                <w:bCs/>
                <w:color w:val="auto"/>
                <w:sz w:val="24"/>
                <w:szCs w:val="24"/>
              </w:rPr>
              <w:t>2</w:t>
            </w:r>
            <w:r>
              <w:rPr>
                <w:rFonts w:hint="eastAsia"/>
                <w:bCs/>
                <w:color w:val="auto"/>
                <w:sz w:val="24"/>
                <w:szCs w:val="24"/>
              </w:rPr>
              <w:t>分；</w:t>
            </w:r>
          </w:p>
          <w:p w14:paraId="40946CB3">
            <w:pPr>
              <w:widowControl/>
              <w:jc w:val="left"/>
              <w:rPr>
                <w:bCs/>
                <w:color w:val="auto"/>
                <w:sz w:val="24"/>
                <w:szCs w:val="24"/>
              </w:rPr>
            </w:pPr>
            <w:r>
              <w:rPr>
                <w:rFonts w:hint="eastAsia"/>
                <w:bCs/>
                <w:color w:val="auto"/>
                <w:sz w:val="24"/>
                <w:szCs w:val="24"/>
              </w:rPr>
              <w:t>注：以上内容存在缺项或不符合采购单位需求的不得分。</w:t>
            </w:r>
          </w:p>
        </w:tc>
      </w:tr>
    </w:tbl>
    <w:p w14:paraId="28D32DB4">
      <w:pPr>
        <w:wordWrap w:val="0"/>
        <w:spacing w:line="440" w:lineRule="exact"/>
        <w:ind w:firstLine="482" w:firstLineChars="200"/>
        <w:rPr>
          <w:rFonts w:ascii="宋体" w:hAnsi="宋体"/>
          <w:b/>
          <w:bCs/>
          <w:color w:val="auto"/>
          <w:sz w:val="24"/>
          <w:szCs w:val="24"/>
        </w:rPr>
      </w:pPr>
      <w:r>
        <w:rPr>
          <w:rFonts w:ascii="宋体" w:hAnsi="宋体"/>
          <w:b/>
          <w:bCs/>
          <w:color w:val="auto"/>
          <w:sz w:val="24"/>
          <w:szCs w:val="24"/>
        </w:rPr>
        <w:t>3</w:t>
      </w:r>
      <w:r>
        <w:rPr>
          <w:rFonts w:hint="eastAsia" w:ascii="宋体" w:hAnsi="宋体"/>
          <w:b/>
          <w:bCs/>
          <w:color w:val="auto"/>
          <w:sz w:val="24"/>
          <w:szCs w:val="24"/>
        </w:rPr>
        <w:t>、人员及车辆配置情况</w:t>
      </w:r>
      <w:r>
        <w:rPr>
          <w:rFonts w:ascii="宋体" w:hAnsi="宋体"/>
          <w:b/>
          <w:bCs/>
          <w:color w:val="auto"/>
          <w:sz w:val="24"/>
          <w:szCs w:val="24"/>
        </w:rPr>
        <w:t>26</w:t>
      </w:r>
      <w:r>
        <w:rPr>
          <w:rFonts w:hint="eastAsia" w:ascii="宋体" w:hAnsi="宋体"/>
          <w:b/>
          <w:bCs/>
          <w:color w:val="auto"/>
          <w:sz w:val="24"/>
          <w:szCs w:val="24"/>
        </w:rPr>
        <w:t>分</w:t>
      </w:r>
    </w:p>
    <w:tbl>
      <w:tblPr>
        <w:tblStyle w:val="39"/>
        <w:tblW w:w="10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94"/>
        <w:gridCol w:w="812"/>
        <w:gridCol w:w="6794"/>
      </w:tblGrid>
      <w:tr w14:paraId="4C5F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14" w:type="dxa"/>
            <w:vAlign w:val="center"/>
          </w:tcPr>
          <w:p w14:paraId="78055B5A">
            <w:pPr>
              <w:spacing w:line="420" w:lineRule="exact"/>
              <w:jc w:val="center"/>
              <w:rPr>
                <w:b/>
                <w:color w:val="auto"/>
                <w:sz w:val="24"/>
                <w:szCs w:val="24"/>
              </w:rPr>
            </w:pPr>
            <w:r>
              <w:rPr>
                <w:b/>
                <w:color w:val="auto"/>
                <w:sz w:val="24"/>
                <w:szCs w:val="24"/>
              </w:rPr>
              <w:t>序号</w:t>
            </w:r>
          </w:p>
        </w:tc>
        <w:tc>
          <w:tcPr>
            <w:tcW w:w="1894" w:type="dxa"/>
            <w:vAlign w:val="center"/>
          </w:tcPr>
          <w:p w14:paraId="783F7EB8">
            <w:pPr>
              <w:spacing w:line="420" w:lineRule="exact"/>
              <w:jc w:val="center"/>
              <w:rPr>
                <w:b/>
                <w:color w:val="auto"/>
                <w:sz w:val="24"/>
                <w:szCs w:val="24"/>
              </w:rPr>
            </w:pPr>
            <w:r>
              <w:rPr>
                <w:b/>
                <w:color w:val="auto"/>
                <w:sz w:val="24"/>
                <w:szCs w:val="24"/>
              </w:rPr>
              <w:t>评审因素</w:t>
            </w:r>
          </w:p>
        </w:tc>
        <w:tc>
          <w:tcPr>
            <w:tcW w:w="812" w:type="dxa"/>
            <w:vAlign w:val="center"/>
          </w:tcPr>
          <w:p w14:paraId="33A714B1">
            <w:pPr>
              <w:spacing w:line="420" w:lineRule="exact"/>
              <w:jc w:val="center"/>
              <w:rPr>
                <w:b/>
                <w:color w:val="auto"/>
                <w:sz w:val="24"/>
                <w:szCs w:val="24"/>
              </w:rPr>
            </w:pPr>
            <w:r>
              <w:rPr>
                <w:b/>
                <w:color w:val="auto"/>
                <w:sz w:val="24"/>
                <w:szCs w:val="24"/>
              </w:rPr>
              <w:t>权值</w:t>
            </w:r>
          </w:p>
        </w:tc>
        <w:tc>
          <w:tcPr>
            <w:tcW w:w="6794" w:type="dxa"/>
            <w:vAlign w:val="center"/>
          </w:tcPr>
          <w:p w14:paraId="6C4EF483">
            <w:pPr>
              <w:spacing w:line="420" w:lineRule="exact"/>
              <w:jc w:val="center"/>
              <w:rPr>
                <w:b/>
                <w:color w:val="auto"/>
                <w:sz w:val="24"/>
                <w:szCs w:val="24"/>
              </w:rPr>
            </w:pPr>
            <w:r>
              <w:rPr>
                <w:b/>
                <w:color w:val="auto"/>
                <w:sz w:val="24"/>
                <w:szCs w:val="24"/>
              </w:rPr>
              <w:t>评分标准</w:t>
            </w:r>
          </w:p>
        </w:tc>
      </w:tr>
      <w:tr w14:paraId="5D034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714" w:type="dxa"/>
            <w:vAlign w:val="center"/>
          </w:tcPr>
          <w:p w14:paraId="1D30C15B">
            <w:pPr>
              <w:spacing w:line="0" w:lineRule="atLeast"/>
              <w:jc w:val="center"/>
              <w:rPr>
                <w:color w:val="auto"/>
                <w:sz w:val="24"/>
              </w:rPr>
            </w:pPr>
            <w:r>
              <w:rPr>
                <w:rFonts w:hint="eastAsia"/>
                <w:color w:val="auto"/>
                <w:sz w:val="24"/>
              </w:rPr>
              <w:t>1</w:t>
            </w:r>
          </w:p>
        </w:tc>
        <w:tc>
          <w:tcPr>
            <w:tcW w:w="1894" w:type="dxa"/>
            <w:vAlign w:val="center"/>
          </w:tcPr>
          <w:p w14:paraId="0742ADED">
            <w:pPr>
              <w:jc w:val="center"/>
              <w:rPr>
                <w:color w:val="auto"/>
                <w:sz w:val="24"/>
              </w:rPr>
            </w:pPr>
            <w:r>
              <w:rPr>
                <w:color w:val="auto"/>
                <w:sz w:val="24"/>
              </w:rPr>
              <w:t>项目负责人</w:t>
            </w:r>
          </w:p>
        </w:tc>
        <w:tc>
          <w:tcPr>
            <w:tcW w:w="812" w:type="dxa"/>
            <w:vAlign w:val="center"/>
          </w:tcPr>
          <w:p w14:paraId="27EBAC75">
            <w:pPr>
              <w:jc w:val="center"/>
              <w:rPr>
                <w:color w:val="auto"/>
                <w:sz w:val="24"/>
                <w:szCs w:val="24"/>
              </w:rPr>
            </w:pPr>
            <w:r>
              <w:rPr>
                <w:color w:val="auto"/>
                <w:sz w:val="24"/>
                <w:szCs w:val="24"/>
              </w:rPr>
              <w:t>2分</w:t>
            </w:r>
          </w:p>
        </w:tc>
        <w:tc>
          <w:tcPr>
            <w:tcW w:w="6794" w:type="dxa"/>
            <w:vAlign w:val="center"/>
          </w:tcPr>
          <w:p w14:paraId="56A528BC">
            <w:pPr>
              <w:rPr>
                <w:b/>
                <w:color w:val="auto"/>
                <w:sz w:val="24"/>
                <w:szCs w:val="24"/>
              </w:rPr>
            </w:pPr>
            <w:r>
              <w:rPr>
                <w:rFonts w:hint="eastAsia"/>
                <w:color w:val="auto"/>
                <w:sz w:val="24"/>
                <w:szCs w:val="24"/>
              </w:rPr>
              <w:t>项目负责人具有园林绿化类专业工程师（或以上）职称的得2分。</w:t>
            </w:r>
            <w:r>
              <w:rPr>
                <w:rFonts w:hint="eastAsia"/>
                <w:b/>
                <w:color w:val="auto"/>
                <w:sz w:val="24"/>
                <w:szCs w:val="24"/>
              </w:rPr>
              <w:t>注：投标文件中须提供相关证书及投标人为其缴纳的近3个月中任意一个月的社保证明材料扫描件，未提供的不得分。</w:t>
            </w:r>
          </w:p>
        </w:tc>
      </w:tr>
      <w:tr w14:paraId="74D6E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trPr>
        <w:tc>
          <w:tcPr>
            <w:tcW w:w="714" w:type="dxa"/>
            <w:vAlign w:val="center"/>
          </w:tcPr>
          <w:p w14:paraId="5BBFF8D6">
            <w:pPr>
              <w:spacing w:line="0" w:lineRule="atLeast"/>
              <w:jc w:val="center"/>
              <w:rPr>
                <w:color w:val="auto"/>
                <w:sz w:val="24"/>
              </w:rPr>
            </w:pPr>
            <w:r>
              <w:rPr>
                <w:rFonts w:hint="eastAsia"/>
                <w:color w:val="auto"/>
                <w:sz w:val="24"/>
              </w:rPr>
              <w:t>2</w:t>
            </w:r>
          </w:p>
        </w:tc>
        <w:tc>
          <w:tcPr>
            <w:tcW w:w="1894" w:type="dxa"/>
            <w:vAlign w:val="center"/>
          </w:tcPr>
          <w:p w14:paraId="77879327">
            <w:pPr>
              <w:jc w:val="center"/>
              <w:rPr>
                <w:strike/>
                <w:color w:val="auto"/>
                <w:sz w:val="24"/>
              </w:rPr>
            </w:pPr>
            <w:r>
              <w:rPr>
                <w:rFonts w:hint="eastAsia"/>
                <w:color w:val="auto"/>
                <w:sz w:val="24"/>
              </w:rPr>
              <w:t>其他养护人员</w:t>
            </w:r>
          </w:p>
        </w:tc>
        <w:tc>
          <w:tcPr>
            <w:tcW w:w="812" w:type="dxa"/>
            <w:vAlign w:val="center"/>
          </w:tcPr>
          <w:p w14:paraId="180E92BF">
            <w:pPr>
              <w:jc w:val="center"/>
              <w:rPr>
                <w:color w:val="auto"/>
                <w:sz w:val="24"/>
              </w:rPr>
            </w:pPr>
            <w:r>
              <w:rPr>
                <w:rFonts w:hint="eastAsia"/>
                <w:color w:val="auto"/>
                <w:sz w:val="24"/>
              </w:rPr>
              <w:t>6</w:t>
            </w:r>
            <w:r>
              <w:rPr>
                <w:color w:val="auto"/>
                <w:sz w:val="24"/>
              </w:rPr>
              <w:t>分</w:t>
            </w:r>
          </w:p>
        </w:tc>
        <w:tc>
          <w:tcPr>
            <w:tcW w:w="6794" w:type="dxa"/>
            <w:vAlign w:val="center"/>
          </w:tcPr>
          <w:p w14:paraId="1F49FE4C">
            <w:pPr>
              <w:jc w:val="left"/>
              <w:rPr>
                <w:b/>
                <w:bCs/>
                <w:strike/>
                <w:color w:val="auto"/>
                <w:sz w:val="24"/>
              </w:rPr>
            </w:pPr>
            <w:r>
              <w:rPr>
                <w:rFonts w:hint="eastAsia"/>
                <w:color w:val="auto"/>
                <w:sz w:val="24"/>
                <w:szCs w:val="24"/>
              </w:rPr>
              <w:t>其他养护人员（项目负责人除外）具有园林绿化类专业助理工程师（或以上）职称的，每提供1个，得2分。（最多得6分）注：投标文件中须提供相关证书及投标人为其缴纳的近3个月中任意一个月的社保证明材料扫描件，未提供的不得分。</w:t>
            </w:r>
          </w:p>
        </w:tc>
      </w:tr>
      <w:tr w14:paraId="6C74F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4" w:type="dxa"/>
            <w:vAlign w:val="center"/>
          </w:tcPr>
          <w:p w14:paraId="2DADCA63">
            <w:pPr>
              <w:spacing w:line="0" w:lineRule="atLeast"/>
              <w:jc w:val="center"/>
              <w:rPr>
                <w:color w:val="auto"/>
                <w:sz w:val="24"/>
              </w:rPr>
            </w:pPr>
            <w:r>
              <w:rPr>
                <w:rFonts w:hint="eastAsia"/>
                <w:color w:val="auto"/>
                <w:sz w:val="24"/>
              </w:rPr>
              <w:t>3</w:t>
            </w:r>
          </w:p>
        </w:tc>
        <w:tc>
          <w:tcPr>
            <w:tcW w:w="1894" w:type="dxa"/>
            <w:vAlign w:val="center"/>
          </w:tcPr>
          <w:p w14:paraId="7E896676">
            <w:pPr>
              <w:jc w:val="center"/>
              <w:rPr>
                <w:color w:val="auto"/>
                <w:sz w:val="24"/>
              </w:rPr>
            </w:pPr>
            <w:r>
              <w:rPr>
                <w:color w:val="auto"/>
                <w:sz w:val="24"/>
              </w:rPr>
              <w:t>车辆配备</w:t>
            </w:r>
          </w:p>
        </w:tc>
        <w:tc>
          <w:tcPr>
            <w:tcW w:w="812" w:type="dxa"/>
            <w:vAlign w:val="center"/>
          </w:tcPr>
          <w:p w14:paraId="299EC9EB">
            <w:pPr>
              <w:jc w:val="center"/>
              <w:rPr>
                <w:color w:val="auto"/>
                <w:sz w:val="24"/>
              </w:rPr>
            </w:pPr>
            <w:r>
              <w:rPr>
                <w:color w:val="auto"/>
                <w:sz w:val="24"/>
              </w:rPr>
              <w:t>6分</w:t>
            </w:r>
          </w:p>
        </w:tc>
        <w:tc>
          <w:tcPr>
            <w:tcW w:w="6794" w:type="dxa"/>
            <w:vAlign w:val="center"/>
          </w:tcPr>
          <w:p w14:paraId="63CC716A">
            <w:pPr>
              <w:rPr>
                <w:color w:val="auto"/>
                <w:sz w:val="24"/>
              </w:rPr>
            </w:pPr>
            <w:r>
              <w:rPr>
                <w:rFonts w:hint="eastAsia"/>
                <w:color w:val="auto"/>
                <w:sz w:val="24"/>
              </w:rPr>
              <w:t>根据投标人拟为本项目配备车辆情况进行评定：</w:t>
            </w:r>
          </w:p>
          <w:p w14:paraId="2370544D">
            <w:pPr>
              <w:rPr>
                <w:color w:val="auto"/>
                <w:sz w:val="24"/>
              </w:rPr>
            </w:pPr>
            <w:r>
              <w:rPr>
                <w:rFonts w:hint="eastAsia"/>
                <w:color w:val="auto"/>
                <w:sz w:val="24"/>
              </w:rPr>
              <w:t>①每提供1</w:t>
            </w:r>
            <w:r>
              <w:rPr>
                <w:color w:val="auto"/>
                <w:sz w:val="24"/>
              </w:rPr>
              <w:t>辆</w:t>
            </w:r>
            <w:r>
              <w:rPr>
                <w:rFonts w:hint="eastAsia"/>
                <w:color w:val="auto"/>
                <w:sz w:val="24"/>
              </w:rPr>
              <w:t>中型</w:t>
            </w:r>
            <w:r>
              <w:rPr>
                <w:rFonts w:ascii="宋体" w:hAnsi="宋体"/>
                <w:color w:val="auto"/>
                <w:sz w:val="24"/>
              </w:rPr>
              <w:t>/</w:t>
            </w:r>
            <w:r>
              <w:rPr>
                <w:rFonts w:hint="eastAsia"/>
                <w:color w:val="auto"/>
                <w:sz w:val="24"/>
              </w:rPr>
              <w:t>重型专项作业车或中型</w:t>
            </w:r>
            <w:r>
              <w:rPr>
                <w:rFonts w:hint="eastAsia" w:ascii="宋体" w:hAnsi="宋体"/>
                <w:color w:val="auto"/>
                <w:sz w:val="24"/>
              </w:rPr>
              <w:t>/</w:t>
            </w:r>
            <w:r>
              <w:rPr>
                <w:rFonts w:hint="eastAsia"/>
                <w:color w:val="auto"/>
                <w:sz w:val="24"/>
              </w:rPr>
              <w:t>重型罐式货车或中型</w:t>
            </w:r>
            <w:r>
              <w:rPr>
                <w:rFonts w:hint="eastAsia" w:ascii="宋体" w:hAnsi="宋体"/>
                <w:color w:val="auto"/>
                <w:sz w:val="24"/>
              </w:rPr>
              <w:t>/</w:t>
            </w:r>
            <w:r>
              <w:rPr>
                <w:rFonts w:hint="eastAsia"/>
                <w:color w:val="auto"/>
                <w:sz w:val="24"/>
              </w:rPr>
              <w:t>重型普通货车的得1</w:t>
            </w:r>
            <w:r>
              <w:rPr>
                <w:color w:val="auto"/>
                <w:sz w:val="24"/>
              </w:rPr>
              <w:t>分</w:t>
            </w:r>
            <w:r>
              <w:rPr>
                <w:rFonts w:hint="eastAsia"/>
                <w:color w:val="auto"/>
                <w:sz w:val="24"/>
              </w:rPr>
              <w:t>；（</w:t>
            </w:r>
            <w:r>
              <w:rPr>
                <w:color w:val="auto"/>
                <w:sz w:val="24"/>
              </w:rPr>
              <w:t>此类最多</w:t>
            </w:r>
            <w:r>
              <w:rPr>
                <w:rFonts w:hint="eastAsia"/>
                <w:color w:val="auto"/>
                <w:sz w:val="24"/>
              </w:rPr>
              <w:t>得2</w:t>
            </w:r>
            <w:r>
              <w:rPr>
                <w:color w:val="auto"/>
                <w:sz w:val="24"/>
              </w:rPr>
              <w:t>分；</w:t>
            </w:r>
            <w:r>
              <w:rPr>
                <w:rFonts w:hint="eastAsia"/>
                <w:color w:val="auto"/>
                <w:sz w:val="24"/>
              </w:rPr>
              <w:t>）</w:t>
            </w:r>
          </w:p>
          <w:p w14:paraId="016CA61C">
            <w:pPr>
              <w:rPr>
                <w:color w:val="auto"/>
                <w:sz w:val="24"/>
              </w:rPr>
            </w:pPr>
            <w:r>
              <w:rPr>
                <w:rFonts w:hint="eastAsia"/>
                <w:color w:val="auto"/>
                <w:sz w:val="24"/>
              </w:rPr>
              <w:t>②每提供1辆小型/中型普通客车或轻型/小型专项作业车或轻型/小型自卸货车的得</w:t>
            </w:r>
            <w:r>
              <w:rPr>
                <w:color w:val="auto"/>
                <w:sz w:val="24"/>
              </w:rPr>
              <w:t>1</w:t>
            </w:r>
            <w:r>
              <w:rPr>
                <w:rFonts w:hint="eastAsia"/>
                <w:color w:val="auto"/>
                <w:sz w:val="24"/>
              </w:rPr>
              <w:t>分；（</w:t>
            </w:r>
            <w:r>
              <w:rPr>
                <w:color w:val="auto"/>
                <w:sz w:val="24"/>
              </w:rPr>
              <w:t>此类最多</w:t>
            </w:r>
            <w:r>
              <w:rPr>
                <w:rFonts w:hint="eastAsia"/>
                <w:color w:val="auto"/>
                <w:sz w:val="24"/>
              </w:rPr>
              <w:t>得</w:t>
            </w:r>
            <w:r>
              <w:rPr>
                <w:color w:val="auto"/>
                <w:sz w:val="24"/>
              </w:rPr>
              <w:t>2分；</w:t>
            </w:r>
            <w:r>
              <w:rPr>
                <w:rFonts w:hint="eastAsia"/>
                <w:color w:val="auto"/>
                <w:sz w:val="24"/>
              </w:rPr>
              <w:t>）</w:t>
            </w:r>
          </w:p>
          <w:p w14:paraId="64D9C920">
            <w:pPr>
              <w:adjustRightInd w:val="0"/>
              <w:snapToGrid w:val="0"/>
              <w:rPr>
                <w:color w:val="auto"/>
                <w:sz w:val="24"/>
              </w:rPr>
            </w:pPr>
            <w:r>
              <w:rPr>
                <w:rFonts w:hint="eastAsia"/>
                <w:color w:val="auto"/>
                <w:sz w:val="24"/>
              </w:rPr>
              <w:t>③每提供1</w:t>
            </w:r>
            <w:r>
              <w:rPr>
                <w:color w:val="auto"/>
                <w:sz w:val="24"/>
              </w:rPr>
              <w:t>辆小型轿车</w:t>
            </w:r>
            <w:r>
              <w:rPr>
                <w:rFonts w:hint="eastAsia"/>
                <w:color w:val="auto"/>
                <w:sz w:val="24"/>
              </w:rPr>
              <w:t>或轻型普通货车的得</w:t>
            </w:r>
            <w:r>
              <w:rPr>
                <w:color w:val="auto"/>
                <w:sz w:val="24"/>
              </w:rPr>
              <w:t>1分</w:t>
            </w:r>
            <w:r>
              <w:rPr>
                <w:rFonts w:hint="eastAsia"/>
                <w:color w:val="auto"/>
                <w:sz w:val="24"/>
              </w:rPr>
              <w:t>；（</w:t>
            </w:r>
            <w:r>
              <w:rPr>
                <w:rFonts w:hint="eastAsia" w:cs="宋体"/>
                <w:color w:val="auto"/>
                <w:sz w:val="24"/>
                <w:szCs w:val="24"/>
              </w:rPr>
              <w:t>此类最多加2分</w:t>
            </w:r>
            <w:r>
              <w:rPr>
                <w:rFonts w:hint="eastAsia"/>
                <w:color w:val="auto"/>
                <w:sz w:val="24"/>
              </w:rPr>
              <w:t>）。</w:t>
            </w:r>
          </w:p>
          <w:p w14:paraId="57DB9881">
            <w:pPr>
              <w:rPr>
                <w:rFonts w:cs="宋体"/>
                <w:color w:val="auto"/>
                <w:sz w:val="24"/>
                <w:szCs w:val="24"/>
              </w:rPr>
            </w:pPr>
            <w:r>
              <w:rPr>
                <w:rFonts w:hint="eastAsia" w:cs="宋体"/>
                <w:color w:val="auto"/>
                <w:sz w:val="24"/>
                <w:szCs w:val="24"/>
              </w:rPr>
              <w:t>上述</w:t>
            </w:r>
            <w:r>
              <w:rPr>
                <w:rFonts w:cs="宋体"/>
                <w:color w:val="auto"/>
                <w:sz w:val="24"/>
                <w:szCs w:val="24"/>
              </w:rPr>
              <w:t>车</w:t>
            </w:r>
            <w:r>
              <w:rPr>
                <w:color w:val="auto"/>
                <w:sz w:val="24"/>
              </w:rPr>
              <w:t>辆为投标人</w:t>
            </w:r>
            <w:r>
              <w:rPr>
                <w:rFonts w:hint="eastAsia"/>
                <w:color w:val="auto"/>
                <w:sz w:val="24"/>
              </w:rPr>
              <w:t>自有或租赁</w:t>
            </w:r>
            <w:r>
              <w:rPr>
                <w:rFonts w:hint="eastAsia"/>
                <w:color w:val="auto"/>
                <w:sz w:val="24"/>
                <w:lang w:eastAsia="zh-CN"/>
              </w:rPr>
              <w:t>，</w:t>
            </w:r>
            <w:r>
              <w:rPr>
                <w:rFonts w:hint="eastAsia" w:cs="宋体"/>
                <w:color w:val="auto"/>
                <w:sz w:val="24"/>
                <w:szCs w:val="24"/>
              </w:rPr>
              <w:t>没有的不得分。</w:t>
            </w:r>
          </w:p>
          <w:p w14:paraId="6104E5E7">
            <w:pPr>
              <w:rPr>
                <w:b/>
                <w:color w:val="auto"/>
                <w:sz w:val="24"/>
              </w:rPr>
            </w:pPr>
            <w:r>
              <w:rPr>
                <w:rFonts w:hint="eastAsia"/>
                <w:b/>
                <w:color w:val="auto"/>
                <w:sz w:val="24"/>
              </w:rPr>
              <w:t>注：（1）投标文件中提供的车辆为自有的，须提供行驶证、发票及车辆照片，未提供的不得分。</w:t>
            </w:r>
          </w:p>
          <w:p w14:paraId="4E0B4218">
            <w:pPr>
              <w:rPr>
                <w:b/>
                <w:color w:val="auto"/>
                <w:sz w:val="24"/>
              </w:rPr>
            </w:pPr>
            <w:r>
              <w:rPr>
                <w:rFonts w:hint="eastAsia"/>
                <w:b/>
                <w:color w:val="auto"/>
                <w:sz w:val="24"/>
              </w:rPr>
              <w:t>（2）投标文件中提供的车辆为租赁的，须提供租赁合同及车辆照片。</w:t>
            </w:r>
          </w:p>
          <w:p w14:paraId="66001411">
            <w:pPr>
              <w:rPr>
                <w:b/>
                <w:color w:val="auto"/>
                <w:sz w:val="24"/>
                <w:szCs w:val="24"/>
              </w:rPr>
            </w:pPr>
            <w:r>
              <w:rPr>
                <w:rFonts w:hint="eastAsia"/>
                <w:b/>
                <w:color w:val="auto"/>
                <w:sz w:val="24"/>
              </w:rPr>
              <w:t>（3）车辆注册日期是指应机动车行驶证中的注册日期，应在本项目招标公告发出之前。</w:t>
            </w:r>
          </w:p>
        </w:tc>
      </w:tr>
      <w:tr w14:paraId="0E646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4" w:hRule="atLeast"/>
        </w:trPr>
        <w:tc>
          <w:tcPr>
            <w:tcW w:w="714" w:type="dxa"/>
            <w:vAlign w:val="center"/>
          </w:tcPr>
          <w:p w14:paraId="5C801A27">
            <w:pPr>
              <w:spacing w:line="0" w:lineRule="atLeast"/>
              <w:jc w:val="center"/>
              <w:rPr>
                <w:color w:val="auto"/>
                <w:sz w:val="24"/>
              </w:rPr>
            </w:pPr>
            <w:r>
              <w:rPr>
                <w:rFonts w:hint="eastAsia"/>
                <w:color w:val="auto"/>
                <w:sz w:val="24"/>
              </w:rPr>
              <w:t>4</w:t>
            </w:r>
          </w:p>
        </w:tc>
        <w:tc>
          <w:tcPr>
            <w:tcW w:w="1894" w:type="dxa"/>
            <w:vAlign w:val="center"/>
          </w:tcPr>
          <w:p w14:paraId="32F132FA">
            <w:pPr>
              <w:jc w:val="center"/>
              <w:rPr>
                <w:color w:val="auto"/>
                <w:sz w:val="24"/>
              </w:rPr>
            </w:pPr>
            <w:r>
              <w:rPr>
                <w:color w:val="auto"/>
                <w:sz w:val="24"/>
              </w:rPr>
              <w:t>小型机械设备配备</w:t>
            </w:r>
          </w:p>
        </w:tc>
        <w:tc>
          <w:tcPr>
            <w:tcW w:w="812" w:type="dxa"/>
            <w:vAlign w:val="center"/>
          </w:tcPr>
          <w:p w14:paraId="4B7E81FD">
            <w:pPr>
              <w:spacing w:line="520" w:lineRule="exact"/>
              <w:jc w:val="center"/>
              <w:rPr>
                <w:color w:val="auto"/>
                <w:sz w:val="24"/>
              </w:rPr>
            </w:pPr>
            <w:r>
              <w:rPr>
                <w:rFonts w:hint="eastAsia"/>
                <w:color w:val="auto"/>
                <w:sz w:val="24"/>
              </w:rPr>
              <w:t>8</w:t>
            </w:r>
            <w:r>
              <w:rPr>
                <w:color w:val="auto"/>
                <w:sz w:val="24"/>
              </w:rPr>
              <w:t>分</w:t>
            </w:r>
          </w:p>
        </w:tc>
        <w:tc>
          <w:tcPr>
            <w:tcW w:w="6794" w:type="dxa"/>
            <w:vAlign w:val="center"/>
          </w:tcPr>
          <w:p w14:paraId="61A64510">
            <w:pPr>
              <w:rPr>
                <w:color w:val="auto"/>
                <w:sz w:val="24"/>
              </w:rPr>
            </w:pPr>
            <w:r>
              <w:rPr>
                <w:rFonts w:hint="eastAsia"/>
                <w:color w:val="auto"/>
                <w:sz w:val="24"/>
              </w:rPr>
              <w:t>投标人具有</w:t>
            </w:r>
            <w:r>
              <w:rPr>
                <w:color w:val="auto"/>
                <w:sz w:val="24"/>
              </w:rPr>
              <w:t>草坪机、割灌机、油锯、绿篱机、水泵、药水机、粉碎机、喷雾机</w:t>
            </w:r>
            <w:r>
              <w:rPr>
                <w:rFonts w:hint="eastAsia"/>
                <w:color w:val="auto"/>
                <w:sz w:val="24"/>
              </w:rPr>
              <w:t>/喷雾器</w:t>
            </w:r>
            <w:r>
              <w:rPr>
                <w:color w:val="auto"/>
                <w:sz w:val="24"/>
              </w:rPr>
              <w:t>8类设备，每有1台加0.5分，每个类别最多加1分；本项最多加至8分。如缺1类设备则最多加至7分；缺2类设备最多加至6分，以此类推；</w:t>
            </w:r>
            <w:r>
              <w:rPr>
                <w:color w:val="auto"/>
                <w:sz w:val="24"/>
                <w:szCs w:val="24"/>
              </w:rPr>
              <w:t>未作说明的不得分</w:t>
            </w:r>
            <w:r>
              <w:rPr>
                <w:color w:val="auto"/>
                <w:sz w:val="24"/>
              </w:rPr>
              <w:t>。</w:t>
            </w:r>
          </w:p>
          <w:p w14:paraId="6CC9B40D">
            <w:pPr>
              <w:pStyle w:val="15"/>
              <w:ind w:firstLine="0"/>
              <w:rPr>
                <w:color w:val="auto"/>
              </w:rPr>
            </w:pPr>
            <w:r>
              <w:rPr>
                <w:rFonts w:hint="eastAsia"/>
                <w:b/>
                <w:bCs/>
                <w:color w:val="auto"/>
                <w:sz w:val="24"/>
                <w:szCs w:val="24"/>
              </w:rPr>
              <w:t>注：投标文件中提供设备购置发票扫描件，</w:t>
            </w:r>
            <w:r>
              <w:rPr>
                <w:rFonts w:hint="eastAsia"/>
                <w:b/>
                <w:color w:val="auto"/>
                <w:sz w:val="24"/>
                <w:szCs w:val="24"/>
              </w:rPr>
              <w:t>未提供的</w:t>
            </w:r>
            <w:r>
              <w:rPr>
                <w:rFonts w:hint="eastAsia"/>
                <w:b/>
                <w:bCs/>
                <w:color w:val="auto"/>
                <w:sz w:val="24"/>
                <w:szCs w:val="24"/>
              </w:rPr>
              <w:t>不得分。</w:t>
            </w:r>
          </w:p>
        </w:tc>
      </w:tr>
      <w:tr w14:paraId="1A51E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0" w:hRule="atLeast"/>
        </w:trPr>
        <w:tc>
          <w:tcPr>
            <w:tcW w:w="714" w:type="dxa"/>
            <w:vAlign w:val="center"/>
          </w:tcPr>
          <w:p w14:paraId="551CF04A">
            <w:pPr>
              <w:jc w:val="center"/>
              <w:rPr>
                <w:color w:val="auto"/>
                <w:sz w:val="24"/>
                <w:szCs w:val="24"/>
              </w:rPr>
            </w:pPr>
            <w:r>
              <w:rPr>
                <w:rFonts w:hint="eastAsia"/>
                <w:color w:val="auto"/>
                <w:sz w:val="24"/>
                <w:szCs w:val="24"/>
              </w:rPr>
              <w:t>5</w:t>
            </w:r>
          </w:p>
        </w:tc>
        <w:tc>
          <w:tcPr>
            <w:tcW w:w="1894" w:type="dxa"/>
            <w:vAlign w:val="center"/>
          </w:tcPr>
          <w:p w14:paraId="01C1AA76">
            <w:pPr>
              <w:jc w:val="center"/>
              <w:rPr>
                <w:color w:val="auto"/>
                <w:sz w:val="24"/>
              </w:rPr>
            </w:pPr>
            <w:r>
              <w:rPr>
                <w:rFonts w:hint="eastAsia"/>
                <w:color w:val="auto"/>
                <w:sz w:val="24"/>
              </w:rPr>
              <w:t>服务响应承诺</w:t>
            </w:r>
          </w:p>
        </w:tc>
        <w:tc>
          <w:tcPr>
            <w:tcW w:w="812" w:type="dxa"/>
            <w:vAlign w:val="center"/>
          </w:tcPr>
          <w:p w14:paraId="16D5C33E">
            <w:pPr>
              <w:jc w:val="center"/>
              <w:rPr>
                <w:color w:val="auto"/>
                <w:sz w:val="24"/>
              </w:rPr>
            </w:pPr>
            <w:r>
              <w:rPr>
                <w:color w:val="auto"/>
                <w:sz w:val="24"/>
              </w:rPr>
              <w:t>4分</w:t>
            </w:r>
          </w:p>
        </w:tc>
        <w:tc>
          <w:tcPr>
            <w:tcW w:w="6794" w:type="dxa"/>
            <w:vAlign w:val="center"/>
          </w:tcPr>
          <w:p w14:paraId="5F0B54E3">
            <w:pPr>
              <w:pStyle w:val="15"/>
              <w:ind w:firstLine="0"/>
              <w:rPr>
                <w:rFonts w:ascii="Times New Roman"/>
                <w:color w:val="auto"/>
                <w:sz w:val="24"/>
                <w:szCs w:val="24"/>
              </w:rPr>
            </w:pPr>
            <w:r>
              <w:rPr>
                <w:rFonts w:hint="eastAsia" w:ascii="Times New Roman"/>
                <w:color w:val="auto"/>
                <w:sz w:val="24"/>
                <w:szCs w:val="24"/>
              </w:rPr>
              <w:t>根据投标人接到采购人服务通知后的服务响应承诺进行评定。投标人承诺在30分钟（含30分钟）内到达服务现场的得</w:t>
            </w:r>
            <w:r>
              <w:rPr>
                <w:rFonts w:ascii="Times New Roman"/>
                <w:color w:val="auto"/>
                <w:sz w:val="24"/>
                <w:szCs w:val="24"/>
              </w:rPr>
              <w:t>4</w:t>
            </w:r>
            <w:r>
              <w:rPr>
                <w:rFonts w:hint="eastAsia" w:ascii="Times New Roman"/>
                <w:color w:val="auto"/>
                <w:sz w:val="24"/>
                <w:szCs w:val="24"/>
              </w:rPr>
              <w:t>分；承诺在30分钟（不含30分钟）~60分钟（含60分钟）内到达服务现场的得</w:t>
            </w:r>
            <w:r>
              <w:rPr>
                <w:rFonts w:ascii="Times New Roman"/>
                <w:color w:val="auto"/>
                <w:sz w:val="24"/>
                <w:szCs w:val="24"/>
              </w:rPr>
              <w:t>3</w:t>
            </w:r>
            <w:r>
              <w:rPr>
                <w:rFonts w:hint="eastAsia" w:ascii="Times New Roman"/>
                <w:color w:val="auto"/>
                <w:sz w:val="24"/>
                <w:szCs w:val="24"/>
              </w:rPr>
              <w:t>分；承诺在60分钟（不含60分钟）~120分钟（含120分钟）内到达服务现场的得</w:t>
            </w:r>
            <w:r>
              <w:rPr>
                <w:rFonts w:ascii="Times New Roman"/>
                <w:color w:val="auto"/>
                <w:sz w:val="24"/>
                <w:szCs w:val="24"/>
              </w:rPr>
              <w:t>2</w:t>
            </w:r>
            <w:r>
              <w:rPr>
                <w:rFonts w:hint="eastAsia" w:ascii="Times New Roman"/>
                <w:color w:val="auto"/>
                <w:sz w:val="24"/>
                <w:szCs w:val="24"/>
              </w:rPr>
              <w:t>分；超过120分钟的得</w:t>
            </w:r>
            <w:r>
              <w:rPr>
                <w:rFonts w:ascii="Times New Roman"/>
                <w:color w:val="auto"/>
                <w:sz w:val="24"/>
                <w:szCs w:val="24"/>
              </w:rPr>
              <w:t>1</w:t>
            </w:r>
            <w:r>
              <w:rPr>
                <w:rFonts w:hint="eastAsia" w:ascii="Times New Roman"/>
                <w:color w:val="auto"/>
                <w:sz w:val="24"/>
                <w:szCs w:val="24"/>
              </w:rPr>
              <w:t>分。</w:t>
            </w:r>
            <w:r>
              <w:rPr>
                <w:rFonts w:hint="eastAsia" w:ascii="Times New Roman"/>
                <w:b/>
                <w:bCs/>
                <w:color w:val="auto"/>
                <w:sz w:val="24"/>
                <w:szCs w:val="24"/>
              </w:rPr>
              <w:t>未提供承诺书（承诺书格式自拟，但必须加盖投标人公章）的本项不得分。</w:t>
            </w:r>
          </w:p>
        </w:tc>
      </w:tr>
    </w:tbl>
    <w:p w14:paraId="1F43DF2F">
      <w:pPr>
        <w:wordWrap w:val="0"/>
        <w:spacing w:line="440" w:lineRule="exact"/>
        <w:ind w:firstLine="482" w:firstLineChars="200"/>
        <w:rPr>
          <w:rFonts w:ascii="宋体" w:hAnsi="宋体"/>
          <w:b/>
          <w:bCs/>
          <w:color w:val="auto"/>
          <w:sz w:val="24"/>
          <w:szCs w:val="24"/>
        </w:rPr>
      </w:pPr>
      <w:r>
        <w:rPr>
          <w:rFonts w:ascii="宋体" w:hAnsi="宋体"/>
          <w:b/>
          <w:bCs/>
          <w:color w:val="auto"/>
          <w:sz w:val="24"/>
          <w:szCs w:val="24"/>
        </w:rPr>
        <w:t>4</w:t>
      </w:r>
      <w:r>
        <w:rPr>
          <w:rFonts w:hint="eastAsia" w:ascii="宋体" w:hAnsi="宋体"/>
          <w:b/>
          <w:bCs/>
          <w:color w:val="auto"/>
          <w:sz w:val="24"/>
          <w:szCs w:val="24"/>
        </w:rPr>
        <w:t>、综合实力</w:t>
      </w:r>
      <w:r>
        <w:rPr>
          <w:rFonts w:ascii="宋体" w:hAnsi="宋体"/>
          <w:b/>
          <w:bCs/>
          <w:color w:val="auto"/>
          <w:sz w:val="24"/>
          <w:szCs w:val="24"/>
        </w:rPr>
        <w:t>15</w:t>
      </w:r>
      <w:r>
        <w:rPr>
          <w:rFonts w:hint="eastAsia" w:ascii="宋体" w:hAnsi="宋体"/>
          <w:b/>
          <w:bCs/>
          <w:color w:val="auto"/>
          <w:sz w:val="24"/>
          <w:szCs w:val="24"/>
        </w:rPr>
        <w:t>分</w:t>
      </w:r>
    </w:p>
    <w:tbl>
      <w:tblPr>
        <w:tblStyle w:val="39"/>
        <w:tblW w:w="101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89"/>
        <w:gridCol w:w="811"/>
        <w:gridCol w:w="6762"/>
      </w:tblGrid>
      <w:tr w14:paraId="7A01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vAlign w:val="center"/>
          </w:tcPr>
          <w:p w14:paraId="4B830F00">
            <w:pPr>
              <w:spacing w:line="500" w:lineRule="exact"/>
              <w:jc w:val="center"/>
              <w:rPr>
                <w:b/>
                <w:color w:val="auto"/>
                <w:sz w:val="24"/>
                <w:szCs w:val="24"/>
              </w:rPr>
            </w:pPr>
            <w:r>
              <w:rPr>
                <w:b/>
                <w:color w:val="auto"/>
                <w:sz w:val="24"/>
                <w:szCs w:val="24"/>
              </w:rPr>
              <w:t>序号</w:t>
            </w:r>
          </w:p>
        </w:tc>
        <w:tc>
          <w:tcPr>
            <w:tcW w:w="1889" w:type="dxa"/>
            <w:vAlign w:val="center"/>
          </w:tcPr>
          <w:p w14:paraId="4C6913E2">
            <w:pPr>
              <w:spacing w:line="500" w:lineRule="exact"/>
              <w:jc w:val="center"/>
              <w:rPr>
                <w:b/>
                <w:color w:val="auto"/>
                <w:sz w:val="24"/>
                <w:szCs w:val="24"/>
              </w:rPr>
            </w:pPr>
            <w:r>
              <w:rPr>
                <w:b/>
                <w:color w:val="auto"/>
                <w:sz w:val="24"/>
                <w:szCs w:val="24"/>
              </w:rPr>
              <w:t>评审因素</w:t>
            </w:r>
          </w:p>
        </w:tc>
        <w:tc>
          <w:tcPr>
            <w:tcW w:w="811" w:type="dxa"/>
            <w:vAlign w:val="center"/>
          </w:tcPr>
          <w:p w14:paraId="081C0180">
            <w:pPr>
              <w:spacing w:line="500" w:lineRule="exact"/>
              <w:jc w:val="center"/>
              <w:rPr>
                <w:b/>
                <w:color w:val="auto"/>
                <w:sz w:val="24"/>
                <w:szCs w:val="24"/>
              </w:rPr>
            </w:pPr>
            <w:r>
              <w:rPr>
                <w:b/>
                <w:color w:val="auto"/>
                <w:sz w:val="24"/>
                <w:szCs w:val="24"/>
              </w:rPr>
              <w:t>权值</w:t>
            </w:r>
          </w:p>
        </w:tc>
        <w:tc>
          <w:tcPr>
            <w:tcW w:w="6762" w:type="dxa"/>
            <w:vAlign w:val="center"/>
          </w:tcPr>
          <w:p w14:paraId="49613900">
            <w:pPr>
              <w:spacing w:line="500" w:lineRule="exact"/>
              <w:jc w:val="center"/>
              <w:rPr>
                <w:b/>
                <w:color w:val="auto"/>
                <w:sz w:val="24"/>
                <w:szCs w:val="24"/>
              </w:rPr>
            </w:pPr>
            <w:r>
              <w:rPr>
                <w:b/>
                <w:color w:val="auto"/>
                <w:sz w:val="24"/>
                <w:szCs w:val="24"/>
              </w:rPr>
              <w:t>评分标准</w:t>
            </w:r>
          </w:p>
        </w:tc>
      </w:tr>
      <w:tr w14:paraId="5520D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4" w:hRule="atLeast"/>
        </w:trPr>
        <w:tc>
          <w:tcPr>
            <w:tcW w:w="720" w:type="dxa"/>
            <w:vAlign w:val="center"/>
          </w:tcPr>
          <w:p w14:paraId="2C2C55F9">
            <w:pPr>
              <w:jc w:val="center"/>
              <w:rPr>
                <w:color w:val="auto"/>
                <w:sz w:val="24"/>
                <w:szCs w:val="24"/>
              </w:rPr>
            </w:pPr>
            <w:r>
              <w:rPr>
                <w:color w:val="auto"/>
                <w:sz w:val="24"/>
                <w:szCs w:val="24"/>
              </w:rPr>
              <w:t>1</w:t>
            </w:r>
          </w:p>
        </w:tc>
        <w:tc>
          <w:tcPr>
            <w:tcW w:w="1889" w:type="dxa"/>
            <w:vAlign w:val="center"/>
          </w:tcPr>
          <w:p w14:paraId="7E851F42">
            <w:pPr>
              <w:jc w:val="center"/>
              <w:rPr>
                <w:color w:val="auto"/>
                <w:sz w:val="24"/>
                <w:szCs w:val="24"/>
              </w:rPr>
            </w:pPr>
            <w:r>
              <w:rPr>
                <w:color w:val="auto"/>
                <w:sz w:val="24"/>
                <w:szCs w:val="24"/>
                <w:lang w:val="zh-CN"/>
              </w:rPr>
              <w:t>业绩情况</w:t>
            </w:r>
          </w:p>
        </w:tc>
        <w:tc>
          <w:tcPr>
            <w:tcW w:w="811" w:type="dxa"/>
            <w:vAlign w:val="center"/>
          </w:tcPr>
          <w:p w14:paraId="77C22CA8">
            <w:pPr>
              <w:jc w:val="center"/>
              <w:rPr>
                <w:color w:val="auto"/>
                <w:sz w:val="24"/>
              </w:rPr>
            </w:pPr>
            <w:r>
              <w:rPr>
                <w:color w:val="auto"/>
                <w:sz w:val="24"/>
              </w:rPr>
              <w:t>9</w:t>
            </w:r>
            <w:r>
              <w:rPr>
                <w:rFonts w:hint="eastAsia"/>
                <w:color w:val="auto"/>
                <w:sz w:val="24"/>
              </w:rPr>
              <w:t>分</w:t>
            </w:r>
          </w:p>
        </w:tc>
        <w:tc>
          <w:tcPr>
            <w:tcW w:w="6762" w:type="dxa"/>
            <w:vAlign w:val="center"/>
          </w:tcPr>
          <w:p w14:paraId="70626D2E">
            <w:pPr>
              <w:keepNext w:val="0"/>
              <w:keepLines w:val="0"/>
              <w:pageBreakBefore w:val="0"/>
              <w:widowControl w:val="0"/>
              <w:kinsoku/>
              <w:wordWrap/>
              <w:overflowPunct/>
              <w:topLinePunct w:val="0"/>
              <w:autoSpaceDE/>
              <w:autoSpaceDN/>
              <w:bidi w:val="0"/>
              <w:adjustRightInd/>
              <w:snapToGrid/>
              <w:spacing w:line="360" w:lineRule="exact"/>
              <w:textAlignment w:val="auto"/>
              <w:rPr>
                <w:color w:val="auto"/>
                <w:sz w:val="24"/>
                <w:szCs w:val="24"/>
                <w:lang w:val="zh-CN"/>
              </w:rPr>
            </w:pPr>
            <w:r>
              <w:rPr>
                <w:rFonts w:hint="eastAsia"/>
                <w:color w:val="auto"/>
                <w:sz w:val="24"/>
                <w:szCs w:val="24"/>
              </w:rPr>
              <w:t>①</w:t>
            </w:r>
            <w:r>
              <w:rPr>
                <w:color w:val="auto"/>
                <w:sz w:val="24"/>
                <w:szCs w:val="24"/>
              </w:rPr>
              <w:t>根据投标人</w:t>
            </w:r>
            <w:r>
              <w:rPr>
                <w:rFonts w:hint="eastAsia"/>
                <w:color w:val="auto"/>
                <w:sz w:val="24"/>
                <w:szCs w:val="24"/>
              </w:rPr>
              <w:t>2021</w:t>
            </w:r>
            <w:r>
              <w:rPr>
                <w:rFonts w:hint="eastAsia" w:cs="宋体"/>
                <w:color w:val="auto"/>
                <w:sz w:val="24"/>
                <w:szCs w:val="24"/>
              </w:rPr>
              <w:t>年</w:t>
            </w:r>
            <w:r>
              <w:rPr>
                <w:rFonts w:cs="宋体"/>
                <w:color w:val="auto"/>
                <w:sz w:val="24"/>
                <w:szCs w:val="24"/>
              </w:rPr>
              <w:t>1</w:t>
            </w:r>
            <w:r>
              <w:rPr>
                <w:rFonts w:hint="eastAsia" w:cs="宋体"/>
                <w:color w:val="auto"/>
                <w:sz w:val="24"/>
                <w:szCs w:val="24"/>
              </w:rPr>
              <w:t>月1日</w:t>
            </w:r>
            <w:r>
              <w:rPr>
                <w:rFonts w:hint="eastAsia"/>
                <w:bCs/>
                <w:color w:val="auto"/>
                <w:sz w:val="24"/>
                <w:szCs w:val="24"/>
              </w:rPr>
              <w:t>（以合同签订时间为准</w:t>
            </w:r>
            <w:r>
              <w:rPr>
                <w:rFonts w:hint="eastAsia" w:cs="宋体"/>
                <w:color w:val="auto"/>
                <w:sz w:val="24"/>
                <w:szCs w:val="24"/>
              </w:rPr>
              <w:t>）至今</w:t>
            </w:r>
            <w:r>
              <w:rPr>
                <w:rFonts w:hint="eastAsia"/>
                <w:color w:val="auto"/>
                <w:sz w:val="24"/>
                <w:szCs w:val="24"/>
                <w:lang w:val="zh-CN"/>
              </w:rPr>
              <w:t>实施的</w:t>
            </w:r>
            <w:r>
              <w:rPr>
                <w:rFonts w:hint="eastAsia"/>
                <w:color w:val="auto"/>
                <w:sz w:val="24"/>
              </w:rPr>
              <w:t>绿化养护</w:t>
            </w:r>
            <w:r>
              <w:rPr>
                <w:color w:val="auto"/>
                <w:sz w:val="24"/>
              </w:rPr>
              <w:t>服务</w:t>
            </w:r>
            <w:r>
              <w:rPr>
                <w:rFonts w:hint="eastAsia"/>
                <w:color w:val="auto"/>
                <w:sz w:val="24"/>
                <w:szCs w:val="24"/>
                <w:lang w:val="zh-CN"/>
              </w:rPr>
              <w:t>项目</w:t>
            </w:r>
            <w:r>
              <w:rPr>
                <w:color w:val="auto"/>
                <w:sz w:val="24"/>
                <w:szCs w:val="24"/>
                <w:lang w:val="zh-CN"/>
              </w:rPr>
              <w:t>业绩</w:t>
            </w:r>
            <w:r>
              <w:rPr>
                <w:rFonts w:hint="eastAsia"/>
                <w:color w:val="auto"/>
                <w:sz w:val="24"/>
                <w:szCs w:val="24"/>
                <w:lang w:val="zh-CN"/>
              </w:rPr>
              <w:t>情况进行评定，</w:t>
            </w:r>
            <w:r>
              <w:rPr>
                <w:rFonts w:hint="eastAsia"/>
                <w:color w:val="auto"/>
                <w:sz w:val="24"/>
                <w:szCs w:val="24"/>
              </w:rPr>
              <w:t>每提供一个得1分，</w:t>
            </w:r>
            <w:r>
              <w:rPr>
                <w:color w:val="auto"/>
                <w:sz w:val="24"/>
                <w:szCs w:val="24"/>
              </w:rPr>
              <w:t>最高得5分</w:t>
            </w:r>
            <w:r>
              <w:rPr>
                <w:rFonts w:hint="eastAsia"/>
                <w:color w:val="auto"/>
                <w:sz w:val="24"/>
                <w:szCs w:val="24"/>
              </w:rPr>
              <w:t>。</w:t>
            </w:r>
          </w:p>
          <w:p w14:paraId="1695AC86">
            <w:pPr>
              <w:pStyle w:val="195"/>
              <w:keepNext w:val="0"/>
              <w:keepLines w:val="0"/>
              <w:pageBreakBefore w:val="0"/>
              <w:widowControl w:val="0"/>
              <w:kinsoku/>
              <w:wordWrap/>
              <w:overflowPunct/>
              <w:topLinePunct w:val="0"/>
              <w:autoSpaceDE/>
              <w:autoSpaceDN/>
              <w:bidi w:val="0"/>
              <w:adjustRightInd/>
              <w:snapToGrid/>
              <w:spacing w:before="0" w:after="0" w:line="360" w:lineRule="exact"/>
              <w:jc w:val="both"/>
              <w:textAlignment w:val="auto"/>
              <w:outlineLvl w:val="9"/>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②上述绿化养护服务业绩中包括河道堤防绿化养护服务业绩的，每提供一个加1分，最多加4分。</w:t>
            </w:r>
          </w:p>
          <w:p w14:paraId="68D25E81">
            <w:pPr>
              <w:keepNext w:val="0"/>
              <w:keepLines w:val="0"/>
              <w:pageBreakBefore w:val="0"/>
              <w:widowControl w:val="0"/>
              <w:kinsoku/>
              <w:wordWrap/>
              <w:overflowPunct/>
              <w:topLinePunct w:val="0"/>
              <w:autoSpaceDE/>
              <w:autoSpaceDN/>
              <w:bidi w:val="0"/>
              <w:adjustRightInd/>
              <w:snapToGrid/>
              <w:spacing w:line="360" w:lineRule="exact"/>
              <w:textAlignment w:val="auto"/>
              <w:rPr>
                <w:rFonts w:cs="宋体"/>
                <w:b/>
                <w:color w:val="auto"/>
                <w:sz w:val="24"/>
                <w:szCs w:val="24"/>
              </w:rPr>
            </w:pPr>
            <w:r>
              <w:rPr>
                <w:rFonts w:hint="eastAsia"/>
                <w:b/>
                <w:color w:val="auto"/>
                <w:sz w:val="24"/>
                <w:szCs w:val="24"/>
                <w:lang w:val="zh-CN"/>
              </w:rPr>
              <w:t>注：</w:t>
            </w:r>
            <w:r>
              <w:rPr>
                <w:rFonts w:hint="eastAsia" w:cs="宋体"/>
                <w:b/>
                <w:color w:val="auto"/>
                <w:sz w:val="24"/>
                <w:szCs w:val="24"/>
              </w:rPr>
              <w:t>（1）</w:t>
            </w:r>
            <w:r>
              <w:rPr>
                <w:rFonts w:hint="eastAsia"/>
                <w:b/>
                <w:color w:val="auto"/>
                <w:sz w:val="24"/>
                <w:szCs w:val="24"/>
              </w:rPr>
              <w:t>投标文件中须</w:t>
            </w:r>
            <w:r>
              <w:rPr>
                <w:rFonts w:hint="eastAsia" w:cs="宋体"/>
                <w:b/>
                <w:color w:val="auto"/>
                <w:sz w:val="24"/>
                <w:szCs w:val="24"/>
              </w:rPr>
              <w:t>提供相关合同证明材料（</w:t>
            </w:r>
            <w:r>
              <w:rPr>
                <w:rFonts w:hint="eastAsia"/>
                <w:b/>
                <w:color w:val="auto"/>
                <w:sz w:val="24"/>
                <w:szCs w:val="24"/>
              </w:rPr>
              <w:t>包括合同首页、标的金额所在页、签字盖章页</w:t>
            </w:r>
            <w:r>
              <w:rPr>
                <w:rFonts w:hint="eastAsia" w:cs="宋体"/>
                <w:b/>
                <w:color w:val="auto"/>
                <w:sz w:val="24"/>
                <w:szCs w:val="24"/>
              </w:rPr>
              <w:t>）扫描件，未提供的不得分。</w:t>
            </w:r>
          </w:p>
          <w:p w14:paraId="71445BAF">
            <w:pPr>
              <w:keepNext w:val="0"/>
              <w:keepLines w:val="0"/>
              <w:pageBreakBefore w:val="0"/>
              <w:widowControl w:val="0"/>
              <w:kinsoku/>
              <w:wordWrap/>
              <w:overflowPunct/>
              <w:topLinePunct w:val="0"/>
              <w:autoSpaceDE/>
              <w:autoSpaceDN/>
              <w:bidi w:val="0"/>
              <w:adjustRightInd/>
              <w:snapToGrid/>
              <w:spacing w:line="360" w:lineRule="exact"/>
              <w:textAlignment w:val="auto"/>
              <w:rPr>
                <w:rFonts w:cs="宋体"/>
                <w:b/>
                <w:color w:val="auto"/>
                <w:sz w:val="24"/>
                <w:szCs w:val="24"/>
              </w:rPr>
            </w:pPr>
            <w:r>
              <w:rPr>
                <w:rFonts w:hint="eastAsia"/>
                <w:b/>
                <w:color w:val="auto"/>
                <w:sz w:val="24"/>
                <w:szCs w:val="24"/>
              </w:rPr>
              <w:t>（2）同一采购人或单个合同连续年度的按一个业绩计算。</w:t>
            </w:r>
          </w:p>
        </w:tc>
      </w:tr>
      <w:tr w14:paraId="6E62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trPr>
        <w:tc>
          <w:tcPr>
            <w:tcW w:w="720" w:type="dxa"/>
            <w:vAlign w:val="center"/>
          </w:tcPr>
          <w:p w14:paraId="45012244">
            <w:pPr>
              <w:jc w:val="center"/>
              <w:rPr>
                <w:color w:val="auto"/>
                <w:sz w:val="24"/>
                <w:szCs w:val="24"/>
              </w:rPr>
            </w:pPr>
            <w:r>
              <w:rPr>
                <w:color w:val="auto"/>
                <w:sz w:val="24"/>
                <w:szCs w:val="24"/>
              </w:rPr>
              <w:t>2</w:t>
            </w:r>
          </w:p>
        </w:tc>
        <w:tc>
          <w:tcPr>
            <w:tcW w:w="1889" w:type="dxa"/>
            <w:vAlign w:val="center"/>
          </w:tcPr>
          <w:p w14:paraId="66EF36B4">
            <w:pPr>
              <w:jc w:val="center"/>
              <w:rPr>
                <w:color w:val="auto"/>
                <w:sz w:val="24"/>
              </w:rPr>
            </w:pPr>
            <w:r>
              <w:rPr>
                <w:rFonts w:hint="eastAsia"/>
                <w:color w:val="auto"/>
                <w:sz w:val="24"/>
              </w:rPr>
              <w:t>信誉影响</w:t>
            </w:r>
          </w:p>
        </w:tc>
        <w:tc>
          <w:tcPr>
            <w:tcW w:w="811" w:type="dxa"/>
            <w:vAlign w:val="center"/>
          </w:tcPr>
          <w:p w14:paraId="28BE3C3F">
            <w:pPr>
              <w:jc w:val="center"/>
              <w:rPr>
                <w:color w:val="auto"/>
                <w:sz w:val="24"/>
              </w:rPr>
            </w:pPr>
            <w:r>
              <w:rPr>
                <w:color w:val="auto"/>
                <w:sz w:val="24"/>
              </w:rPr>
              <w:t>3分</w:t>
            </w:r>
          </w:p>
        </w:tc>
        <w:tc>
          <w:tcPr>
            <w:tcW w:w="6762" w:type="dxa"/>
            <w:vAlign w:val="center"/>
          </w:tcPr>
          <w:p w14:paraId="3A06914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Times New Roman" w:hAnsi="Times New Roman"/>
                <w:color w:val="auto"/>
                <w:sz w:val="24"/>
                <w:lang w:val="zh-CN"/>
              </w:rPr>
            </w:pPr>
            <w:r>
              <w:rPr>
                <w:rFonts w:hint="eastAsia" w:ascii="Times New Roman" w:hAnsi="Times New Roman"/>
                <w:color w:val="auto"/>
                <w:sz w:val="24"/>
                <w:lang w:val="zh-CN"/>
              </w:rPr>
              <w:t>根据投标人提供的与上述业绩相对应的客户评价表进行评定，每提供一份评价为优良（或满意）的得1分，最多得3分。评价一般或以下的不得分。</w:t>
            </w:r>
          </w:p>
          <w:p w14:paraId="7BB904A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Times New Roman" w:hAnsi="Times New Roman"/>
                <w:color w:val="auto"/>
                <w:sz w:val="24"/>
                <w:lang w:val="zh-CN"/>
              </w:rPr>
            </w:pPr>
            <w:r>
              <w:rPr>
                <w:rFonts w:hint="eastAsia" w:ascii="Times New Roman" w:hAnsi="Times New Roman"/>
                <w:color w:val="auto"/>
                <w:sz w:val="24"/>
                <w:lang w:val="zh-CN"/>
              </w:rPr>
              <w:t>注：（</w:t>
            </w:r>
            <w:r>
              <w:rPr>
                <w:rFonts w:hint="eastAsia" w:ascii="Times New Roman" w:hAnsi="Times New Roman"/>
                <w:color w:val="auto"/>
                <w:sz w:val="24"/>
              </w:rPr>
              <w:t>1</w:t>
            </w:r>
            <w:r>
              <w:rPr>
                <w:rFonts w:hint="eastAsia" w:ascii="Times New Roman" w:hAnsi="Times New Roman"/>
                <w:color w:val="auto"/>
                <w:sz w:val="24"/>
                <w:lang w:val="zh-CN"/>
              </w:rPr>
              <w:t>）同一单位的评价意见表只计一份。</w:t>
            </w:r>
          </w:p>
          <w:p w14:paraId="76213C4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color w:val="auto"/>
                <w:sz w:val="24"/>
              </w:rPr>
            </w:pPr>
            <w:r>
              <w:rPr>
                <w:rFonts w:hint="eastAsia" w:ascii="Times New Roman" w:hAnsi="Times New Roman"/>
                <w:color w:val="auto"/>
                <w:sz w:val="24"/>
              </w:rPr>
              <w:t>（2）客户评价表须有相对应客户的公章。</w:t>
            </w:r>
          </w:p>
        </w:tc>
      </w:tr>
      <w:tr w14:paraId="1F8FD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720" w:type="dxa"/>
            <w:vAlign w:val="center"/>
          </w:tcPr>
          <w:p w14:paraId="4AB90A6A">
            <w:pPr>
              <w:jc w:val="center"/>
              <w:rPr>
                <w:color w:val="auto"/>
                <w:sz w:val="24"/>
                <w:szCs w:val="24"/>
              </w:rPr>
            </w:pPr>
            <w:r>
              <w:rPr>
                <w:color w:val="auto"/>
                <w:sz w:val="24"/>
                <w:szCs w:val="24"/>
              </w:rPr>
              <w:t>3</w:t>
            </w:r>
          </w:p>
        </w:tc>
        <w:tc>
          <w:tcPr>
            <w:tcW w:w="1889" w:type="dxa"/>
            <w:vAlign w:val="center"/>
          </w:tcPr>
          <w:p w14:paraId="0DE30767">
            <w:pPr>
              <w:jc w:val="center"/>
              <w:rPr>
                <w:color w:val="auto"/>
                <w:sz w:val="24"/>
              </w:rPr>
            </w:pPr>
            <w:r>
              <w:rPr>
                <w:color w:val="auto"/>
                <w:sz w:val="24"/>
              </w:rPr>
              <w:t>商务条件响应性</w:t>
            </w:r>
          </w:p>
        </w:tc>
        <w:tc>
          <w:tcPr>
            <w:tcW w:w="811" w:type="dxa"/>
            <w:vAlign w:val="center"/>
          </w:tcPr>
          <w:p w14:paraId="08983449">
            <w:pPr>
              <w:jc w:val="center"/>
              <w:rPr>
                <w:color w:val="auto"/>
                <w:sz w:val="24"/>
              </w:rPr>
            </w:pPr>
            <w:r>
              <w:rPr>
                <w:color w:val="auto"/>
                <w:sz w:val="24"/>
              </w:rPr>
              <w:t>3分</w:t>
            </w:r>
          </w:p>
        </w:tc>
        <w:tc>
          <w:tcPr>
            <w:tcW w:w="6762" w:type="dxa"/>
            <w:vAlign w:val="center"/>
          </w:tcPr>
          <w:p w14:paraId="6C438557">
            <w:pPr>
              <w:keepNext w:val="0"/>
              <w:keepLines w:val="0"/>
              <w:pageBreakBefore w:val="0"/>
              <w:widowControl w:val="0"/>
              <w:kinsoku/>
              <w:wordWrap/>
              <w:overflowPunct/>
              <w:topLinePunct w:val="0"/>
              <w:autoSpaceDE/>
              <w:autoSpaceDN/>
              <w:bidi w:val="0"/>
              <w:adjustRightInd/>
              <w:snapToGrid/>
              <w:spacing w:line="360" w:lineRule="exact"/>
              <w:textAlignment w:val="auto"/>
              <w:rPr>
                <w:color w:val="auto"/>
                <w:sz w:val="24"/>
              </w:rPr>
            </w:pPr>
            <w:r>
              <w:rPr>
                <w:color w:val="auto"/>
                <w:sz w:val="24"/>
                <w:szCs w:val="24"/>
              </w:rPr>
              <w:t>投标人对招标文件中合同条款等商务条件完全响应的得3分；有</w:t>
            </w:r>
            <w:r>
              <w:rPr>
                <w:rFonts w:hint="eastAsia"/>
                <w:color w:val="auto"/>
                <w:sz w:val="24"/>
                <w:szCs w:val="24"/>
              </w:rPr>
              <w:t>负偏离的</w:t>
            </w:r>
            <w:r>
              <w:rPr>
                <w:color w:val="auto"/>
                <w:sz w:val="24"/>
                <w:szCs w:val="24"/>
              </w:rPr>
              <w:t>条款，每条扣</w:t>
            </w:r>
            <w:r>
              <w:rPr>
                <w:rFonts w:hint="eastAsia"/>
                <w:color w:val="auto"/>
                <w:sz w:val="24"/>
                <w:szCs w:val="24"/>
              </w:rPr>
              <w:t>0.2</w:t>
            </w:r>
            <w:r>
              <w:rPr>
                <w:color w:val="auto"/>
                <w:sz w:val="24"/>
                <w:szCs w:val="24"/>
              </w:rPr>
              <w:t>分</w:t>
            </w:r>
            <w:r>
              <w:rPr>
                <w:rFonts w:hint="eastAsia"/>
                <w:color w:val="auto"/>
                <w:sz w:val="24"/>
                <w:szCs w:val="24"/>
              </w:rPr>
              <w:t>，扣完</w:t>
            </w:r>
            <w:r>
              <w:rPr>
                <w:color w:val="auto"/>
                <w:sz w:val="24"/>
                <w:szCs w:val="24"/>
              </w:rPr>
              <w:t>为止。</w:t>
            </w:r>
          </w:p>
        </w:tc>
      </w:tr>
    </w:tbl>
    <w:p w14:paraId="4F5C4FAF">
      <w:pPr>
        <w:spacing w:line="440" w:lineRule="exact"/>
        <w:ind w:firstLine="562"/>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三、政府采购政策：</w:t>
      </w:r>
    </w:p>
    <w:p w14:paraId="3AF967F4">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1、落实政府采购政策需满足的资格要求：</w:t>
      </w:r>
    </w:p>
    <w:p w14:paraId="1EA0A922">
      <w:pPr>
        <w:spacing w:line="440" w:lineRule="exact"/>
        <w:ind w:firstLine="482"/>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（1）</w:t>
      </w:r>
      <w:r>
        <w:rPr>
          <w:b/>
          <w:bCs/>
          <w:color w:val="000000" w:themeColor="text1"/>
          <w:sz w:val="24"/>
          <w:szCs w:val="24"/>
          <w14:textFill>
            <w14:solidFill>
              <w14:schemeClr w14:val="tx1"/>
            </w14:solidFill>
          </w14:textFill>
        </w:rPr>
        <w:t>本项目专门面向中小企业采购，所属行业为</w:t>
      </w:r>
      <w:r>
        <w:rPr>
          <w:rFonts w:hint="eastAsia"/>
          <w:b/>
          <w:bCs/>
          <w:color w:val="000000" w:themeColor="text1"/>
          <w:sz w:val="24"/>
          <w:szCs w:val="24"/>
          <w14:textFill>
            <w14:solidFill>
              <w14:schemeClr w14:val="tx1"/>
            </w14:solidFill>
          </w14:textFill>
        </w:rPr>
        <w:t>其他未列明行业</w:t>
      </w:r>
      <w:r>
        <w:rPr>
          <w:b/>
          <w:bCs/>
          <w:color w:val="000000" w:themeColor="text1"/>
          <w:sz w:val="24"/>
          <w:szCs w:val="24"/>
          <w14:textFill>
            <w14:solidFill>
              <w14:schemeClr w14:val="tx1"/>
            </w14:solidFill>
          </w14:textFill>
        </w:rPr>
        <w:t>。</w:t>
      </w:r>
    </w:p>
    <w:p w14:paraId="7B64D868">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（2）在投标文件中须提供《中小企业声明函》。（填报严格按工信部联企业〔2011〕300号通知中的《中小企业划型标准规定》进行）</w:t>
      </w:r>
    </w:p>
    <w:p w14:paraId="519543DB">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AAC71B3">
      <w:pPr>
        <w:spacing w:line="44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4</w:t>
      </w:r>
      <w:r>
        <w:rPr>
          <w:rFonts w:hint="eastAsia"/>
          <w:color w:val="000000" w:themeColor="text1"/>
          <w:sz w:val="24"/>
          <w:szCs w:val="24"/>
          <w14:textFill>
            <w14:solidFill>
              <w14:schemeClr w14:val="tx1"/>
            </w14:solidFill>
          </w14:textFill>
        </w:rPr>
        <w:t>）本项目专门面向中小企业采购应符合下列情形</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供应商提供的货物由中小企业制造，即货物由中小企业生产且使用该中小企业商号或者注册商标。如既有中小企业制造货物，也有大型企业制造货物的则不予认定。</w:t>
      </w:r>
    </w:p>
    <w:p w14:paraId="733CE23B">
      <w:pPr>
        <w:spacing w:line="44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5</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享受政府采购支持政策的残疾人福利性单位应当同时满足以下条件：</w:t>
      </w:r>
    </w:p>
    <w:p w14:paraId="37F68C92">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安置的残疾人占本单位在职职工人数的比例不低于25%（含25%），并且安置的残疾人人数不少于10人（含10人）；依法与安置的每位残疾人签订了一年以上（含一年）的劳动合同或服务协议；</w:t>
      </w:r>
    </w:p>
    <w:p w14:paraId="25832262">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7E65B1A8">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提供本单位制造的货物、承担的工程或者服务，或者提供其他残疾人福利性单位制造的货物（不包括使用非残疾人福利性单位注册商标的货物）。</w:t>
      </w:r>
    </w:p>
    <w:p w14:paraId="6184D32A">
      <w:pPr>
        <w:spacing w:line="44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906071C">
      <w:pPr>
        <w:spacing w:line="44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6</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政府采购法</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相关规定处理并报请政府监管部门给予行政处罚。</w:t>
      </w:r>
    </w:p>
    <w:p w14:paraId="79D0DBEF">
      <w:pPr>
        <w:autoSpaceDE w:val="0"/>
        <w:autoSpaceDN w:val="0"/>
        <w:spacing w:before="240" w:beforeLines="100" w:after="240" w:afterLines="100" w:line="440" w:lineRule="exact"/>
        <w:ind w:firstLine="480" w:firstLineChars="200"/>
        <w:jc w:val="center"/>
        <w:outlineLvl w:val="0"/>
        <w:rPr>
          <w:rFonts w:ascii="黑体" w:hAnsi="Courier New" w:eastAsia="黑体" w:cs="Courier New"/>
          <w:bCs/>
          <w:color w:val="000000" w:themeColor="text1"/>
          <w:sz w:val="44"/>
          <w:szCs w:val="21"/>
          <w14:textFill>
            <w14:solidFill>
              <w14:schemeClr w14:val="tx1"/>
            </w14:solidFill>
          </w14:textFill>
        </w:rPr>
      </w:pPr>
      <w:r>
        <w:rPr>
          <w:color w:val="000000" w:themeColor="text1"/>
          <w:sz w:val="24"/>
          <w:szCs w:val="24"/>
          <w14:textFill>
            <w14:solidFill>
              <w14:schemeClr w14:val="tx1"/>
            </w14:solidFill>
          </w14:textFill>
        </w:rPr>
        <w:br w:type="page"/>
      </w:r>
      <w:bookmarkStart w:id="205" w:name="_Toc15306"/>
      <w:r>
        <w:rPr>
          <w:rFonts w:hint="eastAsia" w:ascii="黑体" w:hAnsi="Courier New" w:eastAsia="黑体" w:cs="Courier New"/>
          <w:bCs/>
          <w:color w:val="000000" w:themeColor="text1"/>
          <w:sz w:val="44"/>
          <w:szCs w:val="21"/>
          <w14:textFill>
            <w14:solidFill>
              <w14:schemeClr w14:val="tx1"/>
            </w14:solidFill>
          </w14:textFill>
        </w:rPr>
        <w:t>第六章  投标</w:t>
      </w:r>
      <w:bookmarkEnd w:id="196"/>
      <w:bookmarkEnd w:id="197"/>
      <w:bookmarkEnd w:id="198"/>
      <w:r>
        <w:rPr>
          <w:rFonts w:hint="eastAsia" w:ascii="黑体" w:hAnsi="Courier New" w:eastAsia="黑体" w:cs="Courier New"/>
          <w:bCs/>
          <w:color w:val="000000" w:themeColor="text1"/>
          <w:sz w:val="44"/>
          <w:szCs w:val="21"/>
          <w14:textFill>
            <w14:solidFill>
              <w14:schemeClr w14:val="tx1"/>
            </w14:solidFill>
          </w14:textFill>
        </w:rPr>
        <w:t>文件格式</w:t>
      </w:r>
      <w:bookmarkEnd w:id="205"/>
      <w:r>
        <w:rPr>
          <w:rFonts w:hint="eastAsia" w:ascii="黑体" w:hAnsi="Courier New" w:eastAsia="黑体" w:cs="Courier New"/>
          <w:bCs/>
          <w:color w:val="000000" w:themeColor="text1"/>
          <w:sz w:val="44"/>
          <w:szCs w:val="21"/>
          <w14:textFill>
            <w14:solidFill>
              <w14:schemeClr w14:val="tx1"/>
            </w14:solidFill>
          </w14:textFill>
        </w:rPr>
        <w:t xml:space="preserve"> </w:t>
      </w:r>
    </w:p>
    <w:p w14:paraId="4C702773">
      <w:pPr>
        <w:ind w:firstLine="1446"/>
        <w:jc w:val="center"/>
        <w:rPr>
          <w:rFonts w:ascii="宋体" w:hAnsi="宋体"/>
          <w:b/>
          <w:color w:val="000000" w:themeColor="text1"/>
          <w:sz w:val="72"/>
          <w:szCs w:val="21"/>
          <w14:textFill>
            <w14:solidFill>
              <w14:schemeClr w14:val="tx1"/>
            </w14:solidFill>
          </w14:textFill>
        </w:rPr>
      </w:pPr>
      <w:bookmarkStart w:id="206" w:name="_Hlt26955039"/>
      <w:bookmarkEnd w:id="206"/>
      <w:bookmarkStart w:id="207" w:name="_Hlt26671244"/>
      <w:bookmarkEnd w:id="207"/>
      <w:bookmarkStart w:id="208" w:name="_Toc49090576"/>
      <w:bookmarkStart w:id="209" w:name="_Toc26554094"/>
      <w:bookmarkStart w:id="210" w:name="_Toc120614282"/>
    </w:p>
    <w:p w14:paraId="242BFE9B">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投  标  文  件</w:t>
      </w:r>
    </w:p>
    <w:p w14:paraId="48BB1BA4">
      <w:pPr>
        <w:ind w:firstLine="1446"/>
        <w:jc w:val="center"/>
        <w:rPr>
          <w:rFonts w:ascii="宋体" w:hAnsi="宋体"/>
          <w:b/>
          <w:color w:val="000000" w:themeColor="text1"/>
          <w:sz w:val="72"/>
          <w:szCs w:val="21"/>
          <w14:textFill>
            <w14:solidFill>
              <w14:schemeClr w14:val="tx1"/>
            </w14:solidFill>
          </w14:textFill>
        </w:rPr>
      </w:pPr>
    </w:p>
    <w:p w14:paraId="7547A46E">
      <w:pPr>
        <w:ind w:firstLine="1446"/>
        <w:jc w:val="center"/>
        <w:rPr>
          <w:rFonts w:ascii="宋体" w:hAnsi="宋体"/>
          <w:b/>
          <w:color w:val="000000" w:themeColor="text1"/>
          <w:sz w:val="72"/>
          <w:szCs w:val="21"/>
          <w14:textFill>
            <w14:solidFill>
              <w14:schemeClr w14:val="tx1"/>
            </w14:solidFill>
          </w14:textFill>
        </w:rPr>
      </w:pPr>
    </w:p>
    <w:p w14:paraId="3C44F937">
      <w:pPr>
        <w:ind w:firstLine="723"/>
        <w:jc w:val="center"/>
        <w:rPr>
          <w:rFonts w:ascii="宋体" w:hAnsi="宋体"/>
          <w:b/>
          <w:color w:val="000000" w:themeColor="text1"/>
          <w:sz w:val="36"/>
          <w:szCs w:val="21"/>
          <w14:textFill>
            <w14:solidFill>
              <w14:schemeClr w14:val="tx1"/>
            </w14:solidFill>
          </w14:textFill>
        </w:rPr>
      </w:pPr>
    </w:p>
    <w:p w14:paraId="0F004173">
      <w:pPr>
        <w:ind w:firstLine="723"/>
        <w:jc w:val="center"/>
        <w:rPr>
          <w:rFonts w:ascii="宋体" w:hAnsi="宋体"/>
          <w:b/>
          <w:color w:val="000000" w:themeColor="text1"/>
          <w:sz w:val="36"/>
          <w:szCs w:val="21"/>
          <w14:textFill>
            <w14:solidFill>
              <w14:schemeClr w14:val="tx1"/>
            </w14:solidFill>
          </w14:textFill>
        </w:rPr>
      </w:pPr>
    </w:p>
    <w:p w14:paraId="3E233ED7">
      <w:pPr>
        <w:ind w:firstLine="723"/>
        <w:jc w:val="center"/>
        <w:rPr>
          <w:rFonts w:ascii="宋体" w:hAnsi="宋体"/>
          <w:b/>
          <w:color w:val="000000" w:themeColor="text1"/>
          <w:sz w:val="36"/>
          <w:szCs w:val="21"/>
          <w14:textFill>
            <w14:solidFill>
              <w14:schemeClr w14:val="tx1"/>
            </w14:solidFill>
          </w14:textFill>
        </w:rPr>
      </w:pPr>
    </w:p>
    <w:p w14:paraId="44126ED3">
      <w:pPr>
        <w:spacing w:line="480" w:lineRule="exact"/>
        <w:ind w:firstLine="803" w:firstLineChars="200"/>
        <w:rPr>
          <w:rFonts w:hint="eastAsia" w:ascii="宋体" w:hAnsi="宋体" w:eastAsia="宋体"/>
          <w:b/>
          <w:color w:val="000000" w:themeColor="text1"/>
          <w:sz w:val="40"/>
          <w:lang w:eastAsia="zh-CN"/>
          <w14:textFill>
            <w14:solidFill>
              <w14:schemeClr w14:val="tx1"/>
            </w14:solidFill>
          </w14:textFill>
        </w:rPr>
      </w:pPr>
      <w:r>
        <w:rPr>
          <w:rFonts w:hint="eastAsia" w:ascii="宋体" w:hAnsi="宋体"/>
          <w:b/>
          <w:color w:val="000000" w:themeColor="text1"/>
          <w:sz w:val="40"/>
          <w14:textFill>
            <w14:solidFill>
              <w14:schemeClr w14:val="tx1"/>
            </w14:solidFill>
          </w14:textFill>
        </w:rPr>
        <w:t>项 目 名 称：</w:t>
      </w:r>
      <w:r>
        <w:rPr>
          <w:rFonts w:hint="eastAsia" w:ascii="宋体" w:hAnsi="宋体"/>
          <w:b/>
          <w:color w:val="000000" w:themeColor="text1"/>
          <w:sz w:val="36"/>
          <w:szCs w:val="24"/>
          <w:lang w:eastAsia="zh-CN"/>
          <w14:textFill>
            <w14:solidFill>
              <w14:schemeClr w14:val="tx1"/>
            </w14:solidFill>
          </w14:textFill>
        </w:rPr>
        <w:t>2024-2025年度市级河道绿化养护</w:t>
      </w:r>
    </w:p>
    <w:p w14:paraId="7DB6C9D7">
      <w:pPr>
        <w:spacing w:line="480" w:lineRule="exact"/>
        <w:ind w:firstLine="803"/>
        <w:rPr>
          <w:rFonts w:ascii="宋体" w:hAnsi="宋体"/>
          <w:b/>
          <w:color w:val="000000" w:themeColor="text1"/>
          <w:sz w:val="40"/>
          <w14:textFill>
            <w14:solidFill>
              <w14:schemeClr w14:val="tx1"/>
            </w14:solidFill>
          </w14:textFill>
        </w:rPr>
      </w:pPr>
    </w:p>
    <w:p w14:paraId="0ACA1185">
      <w:pPr>
        <w:spacing w:line="480" w:lineRule="exact"/>
        <w:ind w:firstLine="803" w:firstLineChars="200"/>
        <w:rPr>
          <w:rFonts w:hint="eastAsia" w:ascii="宋体" w:hAnsi="宋体" w:eastAsia="宋体"/>
          <w:b/>
          <w:color w:val="000000" w:themeColor="text1"/>
          <w:sz w:val="40"/>
          <w:u w:val="single"/>
          <w:lang w:eastAsia="zh-CN"/>
          <w14:textFill>
            <w14:solidFill>
              <w14:schemeClr w14:val="tx1"/>
            </w14:solidFill>
          </w14:textFill>
        </w:rPr>
      </w:pPr>
      <w:r>
        <w:rPr>
          <w:rFonts w:hint="eastAsia" w:ascii="宋体" w:hAnsi="宋体"/>
          <w:b/>
          <w:color w:val="000000" w:themeColor="text1"/>
          <w:sz w:val="40"/>
          <w14:textFill>
            <w14:solidFill>
              <w14:schemeClr w14:val="tx1"/>
            </w14:solidFill>
          </w14:textFill>
        </w:rPr>
        <w:t>项 目 编 号：</w:t>
      </w:r>
      <w:r>
        <w:rPr>
          <w:rFonts w:hint="eastAsia" w:ascii="宋体" w:hAnsi="宋体"/>
          <w:b/>
          <w:color w:val="000000" w:themeColor="text1"/>
          <w:sz w:val="36"/>
          <w:szCs w:val="24"/>
          <w:lang w:eastAsia="zh-CN"/>
          <w14:textFill>
            <w14:solidFill>
              <w14:schemeClr w14:val="tx1"/>
            </w14:solidFill>
          </w14:textFill>
        </w:rPr>
        <w:t>JSZC-320581-SZXY-G2024-0043</w:t>
      </w:r>
    </w:p>
    <w:p w14:paraId="4E7CD8B3">
      <w:pPr>
        <w:spacing w:line="480" w:lineRule="exact"/>
        <w:ind w:firstLine="803"/>
        <w:rPr>
          <w:rFonts w:ascii="宋体" w:hAnsi="宋体"/>
          <w:b/>
          <w:color w:val="000000" w:themeColor="text1"/>
          <w:sz w:val="40"/>
          <w14:textFill>
            <w14:solidFill>
              <w14:schemeClr w14:val="tx1"/>
            </w14:solidFill>
          </w14:textFill>
        </w:rPr>
      </w:pPr>
    </w:p>
    <w:p w14:paraId="26B573B6">
      <w:pPr>
        <w:spacing w:line="480" w:lineRule="exact"/>
        <w:ind w:firstLine="803"/>
        <w:rPr>
          <w:rFonts w:ascii="宋体" w:hAnsi="宋体"/>
          <w:b/>
          <w:color w:val="000000" w:themeColor="text1"/>
          <w:sz w:val="40"/>
          <w14:textFill>
            <w14:solidFill>
              <w14:schemeClr w14:val="tx1"/>
            </w14:solidFill>
          </w14:textFill>
        </w:rPr>
      </w:pPr>
    </w:p>
    <w:p w14:paraId="0D1C25D6">
      <w:pPr>
        <w:spacing w:line="480" w:lineRule="exact"/>
        <w:ind w:firstLine="803"/>
        <w:rPr>
          <w:rFonts w:ascii="宋体" w:hAnsi="宋体"/>
          <w:b/>
          <w:color w:val="000000" w:themeColor="text1"/>
          <w:sz w:val="40"/>
          <w14:textFill>
            <w14:solidFill>
              <w14:schemeClr w14:val="tx1"/>
            </w14:solidFill>
          </w14:textFill>
        </w:rPr>
      </w:pPr>
    </w:p>
    <w:p w14:paraId="7BD7D1CC">
      <w:pPr>
        <w:spacing w:line="480" w:lineRule="exact"/>
        <w:ind w:firstLine="803"/>
        <w:rPr>
          <w:rFonts w:ascii="宋体" w:hAnsi="宋体"/>
          <w:b/>
          <w:color w:val="000000" w:themeColor="text1"/>
          <w:sz w:val="40"/>
          <w14:textFill>
            <w14:solidFill>
              <w14:schemeClr w14:val="tx1"/>
            </w14:solidFill>
          </w14:textFill>
        </w:rPr>
      </w:pPr>
    </w:p>
    <w:p w14:paraId="432849FA">
      <w:pPr>
        <w:spacing w:line="480" w:lineRule="exact"/>
        <w:ind w:firstLine="803"/>
        <w:rPr>
          <w:rFonts w:ascii="宋体" w:hAnsi="宋体"/>
          <w:b/>
          <w:color w:val="000000" w:themeColor="text1"/>
          <w:sz w:val="40"/>
          <w14:textFill>
            <w14:solidFill>
              <w14:schemeClr w14:val="tx1"/>
            </w14:solidFill>
          </w14:textFill>
        </w:rPr>
      </w:pPr>
    </w:p>
    <w:p w14:paraId="684B530C">
      <w:pPr>
        <w:spacing w:line="480" w:lineRule="exact"/>
        <w:ind w:firstLine="803"/>
        <w:rPr>
          <w:rFonts w:ascii="宋体" w:hAnsi="宋体"/>
          <w:b/>
          <w:color w:val="000000" w:themeColor="text1"/>
          <w:sz w:val="40"/>
          <w14:textFill>
            <w14:solidFill>
              <w14:schemeClr w14:val="tx1"/>
            </w14:solidFill>
          </w14:textFill>
        </w:rPr>
      </w:pPr>
    </w:p>
    <w:p w14:paraId="736DFE1B">
      <w:pPr>
        <w:spacing w:line="480" w:lineRule="exact"/>
        <w:ind w:firstLine="803"/>
        <w:rPr>
          <w:rFonts w:ascii="宋体" w:hAnsi="宋体"/>
          <w:b/>
          <w:color w:val="000000" w:themeColor="text1"/>
          <w:sz w:val="40"/>
          <w14:textFill>
            <w14:solidFill>
              <w14:schemeClr w14:val="tx1"/>
            </w14:solidFill>
          </w14:textFill>
        </w:rPr>
      </w:pPr>
    </w:p>
    <w:p w14:paraId="1159D451">
      <w:pPr>
        <w:spacing w:line="480" w:lineRule="exact"/>
        <w:ind w:firstLine="803"/>
        <w:rPr>
          <w:rFonts w:ascii="宋体" w:hAnsi="宋体"/>
          <w:b/>
          <w:color w:val="000000" w:themeColor="text1"/>
          <w:sz w:val="40"/>
          <w14:textFill>
            <w14:solidFill>
              <w14:schemeClr w14:val="tx1"/>
            </w14:solidFill>
          </w14:textFill>
        </w:rPr>
      </w:pPr>
    </w:p>
    <w:p w14:paraId="604501B9">
      <w:pPr>
        <w:spacing w:line="480" w:lineRule="exact"/>
        <w:jc w:val="center"/>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投标人名称 ：</w:t>
      </w:r>
      <w:r>
        <w:rPr>
          <w:rFonts w:hint="eastAsia" w:ascii="宋体" w:hAnsi="宋体"/>
          <w:b/>
          <w:color w:val="000000" w:themeColor="text1"/>
          <w:sz w:val="40"/>
          <w:u w:val="single"/>
          <w14:textFill>
            <w14:solidFill>
              <w14:schemeClr w14:val="tx1"/>
            </w14:solidFill>
          </w14:textFill>
        </w:rPr>
        <w:t>（加盖CA电子公章）</w:t>
      </w:r>
    </w:p>
    <w:p w14:paraId="5D91D689">
      <w:pPr>
        <w:spacing w:line="480" w:lineRule="exact"/>
        <w:ind w:firstLine="803"/>
        <w:jc w:val="center"/>
        <w:rPr>
          <w:rFonts w:ascii="宋体" w:hAnsi="宋体"/>
          <w:b/>
          <w:color w:val="000000" w:themeColor="text1"/>
          <w:sz w:val="40"/>
          <w14:textFill>
            <w14:solidFill>
              <w14:schemeClr w14:val="tx1"/>
            </w14:solidFill>
          </w14:textFill>
        </w:rPr>
      </w:pPr>
    </w:p>
    <w:p w14:paraId="442D6CCA">
      <w:pPr>
        <w:spacing w:line="480" w:lineRule="exact"/>
        <w:jc w:val="center"/>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日      期 ：</w:t>
      </w:r>
      <w:r>
        <w:rPr>
          <w:rFonts w:hint="eastAsia" w:ascii="宋体" w:hAnsi="宋体"/>
          <w:b/>
          <w:color w:val="000000" w:themeColor="text1"/>
          <w:sz w:val="36"/>
          <w:szCs w:val="24"/>
          <w14:textFill>
            <w14:solidFill>
              <w14:schemeClr w14:val="tx1"/>
            </w14:solidFill>
          </w14:textFill>
        </w:rPr>
        <w:t>202</w:t>
      </w:r>
      <w:r>
        <w:rPr>
          <w:rFonts w:ascii="宋体" w:hAnsi="宋体"/>
          <w:b/>
          <w:color w:val="000000" w:themeColor="text1"/>
          <w:sz w:val="36"/>
          <w:szCs w:val="24"/>
          <w14:textFill>
            <w14:solidFill>
              <w14:schemeClr w14:val="tx1"/>
            </w14:solidFill>
          </w14:textFill>
        </w:rPr>
        <w:t>4</w:t>
      </w:r>
      <w:r>
        <w:rPr>
          <w:b/>
          <w:color w:val="000000" w:themeColor="text1"/>
          <w:sz w:val="40"/>
          <w:szCs w:val="40"/>
          <w14:textFill>
            <w14:solidFill>
              <w14:schemeClr w14:val="tx1"/>
            </w14:solidFill>
          </w14:textFill>
        </w:rPr>
        <w:t>年</w:t>
      </w:r>
      <w:r>
        <w:rPr>
          <w:rFonts w:hint="eastAsia"/>
          <w:b/>
          <w:color w:val="000000" w:themeColor="text1"/>
          <w:sz w:val="40"/>
          <w:szCs w:val="40"/>
          <w14:textFill>
            <w14:solidFill>
              <w14:schemeClr w14:val="tx1"/>
            </w14:solidFill>
          </w14:textFill>
        </w:rPr>
        <w:t xml:space="preserve">   </w:t>
      </w:r>
      <w:r>
        <w:rPr>
          <w:b/>
          <w:color w:val="000000" w:themeColor="text1"/>
          <w:sz w:val="40"/>
          <w:szCs w:val="40"/>
          <w14:textFill>
            <w14:solidFill>
              <w14:schemeClr w14:val="tx1"/>
            </w14:solidFill>
          </w14:textFill>
        </w:rPr>
        <w:t>月     日</w:t>
      </w:r>
    </w:p>
    <w:p w14:paraId="48733A0D">
      <w:pPr>
        <w:spacing w:line="440" w:lineRule="exact"/>
        <w:rPr>
          <w:rFonts w:ascii="宋体" w:hAnsi="宋体"/>
          <w:color w:val="000000" w:themeColor="text1"/>
          <w:szCs w:val="21"/>
          <w14:textFill>
            <w14:solidFill>
              <w14:schemeClr w14:val="tx1"/>
            </w14:solidFill>
          </w14:textFill>
        </w:rPr>
      </w:pPr>
    </w:p>
    <w:p w14:paraId="617F26C7">
      <w:pPr>
        <w:widowControl/>
        <w:ind w:firstLine="643"/>
        <w:jc w:val="lef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r>
    </w:p>
    <w:p w14:paraId="27CDAE4A">
      <w:pPr>
        <w:spacing w:line="440" w:lineRule="exact"/>
        <w:ind w:firstLine="643"/>
        <w:jc w:val="cente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投标文件目录</w:t>
      </w:r>
    </w:p>
    <w:p w14:paraId="2E6AD7A9">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一、基本目录</w:t>
      </w:r>
    </w:p>
    <w:p w14:paraId="309E1BBC">
      <w:pPr>
        <w:spacing w:line="440" w:lineRule="exact"/>
        <w:ind w:firstLine="720" w:firstLineChars="3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1、开标一览表（格式见附件）</w:t>
      </w:r>
    </w:p>
    <w:p w14:paraId="2F241610">
      <w:pPr>
        <w:spacing w:line="440" w:lineRule="exact"/>
        <w:ind w:firstLine="720" w:firstLineChars="300"/>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2、报价明细表（</w:t>
      </w:r>
      <w:r>
        <w:rPr>
          <w:rFonts w:hint="eastAsia" w:ascii="宋体" w:hAnsi="宋体" w:cs="宋体"/>
          <w:color w:val="000000" w:themeColor="text1"/>
          <w:sz w:val="24"/>
          <w14:textFill>
            <w14:solidFill>
              <w14:schemeClr w14:val="tx1"/>
            </w14:solidFill>
          </w14:textFill>
        </w:rPr>
        <w:t>格式见附件</w:t>
      </w:r>
      <w:r>
        <w:rPr>
          <w:rFonts w:hint="eastAsia" w:ascii="宋体" w:hAnsi="宋体" w:cs="宋体"/>
          <w:color w:val="000000" w:themeColor="text1"/>
          <w:sz w:val="24"/>
          <w:lang w:val="en-US" w:eastAsia="zh-CN"/>
          <w14:textFill>
            <w14:solidFill>
              <w14:schemeClr w14:val="tx1"/>
            </w14:solidFill>
          </w14:textFill>
        </w:rPr>
        <w:t>）</w:t>
      </w:r>
    </w:p>
    <w:p w14:paraId="3C9AED28">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二、资格审查内容</w:t>
      </w:r>
    </w:p>
    <w:p w14:paraId="7B09C598">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满足《中华人民共和国政府采购法》第二十二条规定，并提供下列材料：</w:t>
      </w:r>
    </w:p>
    <w:p w14:paraId="7AEBD2F7">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 法人或者其他组织的营业执照等证明文件；</w:t>
      </w:r>
    </w:p>
    <w:p w14:paraId="422EC07A">
      <w:pPr>
        <w:spacing w:line="44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 2022年度至今任意一期的财务报告（财务报表）或金融机构（中介机构）出具的资信证明</w:t>
      </w:r>
      <w:r>
        <w:rPr>
          <w:rFonts w:hint="eastAsia" w:ascii="宋体" w:hAnsi="宋体" w:cs="宋体"/>
          <w:color w:val="000000" w:themeColor="text1"/>
          <w:sz w:val="24"/>
          <w:szCs w:val="24"/>
          <w14:textFill>
            <w14:solidFill>
              <w14:schemeClr w14:val="tx1"/>
            </w14:solidFill>
          </w14:textFill>
        </w:rPr>
        <w:t>；</w:t>
      </w:r>
    </w:p>
    <w:p w14:paraId="5012633C">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 具备履行合同所必需的设备和专业技术能力的书面声明（格式见附件）</w:t>
      </w:r>
    </w:p>
    <w:p w14:paraId="513D2BF8">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 依法缴纳税收和社会保障资金的相关材料（提供投标截止时间前一年内至少一个月依法缴纳税收及缴纳社会保障资金的证明材料</w:t>
      </w:r>
      <w:r>
        <w:rPr>
          <w:rFonts w:hint="eastAsia" w:ascii="宋体" w:hAnsi="宋体" w:cs="宋体"/>
          <w:color w:val="000000" w:themeColor="text1"/>
          <w:sz w:val="24"/>
          <w:szCs w:val="24"/>
          <w14:textFill>
            <w14:solidFill>
              <w14:schemeClr w14:val="tx1"/>
            </w14:solidFill>
          </w14:textFill>
        </w:rPr>
        <w:t>，如投标人缴纳税收的凭据、缴纳社会保险的专用收据或社会保险缴纳清单</w:t>
      </w:r>
      <w:r>
        <w:rPr>
          <w:rFonts w:hint="eastAsia" w:ascii="宋体" w:hAnsi="宋体" w:cs="宋体"/>
          <w:color w:val="000000" w:themeColor="text1"/>
          <w:sz w:val="24"/>
          <w14:textFill>
            <w14:solidFill>
              <w14:schemeClr w14:val="tx1"/>
            </w14:solidFill>
          </w14:textFill>
        </w:rPr>
        <w:t>。投标人依法享受免缴税收、社会保障资金的提供证明材料。）</w:t>
      </w:r>
    </w:p>
    <w:p w14:paraId="4D2B58C7">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 参加政府采购活动前 3 年内在经营活动中没有重大违法记录的书面声明（格式见附件）</w:t>
      </w:r>
    </w:p>
    <w:p w14:paraId="1AFB1C24">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2、中小企业声明函（格式见附件）或残疾人福利性单位声明函（格式见附件）或省级以上监狱管理局、戒毒管理局（含新疆生产建设兵团）出具的属于监狱企业的证明文件。</w:t>
      </w:r>
    </w:p>
    <w:p w14:paraId="4655638D">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三、符合性审查内容</w:t>
      </w:r>
    </w:p>
    <w:p w14:paraId="530878D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1、投标函（格式见附件）</w:t>
      </w:r>
    </w:p>
    <w:p w14:paraId="08E17DBD">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2、法人授权书（</w:t>
      </w:r>
      <w:r>
        <w:rPr>
          <w:rFonts w:hint="eastAsia" w:ascii="宋体" w:hAnsi="宋体" w:cs="宋体"/>
          <w:color w:val="000000" w:themeColor="text1"/>
          <w:sz w:val="24"/>
          <w:lang w:val="en-US" w:eastAsia="zh-CN"/>
          <w14:textFill>
            <w14:solidFill>
              <w14:schemeClr w14:val="tx1"/>
            </w14:solidFill>
          </w14:textFill>
        </w:rPr>
        <w:t>格式见附件</w:t>
      </w:r>
      <w:r>
        <w:rPr>
          <w:rFonts w:hint="eastAsia" w:ascii="宋体" w:hAnsi="宋体" w:cs="宋体"/>
          <w:color w:val="000000" w:themeColor="text1"/>
          <w:sz w:val="24"/>
          <w14:textFill>
            <w14:solidFill>
              <w14:schemeClr w14:val="tx1"/>
            </w14:solidFill>
          </w14:textFill>
        </w:rPr>
        <w:t>）</w:t>
      </w:r>
    </w:p>
    <w:p w14:paraId="37722EC2">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、实质性要求响应及偏离表（格式见附件）</w:t>
      </w:r>
    </w:p>
    <w:p w14:paraId="5E499876">
      <w:pPr>
        <w:spacing w:line="440" w:lineRule="exact"/>
        <w:ind w:firstLine="48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四、综合评审文件</w:t>
      </w:r>
    </w:p>
    <w:p w14:paraId="5CCEF91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1、项目服务要求响应及偏离表（格式见附件）</w:t>
      </w:r>
    </w:p>
    <w:p w14:paraId="4D496446">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2、项目方案（格式见附件）</w:t>
      </w:r>
    </w:p>
    <w:p w14:paraId="1FA659DB">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3、人员配置情况（格式见附件）</w:t>
      </w:r>
    </w:p>
    <w:p w14:paraId="6BE46A86">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4、养护车辆配备一览表（格式见附件）</w:t>
      </w:r>
    </w:p>
    <w:p w14:paraId="53F7107F">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5、设备工具一览表（格式详见附件）</w:t>
      </w:r>
    </w:p>
    <w:p w14:paraId="5B88522F">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6、业绩一览表（格式详见附件）</w:t>
      </w:r>
    </w:p>
    <w:p w14:paraId="1C112394">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7、商务要求响应及偏离表（格式详见附件）</w:t>
      </w:r>
    </w:p>
    <w:p w14:paraId="7B173BC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8、其他</w:t>
      </w:r>
    </w:p>
    <w:p w14:paraId="4265A87E">
      <w:pPr>
        <w:spacing w:line="440" w:lineRule="exact"/>
        <w:ind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备注：针对“二、资格审查内容”和“三、符合性审查内容”，投标人必须在投标文件中提供相关材料，若有缺失或无效的，将导致其投标无效。</w:t>
      </w:r>
    </w:p>
    <w:p w14:paraId="20FDE0C4">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11" w:name="_Toc1747"/>
      <w:r>
        <w:rPr>
          <w:rFonts w:hint="eastAsia" w:ascii="Times New Roman" w:hAnsi="Times New Roman"/>
          <w:b/>
          <w:bCs/>
          <w:color w:val="000000" w:themeColor="text1"/>
          <w:sz w:val="28"/>
          <w:szCs w:val="28"/>
          <w14:textFill>
            <w14:solidFill>
              <w14:schemeClr w14:val="tx1"/>
            </w14:solidFill>
          </w14:textFill>
        </w:rPr>
        <w:t>附件1 开标一览表</w:t>
      </w:r>
      <w:bookmarkEnd w:id="211"/>
    </w:p>
    <w:p w14:paraId="334BDC4A">
      <w:pPr>
        <w:ind w:firstLine="482"/>
        <w:rPr>
          <w:rFonts w:ascii="宋体" w:hAnsi="宋体"/>
          <w:b/>
          <w:color w:val="000000" w:themeColor="text1"/>
          <w:sz w:val="24"/>
          <w:szCs w:val="24"/>
          <w14:textFill>
            <w14:solidFill>
              <w14:schemeClr w14:val="tx1"/>
            </w14:solidFill>
          </w14:textFill>
        </w:rPr>
      </w:pPr>
    </w:p>
    <w:p w14:paraId="191D0EA1">
      <w:pPr>
        <w:spacing w:line="440" w:lineRule="exact"/>
        <w:ind w:firstLine="482"/>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投标人全称（加盖CA电子签章）：</w:t>
      </w:r>
    </w:p>
    <w:p w14:paraId="3A6449C2">
      <w:pPr>
        <w:spacing w:line="440" w:lineRule="exact"/>
        <w:ind w:firstLine="482"/>
        <w:rPr>
          <w:rFonts w:hint="eastAsia"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w:t>
      </w:r>
      <w:r>
        <w:rPr>
          <w:rFonts w:hint="eastAsia" w:ascii="宋体" w:hAnsi="宋体"/>
          <w:color w:val="000000" w:themeColor="text1"/>
          <w:sz w:val="24"/>
          <w:szCs w:val="24"/>
          <w:lang w:eastAsia="zh-CN"/>
          <w14:textFill>
            <w14:solidFill>
              <w14:schemeClr w14:val="tx1"/>
            </w14:solidFill>
          </w14:textFill>
        </w:rPr>
        <w:t>2024-2025年度市级河道绿化养护</w:t>
      </w:r>
    </w:p>
    <w:p w14:paraId="22B84C2D">
      <w:pPr>
        <w:spacing w:line="440" w:lineRule="exact"/>
        <w:ind w:firstLine="482"/>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项目编号：</w:t>
      </w:r>
      <w:r>
        <w:rPr>
          <w:rFonts w:hint="eastAsia" w:ascii="宋体" w:hAnsi="宋体"/>
          <w:color w:val="000000" w:themeColor="text1"/>
          <w:sz w:val="24"/>
          <w:szCs w:val="24"/>
          <w:lang w:eastAsia="zh-CN"/>
          <w14:textFill>
            <w14:solidFill>
              <w14:schemeClr w14:val="tx1"/>
            </w14:solidFill>
          </w14:textFill>
        </w:rPr>
        <w:t>JSZC-320581-SZXY-G2024-0043</w:t>
      </w:r>
    </w:p>
    <w:bookmarkEnd w:id="192"/>
    <w:bookmarkEnd w:id="193"/>
    <w:bookmarkEnd w:id="208"/>
    <w:bookmarkEnd w:id="209"/>
    <w:bookmarkEnd w:id="210"/>
    <w:tbl>
      <w:tblPr>
        <w:tblStyle w:val="40"/>
        <w:tblpPr w:leftFromText="180" w:rightFromText="180" w:vertAnchor="text" w:horzAnchor="page" w:tblpX="1318" w:tblpY="279"/>
        <w:tblOverlap w:val="never"/>
        <w:tblW w:w="9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5"/>
        <w:gridCol w:w="4650"/>
      </w:tblGrid>
      <w:tr w14:paraId="524D8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4825" w:type="dxa"/>
            <w:vAlign w:val="center"/>
          </w:tcPr>
          <w:p w14:paraId="2241CFDD">
            <w:pPr>
              <w:jc w:val="center"/>
              <w:rPr>
                <w:rFonts w:hint="eastAsia" w:ascii="宋体" w:hAnsi="宋体" w:eastAsia="宋体"/>
                <w:b w:val="0"/>
                <w:bCs/>
                <w:color w:val="000000" w:themeColor="text1"/>
                <w:sz w:val="24"/>
                <w:szCs w:val="24"/>
                <w:vertAlign w:val="baseline"/>
                <w:lang w:val="en-US" w:eastAsia="zh-CN"/>
                <w14:textFill>
                  <w14:solidFill>
                    <w14:schemeClr w14:val="tx1"/>
                  </w14:solidFill>
                </w14:textFill>
              </w:rPr>
            </w:pPr>
            <w:r>
              <w:rPr>
                <w:rFonts w:hint="eastAsia" w:ascii="宋体" w:hAnsi="宋体"/>
                <w:b w:val="0"/>
                <w:bCs/>
                <w:color w:val="000000" w:themeColor="text1"/>
                <w:sz w:val="24"/>
                <w:szCs w:val="24"/>
                <w:vertAlign w:val="baseline"/>
                <w:lang w:val="en-US" w:eastAsia="zh-CN"/>
                <w14:textFill>
                  <w14:solidFill>
                    <w14:schemeClr w14:val="tx1"/>
                  </w14:solidFill>
                </w14:textFill>
              </w:rPr>
              <w:t>项目名称</w:t>
            </w:r>
          </w:p>
        </w:tc>
        <w:tc>
          <w:tcPr>
            <w:tcW w:w="4650" w:type="dxa"/>
            <w:vAlign w:val="center"/>
          </w:tcPr>
          <w:p w14:paraId="426FE944">
            <w:pPr>
              <w:jc w:val="center"/>
              <w:rPr>
                <w:rFonts w:hint="eastAsia" w:ascii="宋体" w:hAnsi="宋体" w:eastAsia="宋体"/>
                <w:b w:val="0"/>
                <w:bCs/>
                <w:color w:val="000000" w:themeColor="text1"/>
                <w:sz w:val="24"/>
                <w:szCs w:val="24"/>
                <w:vertAlign w:val="baseline"/>
                <w:lang w:val="en-US" w:eastAsia="zh-CN"/>
                <w14:textFill>
                  <w14:solidFill>
                    <w14:schemeClr w14:val="tx1"/>
                  </w14:solidFill>
                </w14:textFill>
              </w:rPr>
            </w:pPr>
            <w:r>
              <w:rPr>
                <w:rFonts w:hint="eastAsia" w:ascii="宋体" w:hAnsi="宋体"/>
                <w:b w:val="0"/>
                <w:bCs/>
                <w:color w:val="000000" w:themeColor="text1"/>
                <w:sz w:val="24"/>
                <w:szCs w:val="24"/>
                <w:vertAlign w:val="baseline"/>
                <w:lang w:val="en-US" w:eastAsia="zh-CN"/>
                <w14:textFill>
                  <w14:solidFill>
                    <w14:schemeClr w14:val="tx1"/>
                  </w14:solidFill>
                </w14:textFill>
              </w:rPr>
              <w:t>投标总报价</w:t>
            </w:r>
          </w:p>
        </w:tc>
      </w:tr>
      <w:tr w14:paraId="7A045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825" w:type="dxa"/>
            <w:vAlign w:val="center"/>
          </w:tcPr>
          <w:p w14:paraId="47A3A872">
            <w:pPr>
              <w:jc w:val="center"/>
              <w:rPr>
                <w:rFonts w:ascii="宋体" w:hAnsi="宋体"/>
                <w:b/>
                <w:color w:val="000000" w:themeColor="text1"/>
                <w:sz w:val="24"/>
                <w:szCs w:val="24"/>
                <w:vertAlign w:val="baseline"/>
                <w14:textFill>
                  <w14:solidFill>
                    <w14:schemeClr w14:val="tx1"/>
                  </w14:solidFill>
                </w14:textFill>
              </w:rPr>
            </w:pPr>
            <w:r>
              <w:rPr>
                <w:rFonts w:hint="eastAsia" w:ascii="宋体" w:hAnsi="宋体" w:cs="Times New Roman"/>
                <w:b w:val="0"/>
                <w:bCs/>
                <w:color w:val="000000" w:themeColor="text1"/>
                <w:sz w:val="24"/>
                <w:szCs w:val="24"/>
                <w:vertAlign w:val="baseline"/>
                <w:lang w:val="en-US" w:eastAsia="zh-CN"/>
                <w14:textFill>
                  <w14:solidFill>
                    <w14:schemeClr w14:val="tx1"/>
                  </w14:solidFill>
                </w14:textFill>
              </w:rPr>
              <w:t>2024-2025年度市级河道绿化养护</w:t>
            </w:r>
          </w:p>
        </w:tc>
        <w:tc>
          <w:tcPr>
            <w:tcW w:w="4650" w:type="dxa"/>
            <w:vAlign w:val="center"/>
          </w:tcPr>
          <w:p w14:paraId="4E70A258">
            <w:pPr>
              <w:jc w:val="both"/>
              <w:rPr>
                <w:rFonts w:hint="default" w:ascii="宋体" w:hAnsi="宋体" w:eastAsia="宋体"/>
                <w:b/>
                <w:color w:val="000000" w:themeColor="text1"/>
                <w:sz w:val="24"/>
                <w:szCs w:val="24"/>
                <w:vertAlign w:val="baseline"/>
                <w:lang w:val="en-US" w:eastAsia="zh-CN"/>
                <w14:textFill>
                  <w14:solidFill>
                    <w14:schemeClr w14:val="tx1"/>
                  </w14:solidFill>
                </w14:textFill>
              </w:rPr>
            </w:pPr>
            <w:r>
              <w:rPr>
                <w:rFonts w:hint="eastAsia" w:ascii="宋体" w:hAnsi="宋体"/>
                <w:b w:val="0"/>
                <w:bCs/>
                <w:color w:val="000000" w:themeColor="text1"/>
                <w:sz w:val="24"/>
                <w:szCs w:val="24"/>
                <w:vertAlign w:val="baseline"/>
                <w:lang w:val="en-US" w:eastAsia="zh-CN"/>
                <w14:textFill>
                  <w14:solidFill>
                    <w14:schemeClr w14:val="tx1"/>
                  </w14:solidFill>
                </w14:textFill>
              </w:rPr>
              <w:t>小写：          （元人民币）</w:t>
            </w:r>
          </w:p>
        </w:tc>
      </w:tr>
      <w:tr w14:paraId="6D2C6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4825" w:type="dxa"/>
            <w:vAlign w:val="center"/>
          </w:tcPr>
          <w:p w14:paraId="7DED56BD">
            <w:pPr>
              <w:jc w:val="center"/>
              <w:rPr>
                <w:rFonts w:hint="default" w:ascii="宋体" w:hAnsi="宋体" w:eastAsia="宋体"/>
                <w:b/>
                <w:color w:val="000000" w:themeColor="text1"/>
                <w:sz w:val="24"/>
                <w:szCs w:val="24"/>
                <w:vertAlign w:val="baseline"/>
                <w:lang w:val="en-US" w:eastAsia="zh-CN"/>
                <w14:textFill>
                  <w14:solidFill>
                    <w14:schemeClr w14:val="tx1"/>
                  </w14:solidFill>
                </w14:textFill>
              </w:rPr>
            </w:pPr>
            <w:r>
              <w:rPr>
                <w:rFonts w:hint="eastAsia" w:ascii="宋体" w:hAnsi="宋体" w:cs="Times New Roman"/>
                <w:b w:val="0"/>
                <w:bCs/>
                <w:color w:val="000000" w:themeColor="text1"/>
                <w:sz w:val="24"/>
                <w:szCs w:val="24"/>
                <w:vertAlign w:val="baseline"/>
                <w:lang w:val="en-US" w:eastAsia="zh-CN"/>
                <w14:textFill>
                  <w14:solidFill>
                    <w14:schemeClr w14:val="tx1"/>
                  </w14:solidFill>
                </w14:textFill>
              </w:rPr>
              <w:t>投标报价</w:t>
            </w:r>
          </w:p>
        </w:tc>
        <w:tc>
          <w:tcPr>
            <w:tcW w:w="4650" w:type="dxa"/>
            <w:vAlign w:val="center"/>
          </w:tcPr>
          <w:p w14:paraId="75E3B91C">
            <w:pPr>
              <w:jc w:val="both"/>
              <w:rPr>
                <w:rFonts w:ascii="宋体" w:hAnsi="宋体"/>
                <w:b/>
                <w:color w:val="000000" w:themeColor="text1"/>
                <w:sz w:val="24"/>
                <w:szCs w:val="24"/>
                <w:vertAlign w:val="baseline"/>
                <w14:textFill>
                  <w14:solidFill>
                    <w14:schemeClr w14:val="tx1"/>
                  </w14:solidFill>
                </w14:textFill>
              </w:rPr>
            </w:pPr>
            <w:r>
              <w:rPr>
                <w:rFonts w:hint="eastAsia" w:ascii="宋体" w:hAnsi="宋体" w:cs="Times New Roman"/>
                <w:b w:val="0"/>
                <w:bCs/>
                <w:color w:val="000000" w:themeColor="text1"/>
                <w:sz w:val="24"/>
                <w:szCs w:val="24"/>
                <w:vertAlign w:val="baseline"/>
                <w:lang w:val="en-US" w:eastAsia="zh-CN"/>
                <w14:textFill>
                  <w14:solidFill>
                    <w14:schemeClr w14:val="tx1"/>
                  </w14:solidFill>
                </w14:textFill>
              </w:rPr>
              <w:t>大写金额：</w:t>
            </w:r>
          </w:p>
        </w:tc>
      </w:tr>
    </w:tbl>
    <w:p w14:paraId="0FA8901E">
      <w:pPr>
        <w:ind w:firstLine="482"/>
        <w:rPr>
          <w:rFonts w:ascii="宋体" w:hAnsi="宋体"/>
          <w:b/>
          <w:color w:val="000000" w:themeColor="text1"/>
          <w:sz w:val="24"/>
          <w:szCs w:val="24"/>
          <w14:textFill>
            <w14:solidFill>
              <w14:schemeClr w14:val="tx1"/>
            </w14:solidFill>
          </w14:textFill>
        </w:rPr>
      </w:pPr>
    </w:p>
    <w:p w14:paraId="472FAB81">
      <w:pPr>
        <w:ind w:firstLine="482"/>
        <w:rPr>
          <w:rFonts w:ascii="宋体" w:hAnsi="宋体"/>
          <w:b/>
          <w:color w:val="000000" w:themeColor="text1"/>
          <w:sz w:val="24"/>
          <w:szCs w:val="24"/>
          <w14:textFill>
            <w14:solidFill>
              <w14:schemeClr w14:val="tx1"/>
            </w14:solidFill>
          </w14:textFill>
        </w:rPr>
      </w:pPr>
    </w:p>
    <w:p w14:paraId="6F63A633">
      <w:pPr>
        <w:ind w:firstLine="482"/>
        <w:rPr>
          <w:rFonts w:ascii="宋体" w:hAnsi="宋体"/>
          <w:b/>
          <w:color w:val="000000" w:themeColor="text1"/>
          <w:sz w:val="24"/>
          <w:szCs w:val="24"/>
          <w14:textFill>
            <w14:solidFill>
              <w14:schemeClr w14:val="tx1"/>
            </w14:solidFill>
          </w14:textFill>
        </w:rPr>
      </w:pPr>
    </w:p>
    <w:p w14:paraId="59636B5F">
      <w:pPr>
        <w:ind w:firstLine="482"/>
        <w:rPr>
          <w:rFonts w:ascii="宋体" w:hAnsi="宋体"/>
          <w:b/>
          <w:color w:val="000000" w:themeColor="text1"/>
          <w:sz w:val="24"/>
          <w:szCs w:val="24"/>
          <w14:textFill>
            <w14:solidFill>
              <w14:schemeClr w14:val="tx1"/>
            </w14:solidFill>
          </w14:textFill>
        </w:rPr>
      </w:pPr>
    </w:p>
    <w:p w14:paraId="444449E9">
      <w:pPr>
        <w:ind w:firstLine="482"/>
        <w:rPr>
          <w:rFonts w:ascii="宋体" w:hAnsi="宋体"/>
          <w:b/>
          <w:color w:val="000000" w:themeColor="text1"/>
          <w:sz w:val="24"/>
          <w:szCs w:val="24"/>
          <w14:textFill>
            <w14:solidFill>
              <w14:schemeClr w14:val="tx1"/>
            </w14:solidFill>
          </w14:textFill>
        </w:rPr>
      </w:pPr>
    </w:p>
    <w:p w14:paraId="717B2D4E">
      <w:pPr>
        <w:ind w:firstLine="482"/>
        <w:rPr>
          <w:rFonts w:ascii="宋体" w:hAnsi="宋体"/>
          <w:b/>
          <w:color w:val="000000" w:themeColor="text1"/>
          <w:sz w:val="24"/>
          <w:szCs w:val="24"/>
          <w14:textFill>
            <w14:solidFill>
              <w14:schemeClr w14:val="tx1"/>
            </w14:solidFill>
          </w14:textFill>
        </w:rPr>
      </w:pPr>
    </w:p>
    <w:p w14:paraId="19847A93">
      <w:pPr>
        <w:ind w:firstLine="482"/>
        <w:rPr>
          <w:rFonts w:ascii="宋体" w:hAnsi="宋体"/>
          <w:b/>
          <w:color w:val="000000" w:themeColor="text1"/>
          <w:sz w:val="24"/>
          <w:szCs w:val="24"/>
          <w14:textFill>
            <w14:solidFill>
              <w14:schemeClr w14:val="tx1"/>
            </w14:solidFill>
          </w14:textFill>
        </w:rPr>
      </w:pPr>
    </w:p>
    <w:p w14:paraId="50D9F8EE">
      <w:pPr>
        <w:ind w:firstLine="482"/>
        <w:rPr>
          <w:rFonts w:ascii="宋体" w:hAnsi="宋体"/>
          <w:b/>
          <w:color w:val="000000" w:themeColor="text1"/>
          <w:sz w:val="24"/>
          <w:szCs w:val="24"/>
          <w14:textFill>
            <w14:solidFill>
              <w14:schemeClr w14:val="tx1"/>
            </w14:solidFill>
          </w14:textFill>
        </w:rPr>
      </w:pPr>
    </w:p>
    <w:p w14:paraId="0FE9AA06">
      <w:pPr>
        <w:ind w:firstLine="482"/>
        <w:rPr>
          <w:rFonts w:ascii="宋体" w:hAnsi="宋体"/>
          <w:b/>
          <w:color w:val="000000" w:themeColor="text1"/>
          <w:sz w:val="24"/>
          <w:szCs w:val="24"/>
          <w14:textFill>
            <w14:solidFill>
              <w14:schemeClr w14:val="tx1"/>
            </w14:solidFill>
          </w14:textFill>
        </w:rPr>
      </w:pPr>
    </w:p>
    <w:p w14:paraId="460AB1BC">
      <w:pPr>
        <w:ind w:firstLine="482"/>
        <w:rPr>
          <w:rFonts w:ascii="宋体" w:hAnsi="宋体"/>
          <w:b/>
          <w:color w:val="000000" w:themeColor="text1"/>
          <w:sz w:val="24"/>
          <w:szCs w:val="24"/>
          <w14:textFill>
            <w14:solidFill>
              <w14:schemeClr w14:val="tx1"/>
            </w14:solidFill>
          </w14:textFill>
        </w:rPr>
      </w:pPr>
    </w:p>
    <w:p w14:paraId="2CBBA345">
      <w:pPr>
        <w:ind w:firstLine="482"/>
        <w:rPr>
          <w:rFonts w:ascii="宋体" w:hAnsi="宋体"/>
          <w:b/>
          <w:color w:val="000000" w:themeColor="text1"/>
          <w:sz w:val="24"/>
          <w:szCs w:val="24"/>
          <w14:textFill>
            <w14:solidFill>
              <w14:schemeClr w14:val="tx1"/>
            </w14:solidFill>
          </w14:textFill>
        </w:rPr>
      </w:pPr>
    </w:p>
    <w:p w14:paraId="532F6191">
      <w:pPr>
        <w:ind w:firstLine="482"/>
        <w:rPr>
          <w:rFonts w:ascii="宋体" w:hAnsi="宋体"/>
          <w:b/>
          <w:color w:val="000000" w:themeColor="text1"/>
          <w:sz w:val="24"/>
          <w:szCs w:val="24"/>
          <w14:textFill>
            <w14:solidFill>
              <w14:schemeClr w14:val="tx1"/>
            </w14:solidFill>
          </w14:textFill>
        </w:rPr>
      </w:pPr>
    </w:p>
    <w:p w14:paraId="1722B069">
      <w:pPr>
        <w:ind w:firstLine="482"/>
        <w:rPr>
          <w:rFonts w:ascii="宋体" w:hAnsi="宋体"/>
          <w:b/>
          <w:color w:val="000000" w:themeColor="text1"/>
          <w:sz w:val="24"/>
          <w:szCs w:val="24"/>
          <w14:textFill>
            <w14:solidFill>
              <w14:schemeClr w14:val="tx1"/>
            </w14:solidFill>
          </w14:textFill>
        </w:rPr>
      </w:pPr>
    </w:p>
    <w:p w14:paraId="3DF9B87B">
      <w:pPr>
        <w:ind w:firstLine="482"/>
        <w:rPr>
          <w:rFonts w:ascii="宋体" w:hAnsi="宋体"/>
          <w:b/>
          <w:color w:val="000000" w:themeColor="text1"/>
          <w:sz w:val="24"/>
          <w:szCs w:val="24"/>
          <w14:textFill>
            <w14:solidFill>
              <w14:schemeClr w14:val="tx1"/>
            </w14:solidFill>
          </w14:textFill>
        </w:rPr>
      </w:pPr>
    </w:p>
    <w:p w14:paraId="55D764E6">
      <w:pPr>
        <w:ind w:firstLine="482"/>
        <w:rPr>
          <w:rFonts w:ascii="宋体" w:hAnsi="宋体"/>
          <w:b/>
          <w:color w:val="000000" w:themeColor="text1"/>
          <w:sz w:val="24"/>
          <w:szCs w:val="24"/>
          <w14:textFill>
            <w14:solidFill>
              <w14:schemeClr w14:val="tx1"/>
            </w14:solidFill>
          </w14:textFill>
        </w:rPr>
      </w:pPr>
    </w:p>
    <w:p w14:paraId="43562505">
      <w:pPr>
        <w:ind w:firstLine="482"/>
        <w:rPr>
          <w:rFonts w:ascii="宋体" w:hAnsi="宋体"/>
          <w:b/>
          <w:color w:val="000000" w:themeColor="text1"/>
          <w:sz w:val="24"/>
          <w:szCs w:val="24"/>
          <w14:textFill>
            <w14:solidFill>
              <w14:schemeClr w14:val="tx1"/>
            </w14:solidFill>
          </w14:textFill>
        </w:rPr>
      </w:pPr>
    </w:p>
    <w:p w14:paraId="23B4DA72">
      <w:pPr>
        <w:ind w:firstLine="482"/>
        <w:rPr>
          <w:rFonts w:ascii="宋体" w:hAnsi="宋体"/>
          <w:b/>
          <w:color w:val="000000" w:themeColor="text1"/>
          <w:sz w:val="24"/>
          <w:szCs w:val="24"/>
          <w14:textFill>
            <w14:solidFill>
              <w14:schemeClr w14:val="tx1"/>
            </w14:solidFill>
          </w14:textFill>
        </w:rPr>
      </w:pPr>
    </w:p>
    <w:p w14:paraId="5755F727">
      <w:pPr>
        <w:ind w:firstLine="482"/>
        <w:rPr>
          <w:rFonts w:ascii="宋体" w:hAnsi="宋体"/>
          <w:b/>
          <w:color w:val="000000" w:themeColor="text1"/>
          <w:sz w:val="24"/>
          <w:szCs w:val="24"/>
          <w14:textFill>
            <w14:solidFill>
              <w14:schemeClr w14:val="tx1"/>
            </w14:solidFill>
          </w14:textFill>
        </w:rPr>
      </w:pPr>
    </w:p>
    <w:p w14:paraId="200BA36F">
      <w:pPr>
        <w:ind w:firstLine="482"/>
        <w:rPr>
          <w:rFonts w:ascii="宋体" w:hAnsi="宋体"/>
          <w:b/>
          <w:color w:val="000000" w:themeColor="text1"/>
          <w:sz w:val="24"/>
          <w:szCs w:val="24"/>
          <w14:textFill>
            <w14:solidFill>
              <w14:schemeClr w14:val="tx1"/>
            </w14:solidFill>
          </w14:textFill>
        </w:rPr>
      </w:pPr>
    </w:p>
    <w:p w14:paraId="6BBC3333">
      <w:pPr>
        <w:ind w:firstLine="482"/>
        <w:rPr>
          <w:rFonts w:ascii="宋体" w:hAnsi="宋体"/>
          <w:b/>
          <w:color w:val="000000" w:themeColor="text1"/>
          <w:sz w:val="24"/>
          <w:szCs w:val="24"/>
          <w14:textFill>
            <w14:solidFill>
              <w14:schemeClr w14:val="tx1"/>
            </w14:solidFill>
          </w14:textFill>
        </w:rPr>
      </w:pPr>
    </w:p>
    <w:p w14:paraId="27F84C89">
      <w:pPr>
        <w:ind w:firstLine="482"/>
        <w:rPr>
          <w:rFonts w:ascii="宋体" w:hAnsi="宋体"/>
          <w:b/>
          <w:color w:val="000000" w:themeColor="text1"/>
          <w:sz w:val="24"/>
          <w:szCs w:val="24"/>
          <w14:textFill>
            <w14:solidFill>
              <w14:schemeClr w14:val="tx1"/>
            </w14:solidFill>
          </w14:textFill>
        </w:rPr>
      </w:pPr>
    </w:p>
    <w:p w14:paraId="69F1F4FC">
      <w:pPr>
        <w:ind w:firstLine="482"/>
        <w:rPr>
          <w:rFonts w:ascii="宋体" w:hAnsi="宋体"/>
          <w:b/>
          <w:color w:val="000000" w:themeColor="text1"/>
          <w:sz w:val="24"/>
          <w:szCs w:val="24"/>
          <w14:textFill>
            <w14:solidFill>
              <w14:schemeClr w14:val="tx1"/>
            </w14:solidFill>
          </w14:textFill>
        </w:rPr>
      </w:pPr>
    </w:p>
    <w:p w14:paraId="67579AC1">
      <w:pPr>
        <w:ind w:firstLine="482"/>
        <w:rPr>
          <w:rFonts w:ascii="宋体" w:hAnsi="宋体"/>
          <w:b/>
          <w:color w:val="000000" w:themeColor="text1"/>
          <w:sz w:val="24"/>
          <w:szCs w:val="24"/>
          <w14:textFill>
            <w14:solidFill>
              <w14:schemeClr w14:val="tx1"/>
            </w14:solidFill>
          </w14:textFill>
        </w:rPr>
      </w:pPr>
    </w:p>
    <w:p w14:paraId="6609A245">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12" w:name="_Toc8439"/>
      <w:r>
        <w:rPr>
          <w:rFonts w:hint="eastAsia" w:ascii="Times New Roman" w:hAnsi="Times New Roman"/>
          <w:b/>
          <w:bCs/>
          <w:color w:val="000000" w:themeColor="text1"/>
          <w:sz w:val="28"/>
          <w:szCs w:val="28"/>
          <w14:textFill>
            <w14:solidFill>
              <w14:schemeClr w14:val="tx1"/>
            </w14:solidFill>
          </w14:textFill>
        </w:rPr>
        <w:t>附件2 报价明细表</w:t>
      </w:r>
      <w:bookmarkEnd w:id="212"/>
    </w:p>
    <w:tbl>
      <w:tblPr>
        <w:tblStyle w:val="39"/>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1015"/>
        <w:gridCol w:w="337"/>
        <w:gridCol w:w="1464"/>
        <w:gridCol w:w="1239"/>
        <w:gridCol w:w="939"/>
        <w:gridCol w:w="975"/>
        <w:gridCol w:w="2256"/>
      </w:tblGrid>
      <w:tr w14:paraId="0CEDC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Align w:val="center"/>
          </w:tcPr>
          <w:p w14:paraId="3A7C4F4B">
            <w:p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费用名称</w:t>
            </w:r>
          </w:p>
        </w:tc>
        <w:tc>
          <w:tcPr>
            <w:tcW w:w="1352" w:type="dxa"/>
            <w:gridSpan w:val="2"/>
            <w:vAlign w:val="center"/>
          </w:tcPr>
          <w:p w14:paraId="3DFFDF67">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人员类别</w:t>
            </w:r>
          </w:p>
        </w:tc>
        <w:tc>
          <w:tcPr>
            <w:tcW w:w="1464" w:type="dxa"/>
            <w:vAlign w:val="center"/>
          </w:tcPr>
          <w:p w14:paraId="015A270E">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费用名称</w:t>
            </w:r>
          </w:p>
        </w:tc>
        <w:tc>
          <w:tcPr>
            <w:tcW w:w="1239" w:type="dxa"/>
            <w:vAlign w:val="center"/>
          </w:tcPr>
          <w:p w14:paraId="70B3089F">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单价</w:t>
            </w:r>
          </w:p>
        </w:tc>
        <w:tc>
          <w:tcPr>
            <w:tcW w:w="939" w:type="dxa"/>
            <w:vAlign w:val="center"/>
          </w:tcPr>
          <w:p w14:paraId="575DB60A">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数量</w:t>
            </w:r>
          </w:p>
        </w:tc>
        <w:tc>
          <w:tcPr>
            <w:tcW w:w="3231" w:type="dxa"/>
            <w:gridSpan w:val="2"/>
            <w:vAlign w:val="center"/>
          </w:tcPr>
          <w:p w14:paraId="7FEAECFD">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备注</w:t>
            </w:r>
          </w:p>
        </w:tc>
      </w:tr>
      <w:tr w14:paraId="7FA7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8" w:hRule="atLeast"/>
          <w:jc w:val="center"/>
        </w:trPr>
        <w:tc>
          <w:tcPr>
            <w:tcW w:w="1352" w:type="dxa"/>
            <w:vMerge w:val="restart"/>
            <w:vAlign w:val="center"/>
          </w:tcPr>
          <w:p w14:paraId="12C5FEF2">
            <w:pPr>
              <w:pStyle w:val="25"/>
              <w:adjustRightInd/>
              <w:spacing w:after="0" w:line="240" w:lineRule="auto"/>
              <w:textAlignment w:val="auto"/>
              <w:rPr>
                <w:rFonts w:eastAsia="宋体"/>
                <w:color w:val="000000" w:themeColor="text1"/>
                <w:kern w:val="2"/>
                <w:szCs w:val="24"/>
                <w14:textFill>
                  <w14:solidFill>
                    <w14:schemeClr w14:val="tx1"/>
                  </w14:solidFill>
                </w14:textFill>
              </w:rPr>
            </w:pPr>
            <w:r>
              <w:rPr>
                <w:rFonts w:hint="eastAsia" w:eastAsia="宋体"/>
                <w:color w:val="000000" w:themeColor="text1"/>
                <w:kern w:val="2"/>
                <w:szCs w:val="24"/>
                <w14:textFill>
                  <w14:solidFill>
                    <w14:schemeClr w14:val="tx1"/>
                  </w14:solidFill>
                </w14:textFill>
              </w:rPr>
              <w:t>人员工资福利费用</w:t>
            </w:r>
          </w:p>
        </w:tc>
        <w:tc>
          <w:tcPr>
            <w:tcW w:w="1352" w:type="dxa"/>
            <w:gridSpan w:val="2"/>
            <w:vMerge w:val="restart"/>
            <w:vAlign w:val="center"/>
          </w:tcPr>
          <w:p w14:paraId="0ED5BD02">
            <w:pPr>
              <w:pStyle w:val="19"/>
              <w:adjustRightInd/>
              <w:spacing w:line="240" w:lineRule="auto"/>
              <w:ind w:left="525"/>
              <w:textAlignment w:val="auto"/>
              <w:rPr>
                <w:rFonts w:ascii="Times New Roman"/>
                <w:color w:val="000000" w:themeColor="text1"/>
                <w:kern w:val="2"/>
                <w:sz w:val="24"/>
                <w:szCs w:val="24"/>
                <w14:textFill>
                  <w14:solidFill>
                    <w14:schemeClr w14:val="tx1"/>
                  </w14:solidFill>
                </w14:textFill>
              </w:rPr>
            </w:pPr>
          </w:p>
        </w:tc>
        <w:tc>
          <w:tcPr>
            <w:tcW w:w="1464" w:type="dxa"/>
            <w:vAlign w:val="center"/>
          </w:tcPr>
          <w:p w14:paraId="70CDFC84">
            <w:pPr>
              <w:pStyle w:val="19"/>
              <w:adjustRightInd/>
              <w:spacing w:line="240" w:lineRule="auto"/>
              <w:ind w:left="525"/>
              <w:textAlignment w:val="auto"/>
              <w:rPr>
                <w:rFonts w:ascii="Times New Roman"/>
                <w:color w:val="000000" w:themeColor="text1"/>
                <w:kern w:val="2"/>
                <w:sz w:val="24"/>
                <w:szCs w:val="24"/>
                <w14:textFill>
                  <w14:solidFill>
                    <w14:schemeClr w14:val="tx1"/>
                  </w14:solidFill>
                </w14:textFill>
              </w:rPr>
            </w:pPr>
          </w:p>
        </w:tc>
        <w:tc>
          <w:tcPr>
            <w:tcW w:w="1239" w:type="dxa"/>
            <w:vAlign w:val="center"/>
          </w:tcPr>
          <w:p w14:paraId="457DD7EC">
            <w:pPr>
              <w:pStyle w:val="19"/>
              <w:adjustRightInd/>
              <w:spacing w:line="240" w:lineRule="auto"/>
              <w:ind w:left="525"/>
              <w:textAlignment w:val="auto"/>
              <w:rPr>
                <w:rFonts w:ascii="Times New Roman"/>
                <w:color w:val="000000" w:themeColor="text1"/>
                <w:kern w:val="2"/>
                <w:sz w:val="24"/>
                <w:szCs w:val="24"/>
                <w14:textFill>
                  <w14:solidFill>
                    <w14:schemeClr w14:val="tx1"/>
                  </w14:solidFill>
                </w14:textFill>
              </w:rPr>
            </w:pPr>
          </w:p>
        </w:tc>
        <w:tc>
          <w:tcPr>
            <w:tcW w:w="939" w:type="dxa"/>
            <w:vAlign w:val="center"/>
          </w:tcPr>
          <w:p w14:paraId="0B345CB4">
            <w:pPr>
              <w:pStyle w:val="19"/>
              <w:adjustRightInd/>
              <w:spacing w:line="240" w:lineRule="auto"/>
              <w:ind w:left="525"/>
              <w:textAlignment w:val="auto"/>
              <w:rPr>
                <w:rFonts w:ascii="Times New Roman"/>
                <w:color w:val="000000" w:themeColor="text1"/>
                <w:kern w:val="2"/>
                <w:sz w:val="24"/>
                <w:szCs w:val="24"/>
                <w14:textFill>
                  <w14:solidFill>
                    <w14:schemeClr w14:val="tx1"/>
                  </w14:solidFill>
                </w14:textFill>
              </w:rPr>
            </w:pPr>
          </w:p>
        </w:tc>
        <w:tc>
          <w:tcPr>
            <w:tcW w:w="975" w:type="dxa"/>
            <w:vAlign w:val="center"/>
          </w:tcPr>
          <w:p w14:paraId="79F61802">
            <w:pPr>
              <w:pStyle w:val="19"/>
              <w:ind w:left="525"/>
              <w:rPr>
                <w:rFonts w:ascii="Times New Roman"/>
                <w:color w:val="000000" w:themeColor="text1"/>
                <w14:textFill>
                  <w14:solidFill>
                    <w14:schemeClr w14:val="tx1"/>
                  </w14:solidFill>
                </w14:textFill>
              </w:rPr>
            </w:pPr>
          </w:p>
        </w:tc>
        <w:tc>
          <w:tcPr>
            <w:tcW w:w="2256" w:type="dxa"/>
            <w:vMerge w:val="restart"/>
            <w:vAlign w:val="center"/>
          </w:tcPr>
          <w:p w14:paraId="3F11F7E9">
            <w:pPr>
              <w:pStyle w:val="19"/>
              <w:jc w:val="left"/>
              <w:rPr>
                <w:rFonts w:ascii="Times New Roman"/>
                <w:color w:val="000000" w:themeColor="text1"/>
                <w14:textFill>
                  <w14:solidFill>
                    <w14:schemeClr w14:val="tx1"/>
                  </w14:solidFill>
                </w14:textFill>
              </w:rPr>
            </w:pPr>
            <w:r>
              <w:rPr>
                <w:rFonts w:ascii="Times New Roman"/>
                <w:color w:val="000000" w:themeColor="text1"/>
                <w:sz w:val="24"/>
                <w:szCs w:val="24"/>
                <w14:textFill>
                  <w14:solidFill>
                    <w14:schemeClr w14:val="tx1"/>
                  </w14:solidFill>
                </w14:textFill>
              </w:rPr>
              <w:t>费用名称：如每月基本工资加班费、服装费、过节福利费等</w:t>
            </w:r>
          </w:p>
        </w:tc>
      </w:tr>
      <w:tr w14:paraId="4399F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3" w:hRule="atLeast"/>
          <w:jc w:val="center"/>
        </w:trPr>
        <w:tc>
          <w:tcPr>
            <w:tcW w:w="1352" w:type="dxa"/>
            <w:vMerge w:val="continue"/>
            <w:vAlign w:val="center"/>
          </w:tcPr>
          <w:p w14:paraId="0C5EF5A0">
            <w:pPr>
              <w:jc w:val="center"/>
              <w:rPr>
                <w:color w:val="000000" w:themeColor="text1"/>
                <w:sz w:val="24"/>
                <w14:textFill>
                  <w14:solidFill>
                    <w14:schemeClr w14:val="tx1"/>
                  </w14:solidFill>
                </w14:textFill>
              </w:rPr>
            </w:pPr>
          </w:p>
        </w:tc>
        <w:tc>
          <w:tcPr>
            <w:tcW w:w="1352" w:type="dxa"/>
            <w:gridSpan w:val="2"/>
            <w:vMerge w:val="continue"/>
            <w:vAlign w:val="center"/>
          </w:tcPr>
          <w:p w14:paraId="5FE2C6DE">
            <w:pPr>
              <w:rPr>
                <w:color w:val="000000" w:themeColor="text1"/>
                <w:sz w:val="24"/>
                <w14:textFill>
                  <w14:solidFill>
                    <w14:schemeClr w14:val="tx1"/>
                  </w14:solidFill>
                </w14:textFill>
              </w:rPr>
            </w:pPr>
          </w:p>
        </w:tc>
        <w:tc>
          <w:tcPr>
            <w:tcW w:w="1464" w:type="dxa"/>
            <w:vAlign w:val="center"/>
          </w:tcPr>
          <w:p w14:paraId="58D7B472">
            <w:pPr>
              <w:rPr>
                <w:color w:val="000000" w:themeColor="text1"/>
                <w:sz w:val="24"/>
                <w14:textFill>
                  <w14:solidFill>
                    <w14:schemeClr w14:val="tx1"/>
                  </w14:solidFill>
                </w14:textFill>
              </w:rPr>
            </w:pPr>
          </w:p>
        </w:tc>
        <w:tc>
          <w:tcPr>
            <w:tcW w:w="1239" w:type="dxa"/>
            <w:vAlign w:val="center"/>
          </w:tcPr>
          <w:p w14:paraId="40A2DB83">
            <w:pPr>
              <w:rPr>
                <w:color w:val="000000" w:themeColor="text1"/>
                <w:sz w:val="24"/>
                <w14:textFill>
                  <w14:solidFill>
                    <w14:schemeClr w14:val="tx1"/>
                  </w14:solidFill>
                </w14:textFill>
              </w:rPr>
            </w:pPr>
          </w:p>
        </w:tc>
        <w:tc>
          <w:tcPr>
            <w:tcW w:w="939" w:type="dxa"/>
            <w:vAlign w:val="center"/>
          </w:tcPr>
          <w:p w14:paraId="22FCF21D">
            <w:pPr>
              <w:rPr>
                <w:color w:val="000000" w:themeColor="text1"/>
                <w:sz w:val="24"/>
                <w14:textFill>
                  <w14:solidFill>
                    <w14:schemeClr w14:val="tx1"/>
                  </w14:solidFill>
                </w14:textFill>
              </w:rPr>
            </w:pPr>
          </w:p>
        </w:tc>
        <w:tc>
          <w:tcPr>
            <w:tcW w:w="975" w:type="dxa"/>
            <w:vAlign w:val="center"/>
          </w:tcPr>
          <w:p w14:paraId="67178A2D">
            <w:pPr>
              <w:rPr>
                <w:color w:val="000000" w:themeColor="text1"/>
                <w:sz w:val="28"/>
                <w14:textFill>
                  <w14:solidFill>
                    <w14:schemeClr w14:val="tx1"/>
                  </w14:solidFill>
                </w14:textFill>
              </w:rPr>
            </w:pPr>
          </w:p>
        </w:tc>
        <w:tc>
          <w:tcPr>
            <w:tcW w:w="2256" w:type="dxa"/>
            <w:vMerge w:val="continue"/>
            <w:vAlign w:val="center"/>
          </w:tcPr>
          <w:p w14:paraId="49913951">
            <w:pPr>
              <w:rPr>
                <w:color w:val="000000" w:themeColor="text1"/>
                <w:sz w:val="28"/>
                <w14:textFill>
                  <w14:solidFill>
                    <w14:schemeClr w14:val="tx1"/>
                  </w14:solidFill>
                </w14:textFill>
              </w:rPr>
            </w:pPr>
          </w:p>
        </w:tc>
      </w:tr>
      <w:tr w14:paraId="0515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674FEA96">
            <w:pPr>
              <w:jc w:val="center"/>
              <w:rPr>
                <w:color w:val="000000" w:themeColor="text1"/>
                <w:sz w:val="24"/>
                <w14:textFill>
                  <w14:solidFill>
                    <w14:schemeClr w14:val="tx1"/>
                  </w14:solidFill>
                </w14:textFill>
              </w:rPr>
            </w:pPr>
          </w:p>
        </w:tc>
        <w:tc>
          <w:tcPr>
            <w:tcW w:w="1352" w:type="dxa"/>
            <w:gridSpan w:val="2"/>
            <w:vMerge w:val="continue"/>
            <w:vAlign w:val="center"/>
          </w:tcPr>
          <w:p w14:paraId="569EC3B9">
            <w:pPr>
              <w:rPr>
                <w:color w:val="000000" w:themeColor="text1"/>
                <w:sz w:val="24"/>
                <w14:textFill>
                  <w14:solidFill>
                    <w14:schemeClr w14:val="tx1"/>
                  </w14:solidFill>
                </w14:textFill>
              </w:rPr>
            </w:pPr>
          </w:p>
        </w:tc>
        <w:tc>
          <w:tcPr>
            <w:tcW w:w="1464" w:type="dxa"/>
            <w:vAlign w:val="center"/>
          </w:tcPr>
          <w:p w14:paraId="6E86C9B2">
            <w:pP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c>
          <w:tcPr>
            <w:tcW w:w="1239" w:type="dxa"/>
            <w:vAlign w:val="center"/>
          </w:tcPr>
          <w:p w14:paraId="094EB2F8">
            <w:pPr>
              <w:rPr>
                <w:color w:val="000000" w:themeColor="text1"/>
                <w:sz w:val="24"/>
                <w:szCs w:val="24"/>
                <w14:textFill>
                  <w14:solidFill>
                    <w14:schemeClr w14:val="tx1"/>
                  </w14:solidFill>
                </w14:textFill>
              </w:rPr>
            </w:pPr>
          </w:p>
        </w:tc>
        <w:tc>
          <w:tcPr>
            <w:tcW w:w="939" w:type="dxa"/>
            <w:vAlign w:val="center"/>
          </w:tcPr>
          <w:p w14:paraId="47E8DF72">
            <w:pPr>
              <w:rPr>
                <w:color w:val="000000" w:themeColor="text1"/>
                <w:sz w:val="24"/>
                <w:szCs w:val="24"/>
                <w14:textFill>
                  <w14:solidFill>
                    <w14:schemeClr w14:val="tx1"/>
                  </w14:solidFill>
                </w14:textFill>
              </w:rPr>
            </w:pPr>
          </w:p>
        </w:tc>
        <w:tc>
          <w:tcPr>
            <w:tcW w:w="975" w:type="dxa"/>
            <w:vAlign w:val="center"/>
          </w:tcPr>
          <w:p w14:paraId="28E1DDD5">
            <w:pPr>
              <w:pStyle w:val="19"/>
              <w:ind w:left="525"/>
              <w:rPr>
                <w:rFonts w:ascii="Times New Roman"/>
                <w:color w:val="000000" w:themeColor="text1"/>
                <w:szCs w:val="24"/>
                <w14:textFill>
                  <w14:solidFill>
                    <w14:schemeClr w14:val="tx1"/>
                  </w14:solidFill>
                </w14:textFill>
              </w:rPr>
            </w:pPr>
          </w:p>
        </w:tc>
        <w:tc>
          <w:tcPr>
            <w:tcW w:w="2256" w:type="dxa"/>
            <w:vMerge w:val="continue"/>
            <w:vAlign w:val="center"/>
          </w:tcPr>
          <w:p w14:paraId="268D3212">
            <w:pPr>
              <w:pStyle w:val="19"/>
              <w:ind w:left="525"/>
              <w:rPr>
                <w:rFonts w:ascii="Times New Roman"/>
                <w:color w:val="000000" w:themeColor="text1"/>
                <w:szCs w:val="24"/>
                <w14:textFill>
                  <w14:solidFill>
                    <w14:schemeClr w14:val="tx1"/>
                  </w14:solidFill>
                </w14:textFill>
              </w:rPr>
            </w:pPr>
          </w:p>
        </w:tc>
      </w:tr>
      <w:tr w14:paraId="66B1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7FA7AE5C">
            <w:pPr>
              <w:jc w:val="center"/>
              <w:rPr>
                <w:color w:val="000000" w:themeColor="text1"/>
                <w:sz w:val="24"/>
                <w14:textFill>
                  <w14:solidFill>
                    <w14:schemeClr w14:val="tx1"/>
                  </w14:solidFill>
                </w14:textFill>
              </w:rPr>
            </w:pPr>
          </w:p>
        </w:tc>
        <w:tc>
          <w:tcPr>
            <w:tcW w:w="8225" w:type="dxa"/>
            <w:gridSpan w:val="7"/>
            <w:vAlign w:val="center"/>
          </w:tcPr>
          <w:p w14:paraId="65F75255">
            <w:pPr>
              <w:pStyle w:val="19"/>
              <w:ind w:left="525"/>
              <w:rPr>
                <w:rFonts w:ascii="Times New Roman"/>
                <w:color w:val="000000" w:themeColor="text1"/>
                <w:szCs w:val="24"/>
                <w14:textFill>
                  <w14:solidFill>
                    <w14:schemeClr w14:val="tx1"/>
                  </w14:solidFill>
                </w14:textFill>
              </w:rPr>
            </w:pPr>
            <w:r>
              <w:rPr>
                <w:rFonts w:ascii="Times New Roman"/>
                <w:color w:val="000000" w:themeColor="text1"/>
                <w:sz w:val="24"/>
                <w:szCs w:val="24"/>
                <w14:textFill>
                  <w14:solidFill>
                    <w14:schemeClr w14:val="tx1"/>
                  </w14:solidFill>
                </w14:textFill>
              </w:rPr>
              <w:t>单个该类别人员工资福利费用</w:t>
            </w:r>
            <w:r>
              <w:rPr>
                <w:rFonts w:hint="eastAsia"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元/年。</w:t>
            </w:r>
          </w:p>
        </w:tc>
      </w:tr>
      <w:tr w14:paraId="0B6E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36825CDC">
            <w:pPr>
              <w:jc w:val="center"/>
              <w:rPr>
                <w:color w:val="000000" w:themeColor="text1"/>
                <w:sz w:val="24"/>
                <w14:textFill>
                  <w14:solidFill>
                    <w14:schemeClr w14:val="tx1"/>
                  </w14:solidFill>
                </w14:textFill>
              </w:rPr>
            </w:pPr>
          </w:p>
        </w:tc>
        <w:tc>
          <w:tcPr>
            <w:tcW w:w="8225" w:type="dxa"/>
            <w:gridSpan w:val="7"/>
            <w:vAlign w:val="center"/>
          </w:tcPr>
          <w:p w14:paraId="1857C6A3">
            <w:pPr>
              <w:pStyle w:val="19"/>
              <w:ind w:left="525"/>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该类别人员数量：</w:t>
            </w:r>
            <w:r>
              <w:rPr>
                <w:rFonts w:hint="eastAsia"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个。</w:t>
            </w:r>
          </w:p>
        </w:tc>
      </w:tr>
      <w:tr w14:paraId="73F3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3C38AA89">
            <w:pPr>
              <w:jc w:val="center"/>
              <w:rPr>
                <w:color w:val="000000" w:themeColor="text1"/>
                <w:sz w:val="24"/>
                <w14:textFill>
                  <w14:solidFill>
                    <w14:schemeClr w14:val="tx1"/>
                  </w14:solidFill>
                </w14:textFill>
              </w:rPr>
            </w:pPr>
          </w:p>
        </w:tc>
        <w:tc>
          <w:tcPr>
            <w:tcW w:w="8225" w:type="dxa"/>
            <w:gridSpan w:val="7"/>
            <w:vAlign w:val="center"/>
          </w:tcPr>
          <w:p w14:paraId="6057652D">
            <w:pPr>
              <w:pStyle w:val="19"/>
              <w:ind w:left="525"/>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该类别人员年度工资福利费用合计：</w:t>
            </w:r>
            <w:r>
              <w:rPr>
                <w:rFonts w:hint="eastAsia"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元。</w:t>
            </w:r>
          </w:p>
        </w:tc>
      </w:tr>
      <w:tr w14:paraId="64E0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493475D5">
            <w:pPr>
              <w:jc w:val="center"/>
              <w:rPr>
                <w:color w:val="000000" w:themeColor="text1"/>
                <w:sz w:val="24"/>
                <w14:textFill>
                  <w14:solidFill>
                    <w14:schemeClr w14:val="tx1"/>
                  </w14:solidFill>
                </w14:textFill>
              </w:rPr>
            </w:pPr>
          </w:p>
        </w:tc>
        <w:tc>
          <w:tcPr>
            <w:tcW w:w="1352" w:type="dxa"/>
            <w:gridSpan w:val="2"/>
            <w:vMerge w:val="restart"/>
            <w:vAlign w:val="center"/>
          </w:tcPr>
          <w:p w14:paraId="666FB568">
            <w:pPr>
              <w:rPr>
                <w:color w:val="000000" w:themeColor="text1"/>
                <w:sz w:val="24"/>
                <w14:textFill>
                  <w14:solidFill>
                    <w14:schemeClr w14:val="tx1"/>
                  </w14:solidFill>
                </w14:textFill>
              </w:rPr>
            </w:pPr>
          </w:p>
        </w:tc>
        <w:tc>
          <w:tcPr>
            <w:tcW w:w="1464" w:type="dxa"/>
            <w:vAlign w:val="center"/>
          </w:tcPr>
          <w:p w14:paraId="4A29EA2B">
            <w:pPr>
              <w:rPr>
                <w:color w:val="000000" w:themeColor="text1"/>
                <w:sz w:val="24"/>
                <w14:textFill>
                  <w14:solidFill>
                    <w14:schemeClr w14:val="tx1"/>
                  </w14:solidFill>
                </w14:textFill>
              </w:rPr>
            </w:pPr>
          </w:p>
        </w:tc>
        <w:tc>
          <w:tcPr>
            <w:tcW w:w="1239" w:type="dxa"/>
            <w:vAlign w:val="center"/>
          </w:tcPr>
          <w:p w14:paraId="70A14E6D">
            <w:pPr>
              <w:rPr>
                <w:color w:val="000000" w:themeColor="text1"/>
                <w:sz w:val="24"/>
                <w14:textFill>
                  <w14:solidFill>
                    <w14:schemeClr w14:val="tx1"/>
                  </w14:solidFill>
                </w14:textFill>
              </w:rPr>
            </w:pPr>
          </w:p>
        </w:tc>
        <w:tc>
          <w:tcPr>
            <w:tcW w:w="939" w:type="dxa"/>
            <w:vAlign w:val="center"/>
          </w:tcPr>
          <w:p w14:paraId="60A07134">
            <w:pPr>
              <w:rPr>
                <w:color w:val="000000" w:themeColor="text1"/>
                <w:sz w:val="24"/>
                <w14:textFill>
                  <w14:solidFill>
                    <w14:schemeClr w14:val="tx1"/>
                  </w14:solidFill>
                </w14:textFill>
              </w:rPr>
            </w:pPr>
          </w:p>
        </w:tc>
        <w:tc>
          <w:tcPr>
            <w:tcW w:w="3231" w:type="dxa"/>
            <w:gridSpan w:val="2"/>
            <w:vAlign w:val="center"/>
          </w:tcPr>
          <w:p w14:paraId="36E40D90">
            <w:pPr>
              <w:rPr>
                <w:color w:val="000000" w:themeColor="text1"/>
                <w:sz w:val="24"/>
                <w14:textFill>
                  <w14:solidFill>
                    <w14:schemeClr w14:val="tx1"/>
                  </w14:solidFill>
                </w14:textFill>
              </w:rPr>
            </w:pPr>
          </w:p>
        </w:tc>
      </w:tr>
      <w:tr w14:paraId="625C3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03163208">
            <w:pPr>
              <w:jc w:val="center"/>
              <w:rPr>
                <w:color w:val="000000" w:themeColor="text1"/>
                <w:sz w:val="24"/>
                <w14:textFill>
                  <w14:solidFill>
                    <w14:schemeClr w14:val="tx1"/>
                  </w14:solidFill>
                </w14:textFill>
              </w:rPr>
            </w:pPr>
          </w:p>
        </w:tc>
        <w:tc>
          <w:tcPr>
            <w:tcW w:w="1352" w:type="dxa"/>
            <w:gridSpan w:val="2"/>
            <w:vMerge w:val="continue"/>
            <w:vAlign w:val="center"/>
          </w:tcPr>
          <w:p w14:paraId="0481B953">
            <w:pPr>
              <w:rPr>
                <w:color w:val="000000" w:themeColor="text1"/>
                <w:sz w:val="24"/>
                <w14:textFill>
                  <w14:solidFill>
                    <w14:schemeClr w14:val="tx1"/>
                  </w14:solidFill>
                </w14:textFill>
              </w:rPr>
            </w:pPr>
          </w:p>
        </w:tc>
        <w:tc>
          <w:tcPr>
            <w:tcW w:w="1464" w:type="dxa"/>
            <w:vAlign w:val="center"/>
          </w:tcPr>
          <w:p w14:paraId="2AD37E9C">
            <w:pPr>
              <w:rPr>
                <w:color w:val="000000" w:themeColor="text1"/>
                <w:sz w:val="24"/>
                <w14:textFill>
                  <w14:solidFill>
                    <w14:schemeClr w14:val="tx1"/>
                  </w14:solidFill>
                </w14:textFill>
              </w:rPr>
            </w:pPr>
          </w:p>
        </w:tc>
        <w:tc>
          <w:tcPr>
            <w:tcW w:w="1239" w:type="dxa"/>
            <w:vAlign w:val="center"/>
          </w:tcPr>
          <w:p w14:paraId="16DB853F">
            <w:pPr>
              <w:rPr>
                <w:color w:val="000000" w:themeColor="text1"/>
                <w:sz w:val="24"/>
                <w14:textFill>
                  <w14:solidFill>
                    <w14:schemeClr w14:val="tx1"/>
                  </w14:solidFill>
                </w14:textFill>
              </w:rPr>
            </w:pPr>
          </w:p>
        </w:tc>
        <w:tc>
          <w:tcPr>
            <w:tcW w:w="939" w:type="dxa"/>
            <w:vAlign w:val="center"/>
          </w:tcPr>
          <w:p w14:paraId="50A0532E">
            <w:pPr>
              <w:rPr>
                <w:color w:val="000000" w:themeColor="text1"/>
                <w:sz w:val="24"/>
                <w14:textFill>
                  <w14:solidFill>
                    <w14:schemeClr w14:val="tx1"/>
                  </w14:solidFill>
                </w14:textFill>
              </w:rPr>
            </w:pPr>
          </w:p>
        </w:tc>
        <w:tc>
          <w:tcPr>
            <w:tcW w:w="3231" w:type="dxa"/>
            <w:gridSpan w:val="2"/>
            <w:vAlign w:val="center"/>
          </w:tcPr>
          <w:p w14:paraId="098A6EE8">
            <w:pPr>
              <w:rPr>
                <w:color w:val="000000" w:themeColor="text1"/>
                <w:sz w:val="28"/>
                <w14:textFill>
                  <w14:solidFill>
                    <w14:schemeClr w14:val="tx1"/>
                  </w14:solidFill>
                </w14:textFill>
              </w:rPr>
            </w:pPr>
          </w:p>
        </w:tc>
      </w:tr>
      <w:tr w14:paraId="0CD5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2784B0A6">
            <w:pPr>
              <w:jc w:val="center"/>
              <w:rPr>
                <w:color w:val="000000" w:themeColor="text1"/>
                <w:sz w:val="24"/>
                <w14:textFill>
                  <w14:solidFill>
                    <w14:schemeClr w14:val="tx1"/>
                  </w14:solidFill>
                </w14:textFill>
              </w:rPr>
            </w:pPr>
          </w:p>
        </w:tc>
        <w:tc>
          <w:tcPr>
            <w:tcW w:w="1352" w:type="dxa"/>
            <w:gridSpan w:val="2"/>
            <w:vMerge w:val="continue"/>
            <w:vAlign w:val="center"/>
          </w:tcPr>
          <w:p w14:paraId="7489D32B">
            <w:pPr>
              <w:rPr>
                <w:color w:val="000000" w:themeColor="text1"/>
                <w:sz w:val="24"/>
                <w14:textFill>
                  <w14:solidFill>
                    <w14:schemeClr w14:val="tx1"/>
                  </w14:solidFill>
                </w14:textFill>
              </w:rPr>
            </w:pPr>
          </w:p>
        </w:tc>
        <w:tc>
          <w:tcPr>
            <w:tcW w:w="1464" w:type="dxa"/>
            <w:vAlign w:val="center"/>
          </w:tcPr>
          <w:p w14:paraId="7618AD12">
            <w:pP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c>
          <w:tcPr>
            <w:tcW w:w="1239" w:type="dxa"/>
            <w:vAlign w:val="center"/>
          </w:tcPr>
          <w:p w14:paraId="405B459D">
            <w:pPr>
              <w:rPr>
                <w:color w:val="000000" w:themeColor="text1"/>
                <w:szCs w:val="24"/>
                <w14:textFill>
                  <w14:solidFill>
                    <w14:schemeClr w14:val="tx1"/>
                  </w14:solidFill>
                </w14:textFill>
              </w:rPr>
            </w:pPr>
          </w:p>
        </w:tc>
        <w:tc>
          <w:tcPr>
            <w:tcW w:w="939" w:type="dxa"/>
            <w:vAlign w:val="center"/>
          </w:tcPr>
          <w:p w14:paraId="7B6FD13E">
            <w:pPr>
              <w:rPr>
                <w:color w:val="000000" w:themeColor="text1"/>
                <w:szCs w:val="24"/>
                <w14:textFill>
                  <w14:solidFill>
                    <w14:schemeClr w14:val="tx1"/>
                  </w14:solidFill>
                </w14:textFill>
              </w:rPr>
            </w:pPr>
          </w:p>
        </w:tc>
        <w:tc>
          <w:tcPr>
            <w:tcW w:w="3231" w:type="dxa"/>
            <w:gridSpan w:val="2"/>
            <w:vAlign w:val="center"/>
          </w:tcPr>
          <w:p w14:paraId="1CB7A012">
            <w:pPr>
              <w:pStyle w:val="368"/>
              <w:rPr>
                <w:rFonts w:ascii="Times New Roman" w:hAnsi="Times New Roman"/>
                <w:color w:val="000000" w:themeColor="text1"/>
                <w14:textFill>
                  <w14:solidFill>
                    <w14:schemeClr w14:val="tx1"/>
                  </w14:solidFill>
                </w14:textFill>
              </w:rPr>
            </w:pPr>
          </w:p>
        </w:tc>
      </w:tr>
      <w:tr w14:paraId="4710F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703E5236">
            <w:pPr>
              <w:jc w:val="center"/>
              <w:rPr>
                <w:color w:val="000000" w:themeColor="text1"/>
                <w:sz w:val="24"/>
                <w14:textFill>
                  <w14:solidFill>
                    <w14:schemeClr w14:val="tx1"/>
                  </w14:solidFill>
                </w14:textFill>
              </w:rPr>
            </w:pPr>
          </w:p>
        </w:tc>
        <w:tc>
          <w:tcPr>
            <w:tcW w:w="8225" w:type="dxa"/>
            <w:gridSpan w:val="7"/>
            <w:vAlign w:val="center"/>
          </w:tcPr>
          <w:p w14:paraId="03D4CC78">
            <w:pPr>
              <w:pStyle w:val="19"/>
              <w:ind w:left="525"/>
              <w:rPr>
                <w:rFonts w:ascii="Times New Roman"/>
                <w:color w:val="000000" w:themeColor="text1"/>
                <w:szCs w:val="24"/>
                <w14:textFill>
                  <w14:solidFill>
                    <w14:schemeClr w14:val="tx1"/>
                  </w14:solidFill>
                </w14:textFill>
              </w:rPr>
            </w:pPr>
            <w:r>
              <w:rPr>
                <w:rFonts w:ascii="Times New Roman"/>
                <w:color w:val="000000" w:themeColor="text1"/>
                <w:sz w:val="24"/>
                <w:szCs w:val="24"/>
                <w14:textFill>
                  <w14:solidFill>
                    <w14:schemeClr w14:val="tx1"/>
                  </w14:solidFill>
                </w14:textFill>
              </w:rPr>
              <w:t>单个该类别人员工资福利费用</w:t>
            </w:r>
            <w:r>
              <w:rPr>
                <w:rFonts w:hint="eastAsia"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u w:val="single"/>
                <w14:textFill>
                  <w14:solidFill>
                    <w14:schemeClr w14:val="tx1"/>
                  </w14:solidFill>
                </w14:textFill>
              </w:rPr>
              <w:t xml:space="preserve">    </w:t>
            </w:r>
            <w:r>
              <w:rPr>
                <w:rFonts w:hint="eastAsia"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元/年。</w:t>
            </w:r>
          </w:p>
        </w:tc>
      </w:tr>
      <w:tr w14:paraId="2D098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071A71F6">
            <w:pPr>
              <w:jc w:val="center"/>
              <w:rPr>
                <w:color w:val="000000" w:themeColor="text1"/>
                <w:sz w:val="24"/>
                <w14:textFill>
                  <w14:solidFill>
                    <w14:schemeClr w14:val="tx1"/>
                  </w14:solidFill>
                </w14:textFill>
              </w:rPr>
            </w:pPr>
          </w:p>
        </w:tc>
        <w:tc>
          <w:tcPr>
            <w:tcW w:w="8225" w:type="dxa"/>
            <w:gridSpan w:val="7"/>
            <w:vAlign w:val="center"/>
          </w:tcPr>
          <w:p w14:paraId="4659AFEE">
            <w:pPr>
              <w:pStyle w:val="19"/>
              <w:ind w:left="525"/>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该类别人员数量：</w:t>
            </w:r>
            <w:r>
              <w:rPr>
                <w:rFonts w:hint="eastAsia"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u w:val="single"/>
                <w14:textFill>
                  <w14:solidFill>
                    <w14:schemeClr w14:val="tx1"/>
                  </w14:solidFill>
                </w14:textFill>
              </w:rPr>
              <w:t xml:space="preserve">    </w:t>
            </w:r>
            <w:r>
              <w:rPr>
                <w:rFonts w:hint="eastAsia"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个。</w:t>
            </w:r>
          </w:p>
        </w:tc>
      </w:tr>
      <w:tr w14:paraId="6A0B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133E103D">
            <w:pPr>
              <w:jc w:val="center"/>
              <w:rPr>
                <w:color w:val="000000" w:themeColor="text1"/>
                <w:sz w:val="24"/>
                <w14:textFill>
                  <w14:solidFill>
                    <w14:schemeClr w14:val="tx1"/>
                  </w14:solidFill>
                </w14:textFill>
              </w:rPr>
            </w:pPr>
          </w:p>
        </w:tc>
        <w:tc>
          <w:tcPr>
            <w:tcW w:w="8225" w:type="dxa"/>
            <w:gridSpan w:val="7"/>
            <w:vAlign w:val="center"/>
          </w:tcPr>
          <w:p w14:paraId="5EC79813">
            <w:pPr>
              <w:pStyle w:val="19"/>
              <w:ind w:left="525"/>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该类别人员年度工资福利费用合计：</w:t>
            </w:r>
            <w:r>
              <w:rPr>
                <w:rFonts w:hint="eastAsia"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u w:val="single"/>
                <w14:textFill>
                  <w14:solidFill>
                    <w14:schemeClr w14:val="tx1"/>
                  </w14:solidFill>
                </w14:textFill>
              </w:rPr>
              <w:t xml:space="preserve">    </w:t>
            </w:r>
            <w:r>
              <w:rPr>
                <w:rFonts w:hint="eastAsia"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元。</w:t>
            </w:r>
          </w:p>
        </w:tc>
      </w:tr>
      <w:tr w14:paraId="18EB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Merge w:val="continue"/>
            <w:vAlign w:val="center"/>
          </w:tcPr>
          <w:p w14:paraId="6A8B1B38">
            <w:pPr>
              <w:jc w:val="center"/>
              <w:rPr>
                <w:color w:val="000000" w:themeColor="text1"/>
                <w:sz w:val="24"/>
                <w14:textFill>
                  <w14:solidFill>
                    <w14:schemeClr w14:val="tx1"/>
                  </w14:solidFill>
                </w14:textFill>
              </w:rPr>
            </w:pPr>
          </w:p>
        </w:tc>
        <w:tc>
          <w:tcPr>
            <w:tcW w:w="1352" w:type="dxa"/>
            <w:gridSpan w:val="2"/>
            <w:vAlign w:val="center"/>
          </w:tcPr>
          <w:p w14:paraId="545D89BD">
            <w:pP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c>
          <w:tcPr>
            <w:tcW w:w="1464" w:type="dxa"/>
            <w:vAlign w:val="center"/>
          </w:tcPr>
          <w:p w14:paraId="0BE92FD2">
            <w:pPr>
              <w:rPr>
                <w:color w:val="000000" w:themeColor="text1"/>
                <w:sz w:val="24"/>
                <w14:textFill>
                  <w14:solidFill>
                    <w14:schemeClr w14:val="tx1"/>
                  </w14:solidFill>
                </w14:textFill>
              </w:rPr>
            </w:pPr>
          </w:p>
        </w:tc>
        <w:tc>
          <w:tcPr>
            <w:tcW w:w="1239" w:type="dxa"/>
            <w:vAlign w:val="center"/>
          </w:tcPr>
          <w:p w14:paraId="5B6429C1">
            <w:pPr>
              <w:rPr>
                <w:color w:val="000000" w:themeColor="text1"/>
                <w:szCs w:val="24"/>
                <w14:textFill>
                  <w14:solidFill>
                    <w14:schemeClr w14:val="tx1"/>
                  </w14:solidFill>
                </w14:textFill>
              </w:rPr>
            </w:pPr>
          </w:p>
        </w:tc>
        <w:tc>
          <w:tcPr>
            <w:tcW w:w="939" w:type="dxa"/>
            <w:vAlign w:val="center"/>
          </w:tcPr>
          <w:p w14:paraId="4A3F1EFB">
            <w:pPr>
              <w:rPr>
                <w:color w:val="000000" w:themeColor="text1"/>
                <w:szCs w:val="24"/>
                <w14:textFill>
                  <w14:solidFill>
                    <w14:schemeClr w14:val="tx1"/>
                  </w14:solidFill>
                </w14:textFill>
              </w:rPr>
            </w:pPr>
          </w:p>
        </w:tc>
        <w:tc>
          <w:tcPr>
            <w:tcW w:w="3231" w:type="dxa"/>
            <w:gridSpan w:val="2"/>
            <w:vAlign w:val="center"/>
          </w:tcPr>
          <w:p w14:paraId="68225974">
            <w:pPr>
              <w:pStyle w:val="368"/>
              <w:rPr>
                <w:rFonts w:ascii="Times New Roman" w:hAnsi="Times New Roman"/>
                <w:color w:val="000000" w:themeColor="text1"/>
                <w14:textFill>
                  <w14:solidFill>
                    <w14:schemeClr w14:val="tx1"/>
                  </w14:solidFill>
                </w14:textFill>
              </w:rPr>
            </w:pPr>
          </w:p>
        </w:tc>
      </w:tr>
      <w:tr w14:paraId="67FB7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0" w:hRule="atLeast"/>
          <w:jc w:val="center"/>
        </w:trPr>
        <w:tc>
          <w:tcPr>
            <w:tcW w:w="1352" w:type="dxa"/>
            <w:vAlign w:val="center"/>
          </w:tcPr>
          <w:p w14:paraId="4A30A9A2">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车辆、工具等费用（元）</w:t>
            </w:r>
          </w:p>
        </w:tc>
        <w:tc>
          <w:tcPr>
            <w:tcW w:w="8225" w:type="dxa"/>
            <w:gridSpan w:val="7"/>
            <w:vAlign w:val="center"/>
          </w:tcPr>
          <w:p w14:paraId="7FA10184">
            <w:pPr>
              <w:pStyle w:val="368"/>
              <w:rPr>
                <w:rFonts w:ascii="Times New Roman" w:hAnsi="Times New Roman"/>
                <w:color w:val="000000" w:themeColor="text1"/>
                <w14:textFill>
                  <w14:solidFill>
                    <w14:schemeClr w14:val="tx1"/>
                  </w14:solidFill>
                </w14:textFill>
              </w:rPr>
            </w:pPr>
          </w:p>
        </w:tc>
      </w:tr>
      <w:tr w14:paraId="0BAD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1352" w:type="dxa"/>
            <w:vAlign w:val="center"/>
          </w:tcPr>
          <w:p w14:paraId="7A00BCE8">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其他费用（元）</w:t>
            </w:r>
          </w:p>
        </w:tc>
        <w:tc>
          <w:tcPr>
            <w:tcW w:w="8225" w:type="dxa"/>
            <w:gridSpan w:val="7"/>
            <w:vAlign w:val="center"/>
          </w:tcPr>
          <w:p w14:paraId="6DCB0F17">
            <w:pPr>
              <w:pStyle w:val="368"/>
              <w:rPr>
                <w:rFonts w:ascii="Times New Roman" w:hAnsi="Times New Roman"/>
                <w:color w:val="000000" w:themeColor="text1"/>
                <w14:textFill>
                  <w14:solidFill>
                    <w14:schemeClr w14:val="tx1"/>
                  </w14:solidFill>
                </w14:textFill>
              </w:rPr>
            </w:pPr>
          </w:p>
        </w:tc>
      </w:tr>
      <w:tr w14:paraId="7F397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52" w:type="dxa"/>
            <w:vAlign w:val="center"/>
          </w:tcPr>
          <w:p w14:paraId="334D6707">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c>
          <w:tcPr>
            <w:tcW w:w="8225" w:type="dxa"/>
            <w:gridSpan w:val="7"/>
            <w:vAlign w:val="center"/>
          </w:tcPr>
          <w:p w14:paraId="238FA566">
            <w:pPr>
              <w:pStyle w:val="368"/>
              <w:rPr>
                <w:rFonts w:ascii="Times New Roman" w:hAnsi="Times New Roman"/>
                <w:color w:val="000000" w:themeColor="text1"/>
                <w14:textFill>
                  <w14:solidFill>
                    <w14:schemeClr w14:val="tx1"/>
                  </w14:solidFill>
                </w14:textFill>
              </w:rPr>
            </w:pPr>
          </w:p>
        </w:tc>
      </w:tr>
      <w:tr w14:paraId="2C1AC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2367" w:type="dxa"/>
            <w:gridSpan w:val="2"/>
            <w:vAlign w:val="center"/>
          </w:tcPr>
          <w:p w14:paraId="5225EB89">
            <w:pPr>
              <w:pStyle w:val="368"/>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投标总报价（元）</w:t>
            </w:r>
          </w:p>
        </w:tc>
        <w:tc>
          <w:tcPr>
            <w:tcW w:w="7210" w:type="dxa"/>
            <w:gridSpan w:val="6"/>
            <w:vAlign w:val="center"/>
          </w:tcPr>
          <w:p w14:paraId="66C8DF61">
            <w:pPr>
              <w:pStyle w:val="368"/>
              <w:rPr>
                <w:rFonts w:ascii="Times New Roman" w:hAnsi="Times New Roman"/>
                <w:color w:val="000000" w:themeColor="text1"/>
                <w14:textFill>
                  <w14:solidFill>
                    <w14:schemeClr w14:val="tx1"/>
                  </w14:solidFill>
                </w14:textFill>
              </w:rPr>
            </w:pPr>
          </w:p>
        </w:tc>
      </w:tr>
    </w:tbl>
    <w:p w14:paraId="1EBEF212">
      <w:pPr>
        <w:spacing w:line="440" w:lineRule="exact"/>
        <w:rPr>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注：</w:t>
      </w:r>
      <w:r>
        <w:rPr>
          <w:rFonts w:hint="eastAsia" w:cs="Calibri"/>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、投标人应根据本项目服务的分项价格情况填写上述表格。</w:t>
      </w:r>
    </w:p>
    <w:p w14:paraId="7ED7B052">
      <w:pPr>
        <w:spacing w:line="440" w:lineRule="exact"/>
        <w:ind w:firstLine="480"/>
        <w:rPr>
          <w:bCs/>
          <w:color w:val="000000" w:themeColor="text1"/>
          <w:sz w:val="24"/>
          <w:szCs w:val="24"/>
          <w14:textFill>
            <w14:solidFill>
              <w14:schemeClr w14:val="tx1"/>
            </w14:solidFill>
          </w14:textFill>
        </w:rPr>
      </w:pPr>
      <w:r>
        <w:rPr>
          <w:rFonts w:hint="eastAsia" w:cs="Calibri"/>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、所有价格用人民币表示。</w:t>
      </w:r>
    </w:p>
    <w:p w14:paraId="3D7C15F0">
      <w:pPr>
        <w:spacing w:line="440" w:lineRule="exact"/>
        <w:ind w:firstLine="480"/>
        <w:rPr>
          <w:color w:val="000000" w:themeColor="text1"/>
          <w:sz w:val="24"/>
          <w:szCs w:val="24"/>
          <w14:textFill>
            <w14:solidFill>
              <w14:schemeClr w14:val="tx1"/>
            </w14:solidFill>
          </w14:textFill>
        </w:rPr>
      </w:pPr>
      <w:r>
        <w:rPr>
          <w:rFonts w:hint="eastAsia" w:cs="Calibri"/>
          <w:bCs/>
          <w:color w:val="000000" w:themeColor="text1"/>
          <w:sz w:val="24"/>
          <w:szCs w:val="24"/>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、表中“</w:t>
      </w:r>
      <w:r>
        <w:rPr>
          <w:rFonts w:hint="eastAsia" w:ascii="宋体" w:hAnsi="宋体"/>
          <w:color w:val="000000" w:themeColor="text1"/>
          <w:sz w:val="24"/>
          <w:szCs w:val="24"/>
          <w14:textFill>
            <w14:solidFill>
              <w14:schemeClr w14:val="tx1"/>
            </w14:solidFill>
          </w14:textFill>
        </w:rPr>
        <w:t>投标总报价</w:t>
      </w:r>
      <w:r>
        <w:rPr>
          <w:rFonts w:hint="eastAsia" w:ascii="宋体" w:hAnsi="宋体"/>
          <w:bCs/>
          <w:color w:val="000000" w:themeColor="text1"/>
          <w:sz w:val="24"/>
          <w:szCs w:val="24"/>
          <w14:textFill>
            <w14:solidFill>
              <w14:schemeClr w14:val="tx1"/>
            </w14:solidFill>
          </w14:textFill>
        </w:rPr>
        <w:t>”应与“开标一览表”中“</w:t>
      </w:r>
      <w:r>
        <w:rPr>
          <w:rFonts w:hint="eastAsia" w:ascii="宋体" w:hAnsi="宋体"/>
          <w:color w:val="000000" w:themeColor="text1"/>
          <w:sz w:val="24"/>
          <w:szCs w:val="24"/>
          <w14:textFill>
            <w14:solidFill>
              <w14:schemeClr w14:val="tx1"/>
            </w14:solidFill>
          </w14:textFill>
        </w:rPr>
        <w:t>投标总报价</w:t>
      </w:r>
      <w:r>
        <w:rPr>
          <w:rFonts w:hint="eastAsia" w:ascii="宋体" w:hAnsi="宋体"/>
          <w:bCs/>
          <w:color w:val="000000" w:themeColor="text1"/>
          <w:sz w:val="24"/>
          <w:szCs w:val="24"/>
          <w14:textFill>
            <w14:solidFill>
              <w14:schemeClr w14:val="tx1"/>
            </w14:solidFill>
          </w14:textFill>
        </w:rPr>
        <w:t>”相一致。</w:t>
      </w:r>
    </w:p>
    <w:p w14:paraId="213B6001">
      <w:pPr>
        <w:spacing w:line="440" w:lineRule="exact"/>
        <w:ind w:firstLine="480"/>
        <w:rPr>
          <w:rFonts w:ascii="宋体" w:hAnsi="宋体"/>
          <w:color w:val="000000" w:themeColor="text1"/>
          <w:sz w:val="24"/>
          <w:szCs w:val="24"/>
          <w14:textFill>
            <w14:solidFill>
              <w14:schemeClr w14:val="tx1"/>
            </w14:solidFill>
          </w14:textFill>
        </w:rPr>
      </w:pPr>
      <w:r>
        <w:rPr>
          <w:rFonts w:hint="eastAsia" w:cs="Calibri"/>
          <w:bCs/>
          <w:color w:val="000000" w:themeColor="text1"/>
          <w:sz w:val="24"/>
          <w:szCs w:val="24"/>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投标总报价</w:t>
      </w:r>
      <w:r>
        <w:rPr>
          <w:rFonts w:hint="eastAsia" w:ascii="宋体" w:hAnsi="宋体"/>
          <w:bCs/>
          <w:color w:val="000000" w:themeColor="text1"/>
          <w:sz w:val="24"/>
          <w:szCs w:val="24"/>
          <w14:textFill>
            <w14:solidFill>
              <w14:schemeClr w14:val="tx1"/>
            </w14:solidFill>
          </w14:textFill>
        </w:rPr>
        <w:t>”请保留小数点后两位。</w:t>
      </w:r>
    </w:p>
    <w:p w14:paraId="4D13A437">
      <w:pPr>
        <w:pStyle w:val="3"/>
        <w:spacing w:line="440" w:lineRule="exact"/>
        <w:jc w:val="center"/>
        <w:rPr>
          <w:rFonts w:ascii="宋体" w:hAnsi="宋体"/>
          <w:color w:val="000000" w:themeColor="text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13" w:name="_Toc14076"/>
      <w:r>
        <w:rPr>
          <w:rFonts w:hint="eastAsia" w:ascii="Times New Roman" w:hAnsi="Times New Roman" w:eastAsia="宋体" w:cs="Times New Roman"/>
          <w:b/>
          <w:bCs/>
          <w:color w:val="000000" w:themeColor="text1"/>
          <w:sz w:val="28"/>
          <w:szCs w:val="28"/>
          <w14:textFill>
            <w14:solidFill>
              <w14:schemeClr w14:val="tx1"/>
            </w14:solidFill>
          </w14:textFill>
        </w:rPr>
        <w:t>附件3 项目服务要求响应及偏离表</w:t>
      </w:r>
      <w:bookmarkEnd w:id="213"/>
    </w:p>
    <w:tbl>
      <w:tblPr>
        <w:tblStyle w:val="39"/>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2897"/>
        <w:gridCol w:w="2333"/>
        <w:gridCol w:w="1889"/>
        <w:gridCol w:w="2110"/>
      </w:tblGrid>
      <w:tr w14:paraId="79AA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68" w:type="dxa"/>
            <w:vAlign w:val="center"/>
          </w:tcPr>
          <w:p w14:paraId="756E3E27">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2897" w:type="dxa"/>
            <w:vAlign w:val="center"/>
          </w:tcPr>
          <w:p w14:paraId="05A38A6E">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招标文件</w:t>
            </w:r>
            <w:r>
              <w:rPr>
                <w:color w:val="000000" w:themeColor="text1"/>
                <w:szCs w:val="21"/>
                <w14:textFill>
                  <w14:solidFill>
                    <w14:schemeClr w14:val="tx1"/>
                  </w14:solidFill>
                </w14:textFill>
              </w:rPr>
              <w:t>要求</w:t>
            </w:r>
          </w:p>
        </w:tc>
        <w:tc>
          <w:tcPr>
            <w:tcW w:w="2333" w:type="dxa"/>
            <w:vAlign w:val="center"/>
          </w:tcPr>
          <w:p w14:paraId="576ECAD3">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投标人</w:t>
            </w:r>
            <w:r>
              <w:rPr>
                <w:color w:val="000000" w:themeColor="text1"/>
                <w:szCs w:val="21"/>
                <w14:textFill>
                  <w14:solidFill>
                    <w14:schemeClr w14:val="tx1"/>
                  </w14:solidFill>
                </w14:textFill>
              </w:rPr>
              <w:t>提供服务承诺</w:t>
            </w:r>
          </w:p>
        </w:tc>
        <w:tc>
          <w:tcPr>
            <w:tcW w:w="1889" w:type="dxa"/>
            <w:vAlign w:val="center"/>
          </w:tcPr>
          <w:p w14:paraId="00AEF4D7">
            <w:pPr>
              <w:jc w:val="center"/>
              <w:rPr>
                <w:color w:val="000000" w:themeColor="text1"/>
                <w14:textFill>
                  <w14:solidFill>
                    <w14:schemeClr w14:val="tx1"/>
                  </w14:solidFill>
                </w14:textFill>
              </w:rPr>
            </w:pPr>
            <w:r>
              <w:rPr>
                <w:color w:val="000000" w:themeColor="text1"/>
                <w14:textFill>
                  <w14:solidFill>
                    <w14:schemeClr w14:val="tx1"/>
                  </w14:solidFill>
                </w14:textFill>
              </w:rPr>
              <w:t>有无偏离</w:t>
            </w:r>
          </w:p>
        </w:tc>
        <w:tc>
          <w:tcPr>
            <w:tcW w:w="2110" w:type="dxa"/>
            <w:vAlign w:val="center"/>
          </w:tcPr>
          <w:p w14:paraId="0C1760BB">
            <w:pPr>
              <w:jc w:val="center"/>
              <w:rPr>
                <w:color w:val="000000" w:themeColor="text1"/>
                <w14:textFill>
                  <w14:solidFill>
                    <w14:schemeClr w14:val="tx1"/>
                  </w14:solidFill>
                </w14:textFill>
              </w:rPr>
            </w:pPr>
            <w:r>
              <w:rPr>
                <w:color w:val="000000" w:themeColor="text1"/>
                <w14:textFill>
                  <w14:solidFill>
                    <w14:schemeClr w14:val="tx1"/>
                  </w14:solidFill>
                </w14:textFill>
              </w:rPr>
              <w:t>偏离内容及原因</w:t>
            </w:r>
          </w:p>
        </w:tc>
      </w:tr>
      <w:tr w14:paraId="69E1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vAlign w:val="center"/>
          </w:tcPr>
          <w:p w14:paraId="4885E73A">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1</w:t>
            </w:r>
          </w:p>
        </w:tc>
        <w:tc>
          <w:tcPr>
            <w:tcW w:w="2897" w:type="dxa"/>
            <w:vAlign w:val="center"/>
          </w:tcPr>
          <w:p w14:paraId="301494F7">
            <w:pPr>
              <w:spacing w:line="440" w:lineRule="exact"/>
              <w:jc w:val="center"/>
              <w:rPr>
                <w:color w:val="000000" w:themeColor="text1"/>
                <w14:textFill>
                  <w14:solidFill>
                    <w14:schemeClr w14:val="tx1"/>
                  </w14:solidFill>
                </w14:textFill>
              </w:rPr>
            </w:pPr>
          </w:p>
        </w:tc>
        <w:tc>
          <w:tcPr>
            <w:tcW w:w="2333" w:type="dxa"/>
            <w:vAlign w:val="center"/>
          </w:tcPr>
          <w:p w14:paraId="20D467EA">
            <w:pPr>
              <w:spacing w:line="440" w:lineRule="exact"/>
              <w:jc w:val="center"/>
              <w:rPr>
                <w:color w:val="000000" w:themeColor="text1"/>
                <w14:textFill>
                  <w14:solidFill>
                    <w14:schemeClr w14:val="tx1"/>
                  </w14:solidFill>
                </w14:textFill>
              </w:rPr>
            </w:pPr>
          </w:p>
        </w:tc>
        <w:tc>
          <w:tcPr>
            <w:tcW w:w="1889" w:type="dxa"/>
            <w:vAlign w:val="center"/>
          </w:tcPr>
          <w:p w14:paraId="32D3A20E">
            <w:pPr>
              <w:spacing w:line="440" w:lineRule="exact"/>
              <w:jc w:val="center"/>
              <w:rPr>
                <w:color w:val="000000" w:themeColor="text1"/>
                <w14:textFill>
                  <w14:solidFill>
                    <w14:schemeClr w14:val="tx1"/>
                  </w14:solidFill>
                </w14:textFill>
              </w:rPr>
            </w:pPr>
          </w:p>
        </w:tc>
        <w:tc>
          <w:tcPr>
            <w:tcW w:w="2110" w:type="dxa"/>
            <w:vAlign w:val="center"/>
          </w:tcPr>
          <w:p w14:paraId="313FB3BB">
            <w:pPr>
              <w:spacing w:line="440" w:lineRule="exact"/>
              <w:jc w:val="center"/>
              <w:rPr>
                <w:color w:val="000000" w:themeColor="text1"/>
                <w14:textFill>
                  <w14:solidFill>
                    <w14:schemeClr w14:val="tx1"/>
                  </w14:solidFill>
                </w14:textFill>
              </w:rPr>
            </w:pPr>
          </w:p>
        </w:tc>
      </w:tr>
      <w:tr w14:paraId="304A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vAlign w:val="center"/>
          </w:tcPr>
          <w:p w14:paraId="3934EE21">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2897" w:type="dxa"/>
            <w:vAlign w:val="center"/>
          </w:tcPr>
          <w:p w14:paraId="58F77EF3">
            <w:pPr>
              <w:spacing w:line="440" w:lineRule="exact"/>
              <w:jc w:val="center"/>
              <w:rPr>
                <w:color w:val="000000" w:themeColor="text1"/>
                <w14:textFill>
                  <w14:solidFill>
                    <w14:schemeClr w14:val="tx1"/>
                  </w14:solidFill>
                </w14:textFill>
              </w:rPr>
            </w:pPr>
          </w:p>
        </w:tc>
        <w:tc>
          <w:tcPr>
            <w:tcW w:w="2333" w:type="dxa"/>
            <w:vAlign w:val="center"/>
          </w:tcPr>
          <w:p w14:paraId="788648FE">
            <w:pPr>
              <w:spacing w:line="440" w:lineRule="exact"/>
              <w:jc w:val="center"/>
              <w:rPr>
                <w:color w:val="000000" w:themeColor="text1"/>
                <w14:textFill>
                  <w14:solidFill>
                    <w14:schemeClr w14:val="tx1"/>
                  </w14:solidFill>
                </w14:textFill>
              </w:rPr>
            </w:pPr>
          </w:p>
        </w:tc>
        <w:tc>
          <w:tcPr>
            <w:tcW w:w="1889" w:type="dxa"/>
            <w:vAlign w:val="center"/>
          </w:tcPr>
          <w:p w14:paraId="727428DC">
            <w:pPr>
              <w:spacing w:line="440" w:lineRule="exact"/>
              <w:jc w:val="center"/>
              <w:rPr>
                <w:color w:val="000000" w:themeColor="text1"/>
                <w14:textFill>
                  <w14:solidFill>
                    <w14:schemeClr w14:val="tx1"/>
                  </w14:solidFill>
                </w14:textFill>
              </w:rPr>
            </w:pPr>
          </w:p>
        </w:tc>
        <w:tc>
          <w:tcPr>
            <w:tcW w:w="2110" w:type="dxa"/>
            <w:vAlign w:val="center"/>
          </w:tcPr>
          <w:p w14:paraId="18A211F2">
            <w:pPr>
              <w:spacing w:line="440" w:lineRule="exact"/>
              <w:jc w:val="center"/>
              <w:rPr>
                <w:color w:val="000000" w:themeColor="text1"/>
                <w14:textFill>
                  <w14:solidFill>
                    <w14:schemeClr w14:val="tx1"/>
                  </w14:solidFill>
                </w14:textFill>
              </w:rPr>
            </w:pPr>
          </w:p>
        </w:tc>
      </w:tr>
      <w:tr w14:paraId="5F6B5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vAlign w:val="center"/>
          </w:tcPr>
          <w:p w14:paraId="4A24659C">
            <w:pPr>
              <w:spacing w:line="440" w:lineRule="exact"/>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2897" w:type="dxa"/>
            <w:vAlign w:val="center"/>
          </w:tcPr>
          <w:p w14:paraId="352A0166">
            <w:pPr>
              <w:spacing w:line="440" w:lineRule="exact"/>
              <w:jc w:val="center"/>
              <w:rPr>
                <w:color w:val="000000" w:themeColor="text1"/>
                <w14:textFill>
                  <w14:solidFill>
                    <w14:schemeClr w14:val="tx1"/>
                  </w14:solidFill>
                </w14:textFill>
              </w:rPr>
            </w:pPr>
          </w:p>
        </w:tc>
        <w:tc>
          <w:tcPr>
            <w:tcW w:w="2333" w:type="dxa"/>
            <w:vAlign w:val="center"/>
          </w:tcPr>
          <w:p w14:paraId="77B409F9">
            <w:pPr>
              <w:spacing w:line="440" w:lineRule="exact"/>
              <w:jc w:val="center"/>
              <w:rPr>
                <w:color w:val="000000" w:themeColor="text1"/>
                <w14:textFill>
                  <w14:solidFill>
                    <w14:schemeClr w14:val="tx1"/>
                  </w14:solidFill>
                </w14:textFill>
              </w:rPr>
            </w:pPr>
          </w:p>
        </w:tc>
        <w:tc>
          <w:tcPr>
            <w:tcW w:w="1889" w:type="dxa"/>
            <w:vAlign w:val="center"/>
          </w:tcPr>
          <w:p w14:paraId="0F9394B1">
            <w:pPr>
              <w:spacing w:line="440" w:lineRule="exact"/>
              <w:jc w:val="center"/>
              <w:rPr>
                <w:color w:val="000000" w:themeColor="text1"/>
                <w14:textFill>
                  <w14:solidFill>
                    <w14:schemeClr w14:val="tx1"/>
                  </w14:solidFill>
                </w14:textFill>
              </w:rPr>
            </w:pPr>
          </w:p>
        </w:tc>
        <w:tc>
          <w:tcPr>
            <w:tcW w:w="2110" w:type="dxa"/>
            <w:vAlign w:val="center"/>
          </w:tcPr>
          <w:p w14:paraId="640A6B4E">
            <w:pPr>
              <w:spacing w:line="440" w:lineRule="exact"/>
              <w:jc w:val="center"/>
              <w:rPr>
                <w:color w:val="000000" w:themeColor="text1"/>
                <w14:textFill>
                  <w14:solidFill>
                    <w14:schemeClr w14:val="tx1"/>
                  </w14:solidFill>
                </w14:textFill>
              </w:rPr>
            </w:pPr>
          </w:p>
        </w:tc>
      </w:tr>
      <w:tr w14:paraId="17C0C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vAlign w:val="center"/>
          </w:tcPr>
          <w:p w14:paraId="546C9247">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4</w:t>
            </w:r>
          </w:p>
        </w:tc>
        <w:tc>
          <w:tcPr>
            <w:tcW w:w="2897" w:type="dxa"/>
            <w:vAlign w:val="center"/>
          </w:tcPr>
          <w:p w14:paraId="2E36E7F5">
            <w:pPr>
              <w:spacing w:line="440" w:lineRule="exact"/>
              <w:jc w:val="center"/>
              <w:rPr>
                <w:color w:val="000000" w:themeColor="text1"/>
                <w14:textFill>
                  <w14:solidFill>
                    <w14:schemeClr w14:val="tx1"/>
                  </w14:solidFill>
                </w14:textFill>
              </w:rPr>
            </w:pPr>
          </w:p>
        </w:tc>
        <w:tc>
          <w:tcPr>
            <w:tcW w:w="2333" w:type="dxa"/>
            <w:vAlign w:val="center"/>
          </w:tcPr>
          <w:p w14:paraId="14BB4DA3">
            <w:pPr>
              <w:spacing w:line="440" w:lineRule="exact"/>
              <w:jc w:val="center"/>
              <w:rPr>
                <w:color w:val="000000" w:themeColor="text1"/>
                <w14:textFill>
                  <w14:solidFill>
                    <w14:schemeClr w14:val="tx1"/>
                  </w14:solidFill>
                </w14:textFill>
              </w:rPr>
            </w:pPr>
          </w:p>
        </w:tc>
        <w:tc>
          <w:tcPr>
            <w:tcW w:w="1889" w:type="dxa"/>
            <w:vAlign w:val="center"/>
          </w:tcPr>
          <w:p w14:paraId="39983AA9">
            <w:pPr>
              <w:spacing w:line="440" w:lineRule="exact"/>
              <w:jc w:val="center"/>
              <w:rPr>
                <w:color w:val="000000" w:themeColor="text1"/>
                <w14:textFill>
                  <w14:solidFill>
                    <w14:schemeClr w14:val="tx1"/>
                  </w14:solidFill>
                </w14:textFill>
              </w:rPr>
            </w:pPr>
          </w:p>
        </w:tc>
        <w:tc>
          <w:tcPr>
            <w:tcW w:w="2110" w:type="dxa"/>
            <w:vAlign w:val="center"/>
          </w:tcPr>
          <w:p w14:paraId="738D814F">
            <w:pPr>
              <w:spacing w:line="440" w:lineRule="exact"/>
              <w:jc w:val="center"/>
              <w:rPr>
                <w:color w:val="000000" w:themeColor="text1"/>
                <w14:textFill>
                  <w14:solidFill>
                    <w14:schemeClr w14:val="tx1"/>
                  </w14:solidFill>
                </w14:textFill>
              </w:rPr>
            </w:pPr>
          </w:p>
        </w:tc>
      </w:tr>
      <w:tr w14:paraId="33F00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vAlign w:val="center"/>
          </w:tcPr>
          <w:p w14:paraId="2D45CC29">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5</w:t>
            </w:r>
          </w:p>
        </w:tc>
        <w:tc>
          <w:tcPr>
            <w:tcW w:w="2897" w:type="dxa"/>
            <w:vAlign w:val="center"/>
          </w:tcPr>
          <w:p w14:paraId="608A007B">
            <w:pPr>
              <w:spacing w:line="440" w:lineRule="exact"/>
              <w:jc w:val="center"/>
              <w:rPr>
                <w:color w:val="000000" w:themeColor="text1"/>
                <w14:textFill>
                  <w14:solidFill>
                    <w14:schemeClr w14:val="tx1"/>
                  </w14:solidFill>
                </w14:textFill>
              </w:rPr>
            </w:pPr>
          </w:p>
        </w:tc>
        <w:tc>
          <w:tcPr>
            <w:tcW w:w="2333" w:type="dxa"/>
            <w:vAlign w:val="center"/>
          </w:tcPr>
          <w:p w14:paraId="372BE3E1">
            <w:pPr>
              <w:spacing w:line="440" w:lineRule="exact"/>
              <w:jc w:val="center"/>
              <w:rPr>
                <w:color w:val="000000" w:themeColor="text1"/>
                <w14:textFill>
                  <w14:solidFill>
                    <w14:schemeClr w14:val="tx1"/>
                  </w14:solidFill>
                </w14:textFill>
              </w:rPr>
            </w:pPr>
          </w:p>
        </w:tc>
        <w:tc>
          <w:tcPr>
            <w:tcW w:w="1889" w:type="dxa"/>
            <w:vAlign w:val="center"/>
          </w:tcPr>
          <w:p w14:paraId="5DBFCB9E">
            <w:pPr>
              <w:spacing w:line="440" w:lineRule="exact"/>
              <w:jc w:val="center"/>
              <w:rPr>
                <w:color w:val="000000" w:themeColor="text1"/>
                <w14:textFill>
                  <w14:solidFill>
                    <w14:schemeClr w14:val="tx1"/>
                  </w14:solidFill>
                </w14:textFill>
              </w:rPr>
            </w:pPr>
          </w:p>
        </w:tc>
        <w:tc>
          <w:tcPr>
            <w:tcW w:w="2110" w:type="dxa"/>
            <w:vAlign w:val="center"/>
          </w:tcPr>
          <w:p w14:paraId="181DDFB0">
            <w:pPr>
              <w:spacing w:line="440" w:lineRule="exact"/>
              <w:jc w:val="center"/>
              <w:rPr>
                <w:color w:val="000000" w:themeColor="text1"/>
                <w14:textFill>
                  <w14:solidFill>
                    <w14:schemeClr w14:val="tx1"/>
                  </w14:solidFill>
                </w14:textFill>
              </w:rPr>
            </w:pPr>
          </w:p>
        </w:tc>
      </w:tr>
      <w:tr w14:paraId="71404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vAlign w:val="center"/>
          </w:tcPr>
          <w:p w14:paraId="4BAB2D72">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6</w:t>
            </w:r>
          </w:p>
        </w:tc>
        <w:tc>
          <w:tcPr>
            <w:tcW w:w="2897" w:type="dxa"/>
            <w:vAlign w:val="center"/>
          </w:tcPr>
          <w:p w14:paraId="1A149897">
            <w:pPr>
              <w:spacing w:line="440" w:lineRule="exact"/>
              <w:jc w:val="center"/>
              <w:rPr>
                <w:color w:val="000000" w:themeColor="text1"/>
                <w14:textFill>
                  <w14:solidFill>
                    <w14:schemeClr w14:val="tx1"/>
                  </w14:solidFill>
                </w14:textFill>
              </w:rPr>
            </w:pPr>
          </w:p>
        </w:tc>
        <w:tc>
          <w:tcPr>
            <w:tcW w:w="2333" w:type="dxa"/>
            <w:vAlign w:val="center"/>
          </w:tcPr>
          <w:p w14:paraId="6687945A">
            <w:pPr>
              <w:spacing w:line="440" w:lineRule="exact"/>
              <w:jc w:val="center"/>
              <w:rPr>
                <w:color w:val="000000" w:themeColor="text1"/>
                <w14:textFill>
                  <w14:solidFill>
                    <w14:schemeClr w14:val="tx1"/>
                  </w14:solidFill>
                </w14:textFill>
              </w:rPr>
            </w:pPr>
          </w:p>
        </w:tc>
        <w:tc>
          <w:tcPr>
            <w:tcW w:w="1889" w:type="dxa"/>
            <w:vAlign w:val="center"/>
          </w:tcPr>
          <w:p w14:paraId="75275AC7">
            <w:pPr>
              <w:spacing w:line="440" w:lineRule="exact"/>
              <w:jc w:val="center"/>
              <w:rPr>
                <w:color w:val="000000" w:themeColor="text1"/>
                <w14:textFill>
                  <w14:solidFill>
                    <w14:schemeClr w14:val="tx1"/>
                  </w14:solidFill>
                </w14:textFill>
              </w:rPr>
            </w:pPr>
          </w:p>
        </w:tc>
        <w:tc>
          <w:tcPr>
            <w:tcW w:w="2110" w:type="dxa"/>
            <w:vAlign w:val="center"/>
          </w:tcPr>
          <w:p w14:paraId="6E738E5B">
            <w:pPr>
              <w:spacing w:line="440" w:lineRule="exact"/>
              <w:jc w:val="center"/>
              <w:rPr>
                <w:color w:val="000000" w:themeColor="text1"/>
                <w14:textFill>
                  <w14:solidFill>
                    <w14:schemeClr w14:val="tx1"/>
                  </w14:solidFill>
                </w14:textFill>
              </w:rPr>
            </w:pPr>
          </w:p>
        </w:tc>
      </w:tr>
      <w:tr w14:paraId="55215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68" w:type="dxa"/>
            <w:vAlign w:val="center"/>
          </w:tcPr>
          <w:p w14:paraId="75FFCE3B">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7</w:t>
            </w:r>
          </w:p>
        </w:tc>
        <w:tc>
          <w:tcPr>
            <w:tcW w:w="2897" w:type="dxa"/>
            <w:vAlign w:val="center"/>
          </w:tcPr>
          <w:p w14:paraId="71C02972">
            <w:pPr>
              <w:spacing w:line="440" w:lineRule="exact"/>
              <w:jc w:val="center"/>
              <w:rPr>
                <w:color w:val="000000" w:themeColor="text1"/>
                <w14:textFill>
                  <w14:solidFill>
                    <w14:schemeClr w14:val="tx1"/>
                  </w14:solidFill>
                </w14:textFill>
              </w:rPr>
            </w:pPr>
          </w:p>
        </w:tc>
        <w:tc>
          <w:tcPr>
            <w:tcW w:w="2333" w:type="dxa"/>
            <w:vAlign w:val="center"/>
          </w:tcPr>
          <w:p w14:paraId="69EF4C33">
            <w:pPr>
              <w:spacing w:line="440" w:lineRule="exact"/>
              <w:jc w:val="center"/>
              <w:rPr>
                <w:color w:val="000000" w:themeColor="text1"/>
                <w14:textFill>
                  <w14:solidFill>
                    <w14:schemeClr w14:val="tx1"/>
                  </w14:solidFill>
                </w14:textFill>
              </w:rPr>
            </w:pPr>
          </w:p>
        </w:tc>
        <w:tc>
          <w:tcPr>
            <w:tcW w:w="1889" w:type="dxa"/>
            <w:vAlign w:val="center"/>
          </w:tcPr>
          <w:p w14:paraId="5F4E6EE9">
            <w:pPr>
              <w:spacing w:line="440" w:lineRule="exact"/>
              <w:jc w:val="center"/>
              <w:rPr>
                <w:color w:val="000000" w:themeColor="text1"/>
                <w14:textFill>
                  <w14:solidFill>
                    <w14:schemeClr w14:val="tx1"/>
                  </w14:solidFill>
                </w14:textFill>
              </w:rPr>
            </w:pPr>
          </w:p>
        </w:tc>
        <w:tc>
          <w:tcPr>
            <w:tcW w:w="2110" w:type="dxa"/>
            <w:vAlign w:val="center"/>
          </w:tcPr>
          <w:p w14:paraId="49E61465">
            <w:pPr>
              <w:spacing w:line="440" w:lineRule="exact"/>
              <w:jc w:val="center"/>
              <w:rPr>
                <w:color w:val="000000" w:themeColor="text1"/>
                <w14:textFill>
                  <w14:solidFill>
                    <w14:schemeClr w14:val="tx1"/>
                  </w14:solidFill>
                </w14:textFill>
              </w:rPr>
            </w:pPr>
          </w:p>
        </w:tc>
      </w:tr>
      <w:tr w14:paraId="7410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68" w:type="dxa"/>
            <w:vAlign w:val="center"/>
          </w:tcPr>
          <w:p w14:paraId="7E1E719A">
            <w:pPr>
              <w:spacing w:line="44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2897" w:type="dxa"/>
            <w:vAlign w:val="center"/>
          </w:tcPr>
          <w:p w14:paraId="55027B2C">
            <w:pPr>
              <w:spacing w:line="440" w:lineRule="exact"/>
              <w:jc w:val="center"/>
              <w:rPr>
                <w:color w:val="000000" w:themeColor="text1"/>
                <w14:textFill>
                  <w14:solidFill>
                    <w14:schemeClr w14:val="tx1"/>
                  </w14:solidFill>
                </w14:textFill>
              </w:rPr>
            </w:pPr>
          </w:p>
        </w:tc>
        <w:tc>
          <w:tcPr>
            <w:tcW w:w="2333" w:type="dxa"/>
            <w:vAlign w:val="center"/>
          </w:tcPr>
          <w:p w14:paraId="0B634130">
            <w:pPr>
              <w:spacing w:line="440" w:lineRule="exact"/>
              <w:jc w:val="center"/>
              <w:rPr>
                <w:color w:val="000000" w:themeColor="text1"/>
                <w14:textFill>
                  <w14:solidFill>
                    <w14:schemeClr w14:val="tx1"/>
                  </w14:solidFill>
                </w14:textFill>
              </w:rPr>
            </w:pPr>
          </w:p>
        </w:tc>
        <w:tc>
          <w:tcPr>
            <w:tcW w:w="1889" w:type="dxa"/>
            <w:vAlign w:val="center"/>
          </w:tcPr>
          <w:p w14:paraId="17CC97CC">
            <w:pPr>
              <w:spacing w:line="440" w:lineRule="exact"/>
              <w:jc w:val="center"/>
              <w:rPr>
                <w:color w:val="000000" w:themeColor="text1"/>
                <w14:textFill>
                  <w14:solidFill>
                    <w14:schemeClr w14:val="tx1"/>
                  </w14:solidFill>
                </w14:textFill>
              </w:rPr>
            </w:pPr>
          </w:p>
        </w:tc>
        <w:tc>
          <w:tcPr>
            <w:tcW w:w="2110" w:type="dxa"/>
            <w:vAlign w:val="center"/>
          </w:tcPr>
          <w:p w14:paraId="3D8140BF">
            <w:pPr>
              <w:spacing w:line="440" w:lineRule="exact"/>
              <w:jc w:val="center"/>
              <w:rPr>
                <w:color w:val="000000" w:themeColor="text1"/>
                <w14:textFill>
                  <w14:solidFill>
                    <w14:schemeClr w14:val="tx1"/>
                  </w14:solidFill>
                </w14:textFill>
              </w:rPr>
            </w:pPr>
          </w:p>
        </w:tc>
      </w:tr>
    </w:tbl>
    <w:p w14:paraId="2284BA8D">
      <w:pPr>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注：（1）</w:t>
      </w:r>
      <w:r>
        <w:rPr>
          <w:rFonts w:hint="eastAsia"/>
          <w:color w:val="000000" w:themeColor="text1"/>
          <w:sz w:val="24"/>
          <w:szCs w:val="24"/>
          <w14:textFill>
            <w14:solidFill>
              <w14:schemeClr w14:val="tx1"/>
            </w14:solidFill>
          </w14:textFill>
        </w:rPr>
        <w:t>投标人</w:t>
      </w:r>
      <w:r>
        <w:rPr>
          <w:color w:val="000000" w:themeColor="text1"/>
          <w:sz w:val="24"/>
          <w:szCs w:val="24"/>
          <w14:textFill>
            <w14:solidFill>
              <w14:schemeClr w14:val="tx1"/>
            </w14:solidFill>
          </w14:textFill>
        </w:rPr>
        <w:t>应根据“项目需求”</w:t>
      </w:r>
      <w:r>
        <w:rPr>
          <w:rFonts w:hint="eastAsia"/>
          <w:color w:val="000000" w:themeColor="text1"/>
          <w:sz w:val="24"/>
          <w:szCs w:val="24"/>
          <w14:textFill>
            <w14:solidFill>
              <w14:schemeClr w14:val="tx1"/>
            </w14:solidFill>
          </w14:textFill>
        </w:rPr>
        <w:t>中“三、项目服务要求”，</w:t>
      </w:r>
      <w:r>
        <w:rPr>
          <w:color w:val="000000" w:themeColor="text1"/>
          <w:sz w:val="24"/>
          <w:szCs w:val="24"/>
          <w14:textFill>
            <w14:solidFill>
              <w14:schemeClr w14:val="tx1"/>
            </w14:solidFill>
          </w14:textFill>
        </w:rPr>
        <w:t>对照所能提供的服务承诺进行评议。</w:t>
      </w:r>
    </w:p>
    <w:p w14:paraId="2C2949D3">
      <w:pPr>
        <w:spacing w:line="48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若无偏离，在“有无偏离”栏中填写“无”；若有偏离在“有无偏离”栏中填写“有”并在“偏离内容及原因”栏中作出说明；因未标明或表述含糊导致的评审风险将由投标人承担。</w:t>
      </w:r>
    </w:p>
    <w:p w14:paraId="2BC8AE9C">
      <w:pPr>
        <w:spacing w:line="48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（3）表格不够可另接。</w:t>
      </w:r>
    </w:p>
    <w:p w14:paraId="53CE2A28">
      <w:pPr>
        <w:spacing w:after="120" w:line="440" w:lineRule="exact"/>
        <w:ind w:firstLine="480" w:firstLineChars="200"/>
        <w:rPr>
          <w:rFonts w:ascii="宋体" w:hAnsi="宋体"/>
          <w:bCs/>
          <w:color w:val="000000" w:themeColor="text1"/>
          <w:sz w:val="24"/>
          <w:szCs w:val="24"/>
          <w14:textFill>
            <w14:solidFill>
              <w14:schemeClr w14:val="tx1"/>
            </w14:solidFill>
          </w14:textFill>
        </w:rPr>
      </w:pPr>
    </w:p>
    <w:p w14:paraId="71BBA829">
      <w:pPr>
        <w:spacing w:line="440" w:lineRule="exact"/>
        <w:jc w:val="center"/>
        <w:outlineLvl w:val="1"/>
        <w:rPr>
          <w:rFonts w:ascii="Times New Roman" w:hAnsi="Times New Roman"/>
          <w:b/>
          <w:bCs/>
          <w:color w:val="000000" w:themeColor="text1"/>
          <w:sz w:val="28"/>
          <w:szCs w:val="28"/>
          <w14:textFill>
            <w14:solidFill>
              <w14:schemeClr w14:val="tx1"/>
            </w14:solidFill>
          </w14:textFill>
        </w:rPr>
      </w:pPr>
      <w:r>
        <w:rPr>
          <w:color w:val="000000" w:themeColor="text1"/>
          <w14:textFill>
            <w14:solidFill>
              <w14:schemeClr w14:val="tx1"/>
            </w14:solidFill>
          </w14:textFill>
        </w:rPr>
        <w:br w:type="page" w:clear="all"/>
      </w:r>
      <w:bookmarkStart w:id="214" w:name="_Toc1291"/>
      <w:bookmarkStart w:id="215" w:name="_Toc354834784"/>
      <w:bookmarkStart w:id="216" w:name="_Toc146524609"/>
      <w:bookmarkStart w:id="217" w:name="_Toc43821328"/>
      <w:bookmarkStart w:id="218" w:name="_Toc387400419"/>
      <w:bookmarkStart w:id="219" w:name="_Toc522610225"/>
      <w:r>
        <w:rPr>
          <w:rFonts w:hint="eastAsia" w:ascii="Times New Roman" w:hAnsi="Times New Roman"/>
          <w:b/>
          <w:bCs/>
          <w:color w:val="000000" w:themeColor="text1"/>
          <w:sz w:val="28"/>
          <w:szCs w:val="28"/>
          <w14:textFill>
            <w14:solidFill>
              <w14:schemeClr w14:val="tx1"/>
            </w14:solidFill>
          </w14:textFill>
        </w:rPr>
        <w:t>附件4</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项目方案</w:t>
      </w:r>
      <w:bookmarkEnd w:id="214"/>
    </w:p>
    <w:p w14:paraId="32F53622">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主要内容应包括但不限于以下方面：</w:t>
      </w:r>
    </w:p>
    <w:p w14:paraId="3E521261">
      <w:pPr>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1、内部管理制度说明；</w:t>
      </w:r>
    </w:p>
    <w:p w14:paraId="69F45530">
      <w:pPr>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2、项目服务方案说明；</w:t>
      </w:r>
    </w:p>
    <w:p w14:paraId="009E693C">
      <w:pPr>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3、现场管理方案、安全管理方案说明；</w:t>
      </w:r>
    </w:p>
    <w:p w14:paraId="46728E47">
      <w:pPr>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4、车辆设备、人员到位方案说明；</w:t>
      </w:r>
    </w:p>
    <w:p w14:paraId="464AC62B">
      <w:pPr>
        <w:spacing w:line="46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5、服务响应承诺（承诺书格式自拟，但必须加盖投标人公章）；</w:t>
      </w:r>
    </w:p>
    <w:p w14:paraId="1B156642">
      <w:pPr>
        <w:spacing w:line="460" w:lineRule="exact"/>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6</w:t>
      </w:r>
      <w:r>
        <w:rPr>
          <w:rFonts w:hint="eastAsia"/>
          <w:color w:val="000000" w:themeColor="text1"/>
          <w:sz w:val="24"/>
          <w:szCs w:val="24"/>
          <w14:textFill>
            <w14:solidFill>
              <w14:schemeClr w14:val="tx1"/>
            </w14:solidFill>
          </w14:textFill>
        </w:rPr>
        <w:t>、其他说明。</w:t>
      </w:r>
    </w:p>
    <w:p w14:paraId="2D37FA0A">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14:paraId="1B3AD064">
      <w:pPr>
        <w:pStyle w:val="3"/>
        <w:spacing w:line="440" w:lineRule="exact"/>
        <w:jc w:val="center"/>
        <w:rPr>
          <w:rFonts w:ascii="Times New Roman" w:hAnsi="Times New Roman" w:eastAsia="宋体" w:cs="Times New Roman"/>
          <w:b/>
          <w:bCs/>
          <w:color w:val="000000" w:themeColor="text1"/>
          <w:sz w:val="28"/>
          <w:szCs w:val="28"/>
          <w14:textFill>
            <w14:solidFill>
              <w14:schemeClr w14:val="tx1"/>
            </w14:solidFill>
          </w14:textFill>
        </w:rPr>
      </w:pPr>
      <w:bookmarkStart w:id="220" w:name="_Toc29237"/>
      <w:r>
        <w:rPr>
          <w:rFonts w:hint="eastAsia" w:ascii="Times New Roman" w:hAnsi="Times New Roman" w:eastAsia="宋体" w:cs="Times New Roman"/>
          <w:b/>
          <w:bCs/>
          <w:color w:val="000000" w:themeColor="text1"/>
          <w:sz w:val="28"/>
          <w:szCs w:val="28"/>
          <w14:textFill>
            <w14:solidFill>
              <w14:schemeClr w14:val="tx1"/>
            </w14:solidFill>
          </w14:textFill>
        </w:rPr>
        <w:t xml:space="preserve">附件5 </w:t>
      </w:r>
      <w:bookmarkEnd w:id="215"/>
      <w:bookmarkEnd w:id="216"/>
      <w:bookmarkEnd w:id="217"/>
      <w:bookmarkEnd w:id="218"/>
      <w:bookmarkEnd w:id="219"/>
      <w:r>
        <w:rPr>
          <w:rFonts w:hint="eastAsia" w:ascii="Times New Roman" w:hAnsi="Times New Roman" w:eastAsia="宋体" w:cs="Times New Roman"/>
          <w:b/>
          <w:bCs/>
          <w:color w:val="000000" w:themeColor="text1"/>
          <w:sz w:val="28"/>
          <w:szCs w:val="28"/>
          <w14:textFill>
            <w14:solidFill>
              <w14:schemeClr w14:val="tx1"/>
            </w14:solidFill>
          </w14:textFill>
        </w:rPr>
        <w:t>人员配置情况</w:t>
      </w:r>
      <w:bookmarkEnd w:id="220"/>
    </w:p>
    <w:p w14:paraId="56A807B0">
      <w:pPr>
        <w:spacing w:line="440" w:lineRule="exact"/>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1、项目负责人情况一览表</w:t>
      </w:r>
    </w:p>
    <w:tbl>
      <w:tblPr>
        <w:tblStyle w:val="39"/>
        <w:tblW w:w="9527" w:type="dxa"/>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702"/>
        <w:gridCol w:w="6825"/>
      </w:tblGrid>
      <w:tr w14:paraId="23377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1" w:hRule="atLeast"/>
        </w:trPr>
        <w:tc>
          <w:tcPr>
            <w:tcW w:w="2702" w:type="dxa"/>
            <w:vAlign w:val="center"/>
          </w:tcPr>
          <w:p w14:paraId="034B2EC0">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姓名</w:t>
            </w:r>
          </w:p>
        </w:tc>
        <w:tc>
          <w:tcPr>
            <w:tcW w:w="6825" w:type="dxa"/>
            <w:vAlign w:val="center"/>
          </w:tcPr>
          <w:p w14:paraId="596615B0">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50AC3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56" w:hRule="atLeast"/>
        </w:trPr>
        <w:tc>
          <w:tcPr>
            <w:tcW w:w="2702" w:type="dxa"/>
            <w:vAlign w:val="center"/>
          </w:tcPr>
          <w:p w14:paraId="64C9B3D8">
            <w:pPr>
              <w:pStyle w:val="14"/>
              <w:overflowPunct w:val="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身份证号码</w:t>
            </w:r>
          </w:p>
        </w:tc>
        <w:tc>
          <w:tcPr>
            <w:tcW w:w="6825" w:type="dxa"/>
            <w:vAlign w:val="center"/>
          </w:tcPr>
          <w:p w14:paraId="1431167D">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4937B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trPr>
        <w:tc>
          <w:tcPr>
            <w:tcW w:w="2702" w:type="dxa"/>
            <w:vAlign w:val="center"/>
          </w:tcPr>
          <w:p w14:paraId="67FCAAE0">
            <w:pPr>
              <w:pStyle w:val="14"/>
              <w:overflowPunct w:val="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联系电话</w:t>
            </w:r>
            <w:r>
              <w:rPr>
                <w:rFonts w:hint="eastAsia" w:ascii="Times New Roman" w:hAnsi="Times New Roman" w:eastAsia="宋体"/>
                <w:color w:val="000000" w:themeColor="text1"/>
                <w:sz w:val="24"/>
                <w14:textFill>
                  <w14:solidFill>
                    <w14:schemeClr w14:val="tx1"/>
                  </w14:solidFill>
                </w14:textFill>
              </w:rPr>
              <w:t>（手机）</w:t>
            </w:r>
          </w:p>
        </w:tc>
        <w:tc>
          <w:tcPr>
            <w:tcW w:w="6825" w:type="dxa"/>
            <w:vAlign w:val="center"/>
          </w:tcPr>
          <w:p w14:paraId="5E85B972">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748B5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trPr>
        <w:tc>
          <w:tcPr>
            <w:tcW w:w="2702" w:type="dxa"/>
            <w:vAlign w:val="center"/>
          </w:tcPr>
          <w:p w14:paraId="7CE10B0E">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职业资格或职称</w:t>
            </w:r>
          </w:p>
        </w:tc>
        <w:tc>
          <w:tcPr>
            <w:tcW w:w="6825" w:type="dxa"/>
            <w:vAlign w:val="center"/>
          </w:tcPr>
          <w:p w14:paraId="1CD5F467">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056EE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60" w:hRule="atLeast"/>
        </w:trPr>
        <w:tc>
          <w:tcPr>
            <w:tcW w:w="2702" w:type="dxa"/>
            <w:vAlign w:val="center"/>
          </w:tcPr>
          <w:p w14:paraId="41D1BF12">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经验奖励</w:t>
            </w:r>
            <w:r>
              <w:rPr>
                <w:rFonts w:ascii="Times New Roman" w:hAnsi="Times New Roman" w:eastAsia="宋体"/>
                <w:color w:val="000000" w:themeColor="text1"/>
                <w:sz w:val="24"/>
                <w14:textFill>
                  <w14:solidFill>
                    <w14:schemeClr w14:val="tx1"/>
                  </w14:solidFill>
                </w14:textFill>
              </w:rPr>
              <w:t>及其他说明</w:t>
            </w:r>
          </w:p>
        </w:tc>
        <w:tc>
          <w:tcPr>
            <w:tcW w:w="6825" w:type="dxa"/>
            <w:vAlign w:val="center"/>
          </w:tcPr>
          <w:p w14:paraId="4E6C6489">
            <w:pPr>
              <w:pStyle w:val="14"/>
              <w:overflowPunct w:val="0"/>
              <w:jc w:val="center"/>
              <w:rPr>
                <w:rFonts w:ascii="Times New Roman" w:hAnsi="Times New Roman" w:eastAsia="宋体"/>
                <w:color w:val="000000" w:themeColor="text1"/>
                <w:sz w:val="24"/>
                <w14:textFill>
                  <w14:solidFill>
                    <w14:schemeClr w14:val="tx1"/>
                  </w14:solidFill>
                </w14:textFill>
              </w:rPr>
            </w:pPr>
          </w:p>
        </w:tc>
      </w:tr>
    </w:tbl>
    <w:p w14:paraId="514F1DD8">
      <w:pPr>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备注：1、项目负责人必须为本单位员工。</w:t>
      </w:r>
    </w:p>
    <w:p w14:paraId="58EC734F">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2、投标人应同时提供：</w:t>
      </w:r>
    </w:p>
    <w:p w14:paraId="7D321ABA">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①身份证扫描件。</w:t>
      </w:r>
    </w:p>
    <w:p w14:paraId="09319492">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②职称证书扫描件。</w:t>
      </w:r>
    </w:p>
    <w:p w14:paraId="5A7F4089">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③提供上述人员的相关证书及投标人为其缴纳最近</w:t>
      </w:r>
      <w:r>
        <w:rPr>
          <w:rFonts w:ascii="Times New Roman" w:hAnsi="Times New Roman"/>
          <w:color w:val="000000" w:themeColor="text1"/>
          <w:sz w:val="24"/>
          <w:szCs w:val="24"/>
          <w14:textFill>
            <w14:solidFill>
              <w14:schemeClr w14:val="tx1"/>
            </w14:solidFill>
          </w14:textFill>
        </w:rPr>
        <w:t>3</w:t>
      </w:r>
      <w:r>
        <w:rPr>
          <w:rFonts w:hint="eastAsia" w:ascii="Times New Roman" w:hAnsi="Times New Roman"/>
          <w:color w:val="000000" w:themeColor="text1"/>
          <w:sz w:val="24"/>
          <w:szCs w:val="24"/>
          <w14:textFill>
            <w14:solidFill>
              <w14:schemeClr w14:val="tx1"/>
            </w14:solidFill>
          </w14:textFill>
        </w:rPr>
        <w:t>个月中任意1个月社会养老保险相关证明资料扫描件。</w:t>
      </w:r>
    </w:p>
    <w:p w14:paraId="71E96F8B">
      <w:pPr>
        <w:spacing w:line="440" w:lineRule="exact"/>
        <w:rPr>
          <w:rFonts w:ascii="Times New Roman" w:hAnsi="Times New Roman"/>
          <w:b/>
          <w:bCs/>
          <w:color w:val="000000" w:themeColor="text1"/>
          <w:sz w:val="24"/>
          <w:szCs w:val="24"/>
          <w14:textFill>
            <w14:solidFill>
              <w14:schemeClr w14:val="tx1"/>
            </w14:solidFill>
          </w14:textFill>
        </w:rPr>
      </w:pPr>
      <w:r>
        <w:rPr>
          <w:rFonts w:hint="eastAsia" w:ascii="Times New Roman" w:hAnsi="Times New Roman"/>
          <w:b/>
          <w:bCs/>
          <w:color w:val="000000" w:themeColor="text1"/>
          <w:sz w:val="24"/>
          <w:szCs w:val="24"/>
          <w14:textFill>
            <w14:solidFill>
              <w14:schemeClr w14:val="tx1"/>
            </w14:solidFill>
          </w14:textFill>
        </w:rPr>
        <w:t>2、本项目其他养护人员情况一览表</w:t>
      </w:r>
    </w:p>
    <w:tbl>
      <w:tblPr>
        <w:tblStyle w:val="39"/>
        <w:tblW w:w="97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640"/>
        <w:gridCol w:w="1330"/>
        <w:gridCol w:w="1885"/>
        <w:gridCol w:w="3893"/>
      </w:tblGrid>
      <w:tr w14:paraId="41108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2640" w:type="dxa"/>
            <w:vAlign w:val="center"/>
          </w:tcPr>
          <w:p w14:paraId="3C8468E3">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序号</w:t>
            </w:r>
          </w:p>
        </w:tc>
        <w:tc>
          <w:tcPr>
            <w:tcW w:w="1330" w:type="dxa"/>
            <w:vAlign w:val="center"/>
          </w:tcPr>
          <w:p w14:paraId="421268CB">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1</w:t>
            </w:r>
          </w:p>
        </w:tc>
        <w:tc>
          <w:tcPr>
            <w:tcW w:w="1885" w:type="dxa"/>
            <w:vAlign w:val="center"/>
          </w:tcPr>
          <w:p w14:paraId="17296864">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2</w:t>
            </w:r>
          </w:p>
        </w:tc>
        <w:tc>
          <w:tcPr>
            <w:tcW w:w="3893" w:type="dxa"/>
            <w:vAlign w:val="center"/>
          </w:tcPr>
          <w:p w14:paraId="7A7D6929">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w:t>
            </w:r>
          </w:p>
        </w:tc>
      </w:tr>
      <w:tr w14:paraId="35FDA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65" w:hRule="atLeast"/>
        </w:trPr>
        <w:tc>
          <w:tcPr>
            <w:tcW w:w="2640" w:type="dxa"/>
            <w:vAlign w:val="center"/>
          </w:tcPr>
          <w:p w14:paraId="5EB764A7">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姓名</w:t>
            </w:r>
          </w:p>
        </w:tc>
        <w:tc>
          <w:tcPr>
            <w:tcW w:w="1330" w:type="dxa"/>
            <w:vAlign w:val="center"/>
          </w:tcPr>
          <w:p w14:paraId="078F405A">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885" w:type="dxa"/>
            <w:vAlign w:val="center"/>
          </w:tcPr>
          <w:p w14:paraId="3A36FE1A">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3893" w:type="dxa"/>
            <w:vAlign w:val="center"/>
          </w:tcPr>
          <w:p w14:paraId="37AECA09">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5B893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08" w:hRule="atLeast"/>
        </w:trPr>
        <w:tc>
          <w:tcPr>
            <w:tcW w:w="2640" w:type="dxa"/>
            <w:vAlign w:val="center"/>
          </w:tcPr>
          <w:p w14:paraId="3F30001C">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身份证号码</w:t>
            </w:r>
          </w:p>
        </w:tc>
        <w:tc>
          <w:tcPr>
            <w:tcW w:w="1330" w:type="dxa"/>
            <w:vAlign w:val="center"/>
          </w:tcPr>
          <w:p w14:paraId="07658BD2">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885" w:type="dxa"/>
            <w:vAlign w:val="center"/>
          </w:tcPr>
          <w:p w14:paraId="3A14315B">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3893" w:type="dxa"/>
            <w:vAlign w:val="center"/>
          </w:tcPr>
          <w:p w14:paraId="699D2BD7">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57073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1" w:hRule="atLeast"/>
        </w:trPr>
        <w:tc>
          <w:tcPr>
            <w:tcW w:w="2640" w:type="dxa"/>
            <w:vAlign w:val="center"/>
          </w:tcPr>
          <w:p w14:paraId="45079A6F">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联系电话（手机）</w:t>
            </w:r>
          </w:p>
        </w:tc>
        <w:tc>
          <w:tcPr>
            <w:tcW w:w="1330" w:type="dxa"/>
            <w:vAlign w:val="center"/>
          </w:tcPr>
          <w:p w14:paraId="5D074956">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885" w:type="dxa"/>
            <w:vAlign w:val="center"/>
          </w:tcPr>
          <w:p w14:paraId="0B64D69D">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3893" w:type="dxa"/>
            <w:vAlign w:val="center"/>
          </w:tcPr>
          <w:p w14:paraId="44437599">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5A79D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1" w:hRule="atLeast"/>
        </w:trPr>
        <w:tc>
          <w:tcPr>
            <w:tcW w:w="2640" w:type="dxa"/>
            <w:vAlign w:val="center"/>
          </w:tcPr>
          <w:p w14:paraId="0095D03D">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职业资格或职称</w:t>
            </w:r>
          </w:p>
        </w:tc>
        <w:tc>
          <w:tcPr>
            <w:tcW w:w="1330" w:type="dxa"/>
            <w:vAlign w:val="center"/>
          </w:tcPr>
          <w:p w14:paraId="3F493BB2">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885" w:type="dxa"/>
            <w:vAlign w:val="center"/>
          </w:tcPr>
          <w:p w14:paraId="6F41B609">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3893" w:type="dxa"/>
            <w:vAlign w:val="center"/>
          </w:tcPr>
          <w:p w14:paraId="3BC8B6B2">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09B61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01" w:hRule="atLeast"/>
        </w:trPr>
        <w:tc>
          <w:tcPr>
            <w:tcW w:w="2640" w:type="dxa"/>
            <w:vAlign w:val="center"/>
          </w:tcPr>
          <w:p w14:paraId="248F1410">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经验奖励及其他说明</w:t>
            </w:r>
          </w:p>
        </w:tc>
        <w:tc>
          <w:tcPr>
            <w:tcW w:w="1330" w:type="dxa"/>
            <w:vAlign w:val="center"/>
          </w:tcPr>
          <w:p w14:paraId="50954337">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885" w:type="dxa"/>
            <w:vAlign w:val="center"/>
          </w:tcPr>
          <w:p w14:paraId="57A225F5">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3893" w:type="dxa"/>
            <w:vAlign w:val="center"/>
          </w:tcPr>
          <w:p w14:paraId="270FF454">
            <w:pPr>
              <w:pStyle w:val="14"/>
              <w:overflowPunct w:val="0"/>
              <w:jc w:val="center"/>
              <w:rPr>
                <w:rFonts w:ascii="Times New Roman" w:hAnsi="Times New Roman" w:eastAsia="宋体"/>
                <w:color w:val="000000" w:themeColor="text1"/>
                <w:sz w:val="24"/>
                <w14:textFill>
                  <w14:solidFill>
                    <w14:schemeClr w14:val="tx1"/>
                  </w14:solidFill>
                </w14:textFill>
              </w:rPr>
            </w:pPr>
          </w:p>
        </w:tc>
      </w:tr>
    </w:tbl>
    <w:p w14:paraId="2B8162EC">
      <w:pPr>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备注：1、</w:t>
      </w:r>
      <w:r>
        <w:rPr>
          <w:rFonts w:hint="eastAsia" w:ascii="Times New Roman" w:hAnsi="Times New Roman"/>
          <w:color w:val="000000" w:themeColor="text1"/>
          <w:sz w:val="24"/>
          <w:szCs w:val="24"/>
          <w:lang w:val="en-US" w:eastAsia="zh-CN"/>
          <w14:textFill>
            <w14:solidFill>
              <w14:schemeClr w14:val="tx1"/>
            </w14:solidFill>
          </w14:textFill>
        </w:rPr>
        <w:t>其他养护</w:t>
      </w:r>
      <w:r>
        <w:rPr>
          <w:rFonts w:hint="eastAsia" w:ascii="Times New Roman" w:hAnsi="Times New Roman"/>
          <w:color w:val="000000" w:themeColor="text1"/>
          <w:sz w:val="24"/>
          <w:szCs w:val="24"/>
          <w14:textFill>
            <w14:solidFill>
              <w14:schemeClr w14:val="tx1"/>
            </w14:solidFill>
          </w14:textFill>
        </w:rPr>
        <w:t>人员应为本单位职工。</w:t>
      </w:r>
    </w:p>
    <w:p w14:paraId="01AC502E">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2、投标人应同时提供：</w:t>
      </w:r>
    </w:p>
    <w:p w14:paraId="180B78E4">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①身份证扫描件。</w:t>
      </w:r>
    </w:p>
    <w:p w14:paraId="20561930">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②职称证书扫描件。</w:t>
      </w:r>
    </w:p>
    <w:p w14:paraId="546223C1">
      <w:pPr>
        <w:spacing w:line="440" w:lineRule="exact"/>
        <w:ind w:firstLine="720" w:firstLineChars="3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③提供上述人员的职业资格证书及投标人为其缴纳最近</w:t>
      </w:r>
      <w:r>
        <w:rPr>
          <w:rFonts w:ascii="Times New Roman" w:hAnsi="Times New Roman"/>
          <w:color w:val="000000" w:themeColor="text1"/>
          <w:sz w:val="24"/>
          <w:szCs w:val="24"/>
          <w14:textFill>
            <w14:solidFill>
              <w14:schemeClr w14:val="tx1"/>
            </w14:solidFill>
          </w14:textFill>
        </w:rPr>
        <w:t>3</w:t>
      </w:r>
      <w:r>
        <w:rPr>
          <w:rFonts w:hint="eastAsia" w:ascii="Times New Roman" w:hAnsi="Times New Roman"/>
          <w:color w:val="000000" w:themeColor="text1"/>
          <w:sz w:val="24"/>
          <w:szCs w:val="24"/>
          <w14:textFill>
            <w14:solidFill>
              <w14:schemeClr w14:val="tx1"/>
            </w14:solidFill>
          </w14:textFill>
        </w:rPr>
        <w:t>个月中任意1个月社会养老保险相关证明资料扫描件。</w:t>
      </w:r>
    </w:p>
    <w:p w14:paraId="55F53637">
      <w:pPr>
        <w:pStyle w:val="3"/>
        <w:spacing w:line="440" w:lineRule="exact"/>
        <w:jc w:val="center"/>
        <w:rPr>
          <w:rFonts w:ascii="Times New Roman" w:hAnsi="Times New Roman" w:eastAsia="宋体" w:cs="Times New Roman"/>
          <w:b/>
          <w:bCs/>
          <w:color w:val="000000" w:themeColor="text1"/>
          <w:sz w:val="28"/>
          <w:szCs w:val="28"/>
          <w14:textFill>
            <w14:solidFill>
              <w14:schemeClr w14:val="tx1"/>
            </w14:solidFill>
          </w14:textFill>
        </w:rPr>
      </w:pPr>
      <w:bookmarkStart w:id="221" w:name="_Toc139725707"/>
      <w:bookmarkStart w:id="222" w:name="_Toc19879"/>
      <w:r>
        <w:rPr>
          <w:rFonts w:hint="eastAsia" w:ascii="Times New Roman" w:hAnsi="Times New Roman" w:eastAsia="宋体" w:cs="Times New Roman"/>
          <w:b/>
          <w:bCs/>
          <w:color w:val="000000" w:themeColor="text1"/>
          <w:sz w:val="28"/>
          <w:szCs w:val="28"/>
          <w14:textFill>
            <w14:solidFill>
              <w14:schemeClr w14:val="tx1"/>
            </w14:solidFill>
          </w14:textFill>
        </w:rPr>
        <w:t>附件6 养护车辆配备一览表</w:t>
      </w:r>
      <w:bookmarkEnd w:id="221"/>
      <w:bookmarkEnd w:id="222"/>
    </w:p>
    <w:tbl>
      <w:tblPr>
        <w:tblStyle w:val="39"/>
        <w:tblpPr w:leftFromText="180" w:rightFromText="180" w:vertAnchor="text" w:horzAnchor="page" w:tblpX="1208" w:tblpY="257"/>
        <w:tblOverlap w:val="never"/>
        <w:tblW w:w="10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735"/>
        <w:gridCol w:w="1241"/>
        <w:gridCol w:w="1134"/>
        <w:gridCol w:w="993"/>
        <w:gridCol w:w="1275"/>
        <w:gridCol w:w="1560"/>
        <w:gridCol w:w="1567"/>
      </w:tblGrid>
      <w:tr w14:paraId="1E0D2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34" w:type="dxa"/>
            <w:vAlign w:val="center"/>
          </w:tcPr>
          <w:p w14:paraId="13D129D6">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序号</w:t>
            </w:r>
          </w:p>
        </w:tc>
        <w:tc>
          <w:tcPr>
            <w:tcW w:w="1735" w:type="dxa"/>
            <w:vAlign w:val="center"/>
          </w:tcPr>
          <w:p w14:paraId="1E265278">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类型</w:t>
            </w:r>
            <w:r>
              <w:rPr>
                <w:b/>
                <w:color w:val="000000" w:themeColor="text1"/>
                <w:sz w:val="24"/>
                <w:szCs w:val="24"/>
                <w14:textFill>
                  <w14:solidFill>
                    <w14:schemeClr w14:val="tx1"/>
                  </w14:solidFill>
                </w14:textFill>
              </w:rPr>
              <w:t>范围</w:t>
            </w:r>
          </w:p>
        </w:tc>
        <w:tc>
          <w:tcPr>
            <w:tcW w:w="1241" w:type="dxa"/>
            <w:vAlign w:val="center"/>
          </w:tcPr>
          <w:p w14:paraId="09574D7A">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车辆</w:t>
            </w:r>
          </w:p>
          <w:p w14:paraId="39A87FA0">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类型</w:t>
            </w:r>
          </w:p>
        </w:tc>
        <w:tc>
          <w:tcPr>
            <w:tcW w:w="1134" w:type="dxa"/>
            <w:vAlign w:val="center"/>
          </w:tcPr>
          <w:p w14:paraId="408E20C4">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品牌</w:t>
            </w:r>
          </w:p>
          <w:p w14:paraId="3099349E">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型号</w:t>
            </w:r>
          </w:p>
        </w:tc>
        <w:tc>
          <w:tcPr>
            <w:tcW w:w="993" w:type="dxa"/>
            <w:vAlign w:val="center"/>
          </w:tcPr>
          <w:p w14:paraId="3E3CA337">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号牌</w:t>
            </w:r>
          </w:p>
          <w:p w14:paraId="377A0C07">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号码</w:t>
            </w:r>
          </w:p>
        </w:tc>
        <w:tc>
          <w:tcPr>
            <w:tcW w:w="1275" w:type="dxa"/>
            <w:vAlign w:val="center"/>
          </w:tcPr>
          <w:p w14:paraId="48F0267C">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所有人</w:t>
            </w:r>
          </w:p>
        </w:tc>
        <w:tc>
          <w:tcPr>
            <w:tcW w:w="1560" w:type="dxa"/>
            <w:vAlign w:val="center"/>
          </w:tcPr>
          <w:p w14:paraId="416049B2">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车辆</w:t>
            </w:r>
          </w:p>
          <w:p w14:paraId="71BCC533">
            <w:pPr>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注册地</w:t>
            </w:r>
          </w:p>
        </w:tc>
        <w:tc>
          <w:tcPr>
            <w:tcW w:w="1567" w:type="dxa"/>
            <w:vAlign w:val="center"/>
          </w:tcPr>
          <w:p w14:paraId="47C6EE91">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车辆</w:t>
            </w:r>
          </w:p>
          <w:p w14:paraId="1F6A48C2">
            <w:pPr>
              <w:jc w:val="cente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注册日期</w:t>
            </w:r>
          </w:p>
        </w:tc>
      </w:tr>
      <w:tr w14:paraId="51C3C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34" w:type="dxa"/>
            <w:vMerge w:val="restart"/>
            <w:vAlign w:val="center"/>
          </w:tcPr>
          <w:p w14:paraId="5A302A8D">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p>
        </w:tc>
        <w:tc>
          <w:tcPr>
            <w:tcW w:w="1735" w:type="dxa"/>
            <w:vMerge w:val="restart"/>
            <w:vAlign w:val="center"/>
          </w:tcPr>
          <w:p w14:paraId="390AFCBB">
            <w:pPr>
              <w:jc w:val="center"/>
              <w:rPr>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中型</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重型专项作业车或中型/重型罐式货车或中型/重型普通货车</w:t>
            </w:r>
          </w:p>
        </w:tc>
        <w:tc>
          <w:tcPr>
            <w:tcW w:w="1241" w:type="dxa"/>
            <w:vAlign w:val="center"/>
          </w:tcPr>
          <w:p w14:paraId="6A804989">
            <w:pPr>
              <w:jc w:val="center"/>
              <w:rPr>
                <w:color w:val="000000" w:themeColor="text1"/>
                <w:sz w:val="24"/>
                <w:szCs w:val="24"/>
                <w14:textFill>
                  <w14:solidFill>
                    <w14:schemeClr w14:val="tx1"/>
                  </w14:solidFill>
                </w14:textFill>
              </w:rPr>
            </w:pPr>
          </w:p>
        </w:tc>
        <w:tc>
          <w:tcPr>
            <w:tcW w:w="1134" w:type="dxa"/>
            <w:vAlign w:val="center"/>
          </w:tcPr>
          <w:p w14:paraId="33C176AB">
            <w:pPr>
              <w:jc w:val="center"/>
              <w:rPr>
                <w:color w:val="000000" w:themeColor="text1"/>
                <w:sz w:val="24"/>
                <w:szCs w:val="24"/>
                <w14:textFill>
                  <w14:solidFill>
                    <w14:schemeClr w14:val="tx1"/>
                  </w14:solidFill>
                </w14:textFill>
              </w:rPr>
            </w:pPr>
          </w:p>
        </w:tc>
        <w:tc>
          <w:tcPr>
            <w:tcW w:w="993" w:type="dxa"/>
            <w:vAlign w:val="center"/>
          </w:tcPr>
          <w:p w14:paraId="73A59AD2">
            <w:pPr>
              <w:jc w:val="center"/>
              <w:rPr>
                <w:color w:val="000000" w:themeColor="text1"/>
                <w:sz w:val="24"/>
                <w:szCs w:val="24"/>
                <w14:textFill>
                  <w14:solidFill>
                    <w14:schemeClr w14:val="tx1"/>
                  </w14:solidFill>
                </w14:textFill>
              </w:rPr>
            </w:pPr>
          </w:p>
        </w:tc>
        <w:tc>
          <w:tcPr>
            <w:tcW w:w="1275" w:type="dxa"/>
            <w:vAlign w:val="center"/>
          </w:tcPr>
          <w:p w14:paraId="13667D87">
            <w:pPr>
              <w:jc w:val="center"/>
              <w:rPr>
                <w:color w:val="000000" w:themeColor="text1"/>
                <w:sz w:val="24"/>
                <w:szCs w:val="24"/>
                <w14:textFill>
                  <w14:solidFill>
                    <w14:schemeClr w14:val="tx1"/>
                  </w14:solidFill>
                </w14:textFill>
              </w:rPr>
            </w:pPr>
          </w:p>
        </w:tc>
        <w:tc>
          <w:tcPr>
            <w:tcW w:w="1560" w:type="dxa"/>
            <w:vAlign w:val="center"/>
          </w:tcPr>
          <w:p w14:paraId="65BB816C">
            <w:pPr>
              <w:jc w:val="center"/>
              <w:rPr>
                <w:color w:val="000000" w:themeColor="text1"/>
                <w:sz w:val="24"/>
                <w:szCs w:val="24"/>
                <w14:textFill>
                  <w14:solidFill>
                    <w14:schemeClr w14:val="tx1"/>
                  </w14:solidFill>
                </w14:textFill>
              </w:rPr>
            </w:pPr>
          </w:p>
        </w:tc>
        <w:tc>
          <w:tcPr>
            <w:tcW w:w="1567" w:type="dxa"/>
            <w:vAlign w:val="center"/>
          </w:tcPr>
          <w:p w14:paraId="4DE6BD57">
            <w:pPr>
              <w:jc w:val="center"/>
              <w:rPr>
                <w:color w:val="000000" w:themeColor="text1"/>
                <w:sz w:val="24"/>
                <w:szCs w:val="24"/>
                <w14:textFill>
                  <w14:solidFill>
                    <w14:schemeClr w14:val="tx1"/>
                  </w14:solidFill>
                </w14:textFill>
              </w:rPr>
            </w:pPr>
          </w:p>
        </w:tc>
      </w:tr>
      <w:tr w14:paraId="33E60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534" w:type="dxa"/>
            <w:vMerge w:val="continue"/>
            <w:vAlign w:val="center"/>
          </w:tcPr>
          <w:p w14:paraId="4FEACDE4">
            <w:pPr>
              <w:jc w:val="center"/>
              <w:rPr>
                <w:color w:val="000000" w:themeColor="text1"/>
                <w:sz w:val="24"/>
                <w:szCs w:val="24"/>
                <w14:textFill>
                  <w14:solidFill>
                    <w14:schemeClr w14:val="tx1"/>
                  </w14:solidFill>
                </w14:textFill>
              </w:rPr>
            </w:pPr>
          </w:p>
        </w:tc>
        <w:tc>
          <w:tcPr>
            <w:tcW w:w="1735" w:type="dxa"/>
            <w:vMerge w:val="continue"/>
            <w:vAlign w:val="center"/>
          </w:tcPr>
          <w:p w14:paraId="5A936E8D">
            <w:pPr>
              <w:jc w:val="center"/>
              <w:rPr>
                <w:color w:val="000000" w:themeColor="text1"/>
                <w:sz w:val="24"/>
                <w:szCs w:val="24"/>
                <w14:textFill>
                  <w14:solidFill>
                    <w14:schemeClr w14:val="tx1"/>
                  </w14:solidFill>
                </w14:textFill>
              </w:rPr>
            </w:pPr>
          </w:p>
        </w:tc>
        <w:tc>
          <w:tcPr>
            <w:tcW w:w="1241" w:type="dxa"/>
            <w:vAlign w:val="center"/>
          </w:tcPr>
          <w:p w14:paraId="14BE166C">
            <w:pPr>
              <w:jc w:val="center"/>
              <w:rPr>
                <w:color w:val="000000" w:themeColor="text1"/>
                <w:sz w:val="24"/>
                <w:szCs w:val="24"/>
                <w14:textFill>
                  <w14:solidFill>
                    <w14:schemeClr w14:val="tx1"/>
                  </w14:solidFill>
                </w14:textFill>
              </w:rPr>
            </w:pPr>
          </w:p>
        </w:tc>
        <w:tc>
          <w:tcPr>
            <w:tcW w:w="1134" w:type="dxa"/>
            <w:vAlign w:val="center"/>
          </w:tcPr>
          <w:p w14:paraId="735BA9A3">
            <w:pPr>
              <w:jc w:val="center"/>
              <w:rPr>
                <w:color w:val="000000" w:themeColor="text1"/>
                <w:sz w:val="24"/>
                <w:szCs w:val="24"/>
                <w14:textFill>
                  <w14:solidFill>
                    <w14:schemeClr w14:val="tx1"/>
                  </w14:solidFill>
                </w14:textFill>
              </w:rPr>
            </w:pPr>
          </w:p>
        </w:tc>
        <w:tc>
          <w:tcPr>
            <w:tcW w:w="993" w:type="dxa"/>
            <w:vAlign w:val="center"/>
          </w:tcPr>
          <w:p w14:paraId="0C99024A">
            <w:pPr>
              <w:jc w:val="center"/>
              <w:rPr>
                <w:color w:val="000000" w:themeColor="text1"/>
                <w:sz w:val="24"/>
                <w:szCs w:val="24"/>
                <w14:textFill>
                  <w14:solidFill>
                    <w14:schemeClr w14:val="tx1"/>
                  </w14:solidFill>
                </w14:textFill>
              </w:rPr>
            </w:pPr>
          </w:p>
        </w:tc>
        <w:tc>
          <w:tcPr>
            <w:tcW w:w="1275" w:type="dxa"/>
            <w:vAlign w:val="center"/>
          </w:tcPr>
          <w:p w14:paraId="3EE4B8EE">
            <w:pPr>
              <w:jc w:val="center"/>
              <w:rPr>
                <w:color w:val="000000" w:themeColor="text1"/>
                <w:sz w:val="24"/>
                <w:szCs w:val="24"/>
                <w14:textFill>
                  <w14:solidFill>
                    <w14:schemeClr w14:val="tx1"/>
                  </w14:solidFill>
                </w14:textFill>
              </w:rPr>
            </w:pPr>
          </w:p>
        </w:tc>
        <w:tc>
          <w:tcPr>
            <w:tcW w:w="1560" w:type="dxa"/>
            <w:vAlign w:val="center"/>
          </w:tcPr>
          <w:p w14:paraId="599BF5FD">
            <w:pPr>
              <w:jc w:val="center"/>
              <w:rPr>
                <w:color w:val="000000" w:themeColor="text1"/>
                <w:sz w:val="24"/>
                <w:szCs w:val="24"/>
                <w14:textFill>
                  <w14:solidFill>
                    <w14:schemeClr w14:val="tx1"/>
                  </w14:solidFill>
                </w14:textFill>
              </w:rPr>
            </w:pPr>
          </w:p>
        </w:tc>
        <w:tc>
          <w:tcPr>
            <w:tcW w:w="1567" w:type="dxa"/>
            <w:vAlign w:val="center"/>
          </w:tcPr>
          <w:p w14:paraId="653408C8">
            <w:pPr>
              <w:jc w:val="center"/>
              <w:rPr>
                <w:color w:val="000000" w:themeColor="text1"/>
                <w:sz w:val="24"/>
                <w:szCs w:val="24"/>
                <w14:textFill>
                  <w14:solidFill>
                    <w14:schemeClr w14:val="tx1"/>
                  </w14:solidFill>
                </w14:textFill>
              </w:rPr>
            </w:pPr>
          </w:p>
        </w:tc>
      </w:tr>
      <w:tr w14:paraId="7245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34" w:type="dxa"/>
            <w:vMerge w:val="continue"/>
            <w:vAlign w:val="center"/>
          </w:tcPr>
          <w:p w14:paraId="3B69F105">
            <w:pPr>
              <w:jc w:val="center"/>
              <w:rPr>
                <w:color w:val="000000" w:themeColor="text1"/>
                <w:sz w:val="24"/>
                <w:szCs w:val="24"/>
                <w14:textFill>
                  <w14:solidFill>
                    <w14:schemeClr w14:val="tx1"/>
                  </w14:solidFill>
                </w14:textFill>
              </w:rPr>
            </w:pPr>
          </w:p>
        </w:tc>
        <w:tc>
          <w:tcPr>
            <w:tcW w:w="1735" w:type="dxa"/>
            <w:vMerge w:val="continue"/>
            <w:vAlign w:val="center"/>
          </w:tcPr>
          <w:p w14:paraId="070D1F20">
            <w:pPr>
              <w:jc w:val="center"/>
              <w:rPr>
                <w:color w:val="000000" w:themeColor="text1"/>
                <w:sz w:val="24"/>
                <w:szCs w:val="24"/>
                <w14:textFill>
                  <w14:solidFill>
                    <w14:schemeClr w14:val="tx1"/>
                  </w14:solidFill>
                </w14:textFill>
              </w:rPr>
            </w:pPr>
          </w:p>
        </w:tc>
        <w:tc>
          <w:tcPr>
            <w:tcW w:w="1241" w:type="dxa"/>
            <w:vAlign w:val="center"/>
          </w:tcPr>
          <w:p w14:paraId="0E03D240">
            <w:pPr>
              <w:jc w:val="center"/>
              <w:rPr>
                <w:color w:val="000000" w:themeColor="text1"/>
                <w:sz w:val="24"/>
                <w:szCs w:val="24"/>
                <w14:textFill>
                  <w14:solidFill>
                    <w14:schemeClr w14:val="tx1"/>
                  </w14:solidFill>
                </w14:textFill>
              </w:rPr>
            </w:pPr>
          </w:p>
        </w:tc>
        <w:tc>
          <w:tcPr>
            <w:tcW w:w="1134" w:type="dxa"/>
            <w:vAlign w:val="center"/>
          </w:tcPr>
          <w:p w14:paraId="3CA26966">
            <w:pPr>
              <w:jc w:val="center"/>
              <w:rPr>
                <w:color w:val="000000" w:themeColor="text1"/>
                <w:sz w:val="24"/>
                <w:szCs w:val="24"/>
                <w14:textFill>
                  <w14:solidFill>
                    <w14:schemeClr w14:val="tx1"/>
                  </w14:solidFill>
                </w14:textFill>
              </w:rPr>
            </w:pPr>
          </w:p>
        </w:tc>
        <w:tc>
          <w:tcPr>
            <w:tcW w:w="993" w:type="dxa"/>
            <w:vAlign w:val="center"/>
          </w:tcPr>
          <w:p w14:paraId="54E3C921">
            <w:pPr>
              <w:jc w:val="center"/>
              <w:rPr>
                <w:color w:val="000000" w:themeColor="text1"/>
                <w:sz w:val="24"/>
                <w:szCs w:val="24"/>
                <w14:textFill>
                  <w14:solidFill>
                    <w14:schemeClr w14:val="tx1"/>
                  </w14:solidFill>
                </w14:textFill>
              </w:rPr>
            </w:pPr>
          </w:p>
        </w:tc>
        <w:tc>
          <w:tcPr>
            <w:tcW w:w="1275" w:type="dxa"/>
            <w:vAlign w:val="center"/>
          </w:tcPr>
          <w:p w14:paraId="22215324">
            <w:pPr>
              <w:jc w:val="center"/>
              <w:rPr>
                <w:color w:val="000000" w:themeColor="text1"/>
                <w:sz w:val="24"/>
                <w:szCs w:val="24"/>
                <w14:textFill>
                  <w14:solidFill>
                    <w14:schemeClr w14:val="tx1"/>
                  </w14:solidFill>
                </w14:textFill>
              </w:rPr>
            </w:pPr>
          </w:p>
        </w:tc>
        <w:tc>
          <w:tcPr>
            <w:tcW w:w="1560" w:type="dxa"/>
            <w:vAlign w:val="center"/>
          </w:tcPr>
          <w:p w14:paraId="7FB1E37F">
            <w:pPr>
              <w:jc w:val="center"/>
              <w:rPr>
                <w:color w:val="000000" w:themeColor="text1"/>
                <w:sz w:val="24"/>
                <w:szCs w:val="24"/>
                <w14:textFill>
                  <w14:solidFill>
                    <w14:schemeClr w14:val="tx1"/>
                  </w14:solidFill>
                </w14:textFill>
              </w:rPr>
            </w:pPr>
          </w:p>
        </w:tc>
        <w:tc>
          <w:tcPr>
            <w:tcW w:w="1567" w:type="dxa"/>
            <w:vAlign w:val="center"/>
          </w:tcPr>
          <w:p w14:paraId="0D1D6428">
            <w:pPr>
              <w:jc w:val="center"/>
              <w:rPr>
                <w:color w:val="000000" w:themeColor="text1"/>
                <w:sz w:val="24"/>
                <w:szCs w:val="24"/>
                <w14:textFill>
                  <w14:solidFill>
                    <w14:schemeClr w14:val="tx1"/>
                  </w14:solidFill>
                </w14:textFill>
              </w:rPr>
            </w:pPr>
          </w:p>
        </w:tc>
      </w:tr>
      <w:tr w14:paraId="06C3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534" w:type="dxa"/>
            <w:vMerge w:val="continue"/>
            <w:vAlign w:val="center"/>
          </w:tcPr>
          <w:p w14:paraId="2EC22BE8">
            <w:pPr>
              <w:jc w:val="center"/>
              <w:rPr>
                <w:color w:val="000000" w:themeColor="text1"/>
                <w:sz w:val="24"/>
                <w:szCs w:val="24"/>
                <w14:textFill>
                  <w14:solidFill>
                    <w14:schemeClr w14:val="tx1"/>
                  </w14:solidFill>
                </w14:textFill>
              </w:rPr>
            </w:pPr>
          </w:p>
        </w:tc>
        <w:tc>
          <w:tcPr>
            <w:tcW w:w="1735" w:type="dxa"/>
            <w:vMerge w:val="continue"/>
            <w:vAlign w:val="center"/>
          </w:tcPr>
          <w:p w14:paraId="0F38B4FA">
            <w:pPr>
              <w:jc w:val="center"/>
              <w:rPr>
                <w:color w:val="000000" w:themeColor="text1"/>
                <w:sz w:val="24"/>
                <w:szCs w:val="24"/>
                <w14:textFill>
                  <w14:solidFill>
                    <w14:schemeClr w14:val="tx1"/>
                  </w14:solidFill>
                </w14:textFill>
              </w:rPr>
            </w:pPr>
          </w:p>
        </w:tc>
        <w:tc>
          <w:tcPr>
            <w:tcW w:w="1241" w:type="dxa"/>
            <w:vAlign w:val="center"/>
          </w:tcPr>
          <w:p w14:paraId="1450E24F">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p>
        </w:tc>
        <w:tc>
          <w:tcPr>
            <w:tcW w:w="1134" w:type="dxa"/>
            <w:vAlign w:val="center"/>
          </w:tcPr>
          <w:p w14:paraId="3A45525D">
            <w:pPr>
              <w:jc w:val="center"/>
              <w:rPr>
                <w:color w:val="000000" w:themeColor="text1"/>
                <w:sz w:val="24"/>
                <w:szCs w:val="24"/>
                <w14:textFill>
                  <w14:solidFill>
                    <w14:schemeClr w14:val="tx1"/>
                  </w14:solidFill>
                </w14:textFill>
              </w:rPr>
            </w:pPr>
          </w:p>
        </w:tc>
        <w:tc>
          <w:tcPr>
            <w:tcW w:w="993" w:type="dxa"/>
            <w:vAlign w:val="center"/>
          </w:tcPr>
          <w:p w14:paraId="086AF72E">
            <w:pPr>
              <w:jc w:val="center"/>
              <w:rPr>
                <w:color w:val="000000" w:themeColor="text1"/>
                <w:sz w:val="24"/>
                <w:szCs w:val="24"/>
                <w14:textFill>
                  <w14:solidFill>
                    <w14:schemeClr w14:val="tx1"/>
                  </w14:solidFill>
                </w14:textFill>
              </w:rPr>
            </w:pPr>
          </w:p>
        </w:tc>
        <w:tc>
          <w:tcPr>
            <w:tcW w:w="1275" w:type="dxa"/>
            <w:vAlign w:val="center"/>
          </w:tcPr>
          <w:p w14:paraId="753A7FB6">
            <w:pPr>
              <w:jc w:val="center"/>
              <w:rPr>
                <w:color w:val="000000" w:themeColor="text1"/>
                <w:sz w:val="24"/>
                <w:szCs w:val="24"/>
                <w14:textFill>
                  <w14:solidFill>
                    <w14:schemeClr w14:val="tx1"/>
                  </w14:solidFill>
                </w14:textFill>
              </w:rPr>
            </w:pPr>
          </w:p>
        </w:tc>
        <w:tc>
          <w:tcPr>
            <w:tcW w:w="1560" w:type="dxa"/>
            <w:vAlign w:val="center"/>
          </w:tcPr>
          <w:p w14:paraId="722E7C1F">
            <w:pPr>
              <w:jc w:val="center"/>
              <w:rPr>
                <w:color w:val="000000" w:themeColor="text1"/>
                <w:sz w:val="24"/>
                <w:szCs w:val="24"/>
                <w14:textFill>
                  <w14:solidFill>
                    <w14:schemeClr w14:val="tx1"/>
                  </w14:solidFill>
                </w14:textFill>
              </w:rPr>
            </w:pPr>
          </w:p>
        </w:tc>
        <w:tc>
          <w:tcPr>
            <w:tcW w:w="1567" w:type="dxa"/>
            <w:vAlign w:val="center"/>
          </w:tcPr>
          <w:p w14:paraId="01AE3903">
            <w:pPr>
              <w:jc w:val="center"/>
              <w:rPr>
                <w:color w:val="000000" w:themeColor="text1"/>
                <w:sz w:val="24"/>
                <w:szCs w:val="24"/>
                <w14:textFill>
                  <w14:solidFill>
                    <w14:schemeClr w14:val="tx1"/>
                  </w14:solidFill>
                </w14:textFill>
              </w:rPr>
            </w:pPr>
          </w:p>
        </w:tc>
      </w:tr>
      <w:tr w14:paraId="0A602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534" w:type="dxa"/>
            <w:vMerge w:val="restart"/>
            <w:vAlign w:val="center"/>
          </w:tcPr>
          <w:p w14:paraId="3ACE0839">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w:t>
            </w:r>
          </w:p>
        </w:tc>
        <w:tc>
          <w:tcPr>
            <w:tcW w:w="1735" w:type="dxa"/>
            <w:vMerge w:val="restart"/>
            <w:vAlign w:val="center"/>
          </w:tcPr>
          <w:p w14:paraId="4954B159">
            <w:pPr>
              <w:jc w:val="center"/>
              <w:rPr>
                <w:color w:val="000000" w:themeColor="text1"/>
                <w:sz w:val="24"/>
                <w:szCs w:val="24"/>
                <w14:textFill>
                  <w14:solidFill>
                    <w14:schemeClr w14:val="tx1"/>
                  </w14:solidFill>
                </w14:textFill>
              </w:rPr>
            </w:pPr>
            <w:r>
              <w:rPr>
                <w:color w:val="000000" w:themeColor="text1"/>
                <w:sz w:val="24"/>
                <w14:textFill>
                  <w14:solidFill>
                    <w14:schemeClr w14:val="tx1"/>
                  </w14:solidFill>
                </w14:textFill>
              </w:rPr>
              <w:t>小型</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中型普通客车</w:t>
            </w:r>
            <w:r>
              <w:rPr>
                <w:rFonts w:hint="eastAsia"/>
                <w:color w:val="000000" w:themeColor="text1"/>
                <w:sz w:val="24"/>
                <w14:textFill>
                  <w14:solidFill>
                    <w14:schemeClr w14:val="tx1"/>
                  </w14:solidFill>
                </w14:textFill>
              </w:rPr>
              <w:t>或轻型/</w:t>
            </w:r>
            <w:r>
              <w:rPr>
                <w:color w:val="000000" w:themeColor="text1"/>
                <w:sz w:val="24"/>
                <w14:textFill>
                  <w14:solidFill>
                    <w14:schemeClr w14:val="tx1"/>
                  </w14:solidFill>
                </w14:textFill>
              </w:rPr>
              <w:t>小型</w:t>
            </w:r>
            <w:r>
              <w:rPr>
                <w:rFonts w:hint="eastAsia"/>
                <w:color w:val="000000" w:themeColor="text1"/>
                <w:sz w:val="24"/>
                <w14:textFill>
                  <w14:solidFill>
                    <w14:schemeClr w14:val="tx1"/>
                  </w14:solidFill>
                </w14:textFill>
              </w:rPr>
              <w:t>专项</w:t>
            </w:r>
            <w:r>
              <w:rPr>
                <w:color w:val="000000" w:themeColor="text1"/>
                <w:sz w:val="24"/>
                <w14:textFill>
                  <w14:solidFill>
                    <w14:schemeClr w14:val="tx1"/>
                  </w14:solidFill>
                </w14:textFill>
              </w:rPr>
              <w:t>作业车</w:t>
            </w:r>
            <w:r>
              <w:rPr>
                <w:rFonts w:hint="eastAsia"/>
                <w:color w:val="000000" w:themeColor="text1"/>
                <w:sz w:val="24"/>
                <w14:textFill>
                  <w14:solidFill>
                    <w14:schemeClr w14:val="tx1"/>
                  </w14:solidFill>
                </w14:textFill>
              </w:rPr>
              <w:t>或轻型/</w:t>
            </w:r>
            <w:r>
              <w:rPr>
                <w:color w:val="000000" w:themeColor="text1"/>
                <w:sz w:val="24"/>
                <w14:textFill>
                  <w14:solidFill>
                    <w14:schemeClr w14:val="tx1"/>
                  </w14:solidFill>
                </w14:textFill>
              </w:rPr>
              <w:t>小型</w:t>
            </w:r>
            <w:r>
              <w:rPr>
                <w:rFonts w:hint="eastAsia"/>
                <w:color w:val="000000" w:themeColor="text1"/>
                <w:sz w:val="24"/>
                <w14:textFill>
                  <w14:solidFill>
                    <w14:schemeClr w14:val="tx1"/>
                  </w14:solidFill>
                </w14:textFill>
              </w:rPr>
              <w:t>自卸货车</w:t>
            </w:r>
          </w:p>
        </w:tc>
        <w:tc>
          <w:tcPr>
            <w:tcW w:w="1241" w:type="dxa"/>
            <w:vAlign w:val="center"/>
          </w:tcPr>
          <w:p w14:paraId="29BC747A">
            <w:pPr>
              <w:jc w:val="center"/>
              <w:rPr>
                <w:color w:val="000000" w:themeColor="text1"/>
                <w:sz w:val="24"/>
                <w:szCs w:val="24"/>
                <w14:textFill>
                  <w14:solidFill>
                    <w14:schemeClr w14:val="tx1"/>
                  </w14:solidFill>
                </w14:textFill>
              </w:rPr>
            </w:pPr>
          </w:p>
        </w:tc>
        <w:tc>
          <w:tcPr>
            <w:tcW w:w="1134" w:type="dxa"/>
            <w:vAlign w:val="center"/>
          </w:tcPr>
          <w:p w14:paraId="2843BB06">
            <w:pPr>
              <w:jc w:val="center"/>
              <w:rPr>
                <w:color w:val="000000" w:themeColor="text1"/>
                <w:sz w:val="24"/>
                <w:szCs w:val="24"/>
                <w14:textFill>
                  <w14:solidFill>
                    <w14:schemeClr w14:val="tx1"/>
                  </w14:solidFill>
                </w14:textFill>
              </w:rPr>
            </w:pPr>
          </w:p>
        </w:tc>
        <w:tc>
          <w:tcPr>
            <w:tcW w:w="993" w:type="dxa"/>
            <w:vAlign w:val="center"/>
          </w:tcPr>
          <w:p w14:paraId="189C44ED">
            <w:pPr>
              <w:jc w:val="center"/>
              <w:rPr>
                <w:color w:val="000000" w:themeColor="text1"/>
                <w:sz w:val="24"/>
                <w:szCs w:val="24"/>
                <w14:textFill>
                  <w14:solidFill>
                    <w14:schemeClr w14:val="tx1"/>
                  </w14:solidFill>
                </w14:textFill>
              </w:rPr>
            </w:pPr>
          </w:p>
        </w:tc>
        <w:tc>
          <w:tcPr>
            <w:tcW w:w="1275" w:type="dxa"/>
            <w:vAlign w:val="center"/>
          </w:tcPr>
          <w:p w14:paraId="40FEC0F4">
            <w:pPr>
              <w:jc w:val="center"/>
              <w:rPr>
                <w:color w:val="000000" w:themeColor="text1"/>
                <w:sz w:val="24"/>
                <w:szCs w:val="24"/>
                <w14:textFill>
                  <w14:solidFill>
                    <w14:schemeClr w14:val="tx1"/>
                  </w14:solidFill>
                </w14:textFill>
              </w:rPr>
            </w:pPr>
          </w:p>
        </w:tc>
        <w:tc>
          <w:tcPr>
            <w:tcW w:w="1560" w:type="dxa"/>
            <w:vAlign w:val="center"/>
          </w:tcPr>
          <w:p w14:paraId="10D4C02A">
            <w:pPr>
              <w:jc w:val="center"/>
              <w:rPr>
                <w:color w:val="000000" w:themeColor="text1"/>
                <w:sz w:val="24"/>
                <w:szCs w:val="24"/>
                <w14:textFill>
                  <w14:solidFill>
                    <w14:schemeClr w14:val="tx1"/>
                  </w14:solidFill>
                </w14:textFill>
              </w:rPr>
            </w:pPr>
          </w:p>
        </w:tc>
        <w:tc>
          <w:tcPr>
            <w:tcW w:w="1567" w:type="dxa"/>
            <w:vAlign w:val="center"/>
          </w:tcPr>
          <w:p w14:paraId="69DD3C0D">
            <w:pPr>
              <w:jc w:val="center"/>
              <w:rPr>
                <w:color w:val="000000" w:themeColor="text1"/>
                <w:sz w:val="24"/>
                <w:szCs w:val="24"/>
                <w14:textFill>
                  <w14:solidFill>
                    <w14:schemeClr w14:val="tx1"/>
                  </w14:solidFill>
                </w14:textFill>
              </w:rPr>
            </w:pPr>
          </w:p>
        </w:tc>
      </w:tr>
      <w:tr w14:paraId="205E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534" w:type="dxa"/>
            <w:vMerge w:val="continue"/>
            <w:vAlign w:val="center"/>
          </w:tcPr>
          <w:p w14:paraId="7A31B76C">
            <w:pPr>
              <w:jc w:val="center"/>
              <w:rPr>
                <w:color w:val="000000" w:themeColor="text1"/>
                <w:sz w:val="24"/>
                <w:szCs w:val="24"/>
                <w14:textFill>
                  <w14:solidFill>
                    <w14:schemeClr w14:val="tx1"/>
                  </w14:solidFill>
                </w14:textFill>
              </w:rPr>
            </w:pPr>
          </w:p>
        </w:tc>
        <w:tc>
          <w:tcPr>
            <w:tcW w:w="1735" w:type="dxa"/>
            <w:vMerge w:val="continue"/>
            <w:vAlign w:val="center"/>
          </w:tcPr>
          <w:p w14:paraId="40217EBB">
            <w:pPr>
              <w:jc w:val="center"/>
              <w:rPr>
                <w:color w:val="000000" w:themeColor="text1"/>
                <w:sz w:val="24"/>
                <w:szCs w:val="24"/>
                <w14:textFill>
                  <w14:solidFill>
                    <w14:schemeClr w14:val="tx1"/>
                  </w14:solidFill>
                </w14:textFill>
              </w:rPr>
            </w:pPr>
          </w:p>
        </w:tc>
        <w:tc>
          <w:tcPr>
            <w:tcW w:w="1241" w:type="dxa"/>
            <w:vAlign w:val="center"/>
          </w:tcPr>
          <w:p w14:paraId="139AC37B">
            <w:pPr>
              <w:jc w:val="center"/>
              <w:rPr>
                <w:color w:val="000000" w:themeColor="text1"/>
                <w:sz w:val="24"/>
                <w:szCs w:val="24"/>
                <w14:textFill>
                  <w14:solidFill>
                    <w14:schemeClr w14:val="tx1"/>
                  </w14:solidFill>
                </w14:textFill>
              </w:rPr>
            </w:pPr>
          </w:p>
        </w:tc>
        <w:tc>
          <w:tcPr>
            <w:tcW w:w="1134" w:type="dxa"/>
            <w:vAlign w:val="center"/>
          </w:tcPr>
          <w:p w14:paraId="704CECAF">
            <w:pPr>
              <w:jc w:val="center"/>
              <w:rPr>
                <w:color w:val="000000" w:themeColor="text1"/>
                <w:sz w:val="24"/>
                <w:szCs w:val="24"/>
                <w14:textFill>
                  <w14:solidFill>
                    <w14:schemeClr w14:val="tx1"/>
                  </w14:solidFill>
                </w14:textFill>
              </w:rPr>
            </w:pPr>
          </w:p>
        </w:tc>
        <w:tc>
          <w:tcPr>
            <w:tcW w:w="993" w:type="dxa"/>
            <w:vAlign w:val="center"/>
          </w:tcPr>
          <w:p w14:paraId="4C23AC7F">
            <w:pPr>
              <w:jc w:val="center"/>
              <w:rPr>
                <w:color w:val="000000" w:themeColor="text1"/>
                <w:sz w:val="24"/>
                <w:szCs w:val="24"/>
                <w14:textFill>
                  <w14:solidFill>
                    <w14:schemeClr w14:val="tx1"/>
                  </w14:solidFill>
                </w14:textFill>
              </w:rPr>
            </w:pPr>
          </w:p>
        </w:tc>
        <w:tc>
          <w:tcPr>
            <w:tcW w:w="1275" w:type="dxa"/>
            <w:vAlign w:val="center"/>
          </w:tcPr>
          <w:p w14:paraId="499F5F69">
            <w:pPr>
              <w:jc w:val="center"/>
              <w:rPr>
                <w:color w:val="000000" w:themeColor="text1"/>
                <w:sz w:val="24"/>
                <w:szCs w:val="24"/>
                <w14:textFill>
                  <w14:solidFill>
                    <w14:schemeClr w14:val="tx1"/>
                  </w14:solidFill>
                </w14:textFill>
              </w:rPr>
            </w:pPr>
          </w:p>
        </w:tc>
        <w:tc>
          <w:tcPr>
            <w:tcW w:w="1560" w:type="dxa"/>
            <w:vAlign w:val="center"/>
          </w:tcPr>
          <w:p w14:paraId="3EBF3747">
            <w:pPr>
              <w:jc w:val="center"/>
              <w:rPr>
                <w:color w:val="000000" w:themeColor="text1"/>
                <w:sz w:val="24"/>
                <w:szCs w:val="24"/>
                <w14:textFill>
                  <w14:solidFill>
                    <w14:schemeClr w14:val="tx1"/>
                  </w14:solidFill>
                </w14:textFill>
              </w:rPr>
            </w:pPr>
          </w:p>
        </w:tc>
        <w:tc>
          <w:tcPr>
            <w:tcW w:w="1567" w:type="dxa"/>
            <w:vAlign w:val="center"/>
          </w:tcPr>
          <w:p w14:paraId="34F5841E">
            <w:pPr>
              <w:jc w:val="center"/>
              <w:rPr>
                <w:color w:val="000000" w:themeColor="text1"/>
                <w:sz w:val="24"/>
                <w:szCs w:val="24"/>
                <w14:textFill>
                  <w14:solidFill>
                    <w14:schemeClr w14:val="tx1"/>
                  </w14:solidFill>
                </w14:textFill>
              </w:rPr>
            </w:pPr>
          </w:p>
        </w:tc>
      </w:tr>
      <w:tr w14:paraId="1879C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534" w:type="dxa"/>
            <w:vMerge w:val="continue"/>
            <w:vAlign w:val="center"/>
          </w:tcPr>
          <w:p w14:paraId="48240174">
            <w:pPr>
              <w:jc w:val="center"/>
              <w:rPr>
                <w:color w:val="000000" w:themeColor="text1"/>
                <w:sz w:val="24"/>
                <w:szCs w:val="24"/>
                <w14:textFill>
                  <w14:solidFill>
                    <w14:schemeClr w14:val="tx1"/>
                  </w14:solidFill>
                </w14:textFill>
              </w:rPr>
            </w:pPr>
          </w:p>
        </w:tc>
        <w:tc>
          <w:tcPr>
            <w:tcW w:w="1735" w:type="dxa"/>
            <w:vMerge w:val="continue"/>
            <w:vAlign w:val="center"/>
          </w:tcPr>
          <w:p w14:paraId="1A733879">
            <w:pPr>
              <w:jc w:val="center"/>
              <w:rPr>
                <w:color w:val="000000" w:themeColor="text1"/>
                <w:sz w:val="24"/>
                <w:szCs w:val="24"/>
                <w14:textFill>
                  <w14:solidFill>
                    <w14:schemeClr w14:val="tx1"/>
                  </w14:solidFill>
                </w14:textFill>
              </w:rPr>
            </w:pPr>
          </w:p>
        </w:tc>
        <w:tc>
          <w:tcPr>
            <w:tcW w:w="1241" w:type="dxa"/>
            <w:vAlign w:val="center"/>
          </w:tcPr>
          <w:p w14:paraId="15692003">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p>
        </w:tc>
        <w:tc>
          <w:tcPr>
            <w:tcW w:w="1134" w:type="dxa"/>
            <w:vAlign w:val="center"/>
          </w:tcPr>
          <w:p w14:paraId="20EC9CE4">
            <w:pPr>
              <w:jc w:val="center"/>
              <w:rPr>
                <w:color w:val="000000" w:themeColor="text1"/>
                <w:sz w:val="24"/>
                <w:szCs w:val="24"/>
                <w14:textFill>
                  <w14:solidFill>
                    <w14:schemeClr w14:val="tx1"/>
                  </w14:solidFill>
                </w14:textFill>
              </w:rPr>
            </w:pPr>
          </w:p>
        </w:tc>
        <w:tc>
          <w:tcPr>
            <w:tcW w:w="993" w:type="dxa"/>
            <w:vAlign w:val="center"/>
          </w:tcPr>
          <w:p w14:paraId="73D46860">
            <w:pPr>
              <w:jc w:val="center"/>
              <w:rPr>
                <w:color w:val="000000" w:themeColor="text1"/>
                <w:sz w:val="24"/>
                <w:szCs w:val="24"/>
                <w14:textFill>
                  <w14:solidFill>
                    <w14:schemeClr w14:val="tx1"/>
                  </w14:solidFill>
                </w14:textFill>
              </w:rPr>
            </w:pPr>
          </w:p>
        </w:tc>
        <w:tc>
          <w:tcPr>
            <w:tcW w:w="1275" w:type="dxa"/>
            <w:vAlign w:val="center"/>
          </w:tcPr>
          <w:p w14:paraId="3DB33964">
            <w:pPr>
              <w:jc w:val="center"/>
              <w:rPr>
                <w:color w:val="000000" w:themeColor="text1"/>
                <w:sz w:val="24"/>
                <w:szCs w:val="24"/>
                <w14:textFill>
                  <w14:solidFill>
                    <w14:schemeClr w14:val="tx1"/>
                  </w14:solidFill>
                </w14:textFill>
              </w:rPr>
            </w:pPr>
          </w:p>
        </w:tc>
        <w:tc>
          <w:tcPr>
            <w:tcW w:w="1560" w:type="dxa"/>
            <w:vAlign w:val="center"/>
          </w:tcPr>
          <w:p w14:paraId="20CF557C">
            <w:pPr>
              <w:jc w:val="center"/>
              <w:rPr>
                <w:color w:val="000000" w:themeColor="text1"/>
                <w:sz w:val="24"/>
                <w:szCs w:val="24"/>
                <w14:textFill>
                  <w14:solidFill>
                    <w14:schemeClr w14:val="tx1"/>
                  </w14:solidFill>
                </w14:textFill>
              </w:rPr>
            </w:pPr>
          </w:p>
        </w:tc>
        <w:tc>
          <w:tcPr>
            <w:tcW w:w="1567" w:type="dxa"/>
            <w:vAlign w:val="center"/>
          </w:tcPr>
          <w:p w14:paraId="6409EA67">
            <w:pPr>
              <w:jc w:val="center"/>
              <w:rPr>
                <w:color w:val="000000" w:themeColor="text1"/>
                <w:sz w:val="24"/>
                <w:szCs w:val="24"/>
                <w14:textFill>
                  <w14:solidFill>
                    <w14:schemeClr w14:val="tx1"/>
                  </w14:solidFill>
                </w14:textFill>
              </w:rPr>
            </w:pPr>
          </w:p>
        </w:tc>
      </w:tr>
      <w:tr w14:paraId="19EC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534" w:type="dxa"/>
            <w:vMerge w:val="restart"/>
            <w:vAlign w:val="center"/>
          </w:tcPr>
          <w:p w14:paraId="6F128463">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p>
        </w:tc>
        <w:tc>
          <w:tcPr>
            <w:tcW w:w="1735" w:type="dxa"/>
            <w:vMerge w:val="restart"/>
            <w:vAlign w:val="center"/>
          </w:tcPr>
          <w:p w14:paraId="508A1B09">
            <w:pPr>
              <w:jc w:val="center"/>
              <w:rPr>
                <w:color w:val="000000" w:themeColor="text1"/>
                <w:sz w:val="24"/>
                <w:szCs w:val="24"/>
                <w14:textFill>
                  <w14:solidFill>
                    <w14:schemeClr w14:val="tx1"/>
                  </w14:solidFill>
                </w14:textFill>
              </w:rPr>
            </w:pPr>
            <w:r>
              <w:rPr>
                <w:color w:val="000000" w:themeColor="text1"/>
                <w:sz w:val="24"/>
                <w14:textFill>
                  <w14:solidFill>
                    <w14:schemeClr w14:val="tx1"/>
                  </w14:solidFill>
                </w14:textFill>
              </w:rPr>
              <w:t>小型轿车</w:t>
            </w:r>
            <w:r>
              <w:rPr>
                <w:rFonts w:hint="eastAsia"/>
                <w:color w:val="000000" w:themeColor="text1"/>
                <w:sz w:val="24"/>
                <w14:textFill>
                  <w14:solidFill>
                    <w14:schemeClr w14:val="tx1"/>
                  </w14:solidFill>
                </w14:textFill>
              </w:rPr>
              <w:t>或轻型普通货车</w:t>
            </w:r>
          </w:p>
        </w:tc>
        <w:tc>
          <w:tcPr>
            <w:tcW w:w="1241" w:type="dxa"/>
            <w:vAlign w:val="center"/>
          </w:tcPr>
          <w:p w14:paraId="5B158E21">
            <w:pPr>
              <w:jc w:val="center"/>
              <w:rPr>
                <w:color w:val="000000" w:themeColor="text1"/>
                <w:sz w:val="24"/>
                <w:szCs w:val="24"/>
                <w14:textFill>
                  <w14:solidFill>
                    <w14:schemeClr w14:val="tx1"/>
                  </w14:solidFill>
                </w14:textFill>
              </w:rPr>
            </w:pPr>
          </w:p>
        </w:tc>
        <w:tc>
          <w:tcPr>
            <w:tcW w:w="1134" w:type="dxa"/>
            <w:vAlign w:val="center"/>
          </w:tcPr>
          <w:p w14:paraId="54DEF0C8">
            <w:pPr>
              <w:jc w:val="center"/>
              <w:rPr>
                <w:color w:val="000000" w:themeColor="text1"/>
                <w:sz w:val="24"/>
                <w:szCs w:val="24"/>
                <w14:textFill>
                  <w14:solidFill>
                    <w14:schemeClr w14:val="tx1"/>
                  </w14:solidFill>
                </w14:textFill>
              </w:rPr>
            </w:pPr>
          </w:p>
        </w:tc>
        <w:tc>
          <w:tcPr>
            <w:tcW w:w="993" w:type="dxa"/>
            <w:vAlign w:val="center"/>
          </w:tcPr>
          <w:p w14:paraId="79A7A005">
            <w:pPr>
              <w:jc w:val="center"/>
              <w:rPr>
                <w:color w:val="000000" w:themeColor="text1"/>
                <w:sz w:val="24"/>
                <w:szCs w:val="24"/>
                <w14:textFill>
                  <w14:solidFill>
                    <w14:schemeClr w14:val="tx1"/>
                  </w14:solidFill>
                </w14:textFill>
              </w:rPr>
            </w:pPr>
          </w:p>
        </w:tc>
        <w:tc>
          <w:tcPr>
            <w:tcW w:w="1275" w:type="dxa"/>
            <w:vAlign w:val="center"/>
          </w:tcPr>
          <w:p w14:paraId="7400D5C3">
            <w:pPr>
              <w:jc w:val="center"/>
              <w:rPr>
                <w:color w:val="000000" w:themeColor="text1"/>
                <w:sz w:val="24"/>
                <w:szCs w:val="24"/>
                <w14:textFill>
                  <w14:solidFill>
                    <w14:schemeClr w14:val="tx1"/>
                  </w14:solidFill>
                </w14:textFill>
              </w:rPr>
            </w:pPr>
          </w:p>
        </w:tc>
        <w:tc>
          <w:tcPr>
            <w:tcW w:w="1560" w:type="dxa"/>
            <w:vAlign w:val="center"/>
          </w:tcPr>
          <w:p w14:paraId="2B79924B">
            <w:pPr>
              <w:jc w:val="center"/>
              <w:rPr>
                <w:color w:val="000000" w:themeColor="text1"/>
                <w:sz w:val="24"/>
                <w:szCs w:val="24"/>
                <w14:textFill>
                  <w14:solidFill>
                    <w14:schemeClr w14:val="tx1"/>
                  </w14:solidFill>
                </w14:textFill>
              </w:rPr>
            </w:pPr>
          </w:p>
        </w:tc>
        <w:tc>
          <w:tcPr>
            <w:tcW w:w="1567" w:type="dxa"/>
            <w:vAlign w:val="center"/>
          </w:tcPr>
          <w:p w14:paraId="0652D5C1">
            <w:pPr>
              <w:jc w:val="center"/>
              <w:rPr>
                <w:color w:val="000000" w:themeColor="text1"/>
                <w:sz w:val="24"/>
                <w:szCs w:val="24"/>
                <w14:textFill>
                  <w14:solidFill>
                    <w14:schemeClr w14:val="tx1"/>
                  </w14:solidFill>
                </w14:textFill>
              </w:rPr>
            </w:pPr>
          </w:p>
        </w:tc>
      </w:tr>
      <w:tr w14:paraId="6D519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34" w:type="dxa"/>
            <w:vMerge w:val="continue"/>
            <w:vAlign w:val="center"/>
          </w:tcPr>
          <w:p w14:paraId="0EAEEFCC">
            <w:pPr>
              <w:jc w:val="center"/>
              <w:rPr>
                <w:color w:val="000000" w:themeColor="text1"/>
                <w:sz w:val="24"/>
                <w:szCs w:val="24"/>
                <w14:textFill>
                  <w14:solidFill>
                    <w14:schemeClr w14:val="tx1"/>
                  </w14:solidFill>
                </w14:textFill>
              </w:rPr>
            </w:pPr>
          </w:p>
        </w:tc>
        <w:tc>
          <w:tcPr>
            <w:tcW w:w="1735" w:type="dxa"/>
            <w:vMerge w:val="continue"/>
            <w:vAlign w:val="center"/>
          </w:tcPr>
          <w:p w14:paraId="01B1202F">
            <w:pPr>
              <w:jc w:val="center"/>
              <w:rPr>
                <w:color w:val="000000" w:themeColor="text1"/>
                <w:sz w:val="24"/>
                <w14:textFill>
                  <w14:solidFill>
                    <w14:schemeClr w14:val="tx1"/>
                  </w14:solidFill>
                </w14:textFill>
              </w:rPr>
            </w:pPr>
          </w:p>
        </w:tc>
        <w:tc>
          <w:tcPr>
            <w:tcW w:w="1241" w:type="dxa"/>
            <w:vAlign w:val="center"/>
          </w:tcPr>
          <w:p w14:paraId="5B5B1220">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w:t>
            </w:r>
          </w:p>
        </w:tc>
        <w:tc>
          <w:tcPr>
            <w:tcW w:w="1134" w:type="dxa"/>
            <w:vAlign w:val="center"/>
          </w:tcPr>
          <w:p w14:paraId="25160C23">
            <w:pPr>
              <w:jc w:val="center"/>
              <w:rPr>
                <w:color w:val="000000" w:themeColor="text1"/>
                <w:sz w:val="24"/>
                <w:szCs w:val="24"/>
                <w14:textFill>
                  <w14:solidFill>
                    <w14:schemeClr w14:val="tx1"/>
                  </w14:solidFill>
                </w14:textFill>
              </w:rPr>
            </w:pPr>
          </w:p>
        </w:tc>
        <w:tc>
          <w:tcPr>
            <w:tcW w:w="993" w:type="dxa"/>
            <w:vAlign w:val="center"/>
          </w:tcPr>
          <w:p w14:paraId="696A74A2">
            <w:pPr>
              <w:jc w:val="center"/>
              <w:rPr>
                <w:color w:val="000000" w:themeColor="text1"/>
                <w:sz w:val="24"/>
                <w:szCs w:val="24"/>
                <w14:textFill>
                  <w14:solidFill>
                    <w14:schemeClr w14:val="tx1"/>
                  </w14:solidFill>
                </w14:textFill>
              </w:rPr>
            </w:pPr>
          </w:p>
        </w:tc>
        <w:tc>
          <w:tcPr>
            <w:tcW w:w="1275" w:type="dxa"/>
            <w:vAlign w:val="center"/>
          </w:tcPr>
          <w:p w14:paraId="2EC47AC9">
            <w:pPr>
              <w:jc w:val="center"/>
              <w:rPr>
                <w:color w:val="000000" w:themeColor="text1"/>
                <w:sz w:val="24"/>
                <w:szCs w:val="24"/>
                <w14:textFill>
                  <w14:solidFill>
                    <w14:schemeClr w14:val="tx1"/>
                  </w14:solidFill>
                </w14:textFill>
              </w:rPr>
            </w:pPr>
          </w:p>
        </w:tc>
        <w:tc>
          <w:tcPr>
            <w:tcW w:w="1560" w:type="dxa"/>
            <w:vAlign w:val="center"/>
          </w:tcPr>
          <w:p w14:paraId="60EA69DA">
            <w:pPr>
              <w:jc w:val="center"/>
              <w:rPr>
                <w:color w:val="000000" w:themeColor="text1"/>
                <w:sz w:val="24"/>
                <w:szCs w:val="24"/>
                <w14:textFill>
                  <w14:solidFill>
                    <w14:schemeClr w14:val="tx1"/>
                  </w14:solidFill>
                </w14:textFill>
              </w:rPr>
            </w:pPr>
          </w:p>
        </w:tc>
        <w:tc>
          <w:tcPr>
            <w:tcW w:w="1567" w:type="dxa"/>
            <w:vAlign w:val="center"/>
          </w:tcPr>
          <w:p w14:paraId="6A8CBF47">
            <w:pPr>
              <w:jc w:val="center"/>
              <w:rPr>
                <w:color w:val="000000" w:themeColor="text1"/>
                <w:sz w:val="24"/>
                <w:szCs w:val="24"/>
                <w14:textFill>
                  <w14:solidFill>
                    <w14:schemeClr w14:val="tx1"/>
                  </w14:solidFill>
                </w14:textFill>
              </w:rPr>
            </w:pPr>
          </w:p>
        </w:tc>
      </w:tr>
    </w:tbl>
    <w:p w14:paraId="49975920">
      <w:pPr>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注：1、表中车辆类型是指机动车行驶证的车辆类型。</w:t>
      </w:r>
    </w:p>
    <w:p w14:paraId="5BD4E507">
      <w:pPr>
        <w:spacing w:line="46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2、表中所有人是指机动车行驶证中的所有人。</w:t>
      </w:r>
    </w:p>
    <w:p w14:paraId="5B50F721">
      <w:pPr>
        <w:spacing w:line="46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3、表中车辆注册日期是指应机动车行驶证中的注册日期，应在本项目招标公告发出之前。</w:t>
      </w:r>
    </w:p>
    <w:p w14:paraId="23351DD9">
      <w:pPr>
        <w:spacing w:line="46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4、每辆车应同时提供：</w:t>
      </w:r>
    </w:p>
    <w:p w14:paraId="6FD31622">
      <w:pPr>
        <w:spacing w:line="460" w:lineRule="exact"/>
        <w:ind w:firstLine="720" w:firstLineChars="3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①车辆为自有的，须提供行驶证、发票及车辆照片。</w:t>
      </w:r>
    </w:p>
    <w:p w14:paraId="522D6BB5">
      <w:pPr>
        <w:spacing w:line="460" w:lineRule="exact"/>
        <w:ind w:firstLine="720" w:firstLineChars="3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②车辆为租赁的，须提供租赁合同及车辆照片</w:t>
      </w:r>
      <w:r>
        <w:rPr>
          <w:rFonts w:ascii="宋体" w:hAnsi="宋体"/>
          <w:color w:val="000000" w:themeColor="text1"/>
          <w:sz w:val="24"/>
          <w:szCs w:val="24"/>
          <w14:textFill>
            <w14:solidFill>
              <w14:schemeClr w14:val="tx1"/>
            </w14:solidFill>
          </w14:textFill>
        </w:rPr>
        <w:t>。</w:t>
      </w:r>
    </w:p>
    <w:p w14:paraId="02B51291">
      <w:pPr>
        <w:widowControl/>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p>
    <w:p w14:paraId="0188A080">
      <w:pPr>
        <w:pStyle w:val="3"/>
        <w:spacing w:line="440" w:lineRule="exact"/>
        <w:jc w:val="center"/>
        <w:rPr>
          <w:rFonts w:ascii="Times New Roman" w:hAnsi="Times New Roman" w:eastAsia="宋体" w:cs="Times New Roman"/>
          <w:b/>
          <w:bCs/>
          <w:color w:val="000000" w:themeColor="text1"/>
          <w:sz w:val="28"/>
          <w:szCs w:val="28"/>
          <w14:textFill>
            <w14:solidFill>
              <w14:schemeClr w14:val="tx1"/>
            </w14:solidFill>
          </w14:textFill>
        </w:rPr>
      </w:pPr>
      <w:bookmarkStart w:id="223" w:name="_Toc139725708"/>
      <w:bookmarkStart w:id="224" w:name="_Toc6067"/>
      <w:r>
        <w:rPr>
          <w:rFonts w:hint="eastAsia" w:ascii="Times New Roman" w:hAnsi="Times New Roman" w:eastAsia="宋体" w:cs="Times New Roman"/>
          <w:b/>
          <w:bCs/>
          <w:color w:val="000000" w:themeColor="text1"/>
          <w:sz w:val="28"/>
          <w:szCs w:val="28"/>
          <w14:textFill>
            <w14:solidFill>
              <w14:schemeClr w14:val="tx1"/>
            </w14:solidFill>
          </w14:textFill>
        </w:rPr>
        <w:t>附件7 设备工具一览表</w:t>
      </w:r>
      <w:bookmarkEnd w:id="223"/>
      <w:bookmarkEnd w:id="224"/>
    </w:p>
    <w:tbl>
      <w:tblPr>
        <w:tblStyle w:val="39"/>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968"/>
        <w:gridCol w:w="1594"/>
        <w:gridCol w:w="1739"/>
        <w:gridCol w:w="1449"/>
        <w:gridCol w:w="1884"/>
      </w:tblGrid>
      <w:tr w14:paraId="45299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51" w:type="dxa"/>
            <w:vAlign w:val="center"/>
          </w:tcPr>
          <w:p w14:paraId="74B73FB0">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序号</w:t>
            </w:r>
          </w:p>
        </w:tc>
        <w:tc>
          <w:tcPr>
            <w:tcW w:w="1968" w:type="dxa"/>
            <w:vAlign w:val="center"/>
          </w:tcPr>
          <w:p w14:paraId="09155D13">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设备名称</w:t>
            </w:r>
          </w:p>
        </w:tc>
        <w:tc>
          <w:tcPr>
            <w:tcW w:w="1594" w:type="dxa"/>
            <w:vAlign w:val="center"/>
          </w:tcPr>
          <w:p w14:paraId="575477B1">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型号</w:t>
            </w:r>
          </w:p>
        </w:tc>
        <w:tc>
          <w:tcPr>
            <w:tcW w:w="1739" w:type="dxa"/>
            <w:vAlign w:val="center"/>
          </w:tcPr>
          <w:p w14:paraId="657E2629">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设备</w:t>
            </w:r>
            <w:r>
              <w:rPr>
                <w:color w:val="000000" w:themeColor="text1"/>
                <w:sz w:val="24"/>
                <w:szCs w:val="24"/>
                <w14:textFill>
                  <w14:solidFill>
                    <w14:schemeClr w14:val="tx1"/>
                  </w14:solidFill>
                </w14:textFill>
              </w:rPr>
              <w:t>购买日期</w:t>
            </w:r>
          </w:p>
        </w:tc>
        <w:tc>
          <w:tcPr>
            <w:tcW w:w="1449" w:type="dxa"/>
            <w:vAlign w:val="center"/>
          </w:tcPr>
          <w:p w14:paraId="47A25134">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数量</w:t>
            </w:r>
          </w:p>
        </w:tc>
        <w:tc>
          <w:tcPr>
            <w:tcW w:w="1884" w:type="dxa"/>
            <w:vAlign w:val="center"/>
          </w:tcPr>
          <w:p w14:paraId="48E72C39">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备注</w:t>
            </w:r>
          </w:p>
        </w:tc>
      </w:tr>
      <w:tr w14:paraId="0CD71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51" w:type="dxa"/>
            <w:vAlign w:val="center"/>
          </w:tcPr>
          <w:p w14:paraId="35AEAB25">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1968" w:type="dxa"/>
            <w:vAlign w:val="center"/>
          </w:tcPr>
          <w:p w14:paraId="44659A4F">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草坪机</w:t>
            </w:r>
          </w:p>
        </w:tc>
        <w:tc>
          <w:tcPr>
            <w:tcW w:w="1594" w:type="dxa"/>
            <w:vAlign w:val="center"/>
          </w:tcPr>
          <w:p w14:paraId="530F54FA">
            <w:pPr>
              <w:jc w:val="center"/>
              <w:rPr>
                <w:color w:val="000000" w:themeColor="text1"/>
                <w:sz w:val="24"/>
                <w:szCs w:val="24"/>
                <w14:textFill>
                  <w14:solidFill>
                    <w14:schemeClr w14:val="tx1"/>
                  </w14:solidFill>
                </w14:textFill>
              </w:rPr>
            </w:pPr>
          </w:p>
        </w:tc>
        <w:tc>
          <w:tcPr>
            <w:tcW w:w="1739" w:type="dxa"/>
            <w:vAlign w:val="center"/>
          </w:tcPr>
          <w:p w14:paraId="6FAFA754">
            <w:pPr>
              <w:jc w:val="center"/>
              <w:rPr>
                <w:color w:val="000000" w:themeColor="text1"/>
                <w:sz w:val="24"/>
                <w:szCs w:val="24"/>
                <w14:textFill>
                  <w14:solidFill>
                    <w14:schemeClr w14:val="tx1"/>
                  </w14:solidFill>
                </w14:textFill>
              </w:rPr>
            </w:pPr>
          </w:p>
        </w:tc>
        <w:tc>
          <w:tcPr>
            <w:tcW w:w="1449" w:type="dxa"/>
            <w:vAlign w:val="center"/>
          </w:tcPr>
          <w:p w14:paraId="5B554F89">
            <w:pPr>
              <w:jc w:val="center"/>
              <w:rPr>
                <w:color w:val="000000" w:themeColor="text1"/>
                <w:sz w:val="24"/>
                <w:szCs w:val="24"/>
                <w14:textFill>
                  <w14:solidFill>
                    <w14:schemeClr w14:val="tx1"/>
                  </w14:solidFill>
                </w14:textFill>
              </w:rPr>
            </w:pPr>
          </w:p>
        </w:tc>
        <w:tc>
          <w:tcPr>
            <w:tcW w:w="1884" w:type="dxa"/>
            <w:vAlign w:val="center"/>
          </w:tcPr>
          <w:p w14:paraId="43347C6C">
            <w:pPr>
              <w:jc w:val="center"/>
              <w:rPr>
                <w:color w:val="000000" w:themeColor="text1"/>
                <w:sz w:val="24"/>
                <w:szCs w:val="24"/>
                <w14:textFill>
                  <w14:solidFill>
                    <w14:schemeClr w14:val="tx1"/>
                  </w14:solidFill>
                </w14:textFill>
              </w:rPr>
            </w:pPr>
          </w:p>
        </w:tc>
      </w:tr>
      <w:tr w14:paraId="1805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51" w:type="dxa"/>
            <w:vAlign w:val="center"/>
          </w:tcPr>
          <w:p w14:paraId="3CAAD23E">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1968" w:type="dxa"/>
            <w:vAlign w:val="center"/>
          </w:tcPr>
          <w:p w14:paraId="2647C50D">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割灌机</w:t>
            </w:r>
          </w:p>
        </w:tc>
        <w:tc>
          <w:tcPr>
            <w:tcW w:w="1594" w:type="dxa"/>
            <w:vAlign w:val="center"/>
          </w:tcPr>
          <w:p w14:paraId="3D3CA84B">
            <w:pPr>
              <w:jc w:val="center"/>
              <w:rPr>
                <w:color w:val="000000" w:themeColor="text1"/>
                <w:sz w:val="24"/>
                <w:szCs w:val="24"/>
                <w14:textFill>
                  <w14:solidFill>
                    <w14:schemeClr w14:val="tx1"/>
                  </w14:solidFill>
                </w14:textFill>
              </w:rPr>
            </w:pPr>
          </w:p>
        </w:tc>
        <w:tc>
          <w:tcPr>
            <w:tcW w:w="1739" w:type="dxa"/>
            <w:vAlign w:val="center"/>
          </w:tcPr>
          <w:p w14:paraId="788065F2">
            <w:pPr>
              <w:jc w:val="center"/>
              <w:rPr>
                <w:color w:val="000000" w:themeColor="text1"/>
                <w:sz w:val="24"/>
                <w:szCs w:val="24"/>
                <w14:textFill>
                  <w14:solidFill>
                    <w14:schemeClr w14:val="tx1"/>
                  </w14:solidFill>
                </w14:textFill>
              </w:rPr>
            </w:pPr>
          </w:p>
        </w:tc>
        <w:tc>
          <w:tcPr>
            <w:tcW w:w="1449" w:type="dxa"/>
            <w:vAlign w:val="center"/>
          </w:tcPr>
          <w:p w14:paraId="755CAE20">
            <w:pPr>
              <w:jc w:val="center"/>
              <w:rPr>
                <w:color w:val="000000" w:themeColor="text1"/>
                <w:sz w:val="24"/>
                <w:szCs w:val="24"/>
                <w14:textFill>
                  <w14:solidFill>
                    <w14:schemeClr w14:val="tx1"/>
                  </w14:solidFill>
                </w14:textFill>
              </w:rPr>
            </w:pPr>
          </w:p>
        </w:tc>
        <w:tc>
          <w:tcPr>
            <w:tcW w:w="1884" w:type="dxa"/>
            <w:vAlign w:val="center"/>
          </w:tcPr>
          <w:p w14:paraId="31D399D8">
            <w:pPr>
              <w:jc w:val="center"/>
              <w:rPr>
                <w:color w:val="000000" w:themeColor="text1"/>
                <w:sz w:val="24"/>
                <w:szCs w:val="24"/>
                <w14:textFill>
                  <w14:solidFill>
                    <w14:schemeClr w14:val="tx1"/>
                  </w14:solidFill>
                </w14:textFill>
              </w:rPr>
            </w:pPr>
          </w:p>
        </w:tc>
      </w:tr>
      <w:tr w14:paraId="45B11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51" w:type="dxa"/>
            <w:vAlign w:val="center"/>
          </w:tcPr>
          <w:p w14:paraId="627CBD75">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1968" w:type="dxa"/>
            <w:vAlign w:val="center"/>
          </w:tcPr>
          <w:p w14:paraId="2102877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油锯</w:t>
            </w:r>
          </w:p>
        </w:tc>
        <w:tc>
          <w:tcPr>
            <w:tcW w:w="1594" w:type="dxa"/>
            <w:vAlign w:val="center"/>
          </w:tcPr>
          <w:p w14:paraId="73DC0DE5">
            <w:pPr>
              <w:jc w:val="center"/>
              <w:rPr>
                <w:color w:val="000000" w:themeColor="text1"/>
                <w:sz w:val="24"/>
                <w:szCs w:val="24"/>
                <w14:textFill>
                  <w14:solidFill>
                    <w14:schemeClr w14:val="tx1"/>
                  </w14:solidFill>
                </w14:textFill>
              </w:rPr>
            </w:pPr>
          </w:p>
        </w:tc>
        <w:tc>
          <w:tcPr>
            <w:tcW w:w="1739" w:type="dxa"/>
            <w:vAlign w:val="center"/>
          </w:tcPr>
          <w:p w14:paraId="37C07FBD">
            <w:pPr>
              <w:jc w:val="center"/>
              <w:rPr>
                <w:color w:val="000000" w:themeColor="text1"/>
                <w:sz w:val="24"/>
                <w:szCs w:val="24"/>
                <w14:textFill>
                  <w14:solidFill>
                    <w14:schemeClr w14:val="tx1"/>
                  </w14:solidFill>
                </w14:textFill>
              </w:rPr>
            </w:pPr>
          </w:p>
        </w:tc>
        <w:tc>
          <w:tcPr>
            <w:tcW w:w="1449" w:type="dxa"/>
            <w:vAlign w:val="center"/>
          </w:tcPr>
          <w:p w14:paraId="2B9AE8EE">
            <w:pPr>
              <w:jc w:val="center"/>
              <w:rPr>
                <w:color w:val="000000" w:themeColor="text1"/>
                <w:sz w:val="24"/>
                <w:szCs w:val="24"/>
                <w14:textFill>
                  <w14:solidFill>
                    <w14:schemeClr w14:val="tx1"/>
                  </w14:solidFill>
                </w14:textFill>
              </w:rPr>
            </w:pPr>
          </w:p>
        </w:tc>
        <w:tc>
          <w:tcPr>
            <w:tcW w:w="1884" w:type="dxa"/>
            <w:vAlign w:val="center"/>
          </w:tcPr>
          <w:p w14:paraId="1CD7B2AA">
            <w:pPr>
              <w:jc w:val="center"/>
              <w:rPr>
                <w:color w:val="000000" w:themeColor="text1"/>
                <w:sz w:val="24"/>
                <w:szCs w:val="24"/>
                <w14:textFill>
                  <w14:solidFill>
                    <w14:schemeClr w14:val="tx1"/>
                  </w14:solidFill>
                </w14:textFill>
              </w:rPr>
            </w:pPr>
          </w:p>
        </w:tc>
      </w:tr>
      <w:tr w14:paraId="375B3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51" w:type="dxa"/>
            <w:vAlign w:val="center"/>
          </w:tcPr>
          <w:p w14:paraId="0CA9D8FA">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w:t>
            </w:r>
          </w:p>
        </w:tc>
        <w:tc>
          <w:tcPr>
            <w:tcW w:w="1968" w:type="dxa"/>
            <w:vAlign w:val="center"/>
          </w:tcPr>
          <w:p w14:paraId="7EDB173E">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绿篱机</w:t>
            </w:r>
          </w:p>
        </w:tc>
        <w:tc>
          <w:tcPr>
            <w:tcW w:w="1594" w:type="dxa"/>
            <w:vAlign w:val="center"/>
          </w:tcPr>
          <w:p w14:paraId="1F4AB668">
            <w:pPr>
              <w:jc w:val="center"/>
              <w:rPr>
                <w:color w:val="000000" w:themeColor="text1"/>
                <w:sz w:val="24"/>
                <w:szCs w:val="24"/>
                <w14:textFill>
                  <w14:solidFill>
                    <w14:schemeClr w14:val="tx1"/>
                  </w14:solidFill>
                </w14:textFill>
              </w:rPr>
            </w:pPr>
          </w:p>
        </w:tc>
        <w:tc>
          <w:tcPr>
            <w:tcW w:w="1739" w:type="dxa"/>
            <w:vAlign w:val="center"/>
          </w:tcPr>
          <w:p w14:paraId="40573ED6">
            <w:pPr>
              <w:jc w:val="center"/>
              <w:rPr>
                <w:color w:val="000000" w:themeColor="text1"/>
                <w:sz w:val="24"/>
                <w:szCs w:val="24"/>
                <w14:textFill>
                  <w14:solidFill>
                    <w14:schemeClr w14:val="tx1"/>
                  </w14:solidFill>
                </w14:textFill>
              </w:rPr>
            </w:pPr>
          </w:p>
        </w:tc>
        <w:tc>
          <w:tcPr>
            <w:tcW w:w="1449" w:type="dxa"/>
            <w:vAlign w:val="center"/>
          </w:tcPr>
          <w:p w14:paraId="7872E7BF">
            <w:pPr>
              <w:jc w:val="center"/>
              <w:rPr>
                <w:color w:val="000000" w:themeColor="text1"/>
                <w:sz w:val="24"/>
                <w:szCs w:val="24"/>
                <w14:textFill>
                  <w14:solidFill>
                    <w14:schemeClr w14:val="tx1"/>
                  </w14:solidFill>
                </w14:textFill>
              </w:rPr>
            </w:pPr>
          </w:p>
        </w:tc>
        <w:tc>
          <w:tcPr>
            <w:tcW w:w="1884" w:type="dxa"/>
            <w:vAlign w:val="center"/>
          </w:tcPr>
          <w:p w14:paraId="511ADE7B">
            <w:pPr>
              <w:jc w:val="center"/>
              <w:rPr>
                <w:color w:val="000000" w:themeColor="text1"/>
                <w:sz w:val="24"/>
                <w:szCs w:val="24"/>
                <w14:textFill>
                  <w14:solidFill>
                    <w14:schemeClr w14:val="tx1"/>
                  </w14:solidFill>
                </w14:textFill>
              </w:rPr>
            </w:pPr>
          </w:p>
        </w:tc>
      </w:tr>
      <w:tr w14:paraId="0DBCF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51" w:type="dxa"/>
            <w:vAlign w:val="center"/>
          </w:tcPr>
          <w:p w14:paraId="777C0FCC">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5</w:t>
            </w:r>
          </w:p>
        </w:tc>
        <w:tc>
          <w:tcPr>
            <w:tcW w:w="1968" w:type="dxa"/>
            <w:vAlign w:val="center"/>
          </w:tcPr>
          <w:p w14:paraId="73202384">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水泵</w:t>
            </w:r>
          </w:p>
        </w:tc>
        <w:tc>
          <w:tcPr>
            <w:tcW w:w="1594" w:type="dxa"/>
            <w:vAlign w:val="center"/>
          </w:tcPr>
          <w:p w14:paraId="2A541361">
            <w:pPr>
              <w:jc w:val="center"/>
              <w:rPr>
                <w:color w:val="000000" w:themeColor="text1"/>
                <w:sz w:val="24"/>
                <w:szCs w:val="24"/>
                <w14:textFill>
                  <w14:solidFill>
                    <w14:schemeClr w14:val="tx1"/>
                  </w14:solidFill>
                </w14:textFill>
              </w:rPr>
            </w:pPr>
          </w:p>
        </w:tc>
        <w:tc>
          <w:tcPr>
            <w:tcW w:w="1739" w:type="dxa"/>
            <w:vAlign w:val="center"/>
          </w:tcPr>
          <w:p w14:paraId="4CA189E4">
            <w:pPr>
              <w:jc w:val="center"/>
              <w:rPr>
                <w:color w:val="000000" w:themeColor="text1"/>
                <w:sz w:val="24"/>
                <w:szCs w:val="24"/>
                <w14:textFill>
                  <w14:solidFill>
                    <w14:schemeClr w14:val="tx1"/>
                  </w14:solidFill>
                </w14:textFill>
              </w:rPr>
            </w:pPr>
          </w:p>
        </w:tc>
        <w:tc>
          <w:tcPr>
            <w:tcW w:w="1449" w:type="dxa"/>
            <w:vAlign w:val="center"/>
          </w:tcPr>
          <w:p w14:paraId="63AC1CB1">
            <w:pPr>
              <w:jc w:val="center"/>
              <w:rPr>
                <w:color w:val="000000" w:themeColor="text1"/>
                <w:sz w:val="24"/>
                <w:szCs w:val="24"/>
                <w14:textFill>
                  <w14:solidFill>
                    <w14:schemeClr w14:val="tx1"/>
                  </w14:solidFill>
                </w14:textFill>
              </w:rPr>
            </w:pPr>
          </w:p>
        </w:tc>
        <w:tc>
          <w:tcPr>
            <w:tcW w:w="1884" w:type="dxa"/>
            <w:vAlign w:val="center"/>
          </w:tcPr>
          <w:p w14:paraId="719DA16F">
            <w:pPr>
              <w:jc w:val="center"/>
              <w:rPr>
                <w:color w:val="000000" w:themeColor="text1"/>
                <w:sz w:val="24"/>
                <w:szCs w:val="24"/>
                <w14:textFill>
                  <w14:solidFill>
                    <w14:schemeClr w14:val="tx1"/>
                  </w14:solidFill>
                </w14:textFill>
              </w:rPr>
            </w:pPr>
          </w:p>
        </w:tc>
      </w:tr>
      <w:tr w14:paraId="16AC6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51" w:type="dxa"/>
            <w:vAlign w:val="center"/>
          </w:tcPr>
          <w:p w14:paraId="04190C4D">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6</w:t>
            </w:r>
          </w:p>
        </w:tc>
        <w:tc>
          <w:tcPr>
            <w:tcW w:w="1968" w:type="dxa"/>
            <w:vAlign w:val="center"/>
          </w:tcPr>
          <w:p w14:paraId="085BFE6E">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药水机</w:t>
            </w:r>
          </w:p>
        </w:tc>
        <w:tc>
          <w:tcPr>
            <w:tcW w:w="1594" w:type="dxa"/>
            <w:vAlign w:val="center"/>
          </w:tcPr>
          <w:p w14:paraId="01A014A2">
            <w:pPr>
              <w:jc w:val="center"/>
              <w:rPr>
                <w:color w:val="000000" w:themeColor="text1"/>
                <w:sz w:val="24"/>
                <w:szCs w:val="24"/>
                <w14:textFill>
                  <w14:solidFill>
                    <w14:schemeClr w14:val="tx1"/>
                  </w14:solidFill>
                </w14:textFill>
              </w:rPr>
            </w:pPr>
          </w:p>
        </w:tc>
        <w:tc>
          <w:tcPr>
            <w:tcW w:w="1739" w:type="dxa"/>
            <w:vAlign w:val="center"/>
          </w:tcPr>
          <w:p w14:paraId="2D60ACD0">
            <w:pPr>
              <w:jc w:val="center"/>
              <w:rPr>
                <w:color w:val="000000" w:themeColor="text1"/>
                <w:sz w:val="24"/>
                <w:szCs w:val="24"/>
                <w14:textFill>
                  <w14:solidFill>
                    <w14:schemeClr w14:val="tx1"/>
                  </w14:solidFill>
                </w14:textFill>
              </w:rPr>
            </w:pPr>
          </w:p>
        </w:tc>
        <w:tc>
          <w:tcPr>
            <w:tcW w:w="1449" w:type="dxa"/>
            <w:vAlign w:val="center"/>
          </w:tcPr>
          <w:p w14:paraId="74B9620A">
            <w:pPr>
              <w:jc w:val="center"/>
              <w:rPr>
                <w:color w:val="000000" w:themeColor="text1"/>
                <w:sz w:val="24"/>
                <w:szCs w:val="24"/>
                <w14:textFill>
                  <w14:solidFill>
                    <w14:schemeClr w14:val="tx1"/>
                  </w14:solidFill>
                </w14:textFill>
              </w:rPr>
            </w:pPr>
          </w:p>
        </w:tc>
        <w:tc>
          <w:tcPr>
            <w:tcW w:w="1884" w:type="dxa"/>
            <w:vAlign w:val="center"/>
          </w:tcPr>
          <w:p w14:paraId="0FB3C555">
            <w:pPr>
              <w:jc w:val="center"/>
              <w:rPr>
                <w:color w:val="000000" w:themeColor="text1"/>
                <w:sz w:val="24"/>
                <w:szCs w:val="24"/>
                <w14:textFill>
                  <w14:solidFill>
                    <w14:schemeClr w14:val="tx1"/>
                  </w14:solidFill>
                </w14:textFill>
              </w:rPr>
            </w:pPr>
          </w:p>
        </w:tc>
      </w:tr>
      <w:tr w14:paraId="7023B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51" w:type="dxa"/>
            <w:vAlign w:val="center"/>
          </w:tcPr>
          <w:p w14:paraId="1451C080">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7</w:t>
            </w:r>
          </w:p>
        </w:tc>
        <w:tc>
          <w:tcPr>
            <w:tcW w:w="1968" w:type="dxa"/>
            <w:vAlign w:val="center"/>
          </w:tcPr>
          <w:p w14:paraId="5AE59FA7">
            <w:pPr>
              <w:spacing w:line="360" w:lineRule="exact"/>
              <w:jc w:val="center"/>
              <w:rPr>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粉碎机</w:t>
            </w:r>
          </w:p>
        </w:tc>
        <w:tc>
          <w:tcPr>
            <w:tcW w:w="1594" w:type="dxa"/>
            <w:vAlign w:val="center"/>
          </w:tcPr>
          <w:p w14:paraId="3F2CDCB9">
            <w:pPr>
              <w:jc w:val="center"/>
              <w:rPr>
                <w:color w:val="000000" w:themeColor="text1"/>
                <w:sz w:val="24"/>
                <w:szCs w:val="24"/>
                <w14:textFill>
                  <w14:solidFill>
                    <w14:schemeClr w14:val="tx1"/>
                  </w14:solidFill>
                </w14:textFill>
              </w:rPr>
            </w:pPr>
          </w:p>
        </w:tc>
        <w:tc>
          <w:tcPr>
            <w:tcW w:w="1739" w:type="dxa"/>
            <w:vAlign w:val="center"/>
          </w:tcPr>
          <w:p w14:paraId="44CCA672">
            <w:pPr>
              <w:jc w:val="center"/>
              <w:rPr>
                <w:color w:val="000000" w:themeColor="text1"/>
                <w:sz w:val="24"/>
                <w:szCs w:val="24"/>
                <w14:textFill>
                  <w14:solidFill>
                    <w14:schemeClr w14:val="tx1"/>
                  </w14:solidFill>
                </w14:textFill>
              </w:rPr>
            </w:pPr>
          </w:p>
        </w:tc>
        <w:tc>
          <w:tcPr>
            <w:tcW w:w="1449" w:type="dxa"/>
            <w:vAlign w:val="center"/>
          </w:tcPr>
          <w:p w14:paraId="36A4375D">
            <w:pPr>
              <w:jc w:val="center"/>
              <w:rPr>
                <w:color w:val="000000" w:themeColor="text1"/>
                <w:sz w:val="24"/>
                <w:szCs w:val="24"/>
                <w14:textFill>
                  <w14:solidFill>
                    <w14:schemeClr w14:val="tx1"/>
                  </w14:solidFill>
                </w14:textFill>
              </w:rPr>
            </w:pPr>
          </w:p>
        </w:tc>
        <w:tc>
          <w:tcPr>
            <w:tcW w:w="1884" w:type="dxa"/>
            <w:vAlign w:val="center"/>
          </w:tcPr>
          <w:p w14:paraId="12A362DC">
            <w:pPr>
              <w:jc w:val="center"/>
              <w:rPr>
                <w:color w:val="000000" w:themeColor="text1"/>
                <w:sz w:val="24"/>
                <w:szCs w:val="24"/>
                <w14:textFill>
                  <w14:solidFill>
                    <w14:schemeClr w14:val="tx1"/>
                  </w14:solidFill>
                </w14:textFill>
              </w:rPr>
            </w:pPr>
          </w:p>
        </w:tc>
      </w:tr>
      <w:tr w14:paraId="4EB4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51" w:type="dxa"/>
            <w:vAlign w:val="center"/>
          </w:tcPr>
          <w:p w14:paraId="6CAFA74A">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8</w:t>
            </w:r>
          </w:p>
        </w:tc>
        <w:tc>
          <w:tcPr>
            <w:tcW w:w="1968" w:type="dxa"/>
            <w:vAlign w:val="center"/>
          </w:tcPr>
          <w:p w14:paraId="38599CB5">
            <w:pPr>
              <w:spacing w:line="360" w:lineRule="exact"/>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喷雾机/喷雾器</w:t>
            </w:r>
          </w:p>
        </w:tc>
        <w:tc>
          <w:tcPr>
            <w:tcW w:w="1594" w:type="dxa"/>
            <w:vAlign w:val="center"/>
          </w:tcPr>
          <w:p w14:paraId="240084BA">
            <w:pPr>
              <w:jc w:val="center"/>
              <w:rPr>
                <w:color w:val="000000" w:themeColor="text1"/>
                <w:sz w:val="24"/>
                <w:szCs w:val="24"/>
                <w14:textFill>
                  <w14:solidFill>
                    <w14:schemeClr w14:val="tx1"/>
                  </w14:solidFill>
                </w14:textFill>
              </w:rPr>
            </w:pPr>
          </w:p>
        </w:tc>
        <w:tc>
          <w:tcPr>
            <w:tcW w:w="1739" w:type="dxa"/>
            <w:vAlign w:val="center"/>
          </w:tcPr>
          <w:p w14:paraId="2318D4BD">
            <w:pPr>
              <w:jc w:val="center"/>
              <w:rPr>
                <w:color w:val="000000" w:themeColor="text1"/>
                <w:sz w:val="24"/>
                <w:szCs w:val="24"/>
                <w14:textFill>
                  <w14:solidFill>
                    <w14:schemeClr w14:val="tx1"/>
                  </w14:solidFill>
                </w14:textFill>
              </w:rPr>
            </w:pPr>
          </w:p>
        </w:tc>
        <w:tc>
          <w:tcPr>
            <w:tcW w:w="1449" w:type="dxa"/>
            <w:vAlign w:val="center"/>
          </w:tcPr>
          <w:p w14:paraId="78F82F77">
            <w:pPr>
              <w:jc w:val="center"/>
              <w:rPr>
                <w:color w:val="000000" w:themeColor="text1"/>
                <w:sz w:val="24"/>
                <w:szCs w:val="24"/>
                <w14:textFill>
                  <w14:solidFill>
                    <w14:schemeClr w14:val="tx1"/>
                  </w14:solidFill>
                </w14:textFill>
              </w:rPr>
            </w:pPr>
          </w:p>
        </w:tc>
        <w:tc>
          <w:tcPr>
            <w:tcW w:w="1884" w:type="dxa"/>
            <w:vAlign w:val="center"/>
          </w:tcPr>
          <w:p w14:paraId="6A3EEBA9">
            <w:pPr>
              <w:jc w:val="center"/>
              <w:rPr>
                <w:color w:val="000000" w:themeColor="text1"/>
                <w:sz w:val="24"/>
                <w:szCs w:val="24"/>
                <w14:textFill>
                  <w14:solidFill>
                    <w14:schemeClr w14:val="tx1"/>
                  </w14:solidFill>
                </w14:textFill>
              </w:rPr>
            </w:pPr>
          </w:p>
        </w:tc>
      </w:tr>
    </w:tbl>
    <w:p w14:paraId="6353CFE4">
      <w:pPr>
        <w:spacing w:line="440" w:lineRule="exact"/>
        <w:ind w:firstLine="120" w:firstLineChars="5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注：1、上述设备</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草坪机、割灌机、油锯、绿篱机、水泵、药水机</w:t>
      </w:r>
      <w:r>
        <w:rPr>
          <w:rFonts w:hint="eastAsia"/>
          <w:color w:val="000000" w:themeColor="text1"/>
          <w:sz w:val="24"/>
          <w:szCs w:val="24"/>
          <w14:textFill>
            <w14:solidFill>
              <w14:schemeClr w14:val="tx1"/>
            </w14:solidFill>
          </w14:textFill>
        </w:rPr>
        <w:t>、粉碎机</w:t>
      </w:r>
      <w:r>
        <w:rPr>
          <w:rFonts w:hint="eastAsia" w:ascii="宋体" w:hAnsi="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喷雾机/喷雾器</w:t>
      </w:r>
      <w:r>
        <w:rPr>
          <w:rFonts w:hint="eastAsia"/>
          <w:color w:val="000000" w:themeColor="text1"/>
          <w:sz w:val="24"/>
          <w:szCs w:val="24"/>
          <w14:textFill>
            <w14:solidFill>
              <w14:schemeClr w14:val="tx1"/>
            </w14:solidFill>
          </w14:textFill>
        </w:rPr>
        <w:t>）是指</w:t>
      </w:r>
      <w:r>
        <w:rPr>
          <w:color w:val="000000" w:themeColor="text1"/>
          <w:sz w:val="24"/>
          <w:szCs w:val="24"/>
          <w14:textFill>
            <w14:solidFill>
              <w14:schemeClr w14:val="tx1"/>
            </w14:solidFill>
          </w14:textFill>
        </w:rPr>
        <w:t>使用汽油或柴油为动力的机械。</w:t>
      </w:r>
    </w:p>
    <w:p w14:paraId="4F29C75A">
      <w:pPr>
        <w:spacing w:line="440" w:lineRule="exact"/>
        <w:ind w:firstLine="602" w:firstLineChars="250"/>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2、</w:t>
      </w:r>
      <w:r>
        <w:rPr>
          <w:rFonts w:hint="eastAsia"/>
          <w:b/>
          <w:bCs/>
          <w:color w:val="000000" w:themeColor="text1"/>
          <w:sz w:val="24"/>
          <w:szCs w:val="24"/>
          <w14:textFill>
            <w14:solidFill>
              <w14:schemeClr w14:val="tx1"/>
            </w14:solidFill>
          </w14:textFill>
        </w:rPr>
        <w:t>提供上述设备购置发票扫描件，</w:t>
      </w:r>
      <w:r>
        <w:rPr>
          <w:b/>
          <w:bCs/>
          <w:color w:val="000000" w:themeColor="text1"/>
          <w:sz w:val="24"/>
          <w:szCs w:val="24"/>
          <w14:textFill>
            <w14:solidFill>
              <w14:schemeClr w14:val="tx1"/>
            </w14:solidFill>
          </w14:textFill>
        </w:rPr>
        <w:t>发票</w:t>
      </w:r>
      <w:r>
        <w:rPr>
          <w:rFonts w:hint="eastAsia"/>
          <w:b/>
          <w:bCs/>
          <w:color w:val="000000" w:themeColor="text1"/>
          <w:sz w:val="24"/>
          <w:szCs w:val="24"/>
          <w14:textFill>
            <w14:solidFill>
              <w14:schemeClr w14:val="tx1"/>
            </w14:solidFill>
          </w14:textFill>
        </w:rPr>
        <w:t>中</w:t>
      </w:r>
      <w:r>
        <w:rPr>
          <w:b/>
          <w:bCs/>
          <w:color w:val="000000" w:themeColor="text1"/>
          <w:sz w:val="24"/>
          <w:szCs w:val="24"/>
          <w14:textFill>
            <w14:solidFill>
              <w14:schemeClr w14:val="tx1"/>
            </w14:solidFill>
          </w14:textFill>
        </w:rPr>
        <w:t>购货单位应为</w:t>
      </w:r>
      <w:r>
        <w:rPr>
          <w:rFonts w:hint="eastAsia"/>
          <w:b/>
          <w:bCs/>
          <w:color w:val="000000" w:themeColor="text1"/>
          <w:sz w:val="24"/>
          <w:szCs w:val="24"/>
          <w14:textFill>
            <w14:solidFill>
              <w14:schemeClr w14:val="tx1"/>
            </w14:solidFill>
          </w14:textFill>
        </w:rPr>
        <w:t>投标人。</w:t>
      </w:r>
    </w:p>
    <w:p w14:paraId="362DA94C">
      <w:pP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p>
    <w:p w14:paraId="3FC168E8">
      <w:pPr>
        <w:pStyle w:val="3"/>
        <w:spacing w:line="440" w:lineRule="exact"/>
        <w:jc w:val="center"/>
        <w:rPr>
          <w:rFonts w:ascii="Times New Roman" w:hAnsi="Times New Roman" w:eastAsia="宋体" w:cs="Times New Roman"/>
          <w:b/>
          <w:bCs/>
          <w:color w:val="000000" w:themeColor="text1"/>
          <w:sz w:val="28"/>
          <w:szCs w:val="28"/>
          <w14:textFill>
            <w14:solidFill>
              <w14:schemeClr w14:val="tx1"/>
            </w14:solidFill>
          </w14:textFill>
        </w:rPr>
      </w:pPr>
      <w:bookmarkStart w:id="225" w:name="_Toc5337"/>
      <w:r>
        <w:rPr>
          <w:rFonts w:hint="eastAsia" w:ascii="Times New Roman" w:hAnsi="Times New Roman" w:eastAsia="宋体" w:cs="Times New Roman"/>
          <w:b/>
          <w:bCs/>
          <w:color w:val="000000" w:themeColor="text1"/>
          <w:sz w:val="28"/>
          <w:szCs w:val="28"/>
          <w14:textFill>
            <w14:solidFill>
              <w14:schemeClr w14:val="tx1"/>
            </w14:solidFill>
          </w14:textFill>
        </w:rPr>
        <w:t>附件8 业绩一览表</w:t>
      </w:r>
      <w:bookmarkEnd w:id="225"/>
    </w:p>
    <w:tbl>
      <w:tblPr>
        <w:tblStyle w:val="39"/>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1818"/>
        <w:gridCol w:w="1405"/>
        <w:gridCol w:w="1649"/>
        <w:gridCol w:w="1763"/>
        <w:gridCol w:w="1134"/>
      </w:tblGrid>
      <w:tr w14:paraId="6978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787" w:type="dxa"/>
            <w:vAlign w:val="center"/>
          </w:tcPr>
          <w:p w14:paraId="285F0782">
            <w:pPr>
              <w:pStyle w:val="14"/>
              <w:overflowPunct w:val="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序号</w:t>
            </w:r>
          </w:p>
        </w:tc>
        <w:tc>
          <w:tcPr>
            <w:tcW w:w="1818" w:type="dxa"/>
            <w:vAlign w:val="center"/>
          </w:tcPr>
          <w:p w14:paraId="5FEF5C14">
            <w:pPr>
              <w:pStyle w:val="14"/>
              <w:overflowPunct w:val="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项目名称</w:t>
            </w:r>
          </w:p>
        </w:tc>
        <w:tc>
          <w:tcPr>
            <w:tcW w:w="1405" w:type="dxa"/>
            <w:vAlign w:val="center"/>
          </w:tcPr>
          <w:p w14:paraId="64139F8E">
            <w:pPr>
              <w:pStyle w:val="14"/>
              <w:overflowPunct w:val="0"/>
              <w:jc w:val="center"/>
              <w:rPr>
                <w:rFonts w:ascii="Times New Roman" w:hAnsi="Times New Roman" w:eastAsia="宋体"/>
                <w:b/>
                <w:bCs/>
                <w:color w:val="000000" w:themeColor="text1"/>
                <w:sz w:val="24"/>
                <w14:textFill>
                  <w14:solidFill>
                    <w14:schemeClr w14:val="tx1"/>
                  </w14:solidFill>
                </w14:textFill>
              </w:rPr>
            </w:pPr>
            <w:r>
              <w:rPr>
                <w:rFonts w:hint="eastAsia" w:ascii="Times New Roman" w:hAnsi="Times New Roman" w:eastAsia="宋体"/>
                <w:b/>
                <w:bCs/>
                <w:color w:val="000000" w:themeColor="text1"/>
                <w:sz w:val="24"/>
                <w14:textFill>
                  <w14:solidFill>
                    <w14:schemeClr w14:val="tx1"/>
                  </w14:solidFill>
                </w14:textFill>
              </w:rPr>
              <w:t>项目地址</w:t>
            </w:r>
          </w:p>
        </w:tc>
        <w:tc>
          <w:tcPr>
            <w:tcW w:w="1649" w:type="dxa"/>
            <w:vAlign w:val="center"/>
          </w:tcPr>
          <w:p w14:paraId="4FFC7147">
            <w:pPr>
              <w:pStyle w:val="14"/>
              <w:overflowPunct w:val="0"/>
              <w:jc w:val="center"/>
              <w:rPr>
                <w:rFonts w:ascii="Times New Roman" w:hAnsi="Times New Roman" w:eastAsia="宋体"/>
                <w:b/>
                <w:bCs/>
                <w:color w:val="000000" w:themeColor="text1"/>
                <w:sz w:val="24"/>
                <w14:textFill>
                  <w14:solidFill>
                    <w14:schemeClr w14:val="tx1"/>
                  </w14:solidFill>
                </w14:textFill>
              </w:rPr>
            </w:pPr>
            <w:r>
              <w:rPr>
                <w:rFonts w:hint="eastAsia" w:ascii="Times New Roman" w:hAnsi="Times New Roman" w:eastAsia="宋体"/>
                <w:b/>
                <w:bCs/>
                <w:color w:val="000000" w:themeColor="text1"/>
                <w:sz w:val="24"/>
                <w14:textFill>
                  <w14:solidFill>
                    <w14:schemeClr w14:val="tx1"/>
                  </w14:solidFill>
                </w14:textFill>
              </w:rPr>
              <w:t>完成</w:t>
            </w:r>
            <w:r>
              <w:rPr>
                <w:rFonts w:ascii="Times New Roman" w:hAnsi="Times New Roman" w:eastAsia="宋体"/>
                <w:b/>
                <w:bCs/>
                <w:color w:val="000000" w:themeColor="text1"/>
                <w:sz w:val="24"/>
                <w14:textFill>
                  <w14:solidFill>
                    <w14:schemeClr w14:val="tx1"/>
                  </w14:solidFill>
                </w14:textFill>
              </w:rPr>
              <w:t>时间</w:t>
            </w:r>
          </w:p>
        </w:tc>
        <w:tc>
          <w:tcPr>
            <w:tcW w:w="1763" w:type="dxa"/>
            <w:vAlign w:val="center"/>
          </w:tcPr>
          <w:p w14:paraId="0E37D4E7">
            <w:pPr>
              <w:pStyle w:val="14"/>
              <w:overflowPunct w:val="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业主联系人及联系电话</w:t>
            </w:r>
          </w:p>
        </w:tc>
        <w:tc>
          <w:tcPr>
            <w:tcW w:w="1134" w:type="dxa"/>
            <w:vAlign w:val="center"/>
          </w:tcPr>
          <w:p w14:paraId="72398733">
            <w:pPr>
              <w:pStyle w:val="14"/>
              <w:overflowPunct w:val="0"/>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备  注</w:t>
            </w:r>
          </w:p>
        </w:tc>
      </w:tr>
      <w:tr w14:paraId="1778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556" w:type="dxa"/>
            <w:gridSpan w:val="6"/>
            <w:vAlign w:val="center"/>
          </w:tcPr>
          <w:p w14:paraId="25428142">
            <w:pPr>
              <w:pStyle w:val="14"/>
              <w:overflowPunct w:val="0"/>
              <w:jc w:val="left"/>
              <w:rPr>
                <w:rFonts w:ascii="宋体" w:hAnsi="宋体" w:eastAsia="宋体"/>
                <w:b/>
                <w:bCs/>
                <w:color w:val="000000" w:themeColor="text1"/>
                <w:sz w:val="24"/>
                <w14:textFill>
                  <w14:solidFill>
                    <w14:schemeClr w14:val="tx1"/>
                  </w14:solidFill>
                </w14:textFill>
              </w:rPr>
            </w:pPr>
            <w:r>
              <w:rPr>
                <w:rFonts w:hint="eastAsia" w:ascii="宋体" w:hAnsi="宋体" w:eastAsia="宋体"/>
                <w:b/>
                <w:bCs/>
                <w:color w:val="000000" w:themeColor="text1"/>
                <w:sz w:val="24"/>
                <w14:textFill>
                  <w14:solidFill>
                    <w14:schemeClr w14:val="tx1"/>
                  </w14:solidFill>
                </w14:textFill>
              </w:rPr>
              <w:t>绿化养护</w:t>
            </w:r>
            <w:r>
              <w:rPr>
                <w:rFonts w:ascii="宋体" w:hAnsi="宋体" w:eastAsia="宋体"/>
                <w:b/>
                <w:bCs/>
                <w:color w:val="000000" w:themeColor="text1"/>
                <w:sz w:val="24"/>
                <w14:textFill>
                  <w14:solidFill>
                    <w14:schemeClr w14:val="tx1"/>
                  </w14:solidFill>
                </w14:textFill>
              </w:rPr>
              <w:t>服务</w:t>
            </w:r>
            <w:r>
              <w:rPr>
                <w:rFonts w:hint="eastAsia" w:ascii="宋体" w:hAnsi="宋体" w:eastAsia="宋体"/>
                <w:b/>
                <w:bCs/>
                <w:color w:val="000000" w:themeColor="text1"/>
                <w:sz w:val="24"/>
                <w:szCs w:val="24"/>
                <w:lang w:val="zh-CN"/>
                <w14:textFill>
                  <w14:solidFill>
                    <w14:schemeClr w14:val="tx1"/>
                  </w14:solidFill>
                </w14:textFill>
              </w:rPr>
              <w:t>项目</w:t>
            </w:r>
            <w:r>
              <w:rPr>
                <w:rFonts w:ascii="宋体" w:hAnsi="宋体" w:eastAsia="宋体"/>
                <w:b/>
                <w:bCs/>
                <w:color w:val="000000" w:themeColor="text1"/>
                <w:sz w:val="24"/>
                <w:szCs w:val="24"/>
                <w:lang w:val="zh-CN"/>
                <w14:textFill>
                  <w14:solidFill>
                    <w14:schemeClr w14:val="tx1"/>
                  </w14:solidFill>
                </w14:textFill>
              </w:rPr>
              <w:t>业绩</w:t>
            </w:r>
          </w:p>
        </w:tc>
      </w:tr>
      <w:tr w14:paraId="7DDC2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787" w:type="dxa"/>
            <w:vAlign w:val="center"/>
          </w:tcPr>
          <w:p w14:paraId="14A80E6E">
            <w:pPr>
              <w:pStyle w:val="14"/>
              <w:overflowPunct w:val="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1</w:t>
            </w:r>
          </w:p>
        </w:tc>
        <w:tc>
          <w:tcPr>
            <w:tcW w:w="1818" w:type="dxa"/>
            <w:vAlign w:val="center"/>
          </w:tcPr>
          <w:p w14:paraId="62C8E4BD">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405" w:type="dxa"/>
            <w:vAlign w:val="center"/>
          </w:tcPr>
          <w:p w14:paraId="79D03775">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649" w:type="dxa"/>
            <w:vAlign w:val="center"/>
          </w:tcPr>
          <w:p w14:paraId="2441198E">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763" w:type="dxa"/>
            <w:vAlign w:val="center"/>
          </w:tcPr>
          <w:p w14:paraId="2983ABF2">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134" w:type="dxa"/>
            <w:vAlign w:val="center"/>
          </w:tcPr>
          <w:p w14:paraId="6EF55DEB">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01054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787" w:type="dxa"/>
            <w:vAlign w:val="center"/>
          </w:tcPr>
          <w:p w14:paraId="7F346E57">
            <w:pPr>
              <w:pStyle w:val="14"/>
              <w:overflowPunct w:val="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2</w:t>
            </w:r>
          </w:p>
        </w:tc>
        <w:tc>
          <w:tcPr>
            <w:tcW w:w="1818" w:type="dxa"/>
            <w:vAlign w:val="center"/>
          </w:tcPr>
          <w:p w14:paraId="17BADEBF">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405" w:type="dxa"/>
            <w:vAlign w:val="center"/>
          </w:tcPr>
          <w:p w14:paraId="424BE26B">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649" w:type="dxa"/>
            <w:vAlign w:val="center"/>
          </w:tcPr>
          <w:p w14:paraId="25D1E197">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763" w:type="dxa"/>
            <w:vAlign w:val="center"/>
          </w:tcPr>
          <w:p w14:paraId="62B78573">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134" w:type="dxa"/>
            <w:vAlign w:val="center"/>
          </w:tcPr>
          <w:p w14:paraId="3A85C359">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66BFC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787" w:type="dxa"/>
            <w:vAlign w:val="center"/>
          </w:tcPr>
          <w:p w14:paraId="0F74C8BE">
            <w:pPr>
              <w:pStyle w:val="14"/>
              <w:overflowPunct w:val="0"/>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3</w:t>
            </w:r>
          </w:p>
        </w:tc>
        <w:tc>
          <w:tcPr>
            <w:tcW w:w="1818" w:type="dxa"/>
            <w:vAlign w:val="center"/>
          </w:tcPr>
          <w:p w14:paraId="277E7348">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405" w:type="dxa"/>
            <w:vAlign w:val="center"/>
          </w:tcPr>
          <w:p w14:paraId="62397BFD">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649" w:type="dxa"/>
            <w:vAlign w:val="center"/>
          </w:tcPr>
          <w:p w14:paraId="4DB6E63B">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763" w:type="dxa"/>
            <w:vAlign w:val="center"/>
          </w:tcPr>
          <w:p w14:paraId="41375097">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134" w:type="dxa"/>
            <w:vAlign w:val="center"/>
          </w:tcPr>
          <w:p w14:paraId="5513F852">
            <w:pPr>
              <w:pStyle w:val="14"/>
              <w:overflowPunct w:val="0"/>
              <w:jc w:val="center"/>
              <w:rPr>
                <w:rFonts w:ascii="Times New Roman" w:hAnsi="Times New Roman" w:eastAsia="宋体"/>
                <w:color w:val="000000" w:themeColor="text1"/>
                <w:sz w:val="24"/>
                <w14:textFill>
                  <w14:solidFill>
                    <w14:schemeClr w14:val="tx1"/>
                  </w14:solidFill>
                </w14:textFill>
              </w:rPr>
            </w:pPr>
          </w:p>
        </w:tc>
      </w:tr>
      <w:tr w14:paraId="210E2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787" w:type="dxa"/>
            <w:vAlign w:val="center"/>
          </w:tcPr>
          <w:p w14:paraId="20794016">
            <w:pPr>
              <w:pStyle w:val="14"/>
              <w:overflowPunct w:val="0"/>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s="宋体"/>
                <w:color w:val="000000" w:themeColor="text1"/>
                <w:sz w:val="24"/>
                <w14:textFill>
                  <w14:solidFill>
                    <w14:schemeClr w14:val="tx1"/>
                  </w14:solidFill>
                </w14:textFill>
              </w:rPr>
              <w:t>…</w:t>
            </w:r>
          </w:p>
        </w:tc>
        <w:tc>
          <w:tcPr>
            <w:tcW w:w="1818" w:type="dxa"/>
            <w:vAlign w:val="center"/>
          </w:tcPr>
          <w:p w14:paraId="4D578060">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405" w:type="dxa"/>
            <w:vAlign w:val="center"/>
          </w:tcPr>
          <w:p w14:paraId="0B3D5B95">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649" w:type="dxa"/>
            <w:vAlign w:val="center"/>
          </w:tcPr>
          <w:p w14:paraId="50FCCCDB">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763" w:type="dxa"/>
            <w:vAlign w:val="center"/>
          </w:tcPr>
          <w:p w14:paraId="5FAFD660">
            <w:pPr>
              <w:pStyle w:val="14"/>
              <w:overflowPunct w:val="0"/>
              <w:jc w:val="center"/>
              <w:rPr>
                <w:rFonts w:ascii="Times New Roman" w:hAnsi="Times New Roman" w:eastAsia="宋体"/>
                <w:color w:val="000000" w:themeColor="text1"/>
                <w:sz w:val="24"/>
                <w14:textFill>
                  <w14:solidFill>
                    <w14:schemeClr w14:val="tx1"/>
                  </w14:solidFill>
                </w14:textFill>
              </w:rPr>
            </w:pPr>
          </w:p>
        </w:tc>
        <w:tc>
          <w:tcPr>
            <w:tcW w:w="1134" w:type="dxa"/>
            <w:vAlign w:val="center"/>
          </w:tcPr>
          <w:p w14:paraId="6025479C">
            <w:pPr>
              <w:pStyle w:val="14"/>
              <w:overflowPunct w:val="0"/>
              <w:jc w:val="center"/>
              <w:rPr>
                <w:rFonts w:ascii="Times New Roman" w:hAnsi="Times New Roman" w:eastAsia="宋体"/>
                <w:color w:val="000000" w:themeColor="text1"/>
                <w:sz w:val="24"/>
                <w14:textFill>
                  <w14:solidFill>
                    <w14:schemeClr w14:val="tx1"/>
                  </w14:solidFill>
                </w14:textFill>
              </w:rPr>
            </w:pPr>
          </w:p>
        </w:tc>
      </w:tr>
    </w:tbl>
    <w:p w14:paraId="06D76168">
      <w:pPr>
        <w:snapToGrid w:val="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注：1、上述业绩应为投标人2</w:t>
      </w:r>
      <w:r>
        <w:rPr>
          <w:rFonts w:ascii="宋体" w:hAnsi="宋体"/>
          <w:color w:val="000000" w:themeColor="text1"/>
          <w:sz w:val="24"/>
          <w:szCs w:val="24"/>
          <w14:textFill>
            <w14:solidFill>
              <w14:schemeClr w14:val="tx1"/>
            </w14:solidFill>
          </w14:textFill>
        </w:rPr>
        <w:t>0</w:t>
      </w:r>
      <w:r>
        <w:rPr>
          <w:rFonts w:hint="eastAsia" w:ascii="宋体" w:hAnsi="宋体"/>
          <w:color w:val="000000" w:themeColor="text1"/>
          <w:sz w:val="24"/>
          <w:szCs w:val="24"/>
          <w14:textFill>
            <w14:solidFill>
              <w14:schemeClr w14:val="tx1"/>
            </w14:solidFill>
          </w14:textFill>
        </w:rPr>
        <w:t>21年1月1日（以合同签订时间为准）至今实施的绿化养护服务项目业绩。</w:t>
      </w:r>
    </w:p>
    <w:p w14:paraId="5EE17D39">
      <w:pPr>
        <w:snapToGrid w:val="0"/>
        <w:spacing w:line="440" w:lineRule="exact"/>
        <w:ind w:firstLine="482" w:firstLineChars="20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2、上述业绩中具有河道堤防绿化养护服务项目业绩应在备注中说明。</w:t>
      </w:r>
    </w:p>
    <w:p w14:paraId="48774478">
      <w:pPr>
        <w:snapToGrid w:val="0"/>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3、请投标人提供上述表格中主要业绩的合同（合同首页、标的金额所在页、签字盖章页）等证明材料。</w:t>
      </w:r>
    </w:p>
    <w:p w14:paraId="259D36C7">
      <w:pPr>
        <w:snapToGrid w:val="0"/>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4、如有需要说明的事项，请在备注中列明。</w:t>
      </w:r>
    </w:p>
    <w:p w14:paraId="037780FE">
      <w:pPr>
        <w:spacing w:line="440" w:lineRule="exact"/>
        <w:ind w:firstLine="482"/>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5、我方在此声明，我方所提供的以上资料均真实和准确；我方保证上述信息的真实和准确，并愿意承担因我方就此弄虚作假所引起的一切法律后果。</w:t>
      </w:r>
    </w:p>
    <w:p w14:paraId="170743DB">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26" w:name="_Toc31284"/>
      <w:r>
        <w:rPr>
          <w:rFonts w:hint="eastAsia" w:ascii="Times New Roman" w:hAnsi="Times New Roman"/>
          <w:b/>
          <w:bCs/>
          <w:color w:val="000000" w:themeColor="text1"/>
          <w:sz w:val="28"/>
          <w:szCs w:val="28"/>
          <w14:textFill>
            <w14:solidFill>
              <w14:schemeClr w14:val="tx1"/>
            </w14:solidFill>
          </w14:textFill>
        </w:rPr>
        <w:t>附件9 商务要求响应及偏离表</w:t>
      </w:r>
      <w:bookmarkEnd w:id="226"/>
    </w:p>
    <w:tbl>
      <w:tblPr>
        <w:tblStyle w:val="39"/>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34"/>
        <w:gridCol w:w="2343"/>
        <w:gridCol w:w="3278"/>
      </w:tblGrid>
      <w:tr w14:paraId="65C4A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4"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79C46429">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合同条款</w:t>
            </w:r>
          </w:p>
        </w:tc>
        <w:tc>
          <w:tcPr>
            <w:tcW w:w="2343" w:type="dxa"/>
            <w:tcBorders>
              <w:top w:val="single" w:color="000000" w:sz="4" w:space="0"/>
              <w:left w:val="single" w:color="000000" w:sz="4" w:space="0"/>
              <w:bottom w:val="single" w:color="000000" w:sz="4" w:space="0"/>
              <w:right w:val="single" w:color="000000" w:sz="4" w:space="0"/>
            </w:tcBorders>
            <w:vAlign w:val="center"/>
          </w:tcPr>
          <w:p w14:paraId="07690E5A">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有无偏离</w:t>
            </w:r>
          </w:p>
        </w:tc>
        <w:tc>
          <w:tcPr>
            <w:tcW w:w="3278" w:type="dxa"/>
            <w:tcBorders>
              <w:top w:val="single" w:color="000000" w:sz="4" w:space="0"/>
              <w:left w:val="single" w:color="000000" w:sz="4" w:space="0"/>
              <w:bottom w:val="single" w:color="000000" w:sz="4" w:space="0"/>
              <w:right w:val="single" w:color="000000" w:sz="4" w:space="0"/>
            </w:tcBorders>
            <w:vAlign w:val="center"/>
          </w:tcPr>
          <w:p w14:paraId="62847442">
            <w:pPr>
              <w:jc w:val="center"/>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偏离内容及原因</w:t>
            </w:r>
          </w:p>
        </w:tc>
      </w:tr>
      <w:tr w14:paraId="1C942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602EBAC0">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第一条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定义</w:t>
            </w:r>
          </w:p>
        </w:tc>
        <w:tc>
          <w:tcPr>
            <w:tcW w:w="2343" w:type="dxa"/>
            <w:tcBorders>
              <w:top w:val="single" w:color="000000" w:sz="4" w:space="0"/>
              <w:left w:val="single" w:color="000000" w:sz="4" w:space="0"/>
              <w:bottom w:val="single" w:color="000000" w:sz="4" w:space="0"/>
              <w:right w:val="single" w:color="000000" w:sz="4" w:space="0"/>
            </w:tcBorders>
            <w:vAlign w:val="center"/>
          </w:tcPr>
          <w:p w14:paraId="3DCC4386">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6F707165">
            <w:pPr>
              <w:rPr>
                <w:color w:val="000000" w:themeColor="text1"/>
                <w:sz w:val="24"/>
                <w:szCs w:val="24"/>
                <w14:textFill>
                  <w14:solidFill>
                    <w14:schemeClr w14:val="tx1"/>
                  </w14:solidFill>
                </w14:textFill>
              </w:rPr>
            </w:pPr>
          </w:p>
        </w:tc>
      </w:tr>
      <w:tr w14:paraId="412E8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28FC9924">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第二条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组成本合同的文件</w:t>
            </w:r>
          </w:p>
        </w:tc>
        <w:tc>
          <w:tcPr>
            <w:tcW w:w="2343" w:type="dxa"/>
            <w:tcBorders>
              <w:top w:val="single" w:color="000000" w:sz="4" w:space="0"/>
              <w:left w:val="single" w:color="000000" w:sz="4" w:space="0"/>
              <w:bottom w:val="single" w:color="000000" w:sz="4" w:space="0"/>
              <w:right w:val="single" w:color="000000" w:sz="4" w:space="0"/>
            </w:tcBorders>
            <w:vAlign w:val="center"/>
          </w:tcPr>
          <w:p w14:paraId="1FA5318C">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6D9D9633">
            <w:pPr>
              <w:rPr>
                <w:color w:val="000000" w:themeColor="text1"/>
                <w:sz w:val="24"/>
                <w:szCs w:val="24"/>
                <w14:textFill>
                  <w14:solidFill>
                    <w14:schemeClr w14:val="tx1"/>
                  </w14:solidFill>
                </w14:textFill>
              </w:rPr>
            </w:pPr>
          </w:p>
        </w:tc>
      </w:tr>
      <w:tr w14:paraId="32C92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0C2A0168">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第三条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合同内容</w:t>
            </w:r>
          </w:p>
        </w:tc>
        <w:tc>
          <w:tcPr>
            <w:tcW w:w="2343" w:type="dxa"/>
            <w:tcBorders>
              <w:top w:val="single" w:color="000000" w:sz="4" w:space="0"/>
              <w:left w:val="single" w:color="000000" w:sz="4" w:space="0"/>
              <w:bottom w:val="single" w:color="000000" w:sz="4" w:space="0"/>
              <w:right w:val="single" w:color="000000" w:sz="4" w:space="0"/>
            </w:tcBorders>
            <w:vAlign w:val="center"/>
          </w:tcPr>
          <w:p w14:paraId="69C180D0">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429F1468">
            <w:pPr>
              <w:rPr>
                <w:color w:val="000000" w:themeColor="text1"/>
                <w:sz w:val="24"/>
                <w:szCs w:val="24"/>
                <w14:textFill>
                  <w14:solidFill>
                    <w14:schemeClr w14:val="tx1"/>
                  </w14:solidFill>
                </w14:textFill>
              </w:rPr>
            </w:pPr>
          </w:p>
        </w:tc>
      </w:tr>
      <w:tr w14:paraId="25F12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5608E22E">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第六条 考核办法</w:t>
            </w:r>
          </w:p>
        </w:tc>
        <w:tc>
          <w:tcPr>
            <w:tcW w:w="2343" w:type="dxa"/>
            <w:tcBorders>
              <w:top w:val="single" w:color="000000" w:sz="4" w:space="0"/>
              <w:left w:val="single" w:color="000000" w:sz="4" w:space="0"/>
              <w:bottom w:val="single" w:color="000000" w:sz="4" w:space="0"/>
              <w:right w:val="single" w:color="000000" w:sz="4" w:space="0"/>
            </w:tcBorders>
            <w:vAlign w:val="center"/>
          </w:tcPr>
          <w:p w14:paraId="7C42F019">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02F00552">
            <w:pPr>
              <w:rPr>
                <w:color w:val="000000" w:themeColor="text1"/>
                <w:sz w:val="24"/>
                <w:szCs w:val="24"/>
                <w14:textFill>
                  <w14:solidFill>
                    <w14:schemeClr w14:val="tx1"/>
                  </w14:solidFill>
                </w14:textFill>
              </w:rPr>
            </w:pPr>
          </w:p>
        </w:tc>
      </w:tr>
      <w:tr w14:paraId="4555A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42BC6D7A">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第七条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验收办法</w:t>
            </w:r>
          </w:p>
        </w:tc>
        <w:tc>
          <w:tcPr>
            <w:tcW w:w="2343" w:type="dxa"/>
            <w:tcBorders>
              <w:top w:val="single" w:color="000000" w:sz="4" w:space="0"/>
              <w:left w:val="single" w:color="000000" w:sz="4" w:space="0"/>
              <w:bottom w:val="single" w:color="000000" w:sz="4" w:space="0"/>
              <w:right w:val="single" w:color="000000" w:sz="4" w:space="0"/>
            </w:tcBorders>
            <w:vAlign w:val="center"/>
          </w:tcPr>
          <w:p w14:paraId="0C559A5B">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6CB049CB">
            <w:pPr>
              <w:rPr>
                <w:color w:val="000000" w:themeColor="text1"/>
                <w:sz w:val="24"/>
                <w:szCs w:val="24"/>
                <w14:textFill>
                  <w14:solidFill>
                    <w14:schemeClr w14:val="tx1"/>
                  </w14:solidFill>
                </w14:textFill>
              </w:rPr>
            </w:pPr>
          </w:p>
        </w:tc>
      </w:tr>
      <w:tr w14:paraId="39DD8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3E71C4FD">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第八条</w:t>
            </w:r>
            <w:r>
              <w:rPr>
                <w:rFonts w:hint="eastAsia"/>
                <w:color w:val="000000" w:themeColor="text1"/>
                <w:sz w:val="24"/>
                <w:szCs w:val="24"/>
                <w14:textFill>
                  <w14:solidFill>
                    <w14:schemeClr w14:val="tx1"/>
                  </w14:solidFill>
                </w14:textFill>
              </w:rPr>
              <w:t xml:space="preserve"> </w:t>
            </w:r>
            <w:r>
              <w:rPr>
                <w:rFonts w:cs="Calibri"/>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双方的其他权利义务</w:t>
            </w:r>
          </w:p>
        </w:tc>
        <w:tc>
          <w:tcPr>
            <w:tcW w:w="2343" w:type="dxa"/>
            <w:tcBorders>
              <w:top w:val="single" w:color="000000" w:sz="4" w:space="0"/>
              <w:left w:val="single" w:color="000000" w:sz="4" w:space="0"/>
              <w:bottom w:val="single" w:color="000000" w:sz="4" w:space="0"/>
              <w:right w:val="single" w:color="000000" w:sz="4" w:space="0"/>
            </w:tcBorders>
            <w:vAlign w:val="center"/>
          </w:tcPr>
          <w:p w14:paraId="351401DA">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03879965">
            <w:pPr>
              <w:rPr>
                <w:color w:val="000000" w:themeColor="text1"/>
                <w:sz w:val="24"/>
                <w:szCs w:val="24"/>
                <w14:textFill>
                  <w14:solidFill>
                    <w14:schemeClr w14:val="tx1"/>
                  </w14:solidFill>
                </w14:textFill>
              </w:rPr>
            </w:pPr>
          </w:p>
        </w:tc>
      </w:tr>
      <w:tr w14:paraId="569CE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006147F9">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第九条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质量保证</w:t>
            </w:r>
          </w:p>
        </w:tc>
        <w:tc>
          <w:tcPr>
            <w:tcW w:w="2343" w:type="dxa"/>
            <w:tcBorders>
              <w:top w:val="single" w:color="000000" w:sz="4" w:space="0"/>
              <w:left w:val="single" w:color="000000" w:sz="4" w:space="0"/>
              <w:bottom w:val="single" w:color="000000" w:sz="4" w:space="0"/>
              <w:right w:val="single" w:color="000000" w:sz="4" w:space="0"/>
            </w:tcBorders>
            <w:vAlign w:val="center"/>
          </w:tcPr>
          <w:p w14:paraId="72B10412">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3CE0BBE7">
            <w:pPr>
              <w:rPr>
                <w:color w:val="000000" w:themeColor="text1"/>
                <w:sz w:val="24"/>
                <w:szCs w:val="24"/>
                <w14:textFill>
                  <w14:solidFill>
                    <w14:schemeClr w14:val="tx1"/>
                  </w14:solidFill>
                </w14:textFill>
              </w:rPr>
            </w:pPr>
          </w:p>
        </w:tc>
      </w:tr>
      <w:tr w14:paraId="41C95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21442F04">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违约责任</w:t>
            </w:r>
          </w:p>
        </w:tc>
        <w:tc>
          <w:tcPr>
            <w:tcW w:w="2343" w:type="dxa"/>
            <w:tcBorders>
              <w:top w:val="single" w:color="000000" w:sz="4" w:space="0"/>
              <w:left w:val="single" w:color="000000" w:sz="4" w:space="0"/>
              <w:bottom w:val="single" w:color="000000" w:sz="4" w:space="0"/>
              <w:right w:val="single" w:color="000000" w:sz="4" w:space="0"/>
            </w:tcBorders>
            <w:vAlign w:val="center"/>
          </w:tcPr>
          <w:p w14:paraId="65340790">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332FBE27">
            <w:pPr>
              <w:rPr>
                <w:color w:val="000000" w:themeColor="text1"/>
                <w:sz w:val="24"/>
                <w:szCs w:val="24"/>
                <w14:textFill>
                  <w14:solidFill>
                    <w14:schemeClr w14:val="tx1"/>
                  </w14:solidFill>
                </w14:textFill>
              </w:rPr>
            </w:pPr>
          </w:p>
        </w:tc>
      </w:tr>
      <w:tr w14:paraId="54C65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19E31F7C">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第十一条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合同的解除</w:t>
            </w:r>
          </w:p>
        </w:tc>
        <w:tc>
          <w:tcPr>
            <w:tcW w:w="2343" w:type="dxa"/>
            <w:tcBorders>
              <w:top w:val="single" w:color="000000" w:sz="4" w:space="0"/>
              <w:left w:val="single" w:color="000000" w:sz="4" w:space="0"/>
              <w:bottom w:val="single" w:color="000000" w:sz="4" w:space="0"/>
              <w:right w:val="single" w:color="000000" w:sz="4" w:space="0"/>
            </w:tcBorders>
            <w:vAlign w:val="center"/>
          </w:tcPr>
          <w:p w14:paraId="3C4B86AC">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3C6E89D3">
            <w:pPr>
              <w:rPr>
                <w:color w:val="000000" w:themeColor="text1"/>
                <w:sz w:val="24"/>
                <w:szCs w:val="24"/>
                <w14:textFill>
                  <w14:solidFill>
                    <w14:schemeClr w14:val="tx1"/>
                  </w14:solidFill>
                </w14:textFill>
              </w:rPr>
            </w:pPr>
          </w:p>
        </w:tc>
      </w:tr>
      <w:tr w14:paraId="1E0F6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5B396D72">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第十二条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不可抗力</w:t>
            </w:r>
          </w:p>
        </w:tc>
        <w:tc>
          <w:tcPr>
            <w:tcW w:w="2343" w:type="dxa"/>
            <w:tcBorders>
              <w:top w:val="single" w:color="000000" w:sz="4" w:space="0"/>
              <w:left w:val="single" w:color="000000" w:sz="4" w:space="0"/>
              <w:bottom w:val="single" w:color="000000" w:sz="4" w:space="0"/>
              <w:right w:val="single" w:color="000000" w:sz="4" w:space="0"/>
            </w:tcBorders>
            <w:vAlign w:val="center"/>
          </w:tcPr>
          <w:p w14:paraId="5EFED0F2">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01741406">
            <w:pPr>
              <w:rPr>
                <w:color w:val="000000" w:themeColor="text1"/>
                <w:sz w:val="24"/>
                <w:szCs w:val="24"/>
                <w14:textFill>
                  <w14:solidFill>
                    <w14:schemeClr w14:val="tx1"/>
                  </w14:solidFill>
                </w14:textFill>
              </w:rPr>
            </w:pPr>
          </w:p>
        </w:tc>
      </w:tr>
      <w:tr w14:paraId="3D49B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59C9DC6D">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第十三条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合同的变更、中止</w:t>
            </w:r>
          </w:p>
        </w:tc>
        <w:tc>
          <w:tcPr>
            <w:tcW w:w="2343" w:type="dxa"/>
            <w:tcBorders>
              <w:top w:val="single" w:color="000000" w:sz="4" w:space="0"/>
              <w:left w:val="single" w:color="000000" w:sz="4" w:space="0"/>
              <w:bottom w:val="single" w:color="000000" w:sz="4" w:space="0"/>
              <w:right w:val="single" w:color="000000" w:sz="4" w:space="0"/>
            </w:tcBorders>
            <w:vAlign w:val="center"/>
          </w:tcPr>
          <w:p w14:paraId="54E69E1E">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49731A7A">
            <w:pPr>
              <w:rPr>
                <w:color w:val="000000" w:themeColor="text1"/>
                <w:sz w:val="24"/>
                <w:szCs w:val="24"/>
                <w14:textFill>
                  <w14:solidFill>
                    <w14:schemeClr w14:val="tx1"/>
                  </w14:solidFill>
                </w14:textFill>
              </w:rPr>
            </w:pPr>
          </w:p>
        </w:tc>
      </w:tr>
      <w:tr w14:paraId="68279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51509D9E">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第十四条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合同的终止</w:t>
            </w:r>
          </w:p>
        </w:tc>
        <w:tc>
          <w:tcPr>
            <w:tcW w:w="2343" w:type="dxa"/>
            <w:tcBorders>
              <w:top w:val="single" w:color="000000" w:sz="4" w:space="0"/>
              <w:left w:val="single" w:color="000000" w:sz="4" w:space="0"/>
              <w:bottom w:val="single" w:color="000000" w:sz="4" w:space="0"/>
              <w:right w:val="single" w:color="000000" w:sz="4" w:space="0"/>
            </w:tcBorders>
            <w:vAlign w:val="center"/>
          </w:tcPr>
          <w:p w14:paraId="2A7B3373">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6D4DE4AC">
            <w:pPr>
              <w:rPr>
                <w:color w:val="000000" w:themeColor="text1"/>
                <w:sz w:val="24"/>
                <w:szCs w:val="24"/>
                <w14:textFill>
                  <w14:solidFill>
                    <w14:schemeClr w14:val="tx1"/>
                  </w14:solidFill>
                </w14:textFill>
              </w:rPr>
            </w:pPr>
          </w:p>
        </w:tc>
      </w:tr>
      <w:tr w14:paraId="1C616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135FA1AC">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第十五条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合同的转让</w:t>
            </w:r>
          </w:p>
        </w:tc>
        <w:tc>
          <w:tcPr>
            <w:tcW w:w="2343" w:type="dxa"/>
            <w:tcBorders>
              <w:top w:val="single" w:color="000000" w:sz="4" w:space="0"/>
              <w:left w:val="single" w:color="000000" w:sz="4" w:space="0"/>
              <w:bottom w:val="single" w:color="000000" w:sz="4" w:space="0"/>
              <w:right w:val="single" w:color="000000" w:sz="4" w:space="0"/>
            </w:tcBorders>
            <w:vAlign w:val="center"/>
          </w:tcPr>
          <w:p w14:paraId="569F6D37">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76726E63">
            <w:pPr>
              <w:rPr>
                <w:color w:val="000000" w:themeColor="text1"/>
                <w:sz w:val="24"/>
                <w:szCs w:val="24"/>
                <w14:textFill>
                  <w14:solidFill>
                    <w14:schemeClr w14:val="tx1"/>
                  </w14:solidFill>
                </w14:textFill>
              </w:rPr>
            </w:pPr>
          </w:p>
        </w:tc>
      </w:tr>
      <w:tr w14:paraId="20655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53ED172E">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第十七条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争议解决方式</w:t>
            </w:r>
          </w:p>
        </w:tc>
        <w:tc>
          <w:tcPr>
            <w:tcW w:w="2343" w:type="dxa"/>
            <w:tcBorders>
              <w:top w:val="single" w:color="000000" w:sz="4" w:space="0"/>
              <w:left w:val="single" w:color="000000" w:sz="4" w:space="0"/>
              <w:bottom w:val="single" w:color="000000" w:sz="4" w:space="0"/>
              <w:right w:val="single" w:color="000000" w:sz="4" w:space="0"/>
            </w:tcBorders>
            <w:vAlign w:val="center"/>
          </w:tcPr>
          <w:p w14:paraId="496475DC">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1B38007D">
            <w:pPr>
              <w:rPr>
                <w:color w:val="000000" w:themeColor="text1"/>
                <w:sz w:val="24"/>
                <w:szCs w:val="24"/>
                <w14:textFill>
                  <w14:solidFill>
                    <w14:schemeClr w14:val="tx1"/>
                  </w14:solidFill>
                </w14:textFill>
              </w:rPr>
            </w:pPr>
          </w:p>
        </w:tc>
      </w:tr>
      <w:tr w14:paraId="3B463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2E01207A">
            <w:pPr>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第十八条</w:t>
            </w:r>
            <w:r>
              <w:rPr>
                <w:rFonts w:hint="eastAsia"/>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通知与送达</w:t>
            </w:r>
          </w:p>
        </w:tc>
        <w:tc>
          <w:tcPr>
            <w:tcW w:w="2343" w:type="dxa"/>
            <w:tcBorders>
              <w:top w:val="single" w:color="000000" w:sz="4" w:space="0"/>
              <w:left w:val="single" w:color="000000" w:sz="4" w:space="0"/>
              <w:bottom w:val="single" w:color="000000" w:sz="4" w:space="0"/>
              <w:right w:val="single" w:color="000000" w:sz="4" w:space="0"/>
            </w:tcBorders>
            <w:vAlign w:val="center"/>
          </w:tcPr>
          <w:p w14:paraId="5E336AD0">
            <w:pPr>
              <w:rPr>
                <w:color w:val="000000" w:themeColor="text1"/>
                <w:sz w:val="24"/>
                <w:szCs w:val="24"/>
                <w14:textFill>
                  <w14:solidFill>
                    <w14:schemeClr w14:val="tx1"/>
                  </w14:solidFill>
                </w14:textFill>
              </w:rPr>
            </w:pPr>
          </w:p>
        </w:tc>
        <w:tc>
          <w:tcPr>
            <w:tcW w:w="3278" w:type="dxa"/>
            <w:tcBorders>
              <w:top w:val="single" w:color="000000" w:sz="4" w:space="0"/>
              <w:left w:val="single" w:color="000000" w:sz="4" w:space="0"/>
              <w:bottom w:val="single" w:color="000000" w:sz="4" w:space="0"/>
              <w:right w:val="single" w:color="000000" w:sz="4" w:space="0"/>
            </w:tcBorders>
            <w:vAlign w:val="center"/>
          </w:tcPr>
          <w:p w14:paraId="69A2AFB2">
            <w:pPr>
              <w:rPr>
                <w:color w:val="000000" w:themeColor="text1"/>
                <w:sz w:val="24"/>
                <w:szCs w:val="24"/>
                <w14:textFill>
                  <w14:solidFill>
                    <w14:schemeClr w14:val="tx1"/>
                  </w14:solidFill>
                </w14:textFill>
              </w:rPr>
            </w:pPr>
          </w:p>
        </w:tc>
      </w:tr>
    </w:tbl>
    <w:p w14:paraId="3A66B85E">
      <w:pPr>
        <w:autoSpaceDE w:val="0"/>
        <w:autoSpaceDN w:val="0"/>
        <w:adjustRightInd w:val="0"/>
        <w:spacing w:line="440" w:lineRule="exact"/>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注：1、投标人应据实、详细填写上述表格，因表述含糊导致的评标风险将由投标人承担。</w:t>
      </w:r>
    </w:p>
    <w:p w14:paraId="27570411">
      <w:pPr>
        <w:autoSpaceDE w:val="0"/>
        <w:autoSpaceDN w:val="0"/>
        <w:adjustRightInd w:val="0"/>
        <w:spacing w:line="440" w:lineRule="exact"/>
        <w:ind w:firstLine="720" w:firstLineChars="3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2、若无偏离，在“有无偏离”栏中填写“无”；若有偏离在“有无偏离”栏中填写“有”并在“偏离内容及原因”栏中作出说明。</w:t>
      </w:r>
    </w:p>
    <w:p w14:paraId="66F4FB6A">
      <w:pPr>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p>
    <w:p w14:paraId="692A1C77">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27" w:name="_Toc10160"/>
      <w:r>
        <w:rPr>
          <w:rFonts w:hint="eastAsia" w:ascii="Times New Roman" w:hAnsi="Times New Roman"/>
          <w:b/>
          <w:bCs/>
          <w:color w:val="000000" w:themeColor="text1"/>
          <w:sz w:val="28"/>
          <w:szCs w:val="28"/>
          <w14:textFill>
            <w14:solidFill>
              <w14:schemeClr w14:val="tx1"/>
            </w14:solidFill>
          </w14:textFill>
        </w:rPr>
        <w:t>附件10 其他</w:t>
      </w:r>
      <w:bookmarkEnd w:id="227"/>
    </w:p>
    <w:p w14:paraId="54EB7477">
      <w:pPr>
        <w:spacing w:line="400" w:lineRule="exact"/>
        <w:ind w:firstLine="480"/>
        <w:jc w:val="center"/>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投标人根据 “第五章 ”提供相关其他证明材料。</w:t>
      </w:r>
    </w:p>
    <w:p w14:paraId="2792E5FA">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28" w:name="_Toc27338"/>
      <w:r>
        <w:rPr>
          <w:rFonts w:hint="eastAsia" w:ascii="Times New Roman" w:hAnsi="Times New Roman"/>
          <w:b/>
          <w:bCs/>
          <w:color w:val="000000" w:themeColor="text1"/>
          <w:sz w:val="28"/>
          <w:szCs w:val="28"/>
          <w14:textFill>
            <w14:solidFill>
              <w14:schemeClr w14:val="tx1"/>
            </w14:solidFill>
          </w14:textFill>
        </w:rPr>
        <w:t>附件11 具备履行合同所</w:t>
      </w:r>
      <w:r>
        <w:rPr>
          <w:rFonts w:hint="eastAsia" w:ascii="Times New Roman" w:hAnsi="Times New Roman" w:eastAsia="宋体" w:cs="Times New Roman"/>
          <w:b/>
          <w:bCs/>
          <w:color w:val="000000" w:themeColor="text1"/>
          <w:sz w:val="28"/>
          <w:szCs w:val="28"/>
          <w14:textFill>
            <w14:solidFill>
              <w14:schemeClr w14:val="tx1"/>
            </w14:solidFill>
          </w14:textFill>
        </w:rPr>
        <w:t>必需的设备和专业技</w:t>
      </w:r>
      <w:r>
        <w:rPr>
          <w:rFonts w:hint="eastAsia" w:ascii="Times New Roman" w:hAnsi="Times New Roman"/>
          <w:b/>
          <w:bCs/>
          <w:color w:val="000000" w:themeColor="text1"/>
          <w:sz w:val="28"/>
          <w:szCs w:val="28"/>
          <w14:textFill>
            <w14:solidFill>
              <w14:schemeClr w14:val="tx1"/>
            </w14:solidFill>
          </w14:textFill>
        </w:rPr>
        <w:t>术能力的书面声明</w:t>
      </w:r>
      <w:bookmarkEnd w:id="228"/>
    </w:p>
    <w:p w14:paraId="4D04F320">
      <w:pPr>
        <w:spacing w:line="46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我单位郑重声明：我单位具备履</w:t>
      </w:r>
      <w:r>
        <w:rPr>
          <w:rFonts w:hint="eastAsia" w:ascii="宋体" w:hAnsi="宋体" w:eastAsia="宋体" w:cs="Times New Roman"/>
          <w:bCs/>
          <w:color w:val="000000" w:themeColor="text1"/>
          <w:sz w:val="24"/>
          <w14:textFill>
            <w14:solidFill>
              <w14:schemeClr w14:val="tx1"/>
            </w14:solidFill>
          </w14:textFill>
        </w:rPr>
        <w:t>行本项采购合同所必需的</w:t>
      </w:r>
      <w:r>
        <w:rPr>
          <w:rFonts w:hint="eastAsia" w:ascii="宋体" w:hAnsi="宋体" w:eastAsia="宋体" w:cs="Times New Roman"/>
          <w:bCs/>
          <w:color w:val="000000" w:themeColor="text1"/>
          <w:sz w:val="24"/>
          <w:lang w:val="en-US" w:eastAsia="zh-CN"/>
          <w14:textFill>
            <w14:solidFill>
              <w14:schemeClr w14:val="tx1"/>
            </w14:solidFill>
          </w14:textFill>
        </w:rPr>
        <w:t>设备</w:t>
      </w:r>
      <w:r>
        <w:rPr>
          <w:rFonts w:hint="eastAsia" w:ascii="宋体" w:hAnsi="宋体" w:eastAsia="宋体" w:cs="Times New Roman"/>
          <w:bCs/>
          <w:color w:val="000000" w:themeColor="text1"/>
          <w:sz w:val="24"/>
          <w14:textFill>
            <w14:solidFill>
              <w14:schemeClr w14:val="tx1"/>
            </w14:solidFill>
          </w14:textFill>
        </w:rPr>
        <w:t>和专业技术能力，为履行本项采购合同我公司具备如下主要人员和主要专业技术能力：</w:t>
      </w:r>
    </w:p>
    <w:p w14:paraId="0F9F8964">
      <w:pPr>
        <w:spacing w:line="46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主要</w:t>
      </w:r>
      <w:r>
        <w:rPr>
          <w:rFonts w:hint="eastAsia" w:ascii="宋体" w:hAnsi="宋体"/>
          <w:bCs/>
          <w:color w:val="000000" w:themeColor="text1"/>
          <w:sz w:val="24"/>
          <w:lang w:val="en-US" w:eastAsia="zh-CN"/>
          <w14:textFill>
            <w14:solidFill>
              <w14:schemeClr w14:val="tx1"/>
            </w14:solidFill>
          </w14:textFill>
        </w:rPr>
        <w:t>设备</w:t>
      </w:r>
      <w:r>
        <w:rPr>
          <w:rFonts w:hint="eastAsia" w:ascii="宋体" w:hAnsi="宋体"/>
          <w:bCs/>
          <w:color w:val="000000" w:themeColor="text1"/>
          <w:sz w:val="24"/>
          <w14:textFill>
            <w14:solidFill>
              <w14:schemeClr w14:val="tx1"/>
            </w14:solidFill>
          </w14:textFill>
        </w:rPr>
        <w:t>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w:t>
      </w:r>
    </w:p>
    <w:p w14:paraId="71AE6CCD">
      <w:pPr>
        <w:spacing w:line="460" w:lineRule="exact"/>
        <w:ind w:firstLine="480"/>
        <w:rPr>
          <w:rFonts w:ascii="宋体" w:hAnsi="宋体"/>
          <w:b/>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主要专业技术能力有：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w:t>
      </w:r>
    </w:p>
    <w:p w14:paraId="60DF3A01">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bookmarkStart w:id="229" w:name="_Toc21057"/>
      <w:r>
        <w:rPr>
          <w:rFonts w:hint="eastAsia" w:ascii="Times New Roman" w:hAnsi="Times New Roman"/>
          <w:b/>
          <w:bCs/>
          <w:color w:val="000000" w:themeColor="text1"/>
          <w:sz w:val="28"/>
          <w:szCs w:val="28"/>
          <w14:textFill>
            <w14:solidFill>
              <w14:schemeClr w14:val="tx1"/>
            </w14:solidFill>
          </w14:textFill>
        </w:rPr>
        <w:t>附件12</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参加政府采购活动前 3 年内在经营活动中没有重大违法记录的书面声明</w:t>
      </w:r>
      <w:bookmarkEnd w:id="229"/>
    </w:p>
    <w:p w14:paraId="5CE480FD">
      <w:pPr>
        <w:spacing w:line="460" w:lineRule="exact"/>
        <w:ind w:firstLine="482"/>
        <w:jc w:val="center"/>
        <w:rPr>
          <w:rFonts w:ascii="宋体" w:hAnsi="宋体"/>
          <w:b/>
          <w:bCs/>
          <w:color w:val="000000" w:themeColor="text1"/>
          <w:sz w:val="24"/>
          <w14:textFill>
            <w14:solidFill>
              <w14:schemeClr w14:val="tx1"/>
            </w14:solidFill>
          </w14:textFill>
        </w:rPr>
      </w:pPr>
    </w:p>
    <w:p w14:paraId="680AE6D3">
      <w:pPr>
        <w:spacing w:line="460" w:lineRule="exact"/>
        <w:ind w:firstLine="482"/>
        <w:jc w:val="center"/>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声  明</w:t>
      </w:r>
    </w:p>
    <w:p w14:paraId="7BA54E32">
      <w:pPr>
        <w:spacing w:line="46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00EF1703">
      <w:pPr>
        <w:ind w:left="480" w:firstLine="482"/>
        <w:jc w:val="center"/>
        <w:rPr>
          <w:rFonts w:ascii="宋体" w:hAnsi="宋体"/>
          <w:b/>
          <w:color w:val="000000" w:themeColor="text1"/>
          <w:sz w:val="24"/>
          <w14:textFill>
            <w14:solidFill>
              <w14:schemeClr w14:val="tx1"/>
            </w14:solidFill>
          </w14:textFill>
        </w:rPr>
      </w:pPr>
    </w:p>
    <w:p w14:paraId="4B0BC2C2">
      <w:pPr>
        <w:spacing w:line="460" w:lineRule="exact"/>
        <w:ind w:firstLine="482"/>
        <w:rPr>
          <w:rFonts w:ascii="宋体" w:hAnsi="宋体"/>
          <w:bCs/>
          <w:color w:val="000000" w:themeColor="text1"/>
          <w:sz w:val="24"/>
          <w:szCs w:val="2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p>
    <w:p w14:paraId="3F81B090">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30" w:name="_Toc3899"/>
      <w:r>
        <w:rPr>
          <w:rFonts w:hint="eastAsia" w:ascii="Times New Roman" w:hAnsi="Times New Roman"/>
          <w:b/>
          <w:bCs/>
          <w:color w:val="000000" w:themeColor="text1"/>
          <w:sz w:val="28"/>
          <w:szCs w:val="28"/>
          <w14:textFill>
            <w14:solidFill>
              <w14:schemeClr w14:val="tx1"/>
            </w14:solidFill>
          </w14:textFill>
        </w:rPr>
        <w:t>附件13</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法人授权书</w:t>
      </w:r>
      <w:bookmarkEnd w:id="230"/>
    </w:p>
    <w:p w14:paraId="24BB146F">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本授权书声明：____________（投标人名称）授权________________（被授权人的姓名）为我方就</w:t>
      </w:r>
      <w:r>
        <w:rPr>
          <w:rFonts w:hint="eastAsia" w:ascii="Times New Roman" w:hAnsi="Times New Roman"/>
          <w:color w:val="000000" w:themeColor="text1"/>
          <w:sz w:val="24"/>
          <w:szCs w:val="24"/>
          <w:lang w:eastAsia="zh-CN"/>
          <w14:textFill>
            <w14:solidFill>
              <w14:schemeClr w14:val="tx1"/>
            </w14:solidFill>
          </w14:textFill>
        </w:rPr>
        <w:t>JSZC-320581-SZXY-G2024-0043</w:t>
      </w:r>
      <w:r>
        <w:rPr>
          <w:rFonts w:ascii="Times New Roman" w:hAnsi="Times New Roman"/>
          <w:color w:val="000000" w:themeColor="text1"/>
          <w:sz w:val="24"/>
          <w:szCs w:val="24"/>
          <w14:textFill>
            <w14:solidFill>
              <w14:schemeClr w14:val="tx1"/>
            </w14:solidFill>
          </w14:textFill>
        </w:rPr>
        <w:t>号项目采购活动的合法代理人，以本单位名义全权处理一切与该项目采购有关的事务。</w:t>
      </w:r>
    </w:p>
    <w:p w14:paraId="69BC2534">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本授权书于</w:t>
      </w:r>
      <w:r>
        <w:rPr>
          <w:rFonts w:ascii="Times New Roman" w:hAnsi="Times New Roman"/>
          <w:color w:val="000000" w:themeColor="text1"/>
          <w:sz w:val="24"/>
          <w:szCs w:val="24"/>
          <w:u w:val="single"/>
          <w14:textFill>
            <w14:solidFill>
              <w14:schemeClr w14:val="tx1"/>
            </w14:solidFill>
          </w14:textFill>
        </w:rPr>
        <w:t xml:space="preserve">2024 </w:t>
      </w:r>
      <w:r>
        <w:rPr>
          <w:rFonts w:ascii="Times New Roman" w:hAnsi="Times New Roman"/>
          <w:color w:val="000000" w:themeColor="text1"/>
          <w:sz w:val="24"/>
          <w:szCs w:val="24"/>
          <w14:textFill>
            <w14:solidFill>
              <w14:schemeClr w14:val="tx1"/>
            </w14:solidFill>
          </w14:textFill>
        </w:rPr>
        <w:t>年____月____日起生效，特此声明。</w:t>
      </w:r>
    </w:p>
    <w:p w14:paraId="49117B56">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p>
    <w:p w14:paraId="70964EB5">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p>
    <w:p w14:paraId="3305E20E">
      <w:pPr>
        <w:tabs>
          <w:tab w:val="left" w:pos="360"/>
        </w:tabs>
        <w:spacing w:line="440" w:lineRule="exact"/>
        <w:ind w:firstLine="48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被授权人身份证号码：</w:t>
      </w:r>
      <w:r>
        <w:rPr>
          <w:rFonts w:ascii="Times New Roman" w:hAnsi="Times New Roman"/>
          <w:color w:val="000000" w:themeColor="text1"/>
          <w:sz w:val="24"/>
          <w:szCs w:val="24"/>
          <w:u w:val="single"/>
          <w14:textFill>
            <w14:solidFill>
              <w14:schemeClr w14:val="tx1"/>
            </w14:solidFill>
          </w14:textFill>
        </w:rPr>
        <w:t xml:space="preserve">                              </w:t>
      </w:r>
    </w:p>
    <w:p w14:paraId="412F0499">
      <w:pPr>
        <w:tabs>
          <w:tab w:val="left" w:pos="360"/>
        </w:tabs>
        <w:spacing w:line="440" w:lineRule="exact"/>
        <w:ind w:firstLine="48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被授权人联系电话：（手机）</w:t>
      </w:r>
      <w:r>
        <w:rPr>
          <w:rFonts w:ascii="Times New Roman" w:hAnsi="Times New Roman"/>
          <w:color w:val="000000" w:themeColor="text1"/>
          <w:sz w:val="24"/>
          <w:szCs w:val="24"/>
          <w:u w:val="single"/>
          <w14:textFill>
            <w14:solidFill>
              <w14:schemeClr w14:val="tx1"/>
            </w14:solidFill>
          </w14:textFill>
        </w:rPr>
        <w:t xml:space="preserve">                          </w:t>
      </w:r>
    </w:p>
    <w:p w14:paraId="387782D2">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授权单位名称：</w:t>
      </w:r>
      <w:r>
        <w:rPr>
          <w:rFonts w:ascii="Times New Roman" w:hAnsi="Times New Roman"/>
          <w:color w:val="000000" w:themeColor="text1"/>
          <w:sz w:val="24"/>
          <w:szCs w:val="24"/>
          <w:u w:val="single"/>
          <w14:textFill>
            <w14:solidFill>
              <w14:schemeClr w14:val="tx1"/>
            </w14:solidFill>
          </w14:textFill>
        </w:rPr>
        <w:t>（加盖CA电子公章）</w:t>
      </w:r>
    </w:p>
    <w:p w14:paraId="7CA38399">
      <w:pPr>
        <w:tabs>
          <w:tab w:val="left" w:pos="360"/>
        </w:tabs>
        <w:spacing w:line="440" w:lineRule="exact"/>
        <w:ind w:firstLine="48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单位地址：</w:t>
      </w:r>
      <w:r>
        <w:rPr>
          <w:rFonts w:ascii="Times New Roman" w:hAnsi="Times New Roman"/>
          <w:color w:val="000000" w:themeColor="text1"/>
          <w:sz w:val="24"/>
          <w:szCs w:val="24"/>
          <w:u w:val="single"/>
          <w14:textFill>
            <w14:solidFill>
              <w14:schemeClr w14:val="tx1"/>
            </w14:solidFill>
          </w14:textFill>
        </w:rPr>
        <w:t xml:space="preserve">                                         </w:t>
      </w:r>
    </w:p>
    <w:p w14:paraId="0A71BCFB">
      <w:pPr>
        <w:tabs>
          <w:tab w:val="left" w:pos="360"/>
        </w:tabs>
        <w:spacing w:line="440" w:lineRule="exact"/>
        <w:ind w:firstLine="48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日期：</w:t>
      </w:r>
      <w:r>
        <w:rPr>
          <w:rFonts w:ascii="Times New Roman" w:hAnsi="Times New Roman"/>
          <w:color w:val="000000" w:themeColor="text1"/>
          <w:sz w:val="24"/>
          <w:szCs w:val="24"/>
          <w:u w:val="single"/>
          <w14:textFill>
            <w14:solidFill>
              <w14:schemeClr w14:val="tx1"/>
            </w14:solidFill>
          </w14:textFill>
        </w:rPr>
        <w:t xml:space="preserve">                                         </w:t>
      </w:r>
    </w:p>
    <w:p w14:paraId="48567E76">
      <w:pPr>
        <w:spacing w:line="400" w:lineRule="exact"/>
        <w:ind w:firstLine="480"/>
        <w:rPr>
          <w:rFonts w:ascii="楷体" w:hAnsi="楷体" w:eastAsia="楷体"/>
          <w:color w:val="000000" w:themeColor="text1"/>
          <w:sz w:val="24"/>
          <w:szCs w:val="24"/>
          <w14:textFill>
            <w14:solidFill>
              <w14:schemeClr w14:val="tx1"/>
            </w14:solidFill>
          </w14:textFill>
        </w:rPr>
      </w:pPr>
    </w:p>
    <w:p w14:paraId="590822EF">
      <w:pPr>
        <w:spacing w:line="400" w:lineRule="exact"/>
        <w:ind w:firstLine="480"/>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注：附授权代表居民身份证、法定代表人居民身份证正反面扫描件</w:t>
      </w:r>
      <w:r>
        <w:rPr>
          <w:rFonts w:hint="eastAsia" w:ascii="Times New Roman" w:hAnsi="Times New Roman"/>
          <w:color w:val="000000" w:themeColor="text1"/>
          <w:sz w:val="24"/>
          <w:szCs w:val="24"/>
          <w:lang w:eastAsia="zh-CN"/>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如法定代表人参加投标，“法人授权书”可不提供，但需提供法人代表人身份证正反面扫描件。</w:t>
      </w:r>
    </w:p>
    <w:p w14:paraId="63A03CDC">
      <w:pPr>
        <w:spacing w:line="440" w:lineRule="exact"/>
        <w:ind w:firstLine="482"/>
        <w:jc w:val="center"/>
        <w:outlineLvl w:val="1"/>
        <w:rPr>
          <w:rFonts w:ascii="Times New Roman" w:hAnsi="Times New Roman"/>
          <w:b/>
          <w:bCs/>
          <w:color w:val="000000" w:themeColor="text1"/>
          <w:sz w:val="28"/>
          <w:szCs w:val="28"/>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bookmarkStart w:id="231" w:name="_Toc11552"/>
      <w:r>
        <w:rPr>
          <w:rFonts w:hint="eastAsia" w:ascii="Times New Roman" w:hAnsi="Times New Roman"/>
          <w:b/>
          <w:bCs/>
          <w:color w:val="000000" w:themeColor="text1"/>
          <w:sz w:val="28"/>
          <w:szCs w:val="28"/>
          <w14:textFill>
            <w14:solidFill>
              <w14:schemeClr w14:val="tx1"/>
            </w14:solidFill>
          </w14:textFill>
        </w:rPr>
        <w:t>附件14 中小企业声明函</w:t>
      </w:r>
      <w:bookmarkEnd w:id="231"/>
    </w:p>
    <w:p w14:paraId="0C16678E">
      <w:pPr>
        <w:spacing w:line="440" w:lineRule="exact"/>
        <w:ind w:firstLine="48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本公司（联合体）郑重声明，根据《政府采购促进中小企业发展管理办法》（财库</w:t>
      </w:r>
      <w:r>
        <w:rPr>
          <w:rFonts w:hint="eastAsia" w:ascii="宋体" w:hAnsi="宋体" w:cs="宋体"/>
          <w:color w:val="000000" w:themeColor="text1"/>
          <w:sz w:val="24"/>
          <w:szCs w:val="24"/>
          <w14:textFill>
            <w14:solidFill>
              <w14:schemeClr w14:val="tx1"/>
            </w14:solidFill>
          </w14:textFill>
        </w:rPr>
        <w:t>﹝</w:t>
      </w:r>
      <w:r>
        <w:rPr>
          <w:rFonts w:ascii="宋体" w:hAnsi="宋体" w:cs="仿宋"/>
          <w:color w:val="000000" w:themeColor="text1"/>
          <w:sz w:val="24"/>
          <w:szCs w:val="24"/>
          <w14:textFill>
            <w14:solidFill>
              <w14:schemeClr w14:val="tx1"/>
            </w14:solidFill>
          </w14:textFill>
        </w:rPr>
        <w:t>2020</w:t>
      </w:r>
      <w:r>
        <w:rPr>
          <w:rFonts w:hint="eastAsia" w:ascii="宋体" w:hAnsi="宋体" w:cs="宋体"/>
          <w:color w:val="000000" w:themeColor="text1"/>
          <w:sz w:val="24"/>
          <w:szCs w:val="24"/>
          <w14:textFill>
            <w14:solidFill>
              <w14:schemeClr w14:val="tx1"/>
            </w14:solidFill>
          </w14:textFill>
        </w:rPr>
        <w:t>﹞</w:t>
      </w:r>
      <w:r>
        <w:rPr>
          <w:rFonts w:ascii="宋体" w:hAnsi="宋体" w:cs="仿宋"/>
          <w:color w:val="000000" w:themeColor="text1"/>
          <w:sz w:val="24"/>
          <w:szCs w:val="24"/>
          <w14:textFill>
            <w14:solidFill>
              <w14:schemeClr w14:val="tx1"/>
            </w14:solidFill>
          </w14:textFill>
        </w:rPr>
        <w:t xml:space="preserve">46 </w:t>
      </w:r>
      <w:r>
        <w:rPr>
          <w:rFonts w:hint="eastAsia" w:ascii="宋体" w:hAnsi="宋体" w:cs="仿宋"/>
          <w:color w:val="000000" w:themeColor="text1"/>
          <w:sz w:val="24"/>
          <w:szCs w:val="24"/>
          <w14:textFill>
            <w14:solidFill>
              <w14:schemeClr w14:val="tx1"/>
            </w14:solidFill>
          </w14:textFill>
        </w:rPr>
        <w:t>号）的规定，本公司（联合体）参加</w:t>
      </w:r>
      <w:r>
        <w:rPr>
          <w:rFonts w:hint="eastAsia" w:ascii="宋体" w:hAnsi="宋体" w:cs="仿宋"/>
          <w:color w:val="000000" w:themeColor="text1"/>
          <w:sz w:val="24"/>
          <w:szCs w:val="24"/>
          <w:u w:val="single"/>
          <w14:textFill>
            <w14:solidFill>
              <w14:schemeClr w14:val="tx1"/>
            </w14:solidFill>
          </w14:textFill>
        </w:rPr>
        <w:t>常熟市河道管理处</w:t>
      </w:r>
      <w:r>
        <w:rPr>
          <w:rFonts w:hint="eastAsia" w:ascii="宋体" w:hAnsi="宋体" w:cs="仿宋"/>
          <w:color w:val="000000" w:themeColor="text1"/>
          <w:sz w:val="24"/>
          <w:szCs w:val="24"/>
          <w14:textFill>
            <w14:solidFill>
              <w14:schemeClr w14:val="tx1"/>
            </w14:solidFill>
          </w14:textFill>
        </w:rPr>
        <w:t>的</w:t>
      </w:r>
      <w:r>
        <w:rPr>
          <w:rFonts w:hint="eastAsia" w:ascii="宋体" w:hAnsi="宋体" w:cs="仿宋"/>
          <w:color w:val="000000" w:themeColor="text1"/>
          <w:sz w:val="24"/>
          <w:szCs w:val="24"/>
          <w:u w:val="single"/>
          <w14:textFill>
            <w14:solidFill>
              <w14:schemeClr w14:val="tx1"/>
            </w14:solidFill>
          </w14:textFill>
        </w:rPr>
        <w:t>2024-2025年度市级河道绿化养护</w:t>
      </w:r>
      <w:r>
        <w:rPr>
          <w:rFonts w:hint="eastAsia" w:ascii="宋体" w:hAnsi="宋体" w:cs="仿宋"/>
          <w:color w:val="000000" w:themeColor="text1"/>
          <w:sz w:val="24"/>
          <w:szCs w:val="24"/>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3ABEF741">
      <w:pPr>
        <w:widowControl/>
        <w:shd w:val="clear" w:color="auto" w:fill="FFFFFF"/>
        <w:spacing w:line="440" w:lineRule="exact"/>
        <w:ind w:firstLine="480"/>
        <w:jc w:val="left"/>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t>1.</w:t>
      </w:r>
      <w:r>
        <w:rPr>
          <w:rFonts w:hint="eastAsia" w:ascii="Times New Roman" w:hAnsi="Times New Roman"/>
          <w:color w:val="000000" w:themeColor="text1"/>
          <w:szCs w:val="20"/>
          <w14:textFill>
            <w14:solidFill>
              <w14:schemeClr w14:val="tx1"/>
            </w14:solidFill>
          </w14:textFill>
        </w:rPr>
        <w:t xml:space="preserve"> </w:t>
      </w:r>
      <w:r>
        <w:rPr>
          <w:rFonts w:hint="eastAsia" w:ascii="宋体" w:hAnsi="宋体" w:cs="仿宋"/>
          <w:color w:val="000000" w:themeColor="text1"/>
          <w:sz w:val="24"/>
          <w:szCs w:val="24"/>
          <w:u w:val="single"/>
          <w:lang w:eastAsia="zh-CN"/>
          <w14:textFill>
            <w14:solidFill>
              <w14:schemeClr w14:val="tx1"/>
            </w14:solidFill>
          </w14:textFill>
        </w:rPr>
        <w:t>2024-2025年度市级河道绿化养护</w:t>
      </w:r>
      <w:r>
        <w:rPr>
          <w:rFonts w:hint="eastAsia" w:ascii="宋体" w:hAnsi="宋体" w:cs="仿宋"/>
          <w:color w:val="000000" w:themeColor="text1"/>
          <w:sz w:val="24"/>
          <w:szCs w:val="24"/>
          <w14:textFill>
            <w14:solidFill>
              <w14:schemeClr w14:val="tx1"/>
            </w14:solidFill>
          </w14:textFill>
        </w:rPr>
        <w:t>，属于</w:t>
      </w:r>
      <w:r>
        <w:rPr>
          <w:rFonts w:hint="eastAsia" w:ascii="宋体" w:hAnsi="宋体" w:cs="仿宋"/>
          <w:color w:val="000000" w:themeColor="text1"/>
          <w:sz w:val="24"/>
          <w:szCs w:val="24"/>
          <w:u w:val="single"/>
          <w14:textFill>
            <w14:solidFill>
              <w14:schemeClr w14:val="tx1"/>
            </w14:solidFill>
          </w14:textFill>
        </w:rPr>
        <w:t>其他未列明行业</w:t>
      </w:r>
      <w:r>
        <w:rPr>
          <w:rFonts w:hint="eastAsia" w:ascii="宋体" w:hAnsi="宋体" w:cs="仿宋"/>
          <w:color w:val="000000" w:themeColor="text1"/>
          <w:sz w:val="24"/>
          <w:szCs w:val="24"/>
          <w14:textFill>
            <w14:solidFill>
              <w14:schemeClr w14:val="tx1"/>
            </w14:solidFill>
          </w14:textFill>
        </w:rPr>
        <w:t>；承建（承接）企业为</w:t>
      </w:r>
      <w:r>
        <w:rPr>
          <w:rFonts w:hint="eastAsia" w:ascii="宋体" w:hAnsi="宋体" w:cs="仿宋"/>
          <w:color w:val="000000" w:themeColor="text1"/>
          <w:sz w:val="24"/>
          <w:szCs w:val="24"/>
          <w:u w:val="single"/>
          <w14:textFill>
            <w14:solidFill>
              <w14:schemeClr w14:val="tx1"/>
            </w14:solidFill>
          </w14:textFill>
        </w:rPr>
        <w:t>（企业名称）</w:t>
      </w:r>
      <w:r>
        <w:rPr>
          <w:rFonts w:hint="eastAsia" w:ascii="宋体" w:hAnsi="宋体" w:cs="仿宋"/>
          <w:color w:val="000000" w:themeColor="text1"/>
          <w:sz w:val="24"/>
          <w:szCs w:val="24"/>
          <w14:textFill>
            <w14:solidFill>
              <w14:schemeClr w14:val="tx1"/>
            </w14:solidFill>
          </w14:textFill>
        </w:rPr>
        <w:t>，从业人员</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人，营业收入为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万元，资产总额为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万元，属于</w:t>
      </w:r>
      <w:r>
        <w:rPr>
          <w:rFonts w:hint="eastAsia" w:ascii="宋体" w:hAnsi="宋体" w:cs="仿宋"/>
          <w:color w:val="000000" w:themeColor="text1"/>
          <w:sz w:val="24"/>
          <w:szCs w:val="24"/>
          <w:u w:val="single"/>
          <w14:textFill>
            <w14:solidFill>
              <w14:schemeClr w14:val="tx1"/>
            </w14:solidFill>
          </w14:textFill>
        </w:rPr>
        <w:t>（中型企业、小型企业、微型企业）</w:t>
      </w:r>
      <w:r>
        <w:rPr>
          <w:rFonts w:hint="eastAsia" w:ascii="宋体" w:hAnsi="宋体" w:cs="仿宋"/>
          <w:color w:val="000000" w:themeColor="text1"/>
          <w:sz w:val="24"/>
          <w:szCs w:val="24"/>
          <w14:textFill>
            <w14:solidFill>
              <w14:schemeClr w14:val="tx1"/>
            </w14:solidFill>
          </w14:textFill>
        </w:rPr>
        <w:t>；</w:t>
      </w:r>
    </w:p>
    <w:p w14:paraId="1E67CAAD">
      <w:pPr>
        <w:spacing w:line="440" w:lineRule="exact"/>
        <w:ind w:firstLine="48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430EA9D4">
      <w:pPr>
        <w:spacing w:line="440" w:lineRule="exact"/>
        <w:ind w:firstLine="48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本企业对上述声明内容的真实性负责。如有虚假，将依法承担相应责任。</w:t>
      </w:r>
    </w:p>
    <w:p w14:paraId="525940D9">
      <w:pPr>
        <w:spacing w:line="560" w:lineRule="exact"/>
        <w:ind w:right="2640" w:firstLine="480"/>
        <w:jc w:val="righ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投标人名称</w:t>
      </w:r>
      <w:r>
        <w:rPr>
          <w:rFonts w:hint="eastAsia" w:ascii="宋体" w:hAnsi="宋体"/>
          <w:color w:val="000000" w:themeColor="text1"/>
          <w:sz w:val="24"/>
          <w:szCs w:val="24"/>
          <w14:textFill>
            <w14:solidFill>
              <w14:schemeClr w14:val="tx1"/>
            </w14:solidFill>
          </w14:textFill>
        </w:rPr>
        <w:t>（加盖CA电子公章）</w:t>
      </w:r>
      <w:r>
        <w:rPr>
          <w:rFonts w:hint="eastAsia" w:ascii="宋体" w:hAnsi="宋体"/>
          <w:color w:val="000000" w:themeColor="text1"/>
          <w:sz w:val="24"/>
          <w:szCs w:val="21"/>
          <w14:textFill>
            <w14:solidFill>
              <w14:schemeClr w14:val="tx1"/>
            </w14:solidFill>
          </w14:textFill>
        </w:rPr>
        <w:t>：</w:t>
      </w:r>
    </w:p>
    <w:p w14:paraId="17D20706">
      <w:pPr>
        <w:spacing w:line="560" w:lineRule="exact"/>
        <w:ind w:right="2640" w:firstLine="480"/>
        <w:jc w:val="righ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日 </w:t>
      </w: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期：</w:t>
      </w:r>
    </w:p>
    <w:p w14:paraId="33D91650">
      <w:pPr>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注：（1）从业人员、营业收入、资产总额填报上一年度数据，无上一年度数据的新成立企业可不填报。</w:t>
      </w:r>
    </w:p>
    <w:p w14:paraId="10161282">
      <w:pPr>
        <w:spacing w:line="440" w:lineRule="exact"/>
        <w:ind w:firstLine="482"/>
        <w:jc w:val="lef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2</w:t>
      </w:r>
      <w:r>
        <w:rPr>
          <w:rFonts w:hint="eastAsia"/>
          <w:b/>
          <w:bCs/>
          <w:color w:val="000000" w:themeColor="text1"/>
          <w:sz w:val="24"/>
          <w:szCs w:val="24"/>
          <w14:textFill>
            <w14:solidFill>
              <w14:schemeClr w14:val="tx1"/>
            </w14:solidFill>
          </w14:textFill>
        </w:rPr>
        <w:t>）本项目所属行业为：其他未列明行业。</w:t>
      </w:r>
    </w:p>
    <w:p w14:paraId="1939E3B9">
      <w:pPr>
        <w:spacing w:line="440" w:lineRule="exact"/>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（3）上述</w:t>
      </w: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中小企业声明函</w:t>
      </w: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格式原则上不得改动，因擅自改动引起的评审风险由</w:t>
      </w:r>
      <w:r>
        <w:rPr>
          <w:rFonts w:hint="eastAsia"/>
          <w:b/>
          <w:bCs/>
          <w:color w:val="000000" w:themeColor="text1"/>
          <w:sz w:val="24"/>
          <w:szCs w:val="24"/>
          <w14:textFill>
            <w14:solidFill>
              <w14:schemeClr w14:val="tx1"/>
            </w14:solidFill>
          </w14:textFill>
        </w:rPr>
        <w:t>投标人</w:t>
      </w:r>
      <w:r>
        <w:rPr>
          <w:b/>
          <w:bCs/>
          <w:color w:val="000000" w:themeColor="text1"/>
          <w:sz w:val="24"/>
          <w:szCs w:val="24"/>
          <w14:textFill>
            <w14:solidFill>
              <w14:schemeClr w14:val="tx1"/>
            </w14:solidFill>
          </w14:textFill>
        </w:rPr>
        <w:t>自行承担。</w:t>
      </w:r>
    </w:p>
    <w:p w14:paraId="5FCF5631">
      <w:pPr>
        <w:spacing w:line="440" w:lineRule="exact"/>
        <w:ind w:firstLine="482"/>
        <w:rPr>
          <w:color w:val="000000" w:themeColor="text1"/>
          <w:sz w:val="24"/>
          <w:szCs w:val="24"/>
          <w14:textFill>
            <w14:solidFill>
              <w14:schemeClr w14:val="tx1"/>
            </w14:solidFill>
          </w14:textFill>
        </w:rPr>
      </w:pPr>
      <w:bookmarkStart w:id="232" w:name="_Hlk100143292"/>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4</w:t>
      </w:r>
      <w:r>
        <w:rPr>
          <w:rFonts w:hint="eastAsia"/>
          <w:b/>
          <w:bCs/>
          <w:color w:val="000000" w:themeColor="text1"/>
          <w:sz w:val="24"/>
          <w:szCs w:val="24"/>
          <w14:textFill>
            <w14:solidFill>
              <w14:schemeClr w14:val="tx1"/>
            </w14:solidFill>
          </w14:textFill>
        </w:rPr>
        <w:t>）如未对上述声明函内（中型企业、小型企业、微型企业）进行勾选或明确，</w:t>
      </w:r>
      <w:r>
        <w:rPr>
          <w:b/>
          <w:bCs/>
          <w:color w:val="000000" w:themeColor="text1"/>
          <w:sz w:val="24"/>
          <w:szCs w:val="24"/>
          <w14:textFill>
            <w14:solidFill>
              <w14:schemeClr w14:val="tx1"/>
            </w14:solidFill>
          </w14:textFill>
        </w:rPr>
        <w:t>引起的评审风险由</w:t>
      </w:r>
      <w:r>
        <w:rPr>
          <w:rFonts w:hint="eastAsia"/>
          <w:b/>
          <w:bCs/>
          <w:color w:val="000000" w:themeColor="text1"/>
          <w:sz w:val="24"/>
          <w:szCs w:val="24"/>
          <w14:textFill>
            <w14:solidFill>
              <w14:schemeClr w14:val="tx1"/>
            </w14:solidFill>
          </w14:textFill>
        </w:rPr>
        <w:t>投标人</w:t>
      </w:r>
      <w:r>
        <w:rPr>
          <w:b/>
          <w:bCs/>
          <w:color w:val="000000" w:themeColor="text1"/>
          <w:sz w:val="24"/>
          <w:szCs w:val="24"/>
          <w14:textFill>
            <w14:solidFill>
              <w14:schemeClr w14:val="tx1"/>
            </w14:solidFill>
          </w14:textFill>
        </w:rPr>
        <w:t>自行承担。</w:t>
      </w:r>
      <w:bookmarkEnd w:id="232"/>
    </w:p>
    <w:p w14:paraId="56ABADBB">
      <w:pPr>
        <w:spacing w:line="440" w:lineRule="exact"/>
        <w:ind w:firstLine="643"/>
        <w:jc w:val="center"/>
        <w:outlineLvl w:val="1"/>
        <w:rPr>
          <w:rFonts w:ascii="Times New Roman" w:hAnsi="Times New Roman"/>
          <w:b/>
          <w:bCs/>
          <w:color w:val="000000" w:themeColor="text1"/>
          <w:sz w:val="28"/>
          <w:szCs w:val="28"/>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br w:type="page" w:clear="all"/>
      </w:r>
      <w:bookmarkStart w:id="233" w:name="_Toc2088"/>
      <w:r>
        <w:rPr>
          <w:rFonts w:hint="eastAsia" w:ascii="Times New Roman" w:hAnsi="Times New Roman"/>
          <w:b/>
          <w:bCs/>
          <w:color w:val="000000" w:themeColor="text1"/>
          <w:sz w:val="28"/>
          <w:szCs w:val="28"/>
          <w14:textFill>
            <w14:solidFill>
              <w14:schemeClr w14:val="tx1"/>
            </w14:solidFill>
          </w14:textFill>
        </w:rPr>
        <w:t>附件15 残疾人福利性单位声明函</w:t>
      </w:r>
      <w:bookmarkEnd w:id="233"/>
    </w:p>
    <w:p w14:paraId="433E7047">
      <w:pPr>
        <w:spacing w:line="588" w:lineRule="exact"/>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项目（分包号：**）采购活动提供本单位制造的货物，或者提供其他残疾人福利性单位制造的货物（不包括使用非残疾人福利性单位注册商标的货物）。</w:t>
      </w:r>
    </w:p>
    <w:p w14:paraId="1A334EC0">
      <w:pPr>
        <w:spacing w:line="588" w:lineRule="exact"/>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本单位对上述声明的真实性负责。如有虚假，将依法承担相应责任。</w:t>
      </w:r>
    </w:p>
    <w:p w14:paraId="2DCD8A3B">
      <w:pPr>
        <w:spacing w:line="588" w:lineRule="exact"/>
        <w:ind w:firstLine="480"/>
        <w:rPr>
          <w:rFonts w:ascii="宋体" w:hAnsi="宋体"/>
          <w:color w:val="000000" w:themeColor="text1"/>
          <w:sz w:val="24"/>
          <w:szCs w:val="21"/>
          <w14:textFill>
            <w14:solidFill>
              <w14:schemeClr w14:val="tx1"/>
            </w14:solidFill>
          </w14:textFill>
        </w:rPr>
      </w:pPr>
    </w:p>
    <w:p w14:paraId="6A2F77F9">
      <w:pPr>
        <w:spacing w:line="588" w:lineRule="exact"/>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（备注：1、投标人如不提供此声明函，价格将不做相应扣除。2、中标人为残疾人福利单位的，此声明函将随中标结果同时公告，接受社会监督）</w:t>
      </w:r>
    </w:p>
    <w:p w14:paraId="166F49DF">
      <w:pPr>
        <w:spacing w:line="588" w:lineRule="exact"/>
        <w:ind w:firstLine="624"/>
        <w:rPr>
          <w:rFonts w:ascii="仿宋_GB2312" w:hAnsi="Times New Roman" w:eastAsia="仿宋_GB2312"/>
          <w:color w:val="000000" w:themeColor="text1"/>
          <w:spacing w:val="6"/>
          <w:sz w:val="30"/>
          <w:szCs w:val="30"/>
          <w14:textFill>
            <w14:solidFill>
              <w14:schemeClr w14:val="tx1"/>
            </w14:solidFill>
          </w14:textFill>
        </w:rPr>
      </w:pPr>
    </w:p>
    <w:p w14:paraId="25460D2E">
      <w:pPr>
        <w:tabs>
          <w:tab w:val="left" w:pos="4860"/>
        </w:tabs>
        <w:spacing w:line="588" w:lineRule="exact"/>
        <w:ind w:right="1560" w:firstLine="624"/>
        <w:jc w:val="center"/>
        <w:rPr>
          <w:rFonts w:ascii="宋体" w:hAnsi="宋体"/>
          <w:color w:val="000000" w:themeColor="text1"/>
          <w:sz w:val="24"/>
          <w:szCs w:val="21"/>
          <w14:textFill>
            <w14:solidFill>
              <w14:schemeClr w14:val="tx1"/>
            </w14:solidFill>
          </w14:textFill>
        </w:rPr>
      </w:pPr>
      <w:r>
        <w:rPr>
          <w:rFonts w:hint="eastAsia" w:ascii="仿宋_GB2312" w:hAnsi="Times New Roman"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投标人全称（加盖CA电子公章）：</w:t>
      </w:r>
    </w:p>
    <w:p w14:paraId="7C10CA40">
      <w:pPr>
        <w:tabs>
          <w:tab w:val="left" w:pos="4860"/>
        </w:tabs>
        <w:spacing w:line="588" w:lineRule="exact"/>
        <w:ind w:right="1560" w:firstLine="480"/>
        <w:jc w:val="center"/>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日  期：</w:t>
      </w:r>
    </w:p>
    <w:p w14:paraId="2FC670C4">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r>
    </w:p>
    <w:p w14:paraId="57354714">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34" w:name="_Toc17235"/>
      <w:bookmarkStart w:id="235" w:name="_Toc155086574"/>
      <w:bookmarkStart w:id="236" w:name="_Toc155086474"/>
      <w:bookmarkStart w:id="237" w:name="_Toc32601"/>
      <w:r>
        <w:rPr>
          <w:rFonts w:hint="eastAsia" w:ascii="Times New Roman" w:hAnsi="Times New Roman"/>
          <w:b/>
          <w:bCs/>
          <w:color w:val="000000" w:themeColor="text1"/>
          <w:sz w:val="28"/>
          <w:szCs w:val="28"/>
          <w14:textFill>
            <w14:solidFill>
              <w14:schemeClr w14:val="tx1"/>
            </w14:solidFill>
          </w14:textFill>
        </w:rPr>
        <w:t>附件16</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投标函</w:t>
      </w:r>
      <w:bookmarkEnd w:id="234"/>
      <w:bookmarkEnd w:id="235"/>
      <w:bookmarkEnd w:id="236"/>
      <w:bookmarkEnd w:id="237"/>
    </w:p>
    <w:p w14:paraId="7D5E2E95">
      <w:pPr>
        <w:spacing w:line="420" w:lineRule="exact"/>
        <w:jc w:val="left"/>
        <w:rPr>
          <w:rFonts w:ascii="宋体" w:hAnsi="宋体"/>
          <w:color w:val="000000" w:themeColor="text1"/>
          <w:sz w:val="24"/>
          <w:szCs w:val="21"/>
          <w14:textFill>
            <w14:solidFill>
              <w14:schemeClr w14:val="tx1"/>
            </w14:solidFill>
          </w14:textFill>
        </w:rPr>
      </w:pPr>
    </w:p>
    <w:p w14:paraId="6E1BAA8E">
      <w:pPr>
        <w:spacing w:line="440" w:lineRule="exact"/>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致：</w:t>
      </w:r>
      <w:r>
        <w:rPr>
          <w:rFonts w:hint="eastAsia" w:ascii="宋体" w:hAnsi="宋体"/>
          <w:color w:val="000000" w:themeColor="text1"/>
          <w:sz w:val="24"/>
          <w:szCs w:val="24"/>
          <w:u w:val="single"/>
          <w:lang w:val="zh-CN"/>
          <w14:textFill>
            <w14:solidFill>
              <w14:schemeClr w14:val="tx1"/>
            </w14:solidFill>
          </w14:textFill>
        </w:rPr>
        <w:t>苏州新一造价师价格事务所有限公司</w:t>
      </w:r>
    </w:p>
    <w:p w14:paraId="6CEC8CBE">
      <w:pPr>
        <w:pStyle w:val="243"/>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根据贵方的</w:t>
      </w:r>
      <w:r>
        <w:rPr>
          <w:rFonts w:hint="eastAsia" w:ascii="宋体" w:hAnsi="宋体"/>
          <w:color w:val="000000" w:themeColor="text1"/>
          <w:szCs w:val="21"/>
          <w:lang w:eastAsia="zh-CN"/>
          <w14:textFill>
            <w14:solidFill>
              <w14:schemeClr w14:val="tx1"/>
            </w14:solidFill>
          </w14:textFill>
        </w:rPr>
        <w:t>JSZC-320581-SZXY-G2024-0043</w:t>
      </w:r>
      <w:r>
        <w:rPr>
          <w:rFonts w:hint="eastAsia" w:ascii="宋体" w:hAnsi="宋体"/>
          <w:color w:val="000000" w:themeColor="text1"/>
          <w:szCs w:val="21"/>
          <w14:textFill>
            <w14:solidFill>
              <w14:schemeClr w14:val="tx1"/>
            </w14:solidFill>
          </w14:textFill>
        </w:rPr>
        <w:t>号招标文件，正式授权下述______(姓名)代表我方______________（投标人的名称），全权处理本次项目投标的有关事宜。</w:t>
      </w:r>
    </w:p>
    <w:p w14:paraId="4EEE5EC5">
      <w:pPr>
        <w:pStyle w:val="243"/>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据此函，__________</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姓名</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代表</w:t>
      </w:r>
      <w:r>
        <w:rPr>
          <w:rFonts w:hint="eastAsia" w:ascii="宋体" w:hAnsi="宋体"/>
          <w:color w:val="000000" w:themeColor="text1"/>
          <w:szCs w:val="21"/>
          <w14:textFill>
            <w14:solidFill>
              <w14:schemeClr w14:val="tx1"/>
            </w14:solidFill>
          </w14:textFill>
        </w:rPr>
        <w:t>兹宣布同意如下：</w:t>
      </w:r>
    </w:p>
    <w:p w14:paraId="6332C788">
      <w:pPr>
        <w:pStyle w:val="243"/>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1.按招标文件规定的各项要求，向买方提供所需服务（包含与服务相关的货物）。</w:t>
      </w:r>
    </w:p>
    <w:p w14:paraId="264B5123">
      <w:pPr>
        <w:pStyle w:val="243"/>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2.我们完全理解贵方不一定将合同授予最低报价的投标人。</w:t>
      </w:r>
    </w:p>
    <w:p w14:paraId="7C28506B">
      <w:pPr>
        <w:pStyle w:val="243"/>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3.我们已详细审核全部招标文件及其有效补充文件，我们知道必须放弃提出含糊不清或误解问题的权利。</w:t>
      </w:r>
    </w:p>
    <w:p w14:paraId="1EF7F9F6">
      <w:pPr>
        <w:pStyle w:val="243"/>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4.我们同意从规定的开标日期起遵循本投标文件，并在规定的投标有效期期满之前均具有约束力。</w:t>
      </w:r>
    </w:p>
    <w:p w14:paraId="436BBDFA">
      <w:pPr>
        <w:pStyle w:val="243"/>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.同意向贵方提供贵方可能另外要求的与投标有关的任何证据或资料，并保证我方已提供和将要提供的文件是真实的、准确的。</w:t>
      </w:r>
    </w:p>
    <w:p w14:paraId="2E83BD60">
      <w:pPr>
        <w:pStyle w:val="243"/>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.一旦我方中标,我方将根据招标文件的规定，严格履行合同的责任和义务,并保证在招标文件规定的时间完成项目，交付买方验收、使用。</w:t>
      </w:r>
    </w:p>
    <w:p w14:paraId="48979998">
      <w:pPr>
        <w:pStyle w:val="243"/>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7</w:t>
      </w:r>
      <w:r>
        <w:rPr>
          <w:rFonts w:hint="eastAsia" w:ascii="宋体" w:hAnsi="宋体"/>
          <w:color w:val="000000" w:themeColor="text1"/>
          <w:szCs w:val="21"/>
          <w14:textFill>
            <w14:solidFill>
              <w14:schemeClr w14:val="tx1"/>
            </w14:solidFill>
          </w14:textFill>
        </w:rPr>
        <w:t>.与本投标有关的正式通讯地址为：</w:t>
      </w:r>
    </w:p>
    <w:p w14:paraId="54484763">
      <w:pPr>
        <w:pStyle w:val="243"/>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p>
    <w:p w14:paraId="62573164">
      <w:pPr>
        <w:pStyle w:val="243"/>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邮          编：</w:t>
      </w:r>
    </w:p>
    <w:p w14:paraId="50A5CECB">
      <w:pPr>
        <w:pStyle w:val="243"/>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p>
    <w:p w14:paraId="5710087C">
      <w:pPr>
        <w:pStyle w:val="243"/>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传          真：</w:t>
      </w:r>
    </w:p>
    <w:p w14:paraId="3C5A943D">
      <w:pPr>
        <w:pStyle w:val="243"/>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 标 人开户行：</w:t>
      </w:r>
    </w:p>
    <w:p w14:paraId="38F7265D">
      <w:pPr>
        <w:pStyle w:val="243"/>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 </w:t>
      </w:r>
    </w:p>
    <w:p w14:paraId="63BE95F8">
      <w:pPr>
        <w:pStyle w:val="243"/>
        <w:spacing w:before="0" w:after="0" w:line="420" w:lineRule="exact"/>
        <w:ind w:lef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          期：________年____月____日</w:t>
      </w:r>
    </w:p>
    <w:p w14:paraId="25713DC1">
      <w:pPr>
        <w:ind w:firstLine="480"/>
        <w:rPr>
          <w:rFonts w:ascii="Times New Roman" w:hAnsi="Times New Roman"/>
          <w:i/>
          <w:color w:val="000000" w:themeColor="text1"/>
          <w:sz w:val="24"/>
          <w:szCs w:val="24"/>
          <w:u w:val="single"/>
          <w14:textFill>
            <w14:solidFill>
              <w14:schemeClr w14:val="tx1"/>
            </w14:solidFill>
          </w14:textFill>
        </w:rPr>
      </w:pPr>
    </w:p>
    <w:p w14:paraId="546B3881">
      <w:pPr>
        <w:pStyle w:val="14"/>
        <w:ind w:firstLine="482"/>
        <w:rPr>
          <w:color w:val="000000" w:themeColor="text1"/>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p>
    <w:p w14:paraId="02E53704">
      <w:pPr>
        <w:spacing w:line="440" w:lineRule="exact"/>
        <w:ind w:firstLine="562"/>
        <w:jc w:val="center"/>
        <w:outlineLvl w:val="1"/>
        <w:rPr>
          <w:rFonts w:ascii="Times New Roman" w:hAnsi="Times New Roman"/>
          <w:b/>
          <w:bCs/>
          <w:color w:val="000000" w:themeColor="text1"/>
          <w:sz w:val="28"/>
          <w:szCs w:val="28"/>
          <w14:textFill>
            <w14:solidFill>
              <w14:schemeClr w14:val="tx1"/>
            </w14:solidFill>
          </w14:textFill>
        </w:rPr>
      </w:pPr>
      <w:bookmarkStart w:id="238" w:name="_Toc19861"/>
      <w:r>
        <w:rPr>
          <w:rFonts w:hint="eastAsia" w:ascii="Times New Roman" w:hAnsi="Times New Roman"/>
          <w:b/>
          <w:bCs/>
          <w:color w:val="000000" w:themeColor="text1"/>
          <w:sz w:val="28"/>
          <w:szCs w:val="28"/>
          <w14:textFill>
            <w14:solidFill>
              <w14:schemeClr w14:val="tx1"/>
            </w14:solidFill>
          </w14:textFill>
        </w:rPr>
        <w:t>附件17 实质性要求响应及偏离表</w:t>
      </w:r>
      <w:bookmarkEnd w:id="238"/>
    </w:p>
    <w:tbl>
      <w:tblPr>
        <w:tblStyle w:val="39"/>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5"/>
        <w:gridCol w:w="5451"/>
        <w:gridCol w:w="1902"/>
        <w:gridCol w:w="1620"/>
      </w:tblGrid>
      <w:tr w14:paraId="2F98A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9" w:hRule="atLeast"/>
          <w:jc w:val="center"/>
        </w:trPr>
        <w:tc>
          <w:tcPr>
            <w:tcW w:w="885" w:type="dxa"/>
            <w:vAlign w:val="center"/>
          </w:tcPr>
          <w:p w14:paraId="41BA4B23">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5451" w:type="dxa"/>
            <w:vAlign w:val="center"/>
          </w:tcPr>
          <w:p w14:paraId="36803EFE">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服务</w:t>
            </w:r>
            <w:r>
              <w:rPr>
                <w:rFonts w:ascii="宋体" w:hAnsi="宋体"/>
                <w:color w:val="000000" w:themeColor="text1"/>
                <w:sz w:val="24"/>
                <w:szCs w:val="24"/>
                <w14:textFill>
                  <w14:solidFill>
                    <w14:schemeClr w14:val="tx1"/>
                  </w14:solidFill>
                </w14:textFill>
              </w:rPr>
              <w:t>要求和商务要求中的实质性要求</w:t>
            </w:r>
          </w:p>
        </w:tc>
        <w:tc>
          <w:tcPr>
            <w:tcW w:w="1902" w:type="dxa"/>
            <w:vAlign w:val="center"/>
          </w:tcPr>
          <w:p w14:paraId="63B88516">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投标响应情况</w:t>
            </w:r>
          </w:p>
        </w:tc>
        <w:tc>
          <w:tcPr>
            <w:tcW w:w="1620" w:type="dxa"/>
            <w:vAlign w:val="center"/>
          </w:tcPr>
          <w:p w14:paraId="6C954CDE">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超出、符合或偏离</w:t>
            </w:r>
          </w:p>
        </w:tc>
      </w:tr>
      <w:tr w14:paraId="4B6BC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jc w:val="center"/>
        </w:trPr>
        <w:tc>
          <w:tcPr>
            <w:tcW w:w="885" w:type="dxa"/>
            <w:vAlign w:val="center"/>
          </w:tcPr>
          <w:p w14:paraId="0FC27FAE">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5451" w:type="dxa"/>
            <w:vAlign w:val="center"/>
          </w:tcPr>
          <w:p w14:paraId="00153F7B">
            <w:pPr>
              <w:spacing w:line="400" w:lineRule="exact"/>
              <w:rPr>
                <w:iCs/>
                <w:color w:val="000000" w:themeColor="text1"/>
                <w:sz w:val="24"/>
                <w14:textFill>
                  <w14:solidFill>
                    <w14:schemeClr w14:val="tx1"/>
                  </w14:solidFill>
                </w14:textFill>
              </w:rPr>
            </w:pPr>
            <w:r>
              <w:rPr>
                <w:rFonts w:hint="eastAsia" w:ascii="宋体" w:hAnsi="宋体"/>
                <w:i/>
                <w:iCs/>
                <w:color w:val="000000"/>
                <w:kern w:val="2"/>
                <w:sz w:val="24"/>
                <w:szCs w:val="24"/>
                <w:u w:val="single"/>
              </w:rPr>
              <w:t>服务期限：自合同签订之日起一年。</w:t>
            </w:r>
          </w:p>
        </w:tc>
        <w:tc>
          <w:tcPr>
            <w:tcW w:w="1902" w:type="dxa"/>
            <w:vAlign w:val="center"/>
          </w:tcPr>
          <w:p w14:paraId="6AE470A2">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14:paraId="1DA5669F">
            <w:pPr>
              <w:spacing w:line="400" w:lineRule="exact"/>
              <w:jc w:val="center"/>
              <w:rPr>
                <w:rFonts w:ascii="宋体" w:hAnsi="宋体"/>
                <w:color w:val="000000" w:themeColor="text1"/>
                <w:sz w:val="24"/>
                <w:szCs w:val="24"/>
                <w14:textFill>
                  <w14:solidFill>
                    <w14:schemeClr w14:val="tx1"/>
                  </w14:solidFill>
                </w14:textFill>
              </w:rPr>
            </w:pPr>
          </w:p>
        </w:tc>
      </w:tr>
      <w:tr w14:paraId="32E0B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24" w:hRule="atLeast"/>
          <w:jc w:val="center"/>
        </w:trPr>
        <w:tc>
          <w:tcPr>
            <w:tcW w:w="885" w:type="dxa"/>
            <w:vAlign w:val="center"/>
          </w:tcPr>
          <w:p w14:paraId="33E7D164">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5451" w:type="dxa"/>
            <w:vAlign w:val="center"/>
          </w:tcPr>
          <w:p w14:paraId="3E9ED051">
            <w:pPr>
              <w:spacing w:line="400" w:lineRule="exact"/>
              <w:rPr>
                <w:rFonts w:ascii="宋体" w:hAnsi="宋体"/>
                <w:i/>
                <w:iCs/>
                <w:color w:val="000000"/>
                <w:kern w:val="2"/>
                <w:sz w:val="24"/>
                <w:szCs w:val="24"/>
                <w:u w:val="single"/>
              </w:rPr>
            </w:pPr>
            <w:r>
              <w:rPr>
                <w:rFonts w:hint="eastAsia" w:ascii="宋体" w:hAnsi="宋体"/>
                <w:i/>
                <w:iCs/>
                <w:color w:val="000000"/>
                <w:kern w:val="2"/>
                <w:sz w:val="24"/>
                <w:szCs w:val="24"/>
                <w:u w:val="single"/>
              </w:rPr>
              <w:t>1 本项目合同款支付货币：（√）数字人民币，（√）传统实物人民币</w:t>
            </w:r>
          </w:p>
          <w:p w14:paraId="351B6DB7">
            <w:pPr>
              <w:spacing w:line="400" w:lineRule="exact"/>
              <w:rPr>
                <w:rFonts w:ascii="宋体" w:hAnsi="宋体"/>
                <w:i/>
                <w:iCs/>
                <w:color w:val="000000"/>
                <w:kern w:val="2"/>
                <w:sz w:val="24"/>
                <w:szCs w:val="24"/>
                <w:u w:val="single"/>
              </w:rPr>
            </w:pPr>
            <w:r>
              <w:rPr>
                <w:rFonts w:ascii="宋体" w:hAnsi="宋体"/>
                <w:i/>
                <w:iCs/>
                <w:color w:val="000000"/>
                <w:kern w:val="2"/>
                <w:sz w:val="24"/>
                <w:szCs w:val="24"/>
                <w:u w:val="single"/>
              </w:rPr>
              <w:t xml:space="preserve">2 </w:t>
            </w:r>
            <w:r>
              <w:rPr>
                <w:rFonts w:hint="eastAsia" w:ascii="宋体" w:hAnsi="宋体"/>
                <w:i/>
                <w:iCs/>
                <w:color w:val="000000"/>
                <w:kern w:val="2"/>
                <w:sz w:val="24"/>
                <w:szCs w:val="24"/>
                <w:u w:val="single"/>
              </w:rPr>
              <w:t>合同签订后，采购人向中标人预先支付合同金额的10%；</w:t>
            </w:r>
          </w:p>
          <w:p w14:paraId="16DCDC7F">
            <w:pPr>
              <w:spacing w:line="400" w:lineRule="exact"/>
              <w:rPr>
                <w:rFonts w:ascii="宋体" w:hAnsi="宋体"/>
                <w:i/>
                <w:iCs/>
                <w:color w:val="000000"/>
                <w:kern w:val="2"/>
                <w:sz w:val="24"/>
                <w:szCs w:val="24"/>
                <w:u w:val="single"/>
              </w:rPr>
            </w:pPr>
            <w:r>
              <w:rPr>
                <w:rFonts w:ascii="宋体" w:hAnsi="宋体"/>
                <w:i/>
                <w:iCs/>
                <w:color w:val="000000"/>
                <w:kern w:val="2"/>
                <w:sz w:val="24"/>
                <w:szCs w:val="24"/>
                <w:u w:val="single"/>
              </w:rPr>
              <w:t xml:space="preserve">6.3 </w:t>
            </w:r>
            <w:r>
              <w:rPr>
                <w:rFonts w:hint="eastAsia" w:ascii="宋体" w:hAnsi="宋体"/>
                <w:i/>
                <w:iCs/>
                <w:color w:val="000000"/>
                <w:kern w:val="2"/>
                <w:sz w:val="24"/>
                <w:szCs w:val="24"/>
                <w:u w:val="single"/>
              </w:rPr>
              <w:t>服务费由采购人对中标人实行季度考核后，按季度考核结果在月后的30个自然日内支付。考核办法详见附件3《市级河道绿化养护服务考核办法》。</w:t>
            </w:r>
          </w:p>
          <w:p w14:paraId="1CA42790">
            <w:pPr>
              <w:spacing w:line="400" w:lineRule="exact"/>
              <w:rPr>
                <w:rFonts w:ascii="宋体" w:hAnsi="宋体"/>
                <w:bCs/>
                <w:i/>
                <w:iCs/>
                <w:color w:val="000000"/>
                <w:kern w:val="2"/>
                <w:sz w:val="24"/>
                <w:szCs w:val="24"/>
                <w:u w:val="single"/>
              </w:rPr>
            </w:pPr>
            <w:r>
              <w:rPr>
                <w:rFonts w:hint="eastAsia" w:ascii="宋体" w:hAnsi="宋体"/>
                <w:b/>
                <w:bCs/>
                <w:i/>
                <w:iCs/>
                <w:color w:val="000000"/>
                <w:kern w:val="2"/>
                <w:sz w:val="24"/>
                <w:szCs w:val="24"/>
                <w:u w:val="single"/>
              </w:rPr>
              <w:t>注：</w:t>
            </w:r>
            <w:r>
              <w:rPr>
                <w:rFonts w:hint="eastAsia" w:ascii="宋体" w:hAnsi="宋体"/>
                <w:bCs/>
                <w:i/>
                <w:iCs/>
                <w:color w:val="000000"/>
                <w:kern w:val="2"/>
                <w:sz w:val="24"/>
                <w:szCs w:val="24"/>
                <w:u w:val="single"/>
              </w:rPr>
              <w:t>（1）签订合同时，中标人明确表示无需预付款的，可不执行</w:t>
            </w:r>
            <w:r>
              <w:rPr>
                <w:rFonts w:ascii="宋体" w:hAnsi="宋体"/>
                <w:bCs/>
                <w:i/>
                <w:iCs/>
                <w:color w:val="000000"/>
                <w:kern w:val="2"/>
                <w:sz w:val="24"/>
                <w:szCs w:val="24"/>
                <w:u w:val="single"/>
              </w:rPr>
              <w:t>2</w:t>
            </w:r>
            <w:r>
              <w:rPr>
                <w:rFonts w:hint="eastAsia" w:ascii="宋体" w:hAnsi="宋体"/>
                <w:bCs/>
                <w:i/>
                <w:iCs/>
                <w:color w:val="000000"/>
                <w:kern w:val="2"/>
                <w:sz w:val="24"/>
                <w:szCs w:val="24"/>
                <w:u w:val="single"/>
              </w:rPr>
              <w:t>。</w:t>
            </w:r>
          </w:p>
          <w:p w14:paraId="2614FE55">
            <w:pPr>
              <w:spacing w:line="400" w:lineRule="exact"/>
              <w:ind w:firstLine="240" w:firstLineChars="100"/>
              <w:rPr>
                <w:rFonts w:hint="eastAsia" w:ascii="宋体" w:hAnsi="宋体"/>
                <w:bCs/>
                <w:i/>
                <w:iCs/>
                <w:color w:val="000000"/>
                <w:kern w:val="2"/>
                <w:sz w:val="24"/>
                <w:szCs w:val="24"/>
                <w:u w:val="single"/>
              </w:rPr>
            </w:pPr>
            <w:r>
              <w:rPr>
                <w:rFonts w:hint="eastAsia" w:ascii="宋体" w:hAnsi="宋体"/>
                <w:bCs/>
                <w:i/>
                <w:iCs/>
                <w:color w:val="000000"/>
                <w:kern w:val="2"/>
                <w:sz w:val="24"/>
                <w:szCs w:val="24"/>
                <w:u w:val="single"/>
              </w:rPr>
              <w:t>（2）以上每次付款前，中标人均应提供符合采购人要求的同等金额的合法有效发票。否则，采购人有权顺延付款时间，且不承担任何违约或赔偿责任。</w:t>
            </w:r>
          </w:p>
        </w:tc>
        <w:tc>
          <w:tcPr>
            <w:tcW w:w="1902" w:type="dxa"/>
            <w:vAlign w:val="center"/>
          </w:tcPr>
          <w:p w14:paraId="32256518">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14:paraId="2948D708">
            <w:pPr>
              <w:spacing w:line="400" w:lineRule="exact"/>
              <w:jc w:val="center"/>
              <w:rPr>
                <w:rFonts w:ascii="宋体" w:hAnsi="宋体"/>
                <w:color w:val="000000" w:themeColor="text1"/>
                <w:sz w:val="24"/>
                <w:szCs w:val="24"/>
                <w14:textFill>
                  <w14:solidFill>
                    <w14:schemeClr w14:val="tx1"/>
                  </w14:solidFill>
                </w14:textFill>
              </w:rPr>
            </w:pPr>
          </w:p>
        </w:tc>
      </w:tr>
      <w:tr w14:paraId="68599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885" w:type="dxa"/>
            <w:vAlign w:val="center"/>
          </w:tcPr>
          <w:p w14:paraId="23FA2D6F">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tc>
        <w:tc>
          <w:tcPr>
            <w:tcW w:w="5451" w:type="dxa"/>
            <w:vAlign w:val="center"/>
          </w:tcPr>
          <w:p w14:paraId="51E0497B">
            <w:pPr>
              <w:spacing w:line="400" w:lineRule="exact"/>
              <w:rPr>
                <w:rFonts w:hint="eastAsia" w:ascii="宋体" w:hAnsi="宋体"/>
                <w:i/>
                <w:iCs/>
                <w:color w:val="000000"/>
                <w:kern w:val="2"/>
                <w:sz w:val="24"/>
                <w:szCs w:val="24"/>
                <w:u w:val="single"/>
              </w:rPr>
            </w:pPr>
            <w:r>
              <w:rPr>
                <w:rFonts w:hint="eastAsia" w:ascii="宋体" w:hAnsi="宋体"/>
                <w:i/>
                <w:iCs/>
                <w:color w:val="000000"/>
                <w:kern w:val="2"/>
                <w:sz w:val="24"/>
                <w:szCs w:val="24"/>
                <w:u w:val="single"/>
              </w:rPr>
              <w:t>投标人</w:t>
            </w:r>
            <w:r>
              <w:rPr>
                <w:rFonts w:ascii="宋体" w:hAnsi="宋体"/>
                <w:i/>
                <w:iCs/>
                <w:color w:val="000000"/>
                <w:kern w:val="2"/>
                <w:sz w:val="24"/>
                <w:szCs w:val="24"/>
                <w:u w:val="single"/>
              </w:rPr>
              <w:t>需在合同履行日前五日派员对管理现场进行熟悉情况和办理交接手续，相关费用包含在</w:t>
            </w:r>
            <w:r>
              <w:rPr>
                <w:rFonts w:hint="eastAsia" w:ascii="宋体" w:hAnsi="宋体"/>
                <w:i/>
                <w:iCs/>
                <w:color w:val="000000"/>
                <w:kern w:val="2"/>
                <w:sz w:val="24"/>
                <w:szCs w:val="24"/>
                <w:u w:val="single"/>
              </w:rPr>
              <w:t>投标总价</w:t>
            </w:r>
            <w:r>
              <w:rPr>
                <w:rFonts w:ascii="宋体" w:hAnsi="宋体"/>
                <w:i/>
                <w:iCs/>
                <w:color w:val="000000"/>
                <w:kern w:val="2"/>
                <w:sz w:val="24"/>
                <w:szCs w:val="24"/>
                <w:u w:val="single"/>
              </w:rPr>
              <w:t>中。</w:t>
            </w:r>
          </w:p>
        </w:tc>
        <w:tc>
          <w:tcPr>
            <w:tcW w:w="1902" w:type="dxa"/>
            <w:vAlign w:val="center"/>
          </w:tcPr>
          <w:p w14:paraId="771410F5">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14:paraId="510FD6AB">
            <w:pPr>
              <w:spacing w:line="400" w:lineRule="exact"/>
              <w:jc w:val="center"/>
              <w:rPr>
                <w:rFonts w:ascii="宋体" w:hAnsi="宋体"/>
                <w:color w:val="000000" w:themeColor="text1"/>
                <w:sz w:val="24"/>
                <w:szCs w:val="24"/>
                <w14:textFill>
                  <w14:solidFill>
                    <w14:schemeClr w14:val="tx1"/>
                  </w14:solidFill>
                </w14:textFill>
              </w:rPr>
            </w:pPr>
          </w:p>
        </w:tc>
      </w:tr>
      <w:tr w14:paraId="0F4B5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885" w:type="dxa"/>
            <w:vAlign w:val="center"/>
          </w:tcPr>
          <w:p w14:paraId="665AFA10">
            <w:pPr>
              <w:spacing w:line="400" w:lineRule="exac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p>
        </w:tc>
        <w:tc>
          <w:tcPr>
            <w:tcW w:w="5451" w:type="dxa"/>
            <w:vAlign w:val="center"/>
          </w:tcPr>
          <w:p w14:paraId="5E650E46">
            <w:pPr>
              <w:spacing w:line="400" w:lineRule="exact"/>
              <w:rPr>
                <w:rFonts w:hint="eastAsia" w:ascii="宋体" w:hAnsi="宋体"/>
                <w:i/>
                <w:iCs/>
                <w:color w:val="000000"/>
                <w:kern w:val="2"/>
                <w:sz w:val="24"/>
                <w:szCs w:val="24"/>
                <w:u w:val="single"/>
              </w:rPr>
            </w:pPr>
            <w:r>
              <w:rPr>
                <w:rFonts w:hint="eastAsia" w:ascii="宋体" w:hAnsi="宋体"/>
                <w:i/>
                <w:iCs/>
                <w:color w:val="000000"/>
                <w:kern w:val="2"/>
                <w:sz w:val="24"/>
                <w:szCs w:val="24"/>
                <w:u w:val="single"/>
              </w:rPr>
              <w:t>投标人</w:t>
            </w:r>
            <w:r>
              <w:rPr>
                <w:rFonts w:ascii="宋体" w:hAnsi="宋体"/>
                <w:i/>
                <w:iCs/>
                <w:color w:val="000000"/>
                <w:kern w:val="2"/>
                <w:sz w:val="24"/>
                <w:szCs w:val="24"/>
                <w:u w:val="single"/>
              </w:rPr>
              <w:t>必须遵守劳动法，依法规范用工，全员购买意外险。</w:t>
            </w:r>
          </w:p>
        </w:tc>
        <w:tc>
          <w:tcPr>
            <w:tcW w:w="1902" w:type="dxa"/>
            <w:vAlign w:val="center"/>
          </w:tcPr>
          <w:p w14:paraId="4B4AFF54">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14:paraId="4704285A">
            <w:pPr>
              <w:spacing w:line="400" w:lineRule="exact"/>
              <w:jc w:val="center"/>
              <w:rPr>
                <w:rFonts w:ascii="宋体" w:hAnsi="宋体"/>
                <w:color w:val="000000" w:themeColor="text1"/>
                <w:sz w:val="24"/>
                <w:szCs w:val="24"/>
                <w14:textFill>
                  <w14:solidFill>
                    <w14:schemeClr w14:val="tx1"/>
                  </w14:solidFill>
                </w14:textFill>
              </w:rPr>
            </w:pPr>
          </w:p>
        </w:tc>
      </w:tr>
      <w:tr w14:paraId="0678A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885" w:type="dxa"/>
            <w:vAlign w:val="center"/>
          </w:tcPr>
          <w:p w14:paraId="0CF36D3D">
            <w:pPr>
              <w:spacing w:line="400" w:lineRule="exac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p>
        </w:tc>
        <w:tc>
          <w:tcPr>
            <w:tcW w:w="5451" w:type="dxa"/>
            <w:vAlign w:val="center"/>
          </w:tcPr>
          <w:p w14:paraId="2E6122E0">
            <w:pPr>
              <w:spacing w:line="400" w:lineRule="exact"/>
              <w:rPr>
                <w:rFonts w:ascii="宋体" w:hAnsi="宋体"/>
                <w:b/>
                <w:iCs/>
                <w:color w:val="000000" w:themeColor="text1"/>
                <w:sz w:val="24"/>
                <w:szCs w:val="24"/>
                <w:u w:val="single"/>
                <w14:textFill>
                  <w14:solidFill>
                    <w14:schemeClr w14:val="tx1"/>
                  </w14:solidFill>
                </w14:textFill>
              </w:rPr>
            </w:pPr>
            <w:r>
              <w:rPr>
                <w:rFonts w:ascii="宋体" w:hAnsi="宋体"/>
                <w:i/>
                <w:iCs/>
                <w:color w:val="000000"/>
                <w:kern w:val="2"/>
                <w:sz w:val="24"/>
                <w:szCs w:val="24"/>
                <w:u w:val="single"/>
              </w:rPr>
              <w:t>所有服务项目参照《江苏省城市园林绿化植物种植技术规定（试行）》、《常熟市绿地养护质量标准》（详见附件2）及各项规章制度等内容进行管理，并且不局限于以上要求内容。</w:t>
            </w:r>
          </w:p>
        </w:tc>
        <w:tc>
          <w:tcPr>
            <w:tcW w:w="1902" w:type="dxa"/>
            <w:vAlign w:val="center"/>
          </w:tcPr>
          <w:p w14:paraId="2F3719E3">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14:paraId="70899CA9">
            <w:pPr>
              <w:spacing w:line="400" w:lineRule="exact"/>
              <w:jc w:val="center"/>
              <w:rPr>
                <w:rFonts w:ascii="宋体" w:hAnsi="宋体"/>
                <w:color w:val="000000" w:themeColor="text1"/>
                <w:sz w:val="24"/>
                <w:szCs w:val="24"/>
                <w14:textFill>
                  <w14:solidFill>
                    <w14:schemeClr w14:val="tx1"/>
                  </w14:solidFill>
                </w14:textFill>
              </w:rPr>
            </w:pPr>
          </w:p>
        </w:tc>
      </w:tr>
      <w:tr w14:paraId="5E3D7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885" w:type="dxa"/>
            <w:vAlign w:val="center"/>
          </w:tcPr>
          <w:p w14:paraId="3A9C4AB9">
            <w:pPr>
              <w:spacing w:line="400" w:lineRule="exac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w:t>
            </w:r>
          </w:p>
        </w:tc>
        <w:tc>
          <w:tcPr>
            <w:tcW w:w="5451" w:type="dxa"/>
            <w:vAlign w:val="center"/>
          </w:tcPr>
          <w:p w14:paraId="08BE0D93">
            <w:pPr>
              <w:spacing w:line="400" w:lineRule="exact"/>
              <w:rPr>
                <w:rFonts w:ascii="宋体" w:hAnsi="宋体"/>
                <w:i/>
                <w:iCs/>
                <w:color w:val="000000"/>
                <w:kern w:val="2"/>
                <w:sz w:val="24"/>
                <w:szCs w:val="24"/>
                <w:u w:val="single"/>
              </w:rPr>
            </w:pPr>
            <w:r>
              <w:rPr>
                <w:rFonts w:ascii="宋体" w:hAnsi="宋体"/>
                <w:i/>
                <w:iCs/>
                <w:color w:val="000000"/>
                <w:kern w:val="2"/>
                <w:sz w:val="24"/>
                <w:szCs w:val="24"/>
                <w:u w:val="single"/>
              </w:rPr>
              <w:t>禁止使用65周岁</w:t>
            </w:r>
            <w:r>
              <w:rPr>
                <w:rFonts w:hint="eastAsia" w:ascii="宋体" w:hAnsi="宋体"/>
                <w:i/>
                <w:iCs/>
                <w:color w:val="000000"/>
                <w:kern w:val="2"/>
                <w:sz w:val="24"/>
                <w:szCs w:val="24"/>
                <w:u w:val="single"/>
              </w:rPr>
              <w:t>（不含）</w:t>
            </w:r>
            <w:r>
              <w:rPr>
                <w:rFonts w:ascii="宋体" w:hAnsi="宋体"/>
                <w:i/>
                <w:iCs/>
                <w:color w:val="000000"/>
                <w:kern w:val="2"/>
                <w:sz w:val="24"/>
                <w:szCs w:val="24"/>
                <w:u w:val="single"/>
              </w:rPr>
              <w:t>以上人员（项目负责人为法定代表人的除外）。</w:t>
            </w:r>
          </w:p>
        </w:tc>
        <w:tc>
          <w:tcPr>
            <w:tcW w:w="1902" w:type="dxa"/>
            <w:vAlign w:val="center"/>
          </w:tcPr>
          <w:p w14:paraId="06090C16">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14:paraId="50A4D463">
            <w:pPr>
              <w:spacing w:line="400" w:lineRule="exact"/>
              <w:jc w:val="center"/>
              <w:rPr>
                <w:rFonts w:ascii="宋体" w:hAnsi="宋体"/>
                <w:color w:val="000000" w:themeColor="text1"/>
                <w:sz w:val="24"/>
                <w:szCs w:val="24"/>
                <w14:textFill>
                  <w14:solidFill>
                    <w14:schemeClr w14:val="tx1"/>
                  </w14:solidFill>
                </w14:textFill>
              </w:rPr>
            </w:pPr>
          </w:p>
        </w:tc>
      </w:tr>
    </w:tbl>
    <w:p w14:paraId="2C3551BA">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备注</w:t>
      </w:r>
      <w:r>
        <w:rPr>
          <w:rFonts w:ascii="宋体" w:hAnsi="宋体"/>
          <w:color w:val="000000" w:themeColor="text1"/>
          <w:sz w:val="24"/>
          <w:szCs w:val="24"/>
          <w14:textFill>
            <w14:solidFill>
              <w14:schemeClr w14:val="tx1"/>
            </w14:solidFill>
          </w14:textFill>
        </w:rPr>
        <w:t>：</w:t>
      </w:r>
    </w:p>
    <w:p w14:paraId="30DA2CFD">
      <w:pPr>
        <w:spacing w:line="40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1.投标人必须</w:t>
      </w:r>
      <w:r>
        <w:rPr>
          <w:rFonts w:ascii="宋体" w:hAnsi="宋体"/>
          <w:color w:val="000000" w:themeColor="text1"/>
          <w:sz w:val="24"/>
          <w:szCs w:val="24"/>
          <w14:textFill>
            <w14:solidFill>
              <w14:schemeClr w14:val="tx1"/>
            </w14:solidFill>
          </w14:textFill>
        </w:rPr>
        <w:t>对技术</w:t>
      </w:r>
      <w:r>
        <w:rPr>
          <w:rFonts w:hint="eastAsia" w:ascii="宋体" w:hAnsi="宋体"/>
          <w:color w:val="000000" w:themeColor="text1"/>
          <w:sz w:val="24"/>
          <w:szCs w:val="24"/>
          <w14:textFill>
            <w14:solidFill>
              <w14:schemeClr w14:val="tx1"/>
            </w14:solidFill>
          </w14:textFill>
        </w:rPr>
        <w:t>要求</w:t>
      </w:r>
      <w:r>
        <w:rPr>
          <w:rFonts w:ascii="宋体" w:hAnsi="宋体"/>
          <w:color w:val="000000" w:themeColor="text1"/>
          <w:sz w:val="24"/>
          <w:szCs w:val="24"/>
          <w14:textFill>
            <w14:solidFill>
              <w14:schemeClr w14:val="tx1"/>
            </w14:solidFill>
          </w14:textFill>
        </w:rPr>
        <w:t>和商务要求中的实质性要求逐条做出明确响应</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14:textFill>
            <w14:solidFill>
              <w14:schemeClr w14:val="tx1"/>
            </w14:solidFill>
          </w14:textFill>
        </w:rPr>
        <w:t>否则作无效投标处理</w:t>
      </w:r>
      <w:r>
        <w:rPr>
          <w:rFonts w:ascii="宋体" w:hAnsi="宋体"/>
          <w:color w:val="000000" w:themeColor="text1"/>
          <w:sz w:val="24"/>
          <w14:textFill>
            <w14:solidFill>
              <w14:schemeClr w14:val="tx1"/>
            </w14:solidFill>
          </w14:textFill>
        </w:rPr>
        <w:t>。</w:t>
      </w:r>
    </w:p>
    <w:p w14:paraId="794C5CF4">
      <w:pPr>
        <w:spacing w:line="400" w:lineRule="exact"/>
        <w:ind w:firstLine="480" w:firstLineChars="200"/>
        <w:rPr>
          <w:color w:val="000000" w:themeColor="text1"/>
          <w14:textFill>
            <w14:solidFill>
              <w14:schemeClr w14:val="tx1"/>
            </w14:solidFill>
          </w14:textFill>
        </w:rPr>
      </w:pP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.投标人未对实质性要求逐条作出明确响应的，或未按招标文件要求提供证明材料（如有）的，该项目作无效投标处理。</w:t>
      </w:r>
    </w:p>
    <w:sectPr>
      <w:headerReference r:id="rId3" w:type="default"/>
      <w:footerReference r:id="rId4" w:type="default"/>
      <w:footerReference r:id="rId5" w:type="even"/>
      <w:pgSz w:w="11906" w:h="16838"/>
      <w:pgMar w:top="771" w:right="720" w:bottom="993" w:left="720" w:header="231" w:footer="45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FD4BD">
    <w:pPr>
      <w:pStyle w:val="293"/>
      <w:framePr w:wrap="around" w:vAnchor="text" w:hAnchor="margin" w:xAlign="center" w:y="1"/>
      <w:ind w:firstLine="360"/>
      <w:rPr>
        <w:rStyle w:val="221"/>
        <w:rFonts w:ascii="宋体" w:hAnsi="宋体"/>
      </w:rPr>
    </w:pPr>
    <w:r>
      <w:rPr>
        <w:rFonts w:ascii="宋体" w:hAnsi="宋体"/>
      </w:rPr>
      <w:fldChar w:fldCharType="begin"/>
    </w:r>
    <w:r>
      <w:rPr>
        <w:rStyle w:val="221"/>
        <w:rFonts w:ascii="宋体" w:hAnsi="宋体"/>
      </w:rPr>
      <w:instrText xml:space="preserve">PAGE  </w:instrText>
    </w:r>
    <w:r>
      <w:rPr>
        <w:rFonts w:ascii="宋体" w:hAnsi="宋体"/>
      </w:rPr>
      <w:fldChar w:fldCharType="separate"/>
    </w:r>
    <w:r>
      <w:rPr>
        <w:rStyle w:val="221"/>
        <w:rFonts w:ascii="宋体" w:hAnsi="宋体"/>
      </w:rPr>
      <w:t>3</w:t>
    </w:r>
    <w:r>
      <w:rPr>
        <w:rFonts w:ascii="宋体" w:hAnsi="宋体"/>
      </w:rPr>
      <w:fldChar w:fldCharType="end"/>
    </w:r>
  </w:p>
  <w:p w14:paraId="48A50EDD"/>
  <w:p w14:paraId="5E91377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F6F07">
    <w:pPr>
      <w:pStyle w:val="293"/>
      <w:framePr w:wrap="around" w:vAnchor="text" w:hAnchor="margin" w:xAlign="center" w:y="1"/>
      <w:ind w:firstLine="360"/>
      <w:rPr>
        <w:rStyle w:val="221"/>
      </w:rPr>
    </w:pPr>
    <w:r>
      <w:fldChar w:fldCharType="begin"/>
    </w:r>
    <w:r>
      <w:rPr>
        <w:rStyle w:val="221"/>
      </w:rPr>
      <w:instrText xml:space="preserve">PAGE  </w:instrText>
    </w:r>
    <w:r>
      <w:fldChar w:fldCharType="separate"/>
    </w:r>
    <w:r>
      <w:rPr>
        <w:rStyle w:val="221"/>
      </w:rPr>
      <w:t>1</w:t>
    </w:r>
    <w:r>
      <w:fldChar w:fldCharType="end"/>
    </w:r>
  </w:p>
  <w:p w14:paraId="571622A5">
    <w:pPr>
      <w:pStyle w:val="293"/>
      <w:ind w:firstLine="360"/>
    </w:pPr>
  </w:p>
  <w:p w14:paraId="7CF7B18D"/>
  <w:p w14:paraId="2168FAAA"/>
  <w:p w14:paraId="598917BF"/>
  <w:p w14:paraId="61D702FA"/>
  <w:p w14:paraId="455C5C73"/>
  <w:p w14:paraId="71F4E83D"/>
  <w:p w14:paraId="572D04D9"/>
  <w:p w14:paraId="381BF061"/>
  <w:p w14:paraId="4996AF7E"/>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8C002">
    <w:pPr>
      <w:pStyle w:val="291"/>
      <w:ind w:firstLine="360"/>
    </w:pPr>
  </w:p>
  <w:p w14:paraId="41096C4B"/>
  <w:p w14:paraId="37A5F13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0"/>
      <w:suff w:val="nothing"/>
      <w:lvlText w:val=""/>
      <w:lvlJc w:val="left"/>
      <w:pPr>
        <w:ind w:left="0" w:firstLine="0"/>
      </w:pPr>
      <w:rPr>
        <w:rFonts w:hint="eastAsia"/>
      </w:rPr>
    </w:lvl>
    <w:lvl w:ilvl="6" w:tentative="0">
      <w:start w:val="1"/>
      <w:numFmt w:val="decimal"/>
      <w:pStyle w:val="201"/>
      <w:suff w:val="nothing"/>
      <w:lvlText w:val=""/>
      <w:lvlJc w:val="left"/>
      <w:pPr>
        <w:ind w:left="0" w:firstLine="0"/>
      </w:pPr>
      <w:rPr>
        <w:rFonts w:hint="eastAsia"/>
      </w:rPr>
    </w:lvl>
    <w:lvl w:ilvl="7" w:tentative="0">
      <w:start w:val="1"/>
      <w:numFmt w:val="decimal"/>
      <w:pStyle w:val="202"/>
      <w:suff w:val="nothing"/>
      <w:lvlText w:val=""/>
      <w:lvlJc w:val="left"/>
      <w:pPr>
        <w:ind w:left="0" w:firstLine="0"/>
      </w:pPr>
      <w:rPr>
        <w:rFonts w:hint="eastAsia"/>
      </w:rPr>
    </w:lvl>
    <w:lvl w:ilvl="8" w:tentative="0">
      <w:start w:val="1"/>
      <w:numFmt w:val="decimal"/>
      <w:pStyle w:val="203"/>
      <w:suff w:val="nothing"/>
      <w:lvlText w:val=""/>
      <w:lvlJc w:val="left"/>
      <w:pPr>
        <w:ind w:left="0" w:firstLine="0"/>
      </w:pPr>
      <w:rPr>
        <w:rFonts w:hint="eastAsia"/>
      </w:rPr>
    </w:lvl>
  </w:abstractNum>
  <w:abstractNum w:abstractNumId="1">
    <w:nsid w:val="F4B5D9F5"/>
    <w:multiLevelType w:val="multilevel"/>
    <w:tmpl w:val="F4B5D9F5"/>
    <w:lvl w:ilvl="0" w:tentative="0">
      <w:start w:val="1"/>
      <w:numFmt w:val="decimal"/>
      <w:pStyle w:val="26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2470EC97"/>
    <w:multiLevelType w:val="multilevel"/>
    <w:tmpl w:val="2470EC97"/>
    <w:lvl w:ilvl="0" w:tentative="0">
      <w:start w:val="1"/>
      <w:numFmt w:val="decimal"/>
      <w:pStyle w:val="337"/>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D4DC07F"/>
    <w:multiLevelType w:val="multilevel"/>
    <w:tmpl w:val="4D4DC07F"/>
    <w:lvl w:ilvl="0" w:tentative="0">
      <w:start w:val="1"/>
      <w:numFmt w:val="upperLetter"/>
      <w:pStyle w:val="24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k3MTdjNThmYmFiMzk4YzUzYmQxMjY2N2VlNjk0MTYifQ=="/>
  </w:docVars>
  <w:rsids>
    <w:rsidRoot w:val="00547490"/>
    <w:rsid w:val="00026105"/>
    <w:rsid w:val="00043BC3"/>
    <w:rsid w:val="00045B1C"/>
    <w:rsid w:val="000468B3"/>
    <w:rsid w:val="00060CA1"/>
    <w:rsid w:val="000740A4"/>
    <w:rsid w:val="000762E2"/>
    <w:rsid w:val="000C1C36"/>
    <w:rsid w:val="000C7D4B"/>
    <w:rsid w:val="001271F0"/>
    <w:rsid w:val="0014683F"/>
    <w:rsid w:val="001911AE"/>
    <w:rsid w:val="001B0FB3"/>
    <w:rsid w:val="001B461D"/>
    <w:rsid w:val="001E4689"/>
    <w:rsid w:val="00203A73"/>
    <w:rsid w:val="002424E1"/>
    <w:rsid w:val="00244355"/>
    <w:rsid w:val="00244B15"/>
    <w:rsid w:val="002610F9"/>
    <w:rsid w:val="00282C60"/>
    <w:rsid w:val="002A0B39"/>
    <w:rsid w:val="002A20A9"/>
    <w:rsid w:val="002A23FA"/>
    <w:rsid w:val="002C54A3"/>
    <w:rsid w:val="002F7716"/>
    <w:rsid w:val="003057C6"/>
    <w:rsid w:val="0034153D"/>
    <w:rsid w:val="003723C8"/>
    <w:rsid w:val="003B6343"/>
    <w:rsid w:val="00400F30"/>
    <w:rsid w:val="004021BA"/>
    <w:rsid w:val="0042712A"/>
    <w:rsid w:val="004309EA"/>
    <w:rsid w:val="00455E49"/>
    <w:rsid w:val="0045607D"/>
    <w:rsid w:val="00456298"/>
    <w:rsid w:val="0046726F"/>
    <w:rsid w:val="00490BEC"/>
    <w:rsid w:val="00497019"/>
    <w:rsid w:val="004B02E0"/>
    <w:rsid w:val="004B4DE0"/>
    <w:rsid w:val="00534212"/>
    <w:rsid w:val="00547490"/>
    <w:rsid w:val="00553F7A"/>
    <w:rsid w:val="005B19EF"/>
    <w:rsid w:val="005E4920"/>
    <w:rsid w:val="006268A0"/>
    <w:rsid w:val="00643F57"/>
    <w:rsid w:val="006479E8"/>
    <w:rsid w:val="006560F7"/>
    <w:rsid w:val="0067578B"/>
    <w:rsid w:val="006851CB"/>
    <w:rsid w:val="006B037E"/>
    <w:rsid w:val="006B3205"/>
    <w:rsid w:val="006C0522"/>
    <w:rsid w:val="006E2EE2"/>
    <w:rsid w:val="006F3B3E"/>
    <w:rsid w:val="00707A86"/>
    <w:rsid w:val="00721CC7"/>
    <w:rsid w:val="00724F93"/>
    <w:rsid w:val="00727120"/>
    <w:rsid w:val="00735A76"/>
    <w:rsid w:val="00763FC2"/>
    <w:rsid w:val="007A3911"/>
    <w:rsid w:val="007C5395"/>
    <w:rsid w:val="007C7652"/>
    <w:rsid w:val="007E5568"/>
    <w:rsid w:val="00812DCD"/>
    <w:rsid w:val="00813728"/>
    <w:rsid w:val="00814A21"/>
    <w:rsid w:val="00820B94"/>
    <w:rsid w:val="0082376E"/>
    <w:rsid w:val="00833208"/>
    <w:rsid w:val="0084065D"/>
    <w:rsid w:val="00860DDF"/>
    <w:rsid w:val="00895D26"/>
    <w:rsid w:val="00897223"/>
    <w:rsid w:val="008A1C1B"/>
    <w:rsid w:val="008C2BE0"/>
    <w:rsid w:val="008C3BC9"/>
    <w:rsid w:val="00964D43"/>
    <w:rsid w:val="009664C3"/>
    <w:rsid w:val="0098348C"/>
    <w:rsid w:val="00986ED3"/>
    <w:rsid w:val="009A741C"/>
    <w:rsid w:val="009C15A4"/>
    <w:rsid w:val="00A02E1F"/>
    <w:rsid w:val="00A13287"/>
    <w:rsid w:val="00A140D2"/>
    <w:rsid w:val="00A252BA"/>
    <w:rsid w:val="00A35740"/>
    <w:rsid w:val="00A4526A"/>
    <w:rsid w:val="00A633BC"/>
    <w:rsid w:val="00A74427"/>
    <w:rsid w:val="00A77F95"/>
    <w:rsid w:val="00AB3D28"/>
    <w:rsid w:val="00B00B83"/>
    <w:rsid w:val="00B07017"/>
    <w:rsid w:val="00B81A59"/>
    <w:rsid w:val="00BB0F12"/>
    <w:rsid w:val="00BB4B17"/>
    <w:rsid w:val="00BD6EE9"/>
    <w:rsid w:val="00C2120A"/>
    <w:rsid w:val="00C21AAF"/>
    <w:rsid w:val="00C5663B"/>
    <w:rsid w:val="00C76D2D"/>
    <w:rsid w:val="00C93FDA"/>
    <w:rsid w:val="00C9503D"/>
    <w:rsid w:val="00CE2C5C"/>
    <w:rsid w:val="00CE69F0"/>
    <w:rsid w:val="00CE7480"/>
    <w:rsid w:val="00D109FB"/>
    <w:rsid w:val="00D33C8A"/>
    <w:rsid w:val="00D46F6A"/>
    <w:rsid w:val="00D50305"/>
    <w:rsid w:val="00D5325F"/>
    <w:rsid w:val="00D7055F"/>
    <w:rsid w:val="00D90F54"/>
    <w:rsid w:val="00D973E5"/>
    <w:rsid w:val="00DA29A0"/>
    <w:rsid w:val="00DB088D"/>
    <w:rsid w:val="00DB2436"/>
    <w:rsid w:val="00DB483A"/>
    <w:rsid w:val="00DB5CF9"/>
    <w:rsid w:val="00DE4ED5"/>
    <w:rsid w:val="00E12348"/>
    <w:rsid w:val="00E25962"/>
    <w:rsid w:val="00E61A4C"/>
    <w:rsid w:val="00E740AB"/>
    <w:rsid w:val="00EB5C5C"/>
    <w:rsid w:val="00EE3AFE"/>
    <w:rsid w:val="00F249D2"/>
    <w:rsid w:val="00F437E9"/>
    <w:rsid w:val="00FA51C9"/>
    <w:rsid w:val="00FB5444"/>
    <w:rsid w:val="00FB5B48"/>
    <w:rsid w:val="0129393B"/>
    <w:rsid w:val="0ECA1208"/>
    <w:rsid w:val="0EF71728"/>
    <w:rsid w:val="118058B6"/>
    <w:rsid w:val="169532E2"/>
    <w:rsid w:val="1B105084"/>
    <w:rsid w:val="28B8078C"/>
    <w:rsid w:val="28BA66AB"/>
    <w:rsid w:val="2B164EBE"/>
    <w:rsid w:val="2B603FDB"/>
    <w:rsid w:val="2FBA4E18"/>
    <w:rsid w:val="35601CE2"/>
    <w:rsid w:val="3C2D1349"/>
    <w:rsid w:val="3F3C6397"/>
    <w:rsid w:val="413C68CF"/>
    <w:rsid w:val="4379287D"/>
    <w:rsid w:val="48A82480"/>
    <w:rsid w:val="4D866DD2"/>
    <w:rsid w:val="4DA61958"/>
    <w:rsid w:val="53643744"/>
    <w:rsid w:val="56C87791"/>
    <w:rsid w:val="5A6227F3"/>
    <w:rsid w:val="5C572E90"/>
    <w:rsid w:val="5D202C90"/>
    <w:rsid w:val="5D806300"/>
    <w:rsid w:val="5E4B11E6"/>
    <w:rsid w:val="618C17C7"/>
    <w:rsid w:val="6A7F5903"/>
    <w:rsid w:val="6C6B1B28"/>
    <w:rsid w:val="6DF01748"/>
    <w:rsid w:val="6E68362E"/>
    <w:rsid w:val="71C36ED0"/>
    <w:rsid w:val="74451476"/>
    <w:rsid w:val="745A130C"/>
    <w:rsid w:val="784A163F"/>
    <w:rsid w:val="78A80604"/>
    <w:rsid w:val="79841ED7"/>
    <w:rsid w:val="7E3B65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361"/>
    <w:semiHidden/>
    <w:unhideWhenUsed/>
    <w:qFormat/>
    <w:uiPriority w:val="99"/>
    <w:pPr>
      <w:jc w:val="left"/>
    </w:pPr>
  </w:style>
  <w:style w:type="paragraph" w:styleId="14">
    <w:name w:val="Body Text"/>
    <w:basedOn w:val="1"/>
    <w:qFormat/>
    <w:uiPriority w:val="0"/>
    <w:rPr>
      <w:rFonts w:ascii="楷体_GB2312" w:hAnsi="Arial" w:eastAsia="楷体_GB2312"/>
      <w:sz w:val="28"/>
    </w:rPr>
  </w:style>
  <w:style w:type="paragraph" w:styleId="15">
    <w:name w:val="Body Text Indent"/>
    <w:basedOn w:val="1"/>
    <w:qFormat/>
    <w:uiPriority w:val="0"/>
    <w:pPr>
      <w:adjustRightInd w:val="0"/>
      <w:spacing w:line="312" w:lineRule="atLeast"/>
      <w:ind w:firstLine="574"/>
      <w:textAlignment w:val="baseline"/>
    </w:pPr>
    <w:rPr>
      <w:rFonts w:ascii="宋体"/>
      <w:sz w:val="28"/>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Date"/>
    <w:basedOn w:val="1"/>
    <w:next w:val="1"/>
    <w:qFormat/>
    <w:uiPriority w:val="0"/>
    <w:pPr>
      <w:adjustRightInd w:val="0"/>
      <w:spacing w:line="312" w:lineRule="atLeast"/>
      <w:textAlignment w:val="baseline"/>
    </w:pPr>
    <w:rPr>
      <w:rFonts w:ascii="宋体"/>
      <w:sz w:val="28"/>
    </w:rPr>
  </w:style>
  <w:style w:type="paragraph" w:styleId="20">
    <w:name w:val="endnote text"/>
    <w:basedOn w:val="1"/>
    <w:link w:val="192"/>
    <w:semiHidden/>
    <w:unhideWhenUsed/>
    <w:qFormat/>
    <w:uiPriority w:val="99"/>
    <w:rPr>
      <w:sz w:val="20"/>
    </w:rPr>
  </w:style>
  <w:style w:type="paragraph" w:styleId="21">
    <w:name w:val="Balloon Text"/>
    <w:basedOn w:val="1"/>
    <w:link w:val="363"/>
    <w:semiHidden/>
    <w:unhideWhenUsed/>
    <w:qFormat/>
    <w:uiPriority w:val="99"/>
    <w:rPr>
      <w:sz w:val="18"/>
      <w:szCs w:val="18"/>
    </w:rPr>
  </w:style>
  <w:style w:type="paragraph" w:styleId="22">
    <w:name w:val="footer"/>
    <w:basedOn w:val="1"/>
    <w:link w:val="65"/>
    <w:unhideWhenUsed/>
    <w:qFormat/>
    <w:uiPriority w:val="99"/>
    <w:pPr>
      <w:tabs>
        <w:tab w:val="center" w:pos="7143"/>
        <w:tab w:val="right" w:pos="14287"/>
      </w:tabs>
    </w:pPr>
  </w:style>
  <w:style w:type="paragraph" w:styleId="23">
    <w:name w:val="envelope return"/>
    <w:basedOn w:val="1"/>
    <w:qFormat/>
    <w:uiPriority w:val="0"/>
    <w:pPr>
      <w:snapToGrid w:val="0"/>
    </w:pPr>
    <w:rPr>
      <w:rFonts w:ascii="Arial" w:hAnsi="Arial"/>
    </w:rPr>
  </w:style>
  <w:style w:type="paragraph" w:styleId="24">
    <w:name w:val="header"/>
    <w:basedOn w:val="1"/>
    <w:link w:val="63"/>
    <w:unhideWhenUsed/>
    <w:qFormat/>
    <w:uiPriority w:val="99"/>
    <w:pPr>
      <w:tabs>
        <w:tab w:val="center" w:pos="7143"/>
        <w:tab w:val="right" w:pos="14287"/>
      </w:tabs>
    </w:pPr>
  </w:style>
  <w:style w:type="paragraph" w:styleId="25">
    <w:name w:val="Signature"/>
    <w:basedOn w:val="1"/>
    <w:qFormat/>
    <w:uiPriority w:val="0"/>
    <w:pPr>
      <w:adjustRightInd w:val="0"/>
      <w:spacing w:after="600" w:line="312" w:lineRule="atLeast"/>
      <w:jc w:val="center"/>
      <w:textAlignment w:val="baseline"/>
    </w:pPr>
    <w:rPr>
      <w:rFonts w:eastAsia="仿宋_GB2312"/>
      <w:sz w:val="24"/>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8"/>
    <w:qFormat/>
    <w:uiPriority w:val="11"/>
    <w:pPr>
      <w:spacing w:before="200" w:after="200"/>
    </w:pPr>
    <w:rPr>
      <w:sz w:val="24"/>
      <w:szCs w:val="24"/>
    </w:rPr>
  </w:style>
  <w:style w:type="paragraph" w:styleId="29">
    <w:name w:val="footnote text"/>
    <w:basedOn w:val="1"/>
    <w:link w:val="19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semiHidden/>
    <w:unhideWhenUsed/>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link w:val="57"/>
    <w:qFormat/>
    <w:uiPriority w:val="10"/>
    <w:pPr>
      <w:spacing w:before="300" w:after="200"/>
      <w:contextualSpacing/>
    </w:pPr>
    <w:rPr>
      <w:sz w:val="48"/>
      <w:szCs w:val="48"/>
    </w:rPr>
  </w:style>
  <w:style w:type="paragraph" w:styleId="36">
    <w:name w:val="annotation subject"/>
    <w:basedOn w:val="13"/>
    <w:next w:val="13"/>
    <w:link w:val="362"/>
    <w:semiHidden/>
    <w:unhideWhenUsed/>
    <w:qFormat/>
    <w:uiPriority w:val="99"/>
    <w:rPr>
      <w:b/>
      <w:bCs/>
    </w:rPr>
  </w:style>
  <w:style w:type="paragraph" w:styleId="37">
    <w:name w:val="Body Text First Indent"/>
    <w:basedOn w:val="14"/>
    <w:next w:val="38"/>
    <w:unhideWhenUsed/>
    <w:qFormat/>
    <w:uiPriority w:val="99"/>
    <w:pPr>
      <w:ind w:firstLine="420" w:firstLineChars="100"/>
    </w:pPr>
  </w:style>
  <w:style w:type="paragraph" w:styleId="38">
    <w:name w:val="Body Text First Indent 2"/>
    <w:basedOn w:val="15"/>
    <w:next w:val="37"/>
    <w:qFormat/>
    <w:uiPriority w:val="0"/>
    <w:pPr>
      <w:ind w:firstLine="420" w:firstLineChars="20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1"/>
    <w:semiHidden/>
    <w:unhideWhenUsed/>
    <w:qFormat/>
    <w:uiPriority w:val="99"/>
    <w:rPr>
      <w:sz w:val="21"/>
      <w:szCs w:val="21"/>
    </w:rPr>
  </w:style>
  <w:style w:type="character" w:styleId="45">
    <w:name w:val="footnote reference"/>
    <w:unhideWhenUsed/>
    <w:qFormat/>
    <w:uiPriority w:val="99"/>
    <w:rPr>
      <w:vertAlign w:val="superscript"/>
    </w:rPr>
  </w:style>
  <w:style w:type="character" w:customStyle="1" w:styleId="46">
    <w:name w:val="标题 1 字符1"/>
    <w:link w:val="2"/>
    <w:qFormat/>
    <w:uiPriority w:val="9"/>
    <w:rPr>
      <w:rFonts w:ascii="Arial" w:hAnsi="Arial" w:eastAsia="Arial" w:cs="Arial"/>
      <w:sz w:val="40"/>
      <w:szCs w:val="40"/>
    </w:rPr>
  </w:style>
  <w:style w:type="character" w:customStyle="1" w:styleId="47">
    <w:name w:val="标题 2 字符3"/>
    <w:link w:val="3"/>
    <w:qFormat/>
    <w:uiPriority w:val="9"/>
    <w:rPr>
      <w:rFonts w:ascii="Arial" w:hAnsi="Arial" w:eastAsia="Arial" w:cs="Arial"/>
      <w:sz w:val="34"/>
    </w:rPr>
  </w:style>
  <w:style w:type="character" w:customStyle="1" w:styleId="48">
    <w:name w:val="标题 3 字符"/>
    <w:link w:val="4"/>
    <w:qFormat/>
    <w:uiPriority w:val="9"/>
    <w:rPr>
      <w:rFonts w:ascii="Arial" w:hAnsi="Arial" w:eastAsia="Arial" w:cs="Arial"/>
      <w:sz w:val="30"/>
      <w:szCs w:val="30"/>
    </w:rPr>
  </w:style>
  <w:style w:type="character" w:customStyle="1" w:styleId="49">
    <w:name w:val="标题 4 字符"/>
    <w:link w:val="5"/>
    <w:qFormat/>
    <w:uiPriority w:val="9"/>
    <w:rPr>
      <w:rFonts w:ascii="Arial" w:hAnsi="Arial" w:eastAsia="Arial" w:cs="Arial"/>
      <w:b/>
      <w:bCs/>
      <w:sz w:val="26"/>
      <w:szCs w:val="26"/>
    </w:rPr>
  </w:style>
  <w:style w:type="character" w:customStyle="1" w:styleId="50">
    <w:name w:val="标题 5 字符"/>
    <w:link w:val="6"/>
    <w:qFormat/>
    <w:uiPriority w:val="9"/>
    <w:rPr>
      <w:rFonts w:ascii="Arial" w:hAnsi="Arial" w:eastAsia="Arial" w:cs="Arial"/>
      <w:b/>
      <w:bCs/>
      <w:sz w:val="24"/>
      <w:szCs w:val="24"/>
    </w:rPr>
  </w:style>
  <w:style w:type="character" w:customStyle="1" w:styleId="51">
    <w:name w:val="标题 6 字符"/>
    <w:link w:val="7"/>
    <w:qFormat/>
    <w:uiPriority w:val="9"/>
    <w:rPr>
      <w:rFonts w:ascii="Arial" w:hAnsi="Arial" w:eastAsia="Arial" w:cs="Arial"/>
      <w:b/>
      <w:bCs/>
      <w:sz w:val="22"/>
      <w:szCs w:val="22"/>
    </w:rPr>
  </w:style>
  <w:style w:type="character" w:customStyle="1" w:styleId="52">
    <w:name w:val="标题 7 字符"/>
    <w:link w:val="8"/>
    <w:qFormat/>
    <w:uiPriority w:val="9"/>
    <w:rPr>
      <w:rFonts w:ascii="Arial" w:hAnsi="Arial" w:eastAsia="Arial" w:cs="Arial"/>
      <w:b/>
      <w:bCs/>
      <w:i/>
      <w:iCs/>
      <w:sz w:val="22"/>
      <w:szCs w:val="22"/>
    </w:rPr>
  </w:style>
  <w:style w:type="character" w:customStyle="1" w:styleId="53">
    <w:name w:val="标题 8 字符"/>
    <w:link w:val="9"/>
    <w:qFormat/>
    <w:uiPriority w:val="9"/>
    <w:rPr>
      <w:rFonts w:ascii="Arial" w:hAnsi="Arial" w:eastAsia="Arial" w:cs="Arial"/>
      <w:i/>
      <w:iCs/>
      <w:sz w:val="22"/>
      <w:szCs w:val="22"/>
    </w:rPr>
  </w:style>
  <w:style w:type="character" w:customStyle="1" w:styleId="54">
    <w:name w:val="标题 9 字符"/>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rPr>
      <w:rFonts w:ascii="Calibri" w:hAnsi="Calibri" w:eastAsia="宋体" w:cs="Times New Roman"/>
      <w:lang w:val="en-US" w:eastAsia="zh-CN" w:bidi="ar-SA"/>
    </w:rPr>
  </w:style>
  <w:style w:type="character" w:customStyle="1" w:styleId="57">
    <w:name w:val="标题 字符"/>
    <w:link w:val="35"/>
    <w:qFormat/>
    <w:uiPriority w:val="10"/>
    <w:rPr>
      <w:sz w:val="48"/>
      <w:szCs w:val="48"/>
    </w:rPr>
  </w:style>
  <w:style w:type="character" w:customStyle="1" w:styleId="58">
    <w:name w:val="副标题 字符"/>
    <w:link w:val="28"/>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字符"/>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页眉 字符"/>
    <w:link w:val="24"/>
    <w:qFormat/>
    <w:uiPriority w:val="99"/>
  </w:style>
  <w:style w:type="character" w:customStyle="1" w:styleId="64">
    <w:name w:val="Footer Char"/>
    <w:qFormat/>
    <w:uiPriority w:val="99"/>
  </w:style>
  <w:style w:type="character" w:customStyle="1" w:styleId="65">
    <w:name w:val="页脚 字符"/>
    <w:link w:val="22"/>
    <w:qFormat/>
    <w:uiPriority w:val="99"/>
  </w:style>
  <w:style w:type="table" w:customStyle="1" w:styleId="6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字符1"/>
    <w:link w:val="29"/>
    <w:qFormat/>
    <w:uiPriority w:val="99"/>
    <w:rPr>
      <w:sz w:val="18"/>
    </w:rPr>
  </w:style>
  <w:style w:type="character" w:customStyle="1" w:styleId="192">
    <w:name w:val="尾注文本 字符"/>
    <w:link w:val="20"/>
    <w:qFormat/>
    <w:uiPriority w:val="99"/>
    <w:rPr>
      <w:sz w:val="20"/>
    </w:rPr>
  </w:style>
  <w:style w:type="paragraph" w:customStyle="1" w:styleId="193">
    <w:name w:val="TOC 标题1"/>
    <w:unhideWhenUsed/>
    <w:qFormat/>
    <w:uiPriority w:val="39"/>
    <w:rPr>
      <w:rFonts w:ascii="Calibri" w:hAnsi="Calibri" w:eastAsia="宋体" w:cs="Times New Roman"/>
      <w:lang w:val="en-US" w:eastAsia="zh-CN" w:bidi="ar-SA"/>
    </w:rPr>
  </w:style>
  <w:style w:type="paragraph" w:customStyle="1" w:styleId="194">
    <w:name w:val="标题 11"/>
    <w:basedOn w:val="1"/>
    <w:next w:val="1"/>
    <w:link w:val="206"/>
    <w:qFormat/>
    <w:uiPriority w:val="9"/>
    <w:pPr>
      <w:keepNext/>
      <w:jc w:val="center"/>
      <w:outlineLvl w:val="0"/>
    </w:pPr>
    <w:rPr>
      <w:rFonts w:ascii="楷体_GB2312" w:hAnsi="Times New Roman" w:eastAsia="楷体_GB2312"/>
      <w:sz w:val="28"/>
      <w:szCs w:val="28"/>
    </w:rPr>
  </w:style>
  <w:style w:type="paragraph" w:customStyle="1" w:styleId="195">
    <w:name w:val="标题 21"/>
    <w:basedOn w:val="1"/>
    <w:next w:val="1"/>
    <w:link w:val="20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6">
    <w:name w:val="正文缩进1"/>
    <w:basedOn w:val="1"/>
    <w:link w:val="217"/>
    <w:qFormat/>
    <w:uiPriority w:val="0"/>
    <w:pPr>
      <w:ind w:firstLine="420"/>
    </w:pPr>
    <w:rPr>
      <w:szCs w:val="21"/>
    </w:rPr>
  </w:style>
  <w:style w:type="paragraph" w:customStyle="1" w:styleId="197">
    <w:name w:val="标题 31"/>
    <w:basedOn w:val="1"/>
    <w:next w:val="196"/>
    <w:link w:val="208"/>
    <w:qFormat/>
    <w:uiPriority w:val="0"/>
    <w:pPr>
      <w:keepNext/>
      <w:keepLines/>
      <w:spacing w:before="260" w:after="260" w:line="416" w:lineRule="auto"/>
      <w:outlineLvl w:val="2"/>
    </w:pPr>
    <w:rPr>
      <w:rFonts w:ascii="Times New Roman" w:hAnsi="Times New Roman"/>
      <w:b/>
      <w:bCs/>
      <w:sz w:val="32"/>
      <w:szCs w:val="32"/>
    </w:rPr>
  </w:style>
  <w:style w:type="paragraph" w:customStyle="1" w:styleId="198">
    <w:name w:val="标题 41"/>
    <w:basedOn w:val="1"/>
    <w:next w:val="196"/>
    <w:link w:val="20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9">
    <w:name w:val="标题 51"/>
    <w:basedOn w:val="1"/>
    <w:next w:val="196"/>
    <w:link w:val="210"/>
    <w:qFormat/>
    <w:uiPriority w:val="0"/>
    <w:pPr>
      <w:keepNext/>
      <w:outlineLvl w:val="4"/>
    </w:pPr>
    <w:rPr>
      <w:rFonts w:ascii="宋体" w:hAnsi="Times New Roman"/>
      <w:color w:val="000000"/>
      <w:sz w:val="28"/>
      <w:szCs w:val="28"/>
    </w:rPr>
  </w:style>
  <w:style w:type="paragraph" w:customStyle="1" w:styleId="200">
    <w:name w:val="标题 61"/>
    <w:basedOn w:val="1"/>
    <w:next w:val="1"/>
    <w:link w:val="21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1">
    <w:name w:val="标题 71"/>
    <w:basedOn w:val="1"/>
    <w:next w:val="1"/>
    <w:link w:val="212"/>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02">
    <w:name w:val="标题 81"/>
    <w:basedOn w:val="1"/>
    <w:next w:val="1"/>
    <w:link w:val="21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3">
    <w:name w:val="标题 91"/>
    <w:basedOn w:val="1"/>
    <w:next w:val="1"/>
    <w:link w:val="21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4">
    <w:name w:val="默认段落字体1"/>
    <w:semiHidden/>
    <w:unhideWhenUsed/>
    <w:qFormat/>
    <w:uiPriority w:val="1"/>
  </w:style>
  <w:style w:type="table" w:customStyle="1" w:styleId="205">
    <w:name w:val="普通表格1"/>
    <w:semiHidden/>
    <w:unhideWhenUsed/>
    <w:qFormat/>
    <w:uiPriority w:val="99"/>
    <w:tblPr>
      <w:tblCellMar>
        <w:top w:w="0" w:type="dxa"/>
        <w:left w:w="0" w:type="dxa"/>
        <w:bottom w:w="0" w:type="dxa"/>
        <w:right w:w="0" w:type="dxa"/>
      </w:tblCellMar>
    </w:tblPr>
  </w:style>
  <w:style w:type="character" w:customStyle="1" w:styleId="206">
    <w:name w:val="标题 1 Char"/>
    <w:link w:val="194"/>
    <w:qFormat/>
    <w:uiPriority w:val="0"/>
    <w:rPr>
      <w:rFonts w:ascii="楷体_GB2312" w:hAnsi="Times New Roman" w:eastAsia="楷体_GB2312" w:cs="Times New Roman"/>
      <w:sz w:val="28"/>
      <w:szCs w:val="28"/>
    </w:rPr>
  </w:style>
  <w:style w:type="character" w:customStyle="1" w:styleId="207">
    <w:name w:val="标题 2 Char"/>
    <w:link w:val="195"/>
    <w:qFormat/>
    <w:uiPriority w:val="0"/>
    <w:rPr>
      <w:rFonts w:ascii="Arial" w:hAnsi="Arial" w:eastAsia="幼圆" w:cs="Arial"/>
      <w:b/>
      <w:bCs/>
      <w:sz w:val="44"/>
      <w:szCs w:val="44"/>
    </w:rPr>
  </w:style>
  <w:style w:type="character" w:customStyle="1" w:styleId="208">
    <w:name w:val="标题 3 Char"/>
    <w:link w:val="197"/>
    <w:qFormat/>
    <w:uiPriority w:val="0"/>
    <w:rPr>
      <w:rFonts w:ascii="Times New Roman" w:hAnsi="Times New Roman" w:eastAsia="宋体" w:cs="Times New Roman"/>
      <w:b/>
      <w:bCs/>
      <w:sz w:val="32"/>
      <w:szCs w:val="32"/>
    </w:rPr>
  </w:style>
  <w:style w:type="character" w:customStyle="1" w:styleId="209">
    <w:name w:val="标题 4 Char"/>
    <w:link w:val="198"/>
    <w:qFormat/>
    <w:uiPriority w:val="0"/>
    <w:rPr>
      <w:rFonts w:ascii="Arial" w:hAnsi="Arial" w:eastAsia="黑体" w:cs="Arial"/>
      <w:b/>
      <w:bCs/>
      <w:sz w:val="28"/>
      <w:szCs w:val="28"/>
    </w:rPr>
  </w:style>
  <w:style w:type="character" w:customStyle="1" w:styleId="210">
    <w:name w:val="标题 5 Char"/>
    <w:link w:val="199"/>
    <w:qFormat/>
    <w:uiPriority w:val="0"/>
    <w:rPr>
      <w:rFonts w:ascii="宋体" w:hAnsi="Times New Roman" w:eastAsia="宋体" w:cs="Times New Roman"/>
      <w:color w:val="000000"/>
      <w:sz w:val="28"/>
      <w:szCs w:val="28"/>
    </w:rPr>
  </w:style>
  <w:style w:type="character" w:customStyle="1" w:styleId="211">
    <w:name w:val="标题 6 Char"/>
    <w:link w:val="200"/>
    <w:qFormat/>
    <w:uiPriority w:val="0"/>
    <w:rPr>
      <w:rFonts w:ascii="Arial" w:hAnsi="Arial" w:eastAsia="黑体" w:cs="Times New Roman"/>
      <w:b/>
      <w:bCs/>
      <w:sz w:val="24"/>
      <w:szCs w:val="24"/>
    </w:rPr>
  </w:style>
  <w:style w:type="character" w:customStyle="1" w:styleId="212">
    <w:name w:val="标题 7 Char"/>
    <w:link w:val="201"/>
    <w:qFormat/>
    <w:uiPriority w:val="0"/>
    <w:rPr>
      <w:rFonts w:ascii="Times New Roman" w:hAnsi="Times New Roman" w:eastAsia="宋体" w:cs="Times New Roman"/>
      <w:b/>
      <w:bCs/>
      <w:sz w:val="24"/>
      <w:szCs w:val="24"/>
    </w:rPr>
  </w:style>
  <w:style w:type="character" w:customStyle="1" w:styleId="213">
    <w:name w:val="标题 8 Char"/>
    <w:link w:val="202"/>
    <w:qFormat/>
    <w:uiPriority w:val="0"/>
    <w:rPr>
      <w:rFonts w:ascii="Arial" w:hAnsi="Arial" w:eastAsia="黑体" w:cs="Times New Roman"/>
      <w:sz w:val="24"/>
      <w:szCs w:val="24"/>
    </w:rPr>
  </w:style>
  <w:style w:type="character" w:customStyle="1" w:styleId="214">
    <w:name w:val="标题 9 Char"/>
    <w:link w:val="203"/>
    <w:qFormat/>
    <w:uiPriority w:val="0"/>
    <w:rPr>
      <w:rFonts w:ascii="Arial" w:hAnsi="Arial" w:eastAsia="黑体" w:cs="Times New Roman"/>
      <w:szCs w:val="21"/>
    </w:rPr>
  </w:style>
  <w:style w:type="character" w:customStyle="1" w:styleId="215">
    <w:name w:val="访问过的超链接1"/>
    <w:qFormat/>
    <w:uiPriority w:val="0"/>
    <w:rPr>
      <w:color w:val="800080"/>
      <w:u w:val="single"/>
    </w:rPr>
  </w:style>
  <w:style w:type="character" w:customStyle="1" w:styleId="216">
    <w:name w:val="font5 Char"/>
    <w:qFormat/>
    <w:uiPriority w:val="0"/>
    <w:rPr>
      <w:rFonts w:ascii="宋体" w:hAnsi="宋体" w:eastAsia="宋体"/>
      <w:sz w:val="28"/>
      <w:szCs w:val="28"/>
      <w:lang w:val="en-US" w:eastAsia="zh-CN" w:bidi="ar-SA"/>
    </w:rPr>
  </w:style>
  <w:style w:type="character" w:customStyle="1" w:styleId="217">
    <w:name w:val="正文缩进 Char"/>
    <w:link w:val="196"/>
    <w:qFormat/>
    <w:uiPriority w:val="0"/>
    <w:rPr>
      <w:szCs w:val="21"/>
    </w:rPr>
  </w:style>
  <w:style w:type="character" w:customStyle="1" w:styleId="218">
    <w:name w:val="批注引用1"/>
    <w:qFormat/>
    <w:uiPriority w:val="0"/>
    <w:rPr>
      <w:sz w:val="21"/>
      <w:szCs w:val="21"/>
    </w:rPr>
  </w:style>
  <w:style w:type="character" w:customStyle="1" w:styleId="219">
    <w:name w:val="要点1"/>
    <w:qFormat/>
    <w:uiPriority w:val="22"/>
    <w:rPr>
      <w:b/>
      <w:bCs/>
    </w:rPr>
  </w:style>
  <w:style w:type="character" w:customStyle="1" w:styleId="220">
    <w:name w:val="超链接1"/>
    <w:qFormat/>
    <w:uiPriority w:val="99"/>
    <w:rPr>
      <w:color w:val="0000FF"/>
      <w:u w:val="single"/>
    </w:rPr>
  </w:style>
  <w:style w:type="character" w:customStyle="1" w:styleId="221">
    <w:name w:val="页码1"/>
    <w:qFormat/>
    <w:uiPriority w:val="0"/>
  </w:style>
  <w:style w:type="character" w:customStyle="1" w:styleId="222">
    <w:name w:val="二级目录 Char"/>
    <w:link w:val="223"/>
    <w:qFormat/>
    <w:uiPriority w:val="0"/>
    <w:rPr>
      <w:b/>
      <w:sz w:val="30"/>
      <w:szCs w:val="28"/>
    </w:rPr>
  </w:style>
  <w:style w:type="paragraph" w:customStyle="1" w:styleId="223">
    <w:name w:val="二级目录"/>
    <w:next w:val="1"/>
    <w:link w:val="222"/>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24">
    <w:name w:val="列出段落 Char"/>
    <w:link w:val="225"/>
    <w:qFormat/>
    <w:uiPriority w:val="0"/>
    <w:rPr>
      <w:rFonts w:ascii="Calibri" w:hAnsi="Calibri"/>
      <w:sz w:val="24"/>
      <w:szCs w:val="24"/>
      <w:lang w:eastAsia="en-US" w:bidi="en-US"/>
    </w:rPr>
  </w:style>
  <w:style w:type="paragraph" w:customStyle="1" w:styleId="225">
    <w:name w:val="列出段落1"/>
    <w:basedOn w:val="1"/>
    <w:link w:val="224"/>
    <w:qFormat/>
    <w:uiPriority w:val="0"/>
    <w:pPr>
      <w:widowControl/>
      <w:ind w:left="720"/>
      <w:contextualSpacing/>
      <w:jc w:val="left"/>
    </w:pPr>
    <w:rPr>
      <w:sz w:val="24"/>
      <w:szCs w:val="24"/>
      <w:lang w:eastAsia="en-US" w:bidi="en-US"/>
    </w:rPr>
  </w:style>
  <w:style w:type="paragraph" w:customStyle="1" w:styleId="226">
    <w:name w:val="Body Text(ch)"/>
    <w:basedOn w:val="1"/>
    <w:next w:val="227"/>
    <w:qFormat/>
    <w:uiPriority w:val="0"/>
    <w:pPr>
      <w:spacing w:after="120"/>
    </w:pPr>
    <w:rPr>
      <w:rFonts w:ascii="宋体" w:hAnsi="Arial"/>
      <w:bCs/>
      <w:iCs/>
      <w:szCs w:val="24"/>
    </w:rPr>
  </w:style>
  <w:style w:type="paragraph" w:customStyle="1" w:styleId="227">
    <w:name w:val="正文文本1"/>
    <w:basedOn w:val="1"/>
    <w:link w:val="232"/>
    <w:qFormat/>
    <w:uiPriority w:val="0"/>
    <w:rPr>
      <w:rFonts w:ascii="楷体_GB2312" w:hAnsi="Arial" w:eastAsia="楷体_GB2312"/>
      <w:sz w:val="28"/>
      <w:szCs w:val="28"/>
    </w:rPr>
  </w:style>
  <w:style w:type="paragraph" w:customStyle="1" w:styleId="228">
    <w:name w:val="目录 91"/>
    <w:basedOn w:val="1"/>
    <w:next w:val="1"/>
    <w:semiHidden/>
    <w:qFormat/>
    <w:uiPriority w:val="0"/>
    <w:pPr>
      <w:ind w:left="1680"/>
      <w:jc w:val="left"/>
    </w:pPr>
    <w:rPr>
      <w:rFonts w:ascii="Times New Roman" w:hAnsi="Times New Roman"/>
      <w:szCs w:val="21"/>
    </w:rPr>
  </w:style>
  <w:style w:type="paragraph" w:customStyle="1" w:styleId="22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30">
    <w:name w:val="正文文本缩进 21"/>
    <w:basedOn w:val="1"/>
    <w:link w:val="231"/>
    <w:qFormat/>
    <w:uiPriority w:val="0"/>
    <w:pPr>
      <w:ind w:left="630" w:firstLine="645"/>
    </w:pPr>
    <w:rPr>
      <w:rFonts w:ascii="Arial" w:hAnsi="Arial" w:eastAsia="仿宋_GB2312" w:cs="Arial"/>
      <w:sz w:val="32"/>
      <w:szCs w:val="32"/>
    </w:rPr>
  </w:style>
  <w:style w:type="character" w:customStyle="1" w:styleId="231">
    <w:name w:val="正文文本缩进 2 Char"/>
    <w:link w:val="230"/>
    <w:qFormat/>
    <w:uiPriority w:val="0"/>
    <w:rPr>
      <w:rFonts w:ascii="Arial" w:hAnsi="Arial" w:eastAsia="仿宋_GB2312" w:cs="Arial"/>
      <w:sz w:val="32"/>
      <w:szCs w:val="32"/>
    </w:rPr>
  </w:style>
  <w:style w:type="character" w:customStyle="1" w:styleId="232">
    <w:name w:val="正文文本 Char"/>
    <w:link w:val="227"/>
    <w:qFormat/>
    <w:uiPriority w:val="0"/>
    <w:rPr>
      <w:rFonts w:ascii="楷体_GB2312" w:hAnsi="Arial" w:eastAsia="楷体_GB2312" w:cs="Times New Roman"/>
      <w:sz w:val="28"/>
      <w:szCs w:val="28"/>
    </w:rPr>
  </w:style>
  <w:style w:type="paragraph" w:customStyle="1" w:styleId="233">
    <w:name w:val="图表目录1"/>
    <w:basedOn w:val="1"/>
    <w:next w:val="1"/>
    <w:semiHidden/>
    <w:qFormat/>
    <w:uiPriority w:val="0"/>
    <w:pPr>
      <w:ind w:left="840" w:hanging="420"/>
    </w:pPr>
    <w:rPr>
      <w:rFonts w:ascii="Times New Roman" w:hAnsi="Times New Roman"/>
      <w:szCs w:val="21"/>
    </w:rPr>
  </w:style>
  <w:style w:type="paragraph" w:customStyle="1" w:styleId="23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35">
    <w:name w:val="Char"/>
    <w:basedOn w:val="1"/>
    <w:qFormat/>
    <w:uiPriority w:val="0"/>
    <w:pPr>
      <w:tabs>
        <w:tab w:val="left" w:pos="360"/>
      </w:tabs>
      <w:ind w:firstLine="200"/>
    </w:pPr>
    <w:rPr>
      <w:rFonts w:ascii="Times New Roman" w:hAnsi="Times New Roman"/>
      <w:sz w:val="28"/>
      <w:szCs w:val="30"/>
    </w:rPr>
  </w:style>
  <w:style w:type="paragraph" w:customStyle="1" w:styleId="236">
    <w:name w:val="Char1"/>
    <w:basedOn w:val="237"/>
    <w:qFormat/>
    <w:uiPriority w:val="0"/>
    <w:rPr>
      <w:rFonts w:ascii="Tahoma" w:hAnsi="Tahoma"/>
      <w:sz w:val="24"/>
      <w:szCs w:val="24"/>
    </w:rPr>
  </w:style>
  <w:style w:type="paragraph" w:customStyle="1" w:styleId="237">
    <w:name w:val="文档结构图1"/>
    <w:basedOn w:val="1"/>
    <w:link w:val="261"/>
    <w:semiHidden/>
    <w:qFormat/>
    <w:uiPriority w:val="0"/>
    <w:pPr>
      <w:shd w:val="clear" w:color="auto" w:fill="000080"/>
    </w:pPr>
    <w:rPr>
      <w:rFonts w:ascii="Times New Roman" w:hAnsi="Times New Roman"/>
      <w:szCs w:val="21"/>
    </w:rPr>
  </w:style>
  <w:style w:type="paragraph" w:customStyle="1" w:styleId="238">
    <w:name w:val="批注文字1"/>
    <w:basedOn w:val="1"/>
    <w:link w:val="239"/>
    <w:unhideWhenUsed/>
    <w:qFormat/>
    <w:uiPriority w:val="0"/>
    <w:pPr>
      <w:jc w:val="left"/>
    </w:pPr>
  </w:style>
  <w:style w:type="character" w:customStyle="1" w:styleId="239">
    <w:name w:val="批注文字 Char"/>
    <w:basedOn w:val="204"/>
    <w:link w:val="238"/>
    <w:qFormat/>
    <w:uiPriority w:val="0"/>
  </w:style>
  <w:style w:type="paragraph" w:customStyle="1" w:styleId="240">
    <w:name w:val="批注主题1"/>
    <w:basedOn w:val="238"/>
    <w:next w:val="238"/>
    <w:link w:val="241"/>
    <w:qFormat/>
    <w:uiPriority w:val="0"/>
    <w:rPr>
      <w:rFonts w:ascii="Times New Roman" w:hAnsi="Times New Roman"/>
      <w:b/>
      <w:bCs/>
      <w:szCs w:val="21"/>
    </w:rPr>
  </w:style>
  <w:style w:type="character" w:customStyle="1" w:styleId="241">
    <w:name w:val="批注主题 Char"/>
    <w:link w:val="240"/>
    <w:semiHidden/>
    <w:qFormat/>
    <w:uiPriority w:val="0"/>
    <w:rPr>
      <w:rFonts w:ascii="Times New Roman" w:hAnsi="Times New Roman" w:eastAsia="宋体" w:cs="Times New Roman"/>
      <w:b/>
      <w:bCs/>
      <w:szCs w:val="21"/>
    </w:rPr>
  </w:style>
  <w:style w:type="paragraph" w:customStyle="1" w:styleId="242">
    <w:name w:val="索引 11"/>
    <w:basedOn w:val="1"/>
    <w:next w:val="1"/>
    <w:semiHidden/>
    <w:qFormat/>
    <w:uiPriority w:val="0"/>
    <w:pPr>
      <w:spacing w:line="240" w:lineRule="atLeast"/>
    </w:pPr>
    <w:rPr>
      <w:rFonts w:ascii="Times New Roman" w:hAnsi="Times New Roman"/>
      <w:b/>
      <w:bCs/>
      <w:szCs w:val="21"/>
    </w:rPr>
  </w:style>
  <w:style w:type="paragraph" w:customStyle="1" w:styleId="243">
    <w:name w:val="普通正文"/>
    <w:basedOn w:val="1"/>
    <w:link w:val="360"/>
    <w:qFormat/>
    <w:uiPriority w:val="0"/>
    <w:pPr>
      <w:spacing w:before="120" w:after="120" w:line="360" w:lineRule="auto"/>
      <w:ind w:firstLine="480"/>
      <w:jc w:val="left"/>
    </w:pPr>
    <w:rPr>
      <w:rFonts w:ascii="Arial" w:hAnsi="Arial"/>
      <w:sz w:val="24"/>
      <w:szCs w:val="24"/>
    </w:rPr>
  </w:style>
  <w:style w:type="paragraph" w:customStyle="1" w:styleId="244">
    <w:name w:val="table_lines"/>
    <w:basedOn w:val="1"/>
    <w:qFormat/>
    <w:uiPriority w:val="0"/>
    <w:pPr>
      <w:widowControl/>
      <w:jc w:val="left"/>
    </w:pPr>
    <w:rPr>
      <w:rFonts w:ascii="Times New Roman" w:hAnsi="Times New Roman"/>
      <w:sz w:val="20"/>
      <w:szCs w:val="20"/>
      <w:lang w:val="de-DE" w:eastAsia="de-DE"/>
    </w:rPr>
  </w:style>
  <w:style w:type="paragraph" w:customStyle="1" w:styleId="245">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46">
    <w:name w:val="目录 31"/>
    <w:basedOn w:val="1"/>
    <w:next w:val="1"/>
    <w:qFormat/>
    <w:uiPriority w:val="39"/>
    <w:pPr>
      <w:ind w:left="420"/>
      <w:jc w:val="left"/>
    </w:pPr>
    <w:rPr>
      <w:rFonts w:ascii="Times New Roman" w:hAnsi="Times New Roman"/>
      <w:i/>
      <w:iCs/>
      <w:szCs w:val="24"/>
    </w:rPr>
  </w:style>
  <w:style w:type="paragraph" w:customStyle="1" w:styleId="247">
    <w:name w:val="正文文本缩进1"/>
    <w:basedOn w:val="1"/>
    <w:link w:val="248"/>
    <w:unhideWhenUsed/>
    <w:qFormat/>
    <w:uiPriority w:val="0"/>
    <w:pPr>
      <w:spacing w:after="120"/>
      <w:ind w:left="420"/>
    </w:pPr>
  </w:style>
  <w:style w:type="character" w:customStyle="1" w:styleId="248">
    <w:name w:val="正文文本缩进 Char"/>
    <w:basedOn w:val="204"/>
    <w:link w:val="247"/>
    <w:semiHidden/>
    <w:qFormat/>
    <w:uiPriority w:val="99"/>
  </w:style>
  <w:style w:type="paragraph" w:customStyle="1" w:styleId="249">
    <w:name w:val="正文首行缩进 21"/>
    <w:basedOn w:val="247"/>
    <w:link w:val="250"/>
    <w:qFormat/>
    <w:uiPriority w:val="0"/>
    <w:pPr>
      <w:spacing w:after="0" w:line="360" w:lineRule="auto"/>
      <w:ind w:left="0" w:firstLine="420"/>
    </w:pPr>
    <w:rPr>
      <w:rFonts w:ascii="宋体" w:hAnsi="宋体"/>
      <w:szCs w:val="20"/>
    </w:rPr>
  </w:style>
  <w:style w:type="character" w:customStyle="1" w:styleId="250">
    <w:name w:val="正文首行缩进 2 Char"/>
    <w:link w:val="249"/>
    <w:qFormat/>
    <w:uiPriority w:val="0"/>
    <w:rPr>
      <w:rFonts w:ascii="宋体" w:hAnsi="宋体" w:eastAsia="宋体" w:cs="Times New Roman"/>
      <w:szCs w:val="20"/>
    </w:rPr>
  </w:style>
  <w:style w:type="paragraph" w:customStyle="1" w:styleId="251">
    <w:name w:val="正文文本缩进 31"/>
    <w:basedOn w:val="1"/>
    <w:link w:val="252"/>
    <w:qFormat/>
    <w:uiPriority w:val="0"/>
    <w:pPr>
      <w:ind w:left="645" w:firstLine="645"/>
    </w:pPr>
    <w:rPr>
      <w:rFonts w:ascii="Arial" w:hAnsi="Arial" w:eastAsia="仿宋_GB2312" w:cs="Arial"/>
      <w:color w:val="FFFF00"/>
      <w:sz w:val="32"/>
      <w:szCs w:val="32"/>
    </w:rPr>
  </w:style>
  <w:style w:type="character" w:customStyle="1" w:styleId="252">
    <w:name w:val="正文文本缩进 3 Char"/>
    <w:link w:val="251"/>
    <w:qFormat/>
    <w:uiPriority w:val="0"/>
    <w:rPr>
      <w:rFonts w:ascii="Arial" w:hAnsi="Arial" w:eastAsia="仿宋_GB2312" w:cs="Arial"/>
      <w:color w:val="FFFF00"/>
      <w:sz w:val="32"/>
      <w:szCs w:val="32"/>
    </w:rPr>
  </w:style>
  <w:style w:type="paragraph" w:customStyle="1" w:styleId="253">
    <w:name w:val="目录 61"/>
    <w:basedOn w:val="1"/>
    <w:next w:val="1"/>
    <w:semiHidden/>
    <w:qFormat/>
    <w:uiPriority w:val="0"/>
    <w:pPr>
      <w:ind w:left="1050"/>
      <w:jc w:val="left"/>
    </w:pPr>
    <w:rPr>
      <w:rFonts w:ascii="Times New Roman" w:hAnsi="Times New Roman"/>
      <w:szCs w:val="21"/>
    </w:rPr>
  </w:style>
  <w:style w:type="paragraph" w:customStyle="1" w:styleId="25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5">
    <w:name w:val="Char Char Char Char"/>
    <w:basedOn w:val="237"/>
    <w:qFormat/>
    <w:uiPriority w:val="0"/>
    <w:pPr>
      <w:spacing w:line="360" w:lineRule="auto"/>
    </w:pPr>
    <w:rPr>
      <w:rFonts w:ascii="Tahoma" w:hAnsi="Tahoma"/>
      <w:sz w:val="24"/>
      <w:szCs w:val="24"/>
    </w:rPr>
  </w:style>
  <w:style w:type="paragraph" w:customStyle="1" w:styleId="256">
    <w:name w:val="正文文本 31"/>
    <w:basedOn w:val="1"/>
    <w:link w:val="257"/>
    <w:qFormat/>
    <w:uiPriority w:val="0"/>
    <w:rPr>
      <w:rFonts w:ascii="仿宋_GB2312" w:hAnsi="Arial" w:eastAsia="仿宋_GB2312"/>
      <w:sz w:val="32"/>
      <w:szCs w:val="32"/>
    </w:rPr>
  </w:style>
  <w:style w:type="character" w:customStyle="1" w:styleId="257">
    <w:name w:val="正文文本 3 Char"/>
    <w:link w:val="256"/>
    <w:qFormat/>
    <w:uiPriority w:val="0"/>
    <w:rPr>
      <w:rFonts w:ascii="仿宋_GB2312" w:hAnsi="Arial" w:eastAsia="仿宋_GB2312" w:cs="Times New Roman"/>
      <w:sz w:val="32"/>
      <w:szCs w:val="32"/>
    </w:rPr>
  </w:style>
  <w:style w:type="paragraph" w:customStyle="1" w:styleId="25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9">
    <w:name w:val="目录 41"/>
    <w:basedOn w:val="1"/>
    <w:next w:val="1"/>
    <w:semiHidden/>
    <w:qFormat/>
    <w:uiPriority w:val="0"/>
    <w:pPr>
      <w:ind w:left="630"/>
      <w:jc w:val="left"/>
    </w:pPr>
    <w:rPr>
      <w:rFonts w:ascii="Times New Roman" w:hAnsi="Times New Roman"/>
      <w:szCs w:val="21"/>
    </w:rPr>
  </w:style>
  <w:style w:type="paragraph" w:customStyle="1" w:styleId="260">
    <w:name w:val="列出段落2"/>
    <w:basedOn w:val="1"/>
    <w:link w:val="336"/>
    <w:qFormat/>
    <w:uiPriority w:val="34"/>
    <w:pPr>
      <w:widowControl/>
      <w:ind w:left="720"/>
      <w:contextualSpacing/>
      <w:jc w:val="left"/>
    </w:pPr>
    <w:rPr>
      <w:sz w:val="24"/>
      <w:szCs w:val="24"/>
      <w:lang w:eastAsia="en-US" w:bidi="en-US"/>
    </w:rPr>
  </w:style>
  <w:style w:type="character" w:customStyle="1" w:styleId="261">
    <w:name w:val="文档结构图 Char"/>
    <w:link w:val="237"/>
    <w:semiHidden/>
    <w:qFormat/>
    <w:uiPriority w:val="0"/>
    <w:rPr>
      <w:rFonts w:ascii="Times New Roman" w:hAnsi="Times New Roman" w:eastAsia="宋体" w:cs="Times New Roman"/>
      <w:szCs w:val="21"/>
      <w:shd w:val="clear" w:color="auto" w:fill="000080"/>
    </w:rPr>
  </w:style>
  <w:style w:type="paragraph" w:customStyle="1" w:styleId="262">
    <w:name w:val="4"/>
    <w:basedOn w:val="1"/>
    <w:next w:val="251"/>
    <w:qFormat/>
    <w:uiPriority w:val="0"/>
    <w:pPr>
      <w:spacing w:line="360" w:lineRule="auto"/>
      <w:ind w:firstLine="420"/>
    </w:pPr>
    <w:rPr>
      <w:rFonts w:ascii="Times New Roman" w:hAnsi="Times New Roman"/>
      <w:color w:val="FF0000"/>
      <w:sz w:val="24"/>
      <w:szCs w:val="24"/>
    </w:rPr>
  </w:style>
  <w:style w:type="paragraph" w:customStyle="1" w:styleId="26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4">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65">
    <w:name w:val="列表 21"/>
    <w:basedOn w:val="1"/>
    <w:qFormat/>
    <w:uiPriority w:val="0"/>
    <w:pPr>
      <w:ind w:left="100" w:hanging="200"/>
    </w:pPr>
    <w:rPr>
      <w:rFonts w:ascii="Times New Roman" w:hAnsi="Times New Roman"/>
      <w:szCs w:val="21"/>
    </w:rPr>
  </w:style>
  <w:style w:type="paragraph" w:customStyle="1" w:styleId="266">
    <w:name w:val="正文首行缩进1"/>
    <w:basedOn w:val="1"/>
    <w:link w:val="267"/>
    <w:qFormat/>
    <w:uiPriority w:val="0"/>
    <w:pPr>
      <w:spacing w:line="360" w:lineRule="auto"/>
      <w:ind w:firstLine="200"/>
    </w:pPr>
    <w:rPr>
      <w:rFonts w:ascii="仿宋_GB2312" w:hAnsi="Times New Roman" w:eastAsia="仿宋_GB2312"/>
      <w:sz w:val="30"/>
      <w:szCs w:val="30"/>
    </w:rPr>
  </w:style>
  <w:style w:type="character" w:customStyle="1" w:styleId="267">
    <w:name w:val="正文首行缩进 Char"/>
    <w:link w:val="266"/>
    <w:qFormat/>
    <w:uiPriority w:val="0"/>
    <w:rPr>
      <w:rFonts w:ascii="仿宋_GB2312" w:hAnsi="Times New Roman" w:eastAsia="仿宋_GB2312" w:cs="Times New Roman"/>
      <w:sz w:val="30"/>
      <w:szCs w:val="30"/>
    </w:rPr>
  </w:style>
  <w:style w:type="paragraph" w:customStyle="1" w:styleId="268">
    <w:name w:val="样式1"/>
    <w:basedOn w:val="1"/>
    <w:qFormat/>
    <w:uiPriority w:val="0"/>
    <w:pPr>
      <w:numPr>
        <w:ilvl w:val="0"/>
        <w:numId w:val="3"/>
      </w:numPr>
    </w:pPr>
    <w:rPr>
      <w:rFonts w:ascii="宋体" w:hAnsi="宋体"/>
      <w:szCs w:val="21"/>
    </w:rPr>
  </w:style>
  <w:style w:type="paragraph" w:customStyle="1" w:styleId="26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0">
    <w:name w:val="目录 51"/>
    <w:basedOn w:val="1"/>
    <w:next w:val="1"/>
    <w:semiHidden/>
    <w:qFormat/>
    <w:uiPriority w:val="0"/>
    <w:pPr>
      <w:ind w:left="840"/>
      <w:jc w:val="left"/>
    </w:pPr>
    <w:rPr>
      <w:rFonts w:ascii="Times New Roman" w:hAnsi="Times New Roman"/>
      <w:szCs w:val="21"/>
    </w:rPr>
  </w:style>
  <w:style w:type="paragraph" w:customStyle="1" w:styleId="271">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272">
    <w:name w:val="纯文本1"/>
    <w:basedOn w:val="1"/>
    <w:link w:val="273"/>
    <w:qFormat/>
    <w:uiPriority w:val="0"/>
    <w:rPr>
      <w:rFonts w:ascii="宋体" w:hAnsi="Courier New" w:cs="Courier New"/>
      <w:szCs w:val="21"/>
    </w:rPr>
  </w:style>
  <w:style w:type="character" w:customStyle="1" w:styleId="273">
    <w:name w:val="纯文本 Char"/>
    <w:link w:val="272"/>
    <w:qFormat/>
    <w:uiPriority w:val="0"/>
    <w:rPr>
      <w:rFonts w:ascii="宋体" w:hAnsi="Courier New" w:eastAsia="宋体" w:cs="Courier New"/>
      <w:szCs w:val="21"/>
    </w:rPr>
  </w:style>
  <w:style w:type="paragraph" w:customStyle="1" w:styleId="274">
    <w:name w:val="批注框文本1"/>
    <w:basedOn w:val="1"/>
    <w:link w:val="275"/>
    <w:qFormat/>
    <w:uiPriority w:val="0"/>
    <w:rPr>
      <w:rFonts w:ascii="Times New Roman" w:hAnsi="Times New Roman"/>
      <w:sz w:val="18"/>
      <w:szCs w:val="18"/>
    </w:rPr>
  </w:style>
  <w:style w:type="character" w:customStyle="1" w:styleId="275">
    <w:name w:val="批注框文本 Char"/>
    <w:link w:val="274"/>
    <w:semiHidden/>
    <w:qFormat/>
    <w:uiPriority w:val="0"/>
    <w:rPr>
      <w:rFonts w:ascii="Times New Roman" w:hAnsi="Times New Roman" w:eastAsia="宋体" w:cs="Times New Roman"/>
      <w:sz w:val="18"/>
      <w:szCs w:val="18"/>
    </w:rPr>
  </w:style>
  <w:style w:type="paragraph" w:customStyle="1" w:styleId="27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7">
    <w:name w:val="列表1"/>
    <w:basedOn w:val="1"/>
    <w:qFormat/>
    <w:uiPriority w:val="0"/>
    <w:pPr>
      <w:ind w:left="200" w:hanging="200"/>
    </w:pPr>
    <w:rPr>
      <w:rFonts w:ascii="Times New Roman" w:hAnsi="Times New Roman"/>
      <w:szCs w:val="21"/>
    </w:rPr>
  </w:style>
  <w:style w:type="paragraph" w:customStyle="1" w:styleId="278">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79">
    <w:name w:val="日期1"/>
    <w:basedOn w:val="1"/>
    <w:next w:val="1"/>
    <w:link w:val="280"/>
    <w:qFormat/>
    <w:uiPriority w:val="0"/>
    <w:rPr>
      <w:rFonts w:ascii="Times New Roman" w:hAnsi="Times New Roman"/>
      <w:sz w:val="24"/>
      <w:szCs w:val="24"/>
    </w:rPr>
  </w:style>
  <w:style w:type="character" w:customStyle="1" w:styleId="280">
    <w:name w:val="日期 Char"/>
    <w:link w:val="279"/>
    <w:qFormat/>
    <w:uiPriority w:val="0"/>
    <w:rPr>
      <w:rFonts w:ascii="Times New Roman" w:hAnsi="Times New Roman" w:eastAsia="宋体" w:cs="Times New Roman"/>
      <w:sz w:val="24"/>
      <w:szCs w:val="24"/>
    </w:rPr>
  </w:style>
  <w:style w:type="paragraph" w:customStyle="1" w:styleId="281">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5">
    <w:name w:val="正文文本 21"/>
    <w:basedOn w:val="1"/>
    <w:link w:val="286"/>
    <w:qFormat/>
    <w:uiPriority w:val="0"/>
    <w:pPr>
      <w:widowControl/>
      <w:jc w:val="center"/>
    </w:pPr>
    <w:rPr>
      <w:rFonts w:ascii="楷体_GB2312" w:hAnsi="Times New Roman" w:eastAsia="楷体_GB2312"/>
      <w:sz w:val="28"/>
      <w:szCs w:val="28"/>
    </w:rPr>
  </w:style>
  <w:style w:type="character" w:customStyle="1" w:styleId="286">
    <w:name w:val="正文文本 2 Char"/>
    <w:link w:val="285"/>
    <w:qFormat/>
    <w:uiPriority w:val="0"/>
    <w:rPr>
      <w:rFonts w:ascii="楷体_GB2312" w:hAnsi="Times New Roman" w:eastAsia="楷体_GB2312" w:cs="Times New Roman"/>
      <w:sz w:val="28"/>
      <w:szCs w:val="28"/>
    </w:rPr>
  </w:style>
  <w:style w:type="paragraph" w:customStyle="1" w:styleId="287">
    <w:name w:val="列表 31"/>
    <w:basedOn w:val="1"/>
    <w:qFormat/>
    <w:uiPriority w:val="0"/>
    <w:pPr>
      <w:ind w:left="100" w:hanging="200"/>
    </w:pPr>
    <w:rPr>
      <w:rFonts w:ascii="Times New Roman" w:hAnsi="Times New Roman"/>
      <w:szCs w:val="21"/>
    </w:rPr>
  </w:style>
  <w:style w:type="paragraph" w:customStyle="1" w:styleId="288">
    <w:name w:val="目录 71"/>
    <w:basedOn w:val="1"/>
    <w:next w:val="1"/>
    <w:semiHidden/>
    <w:qFormat/>
    <w:uiPriority w:val="0"/>
    <w:pPr>
      <w:ind w:left="1260"/>
      <w:jc w:val="left"/>
    </w:pPr>
    <w:rPr>
      <w:rFonts w:ascii="Times New Roman" w:hAnsi="Times New Roman"/>
      <w:szCs w:val="21"/>
    </w:rPr>
  </w:style>
  <w:style w:type="paragraph" w:customStyle="1" w:styleId="289">
    <w:name w:val="目录 21"/>
    <w:basedOn w:val="1"/>
    <w:next w:val="1"/>
    <w:qFormat/>
    <w:uiPriority w:val="39"/>
    <w:pPr>
      <w:tabs>
        <w:tab w:val="right" w:pos="8719"/>
      </w:tabs>
      <w:ind w:left="210"/>
      <w:jc w:val="left"/>
    </w:pPr>
    <w:rPr>
      <w:rFonts w:ascii="Times New Roman" w:hAnsi="Times New Roman"/>
      <w:smallCaps/>
      <w:szCs w:val="24"/>
    </w:rPr>
  </w:style>
  <w:style w:type="paragraph" w:customStyle="1" w:styleId="29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1">
    <w:name w:val="页眉1"/>
    <w:basedOn w:val="1"/>
    <w:link w:val="292"/>
    <w:qFormat/>
    <w:uiPriority w:val="0"/>
    <w:pPr>
      <w:pBdr>
        <w:bottom w:val="none" w:color="000000" w:sz="0" w:space="0"/>
      </w:pBdr>
      <w:tabs>
        <w:tab w:val="center" w:pos="4153"/>
        <w:tab w:val="right" w:pos="8306"/>
      </w:tabs>
      <w:ind w:firstLine="361"/>
      <w:jc w:val="right"/>
    </w:pPr>
    <w:rPr>
      <w:rFonts w:ascii="Times New Roman" w:hAnsi="Times New Roman"/>
      <w:sz w:val="18"/>
      <w:szCs w:val="18"/>
    </w:rPr>
  </w:style>
  <w:style w:type="character" w:customStyle="1" w:styleId="292">
    <w:name w:val="页眉 Char"/>
    <w:link w:val="291"/>
    <w:qFormat/>
    <w:uiPriority w:val="0"/>
    <w:rPr>
      <w:rFonts w:ascii="Times New Roman" w:hAnsi="Times New Roman"/>
      <w:sz w:val="18"/>
      <w:szCs w:val="18"/>
    </w:rPr>
  </w:style>
  <w:style w:type="paragraph" w:customStyle="1" w:styleId="293">
    <w:name w:val="页脚1"/>
    <w:basedOn w:val="1"/>
    <w:link w:val="294"/>
    <w:qFormat/>
    <w:uiPriority w:val="0"/>
    <w:pPr>
      <w:tabs>
        <w:tab w:val="center" w:pos="4153"/>
        <w:tab w:val="right" w:pos="8306"/>
      </w:tabs>
      <w:jc w:val="left"/>
    </w:pPr>
    <w:rPr>
      <w:rFonts w:ascii="Times New Roman" w:hAnsi="Times New Roman"/>
      <w:sz w:val="18"/>
      <w:szCs w:val="18"/>
    </w:rPr>
  </w:style>
  <w:style w:type="character" w:customStyle="1" w:styleId="294">
    <w:name w:val="页脚 Char"/>
    <w:link w:val="293"/>
    <w:qFormat/>
    <w:uiPriority w:val="0"/>
    <w:rPr>
      <w:rFonts w:ascii="Times New Roman" w:hAnsi="Times New Roman" w:eastAsia="宋体" w:cs="Times New Roman"/>
      <w:sz w:val="18"/>
      <w:szCs w:val="18"/>
    </w:rPr>
  </w:style>
  <w:style w:type="paragraph" w:customStyle="1" w:styleId="29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6">
    <w:name w:val="目录 81"/>
    <w:basedOn w:val="1"/>
    <w:next w:val="1"/>
    <w:semiHidden/>
    <w:qFormat/>
    <w:uiPriority w:val="0"/>
    <w:pPr>
      <w:ind w:left="1470"/>
      <w:jc w:val="left"/>
    </w:pPr>
    <w:rPr>
      <w:rFonts w:ascii="Times New Roman" w:hAnsi="Times New Roman"/>
      <w:szCs w:val="21"/>
    </w:rPr>
  </w:style>
  <w:style w:type="paragraph" w:customStyle="1" w:styleId="29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8">
    <w:name w:val="Char Char Char Char1"/>
    <w:basedOn w:val="237"/>
    <w:qFormat/>
    <w:uiPriority w:val="0"/>
    <w:pPr>
      <w:spacing w:line="360" w:lineRule="auto"/>
    </w:pPr>
    <w:rPr>
      <w:rFonts w:ascii="Tahoma" w:hAnsi="Tahoma"/>
      <w:sz w:val="24"/>
      <w:szCs w:val="24"/>
    </w:rPr>
  </w:style>
  <w:style w:type="paragraph" w:customStyle="1" w:styleId="299">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0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02">
    <w:name w:val="修订1"/>
    <w:semiHidden/>
    <w:qFormat/>
    <w:uiPriority w:val="99"/>
    <w:rPr>
      <w:rFonts w:ascii="Times New Roman" w:hAnsi="Times New Roman" w:eastAsia="宋体" w:cs="Times New Roman"/>
      <w:sz w:val="21"/>
      <w:szCs w:val="21"/>
      <w:lang w:val="en-US" w:eastAsia="zh-CN" w:bidi="ar-SA"/>
    </w:rPr>
  </w:style>
  <w:style w:type="table" w:customStyle="1" w:styleId="303">
    <w:name w:val="网格型1"/>
    <w:basedOn w:val="205"/>
    <w:qFormat/>
    <w:uiPriority w:val="0"/>
    <w:pPr>
      <w:widowControl w:val="0"/>
      <w:jc w:val="both"/>
    </w:pPr>
  </w:style>
  <w:style w:type="paragraph" w:customStyle="1" w:styleId="304">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5">
    <w:name w:val="索引 81"/>
    <w:basedOn w:val="1"/>
    <w:next w:val="1"/>
    <w:semiHidden/>
    <w:qFormat/>
    <w:uiPriority w:val="0"/>
    <w:pPr>
      <w:ind w:left="1400"/>
    </w:pPr>
    <w:rPr>
      <w:rFonts w:ascii="Times New Roman" w:hAnsi="Times New Roman"/>
      <w:szCs w:val="20"/>
    </w:rPr>
  </w:style>
  <w:style w:type="paragraph" w:customStyle="1" w:styleId="306">
    <w:name w:val="索引 51"/>
    <w:basedOn w:val="1"/>
    <w:next w:val="1"/>
    <w:semiHidden/>
    <w:qFormat/>
    <w:uiPriority w:val="0"/>
    <w:pPr>
      <w:ind w:left="800"/>
    </w:pPr>
    <w:rPr>
      <w:rFonts w:ascii="Times New Roman" w:hAnsi="Times New Roman"/>
      <w:szCs w:val="20"/>
    </w:rPr>
  </w:style>
  <w:style w:type="paragraph" w:customStyle="1" w:styleId="307">
    <w:name w:val="索引 61"/>
    <w:basedOn w:val="1"/>
    <w:next w:val="1"/>
    <w:semiHidden/>
    <w:qFormat/>
    <w:uiPriority w:val="0"/>
    <w:pPr>
      <w:ind w:left="1000"/>
    </w:pPr>
    <w:rPr>
      <w:rFonts w:ascii="Times New Roman" w:hAnsi="Times New Roman"/>
      <w:szCs w:val="20"/>
    </w:rPr>
  </w:style>
  <w:style w:type="paragraph" w:customStyle="1" w:styleId="308">
    <w:name w:val="寄信人地址1"/>
    <w:basedOn w:val="1"/>
    <w:qFormat/>
    <w:uiPriority w:val="0"/>
    <w:rPr>
      <w:rFonts w:ascii="Arial" w:hAnsi="Arial"/>
      <w:szCs w:val="20"/>
    </w:rPr>
  </w:style>
  <w:style w:type="paragraph" w:customStyle="1" w:styleId="309">
    <w:name w:val="文本块1"/>
    <w:basedOn w:val="1"/>
    <w:qFormat/>
    <w:uiPriority w:val="0"/>
    <w:pPr>
      <w:tabs>
        <w:tab w:val="left" w:pos="822"/>
        <w:tab w:val="left" w:pos="2205"/>
        <w:tab w:val="left" w:pos="9000"/>
      </w:tabs>
      <w:spacing w:before="89"/>
      <w:ind w:left="1890" w:right="11" w:hanging="1409"/>
    </w:pPr>
    <w:rPr>
      <w:rFonts w:ascii="Times New Roman" w:hAnsi="Times New Roman"/>
      <w:sz w:val="24"/>
      <w:szCs w:val="20"/>
    </w:rPr>
  </w:style>
  <w:style w:type="paragraph" w:customStyle="1" w:styleId="310">
    <w:name w:val="索引 41"/>
    <w:basedOn w:val="1"/>
    <w:next w:val="1"/>
    <w:semiHidden/>
    <w:qFormat/>
    <w:uiPriority w:val="0"/>
    <w:pPr>
      <w:ind w:left="600"/>
    </w:pPr>
    <w:rPr>
      <w:rFonts w:ascii="Times New Roman" w:hAnsi="Times New Roman"/>
      <w:szCs w:val="20"/>
    </w:rPr>
  </w:style>
  <w:style w:type="paragraph" w:customStyle="1" w:styleId="311">
    <w:name w:val="索引 31"/>
    <w:basedOn w:val="1"/>
    <w:next w:val="1"/>
    <w:semiHidden/>
    <w:qFormat/>
    <w:uiPriority w:val="0"/>
    <w:pPr>
      <w:ind w:left="400"/>
    </w:pPr>
    <w:rPr>
      <w:rFonts w:ascii="Times New Roman" w:hAnsi="Times New Roman"/>
      <w:szCs w:val="20"/>
    </w:rPr>
  </w:style>
  <w:style w:type="paragraph" w:customStyle="1" w:styleId="312">
    <w:name w:val="签名1"/>
    <w:basedOn w:val="1"/>
    <w:link w:val="333"/>
    <w:qFormat/>
    <w:uiPriority w:val="0"/>
    <w:pPr>
      <w:spacing w:after="600" w:line="312" w:lineRule="atLeast"/>
      <w:jc w:val="center"/>
    </w:pPr>
    <w:rPr>
      <w:rFonts w:ascii="Times New Roman" w:hAnsi="Times New Roman" w:eastAsia="仿宋_GB2312"/>
      <w:sz w:val="24"/>
      <w:szCs w:val="20"/>
    </w:rPr>
  </w:style>
  <w:style w:type="character" w:customStyle="1" w:styleId="313">
    <w:name w:val="签名 字符"/>
    <w:qFormat/>
    <w:uiPriority w:val="0"/>
    <w:rPr>
      <w:sz w:val="21"/>
      <w:szCs w:val="22"/>
    </w:rPr>
  </w:style>
  <w:style w:type="paragraph" w:customStyle="1" w:styleId="314">
    <w:name w:val="索引标题1"/>
    <w:basedOn w:val="1"/>
    <w:next w:val="242"/>
    <w:semiHidden/>
    <w:qFormat/>
    <w:uiPriority w:val="0"/>
    <w:rPr>
      <w:rFonts w:ascii="Times New Roman" w:hAnsi="Times New Roman"/>
      <w:szCs w:val="20"/>
    </w:rPr>
  </w:style>
  <w:style w:type="paragraph" w:customStyle="1" w:styleId="315">
    <w:name w:val="脚注文本1"/>
    <w:basedOn w:val="1"/>
    <w:link w:val="316"/>
    <w:qFormat/>
    <w:uiPriority w:val="0"/>
    <w:pPr>
      <w:jc w:val="left"/>
    </w:pPr>
    <w:rPr>
      <w:rFonts w:ascii="Times New Roman" w:hAnsi="Times New Roman"/>
      <w:sz w:val="18"/>
      <w:szCs w:val="18"/>
    </w:rPr>
  </w:style>
  <w:style w:type="character" w:customStyle="1" w:styleId="316">
    <w:name w:val="脚注文本 字符"/>
    <w:link w:val="315"/>
    <w:qFormat/>
    <w:uiPriority w:val="0"/>
    <w:rPr>
      <w:rFonts w:ascii="Times New Roman" w:hAnsi="Times New Roman"/>
      <w:sz w:val="18"/>
      <w:szCs w:val="18"/>
    </w:rPr>
  </w:style>
  <w:style w:type="paragraph" w:customStyle="1" w:styleId="317">
    <w:name w:val="索引 71"/>
    <w:basedOn w:val="1"/>
    <w:next w:val="1"/>
    <w:semiHidden/>
    <w:qFormat/>
    <w:uiPriority w:val="0"/>
    <w:pPr>
      <w:ind w:left="1200"/>
    </w:pPr>
    <w:rPr>
      <w:rFonts w:ascii="Times New Roman" w:hAnsi="Times New Roman"/>
      <w:szCs w:val="20"/>
    </w:rPr>
  </w:style>
  <w:style w:type="paragraph" w:customStyle="1" w:styleId="318">
    <w:name w:val="索引 91"/>
    <w:basedOn w:val="1"/>
    <w:next w:val="1"/>
    <w:semiHidden/>
    <w:qFormat/>
    <w:uiPriority w:val="0"/>
    <w:pPr>
      <w:ind w:left="1600"/>
    </w:pPr>
    <w:rPr>
      <w:rFonts w:ascii="Times New Roman" w:hAnsi="Times New Roman"/>
      <w:szCs w:val="20"/>
    </w:rPr>
  </w:style>
  <w:style w:type="paragraph" w:customStyle="1" w:styleId="319">
    <w:name w:val="HTML 预设格式1"/>
    <w:basedOn w:val="1"/>
    <w:link w:val="32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320">
    <w:name w:val="HTML 预设格式 字符"/>
    <w:link w:val="319"/>
    <w:qFormat/>
    <w:uiPriority w:val="0"/>
    <w:rPr>
      <w:rFonts w:ascii="Arial" w:hAnsi="Arial"/>
      <w:sz w:val="24"/>
      <w:szCs w:val="24"/>
    </w:rPr>
  </w:style>
  <w:style w:type="paragraph" w:customStyle="1" w:styleId="321">
    <w:name w:val="索引 21"/>
    <w:basedOn w:val="1"/>
    <w:next w:val="1"/>
    <w:semiHidden/>
    <w:qFormat/>
    <w:uiPriority w:val="0"/>
    <w:pPr>
      <w:ind w:left="200"/>
    </w:pPr>
    <w:rPr>
      <w:rFonts w:ascii="Times New Roman" w:hAnsi="Times New Roman"/>
      <w:szCs w:val="20"/>
    </w:rPr>
  </w:style>
  <w:style w:type="character" w:customStyle="1" w:styleId="322">
    <w:name w:val="强调1"/>
    <w:qFormat/>
    <w:uiPriority w:val="20"/>
    <w:rPr>
      <w:i/>
      <w:iCs/>
    </w:rPr>
  </w:style>
  <w:style w:type="character" w:customStyle="1" w:styleId="323">
    <w:name w:val="脚注引用1"/>
    <w:unhideWhenUsed/>
    <w:qFormat/>
    <w:uiPriority w:val="0"/>
    <w:rPr>
      <w:vertAlign w:val="superscript"/>
    </w:rPr>
  </w:style>
  <w:style w:type="character" w:customStyle="1" w:styleId="324">
    <w:name w:val="标题 1 字符"/>
    <w:qFormat/>
    <w:uiPriority w:val="9"/>
    <w:rPr>
      <w:rFonts w:ascii="宋体" w:hAnsi="宋体"/>
      <w:b/>
      <w:sz w:val="36"/>
    </w:rPr>
  </w:style>
  <w:style w:type="character" w:customStyle="1" w:styleId="325">
    <w:name w:val="标题 2 字符2"/>
    <w:qFormat/>
    <w:uiPriority w:val="0"/>
    <w:rPr>
      <w:rFonts w:eastAsia="楷体_GB2312"/>
      <w:b/>
      <w:bCs/>
      <w:sz w:val="28"/>
      <w:szCs w:val="28"/>
    </w:rPr>
  </w:style>
  <w:style w:type="character" w:customStyle="1" w:styleId="326">
    <w:name w:val="正文缩进 字符"/>
    <w:qFormat/>
    <w:uiPriority w:val="0"/>
    <w:rPr>
      <w:sz w:val="21"/>
    </w:rPr>
  </w:style>
  <w:style w:type="character" w:customStyle="1" w:styleId="327">
    <w:name w:val="批注文字 字符1"/>
    <w:qFormat/>
    <w:uiPriority w:val="0"/>
    <w:rPr>
      <w:sz w:val="21"/>
    </w:rPr>
  </w:style>
  <w:style w:type="character" w:customStyle="1" w:styleId="328">
    <w:name w:val="正文文本 字符2"/>
    <w:qFormat/>
    <w:uiPriority w:val="0"/>
    <w:rPr>
      <w:rFonts w:ascii="楷体_GB2312" w:hAnsi="Arial" w:eastAsia="楷体_GB2312"/>
      <w:sz w:val="28"/>
    </w:rPr>
  </w:style>
  <w:style w:type="character" w:customStyle="1" w:styleId="329">
    <w:name w:val="正文文本缩进 字符"/>
    <w:qFormat/>
    <w:uiPriority w:val="0"/>
    <w:rPr>
      <w:rFonts w:ascii="宋体"/>
      <w:sz w:val="28"/>
    </w:rPr>
  </w:style>
  <w:style w:type="character" w:customStyle="1" w:styleId="330">
    <w:name w:val="纯文本 字符"/>
    <w:qFormat/>
    <w:uiPriority w:val="0"/>
    <w:rPr>
      <w:rFonts w:ascii="宋体" w:hAnsi="Courier New"/>
      <w:sz w:val="21"/>
    </w:rPr>
  </w:style>
  <w:style w:type="character" w:customStyle="1" w:styleId="331">
    <w:name w:val="日期 字符1"/>
    <w:qFormat/>
    <w:uiPriority w:val="0"/>
    <w:rPr>
      <w:rFonts w:ascii="宋体"/>
      <w:sz w:val="28"/>
    </w:rPr>
  </w:style>
  <w:style w:type="character" w:customStyle="1" w:styleId="332">
    <w:name w:val="批注框文本 字符"/>
    <w:qFormat/>
    <w:uiPriority w:val="0"/>
    <w:rPr>
      <w:sz w:val="18"/>
      <w:szCs w:val="18"/>
    </w:rPr>
  </w:style>
  <w:style w:type="character" w:customStyle="1" w:styleId="333">
    <w:name w:val="签名 字符1"/>
    <w:link w:val="312"/>
    <w:qFormat/>
    <w:uiPriority w:val="0"/>
    <w:rPr>
      <w:rFonts w:ascii="Times New Roman" w:hAnsi="Times New Roman" w:eastAsia="仿宋_GB2312"/>
      <w:sz w:val="24"/>
    </w:rPr>
  </w:style>
  <w:style w:type="character" w:customStyle="1" w:styleId="334">
    <w:name w:val="批注主题 字符"/>
    <w:qFormat/>
    <w:uiPriority w:val="0"/>
    <w:rPr>
      <w:b/>
      <w:bCs/>
      <w:sz w:val="21"/>
    </w:rPr>
  </w:style>
  <w:style w:type="character" w:customStyle="1" w:styleId="335">
    <w:name w:val="正文文本 字符"/>
    <w:qFormat/>
    <w:uiPriority w:val="0"/>
    <w:rPr>
      <w:rFonts w:ascii="楷体_GB2312" w:hAnsi="Arial" w:eastAsia="楷体_GB2312"/>
      <w:sz w:val="28"/>
    </w:rPr>
  </w:style>
  <w:style w:type="character" w:customStyle="1" w:styleId="336">
    <w:name w:val="列表段落 字符"/>
    <w:link w:val="260"/>
    <w:qFormat/>
    <w:uiPriority w:val="34"/>
    <w:rPr>
      <w:sz w:val="24"/>
      <w:szCs w:val="24"/>
      <w:lang w:eastAsia="en-US" w:bidi="en-US"/>
    </w:rPr>
  </w:style>
  <w:style w:type="paragraph" w:customStyle="1" w:styleId="337">
    <w:name w:val="Char Char Char"/>
    <w:basedOn w:val="1"/>
    <w:qFormat/>
    <w:uiPriority w:val="0"/>
    <w:pPr>
      <w:numPr>
        <w:ilvl w:val="0"/>
        <w:numId w:val="4"/>
      </w:numPr>
      <w:tabs>
        <w:tab w:val="left" w:pos="1545"/>
      </w:tabs>
    </w:pPr>
    <w:rPr>
      <w:rFonts w:ascii="Times New Roman" w:hAnsi="Times New Roman"/>
      <w:szCs w:val="20"/>
    </w:rPr>
  </w:style>
  <w:style w:type="paragraph" w:customStyle="1" w:styleId="338">
    <w:name w:val="Plain Text1"/>
    <w:basedOn w:val="1"/>
    <w:qFormat/>
    <w:uiPriority w:val="0"/>
    <w:rPr>
      <w:rFonts w:ascii="宋体" w:hAnsi="Courier New" w:eastAsia="楷体_GB2312"/>
      <w:sz w:val="28"/>
      <w:szCs w:val="20"/>
    </w:rPr>
  </w:style>
  <w:style w:type="paragraph" w:customStyle="1" w:styleId="33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40">
    <w:name w:val="Char1 Char Char Char"/>
    <w:basedOn w:val="1"/>
    <w:qFormat/>
    <w:uiPriority w:val="0"/>
    <w:rPr>
      <w:rFonts w:ascii="Tahoma" w:hAnsi="Tahoma"/>
      <w:sz w:val="24"/>
      <w:szCs w:val="20"/>
    </w:rPr>
  </w:style>
  <w:style w:type="paragraph" w:customStyle="1" w:styleId="341">
    <w:name w:val="Char Char1 Char Char Char Char Char Char Char"/>
    <w:basedOn w:val="1"/>
    <w:qFormat/>
    <w:uiPriority w:val="0"/>
    <w:rPr>
      <w:rFonts w:ascii="Calibri Light" w:hAnsi="Calibri Light" w:cs="Berlin Sans FB Demi"/>
      <w:sz w:val="24"/>
      <w:szCs w:val="20"/>
    </w:rPr>
  </w:style>
  <w:style w:type="paragraph" w:customStyle="1" w:styleId="342">
    <w:name w:val="Char Char"/>
    <w:basedOn w:val="1"/>
    <w:qFormat/>
    <w:uiPriority w:val="0"/>
    <w:rPr>
      <w:rFonts w:ascii="Times New Roman" w:hAnsi="Times New Roman"/>
      <w:szCs w:val="21"/>
    </w:rPr>
  </w:style>
  <w:style w:type="paragraph" w:customStyle="1" w:styleId="343">
    <w:name w:val="_Style 12"/>
    <w:basedOn w:val="237"/>
    <w:qFormat/>
    <w:uiPriority w:val="0"/>
    <w:pPr>
      <w:widowControl/>
      <w:spacing w:line="360" w:lineRule="auto"/>
      <w:jc w:val="left"/>
    </w:pPr>
    <w:rPr>
      <w:sz w:val="24"/>
      <w:szCs w:val="24"/>
    </w:rPr>
  </w:style>
  <w:style w:type="character" w:customStyle="1" w:styleId="344">
    <w:name w:val="正文缩进 Char1"/>
    <w:qFormat/>
    <w:uiPriority w:val="0"/>
    <w:rPr>
      <w:rFonts w:eastAsia="楷体_GB2312"/>
      <w:sz w:val="24"/>
    </w:rPr>
  </w:style>
  <w:style w:type="character" w:customStyle="1" w:styleId="345">
    <w:name w:val="纯文本 字符1"/>
    <w:qFormat/>
    <w:uiPriority w:val="0"/>
    <w:rPr>
      <w:rFonts w:ascii="宋体" w:hAnsi="Courier New"/>
    </w:rPr>
  </w:style>
  <w:style w:type="character" w:customStyle="1" w:styleId="346">
    <w:name w:val="未处理的提及1"/>
    <w:unhideWhenUsed/>
    <w:qFormat/>
    <w:uiPriority w:val="99"/>
    <w:rPr>
      <w:color w:val="605E5C"/>
      <w:shd w:val="clear" w:color="auto" w:fill="E1DFDD"/>
    </w:rPr>
  </w:style>
  <w:style w:type="character" w:customStyle="1" w:styleId="347">
    <w:name w:val="批注文字 字符"/>
    <w:qFormat/>
    <w:uiPriority w:val="0"/>
    <w:rPr>
      <w:sz w:val="21"/>
    </w:rPr>
  </w:style>
  <w:style w:type="character" w:customStyle="1" w:styleId="348">
    <w:name w:val="标题 2 字符"/>
    <w:qFormat/>
    <w:uiPriority w:val="0"/>
    <w:rPr>
      <w:rFonts w:eastAsia="楷体_GB2312"/>
      <w:b/>
      <w:bCs/>
      <w:sz w:val="28"/>
      <w:szCs w:val="28"/>
    </w:rPr>
  </w:style>
  <w:style w:type="character" w:customStyle="1" w:styleId="349">
    <w:name w:val="日期 字符"/>
    <w:qFormat/>
    <w:uiPriority w:val="0"/>
    <w:rPr>
      <w:rFonts w:ascii="宋体"/>
      <w:sz w:val="28"/>
    </w:rPr>
  </w:style>
  <w:style w:type="character" w:customStyle="1" w:styleId="350">
    <w:name w:val="正文文本 字符1"/>
    <w:qFormat/>
    <w:uiPriority w:val="0"/>
    <w:rPr>
      <w:rFonts w:ascii="楷体_GB2312" w:hAnsi="Arial" w:eastAsia="楷体_GB2312"/>
      <w:sz w:val="28"/>
    </w:rPr>
  </w:style>
  <w:style w:type="paragraph" w:customStyle="1" w:styleId="351">
    <w:name w:val="正文1"/>
    <w:next w:val="1"/>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352">
    <w:name w:val="_正文段落"/>
    <w:basedOn w:val="1"/>
    <w:link w:val="353"/>
    <w:qFormat/>
    <w:uiPriority w:val="0"/>
    <w:pPr>
      <w:spacing w:line="360" w:lineRule="auto"/>
      <w:ind w:firstLine="480"/>
    </w:pPr>
    <w:rPr>
      <w:rFonts w:ascii="宋体" w:hAnsi="宋体"/>
      <w:sz w:val="24"/>
      <w:szCs w:val="24"/>
    </w:rPr>
  </w:style>
  <w:style w:type="character" w:customStyle="1" w:styleId="353">
    <w:name w:val="_正文段落 Char"/>
    <w:link w:val="352"/>
    <w:qFormat/>
    <w:uiPriority w:val="0"/>
    <w:rPr>
      <w:rFonts w:ascii="宋体" w:hAnsi="宋体"/>
      <w:sz w:val="24"/>
      <w:szCs w:val="24"/>
    </w:rPr>
  </w:style>
  <w:style w:type="character" w:customStyle="1" w:styleId="354">
    <w:name w:val="cf01"/>
    <w:qFormat/>
    <w:uiPriority w:val="0"/>
    <w:rPr>
      <w:rFonts w:hint="eastAsia" w:ascii="Microsoft YaHei UI" w:hAnsi="Microsoft YaHei UI" w:eastAsia="Microsoft YaHei UI"/>
      <w:b/>
      <w:bCs/>
      <w:sz w:val="18"/>
      <w:szCs w:val="18"/>
    </w:rPr>
  </w:style>
  <w:style w:type="character" w:customStyle="1" w:styleId="355">
    <w:name w:val="标题 2 字符1"/>
    <w:qFormat/>
    <w:uiPriority w:val="0"/>
    <w:rPr>
      <w:rFonts w:eastAsia="楷体_GB2312"/>
      <w:b/>
      <w:bCs/>
      <w:sz w:val="28"/>
      <w:szCs w:val="28"/>
    </w:rPr>
  </w:style>
  <w:style w:type="paragraph" w:customStyle="1" w:styleId="356">
    <w:name w:val="pf0"/>
    <w:basedOn w:val="1"/>
    <w:qFormat/>
    <w:uiPriority w:val="0"/>
    <w:pPr>
      <w:widowControl/>
      <w:spacing w:before="100" w:beforeAutospacing="1" w:after="100" w:afterAutospacing="1"/>
      <w:jc w:val="left"/>
    </w:pPr>
    <w:rPr>
      <w:rFonts w:ascii="宋体" w:hAnsi="宋体" w:cs="宋体"/>
      <w:sz w:val="24"/>
      <w:szCs w:val="24"/>
    </w:rPr>
  </w:style>
  <w:style w:type="character" w:customStyle="1" w:styleId="357">
    <w:name w:val="cf11"/>
    <w:qFormat/>
    <w:uiPriority w:val="0"/>
    <w:rPr>
      <w:rFonts w:hint="eastAsia" w:ascii="Microsoft YaHei UI" w:hAnsi="Microsoft YaHei UI" w:eastAsia="Microsoft YaHei UI"/>
      <w:sz w:val="18"/>
      <w:szCs w:val="18"/>
    </w:rPr>
  </w:style>
  <w:style w:type="character" w:customStyle="1" w:styleId="358">
    <w:name w:val="cf21"/>
    <w:qFormat/>
    <w:uiPriority w:val="0"/>
    <w:rPr>
      <w:rFonts w:hint="eastAsia" w:ascii="Microsoft YaHei UI" w:hAnsi="Microsoft YaHei UI" w:eastAsia="Microsoft YaHei UI"/>
      <w:b/>
      <w:bCs/>
      <w:sz w:val="18"/>
      <w:szCs w:val="18"/>
    </w:rPr>
  </w:style>
  <w:style w:type="paragraph" w:customStyle="1" w:styleId="359">
    <w:name w:val="TOC 标题11"/>
    <w:basedOn w:val="194"/>
    <w:next w:val="1"/>
    <w:unhideWhenUsed/>
    <w:qFormat/>
    <w:uiPriority w:val="39"/>
    <w:pPr>
      <w:keepLines/>
      <w:widowControl/>
      <w:spacing w:before="240" w:line="259" w:lineRule="auto"/>
      <w:jc w:val="left"/>
      <w:outlineLvl w:val="9"/>
    </w:pPr>
    <w:rPr>
      <w:rFonts w:ascii="等线 Light" w:hAnsi="等线 Light" w:eastAsia="黑体"/>
      <w:color w:val="2F5496"/>
      <w:sz w:val="32"/>
      <w:szCs w:val="32"/>
    </w:rPr>
  </w:style>
  <w:style w:type="character" w:customStyle="1" w:styleId="360">
    <w:name w:val="普通正文 Char"/>
    <w:link w:val="243"/>
    <w:qFormat/>
    <w:uiPriority w:val="0"/>
    <w:rPr>
      <w:rFonts w:ascii="Arial" w:hAnsi="Arial"/>
      <w:sz w:val="24"/>
      <w:szCs w:val="24"/>
    </w:rPr>
  </w:style>
  <w:style w:type="character" w:customStyle="1" w:styleId="361">
    <w:name w:val="批注文字 字符2"/>
    <w:basedOn w:val="41"/>
    <w:link w:val="13"/>
    <w:semiHidden/>
    <w:qFormat/>
    <w:uiPriority w:val="99"/>
    <w:rPr>
      <w:sz w:val="21"/>
      <w:szCs w:val="22"/>
    </w:rPr>
  </w:style>
  <w:style w:type="character" w:customStyle="1" w:styleId="362">
    <w:name w:val="批注主题 字符1"/>
    <w:basedOn w:val="361"/>
    <w:link w:val="36"/>
    <w:semiHidden/>
    <w:qFormat/>
    <w:uiPriority w:val="99"/>
    <w:rPr>
      <w:b/>
      <w:bCs/>
      <w:sz w:val="21"/>
      <w:szCs w:val="22"/>
    </w:rPr>
  </w:style>
  <w:style w:type="character" w:customStyle="1" w:styleId="363">
    <w:name w:val="批注框文本 字符1"/>
    <w:basedOn w:val="41"/>
    <w:link w:val="21"/>
    <w:semiHidden/>
    <w:qFormat/>
    <w:uiPriority w:val="99"/>
    <w:rPr>
      <w:sz w:val="18"/>
      <w:szCs w:val="18"/>
    </w:rPr>
  </w:style>
  <w:style w:type="character" w:customStyle="1" w:styleId="364">
    <w:name w:val="1、 字符"/>
    <w:link w:val="365"/>
    <w:qFormat/>
    <w:uiPriority w:val="0"/>
    <w:rPr>
      <w:kern w:val="2"/>
      <w:sz w:val="24"/>
      <w:szCs w:val="24"/>
    </w:rPr>
  </w:style>
  <w:style w:type="paragraph" w:customStyle="1" w:styleId="365">
    <w:name w:val="1、"/>
    <w:basedOn w:val="1"/>
    <w:link w:val="364"/>
    <w:qFormat/>
    <w:uiPriority w:val="0"/>
    <w:pPr>
      <w:spacing w:line="440" w:lineRule="exact"/>
      <w:ind w:firstLine="200" w:firstLineChars="200"/>
    </w:pPr>
    <w:rPr>
      <w:kern w:val="2"/>
      <w:sz w:val="24"/>
      <w:szCs w:val="24"/>
    </w:rPr>
  </w:style>
  <w:style w:type="paragraph" w:customStyle="1" w:styleId="366">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367">
    <w:name w:val="15"/>
    <w:basedOn w:val="41"/>
    <w:qFormat/>
    <w:uiPriority w:val="0"/>
    <w:rPr>
      <w:rFonts w:hint="default" w:ascii="Calibri" w:hAnsi="Calibri" w:cs="Calibri"/>
    </w:rPr>
  </w:style>
  <w:style w:type="paragraph" w:customStyle="1" w:styleId="368">
    <w:name w:val="Char Char1 Char Char Char Char Char Char Char2"/>
    <w:basedOn w:val="1"/>
    <w:qFormat/>
    <w:uiPriority w:val="0"/>
    <w:rPr>
      <w:rFonts w:ascii="Tahoma" w:hAnsi="Tahoma"/>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52</Pages>
  <Words>27734</Words>
  <Characters>29303</Characters>
  <Lines>256</Lines>
  <Paragraphs>72</Paragraphs>
  <TotalTime>0</TotalTime>
  <ScaleCrop>false</ScaleCrop>
  <LinksUpToDate>false</LinksUpToDate>
  <CharactersWithSpaces>30407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2024-07-29T04:38:00Z</dcterms:created>
  <dc:creator>赵国文</dc:creator>
  <cp:lastModifiedBy>代理机构</cp:lastModifiedBy>
  <dcterms:modified xsi:type="dcterms:W3CDTF">2024-08-13T01:41:26Z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26E49C41E0184C768B4339D9B075B080_13</vt:lpwstr>
  </property>
</Properties>
</file>