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ABC21">
      <w:pPr>
        <w:spacing w:before="120" w:after="120" w:line="360" w:lineRule="auto"/>
        <w:rPr>
          <w:rFonts w:ascii="Arial" w:hAnsi="Arial" w:eastAsia="黑体"/>
          <w:b/>
          <w:bCs/>
          <w:color w:val="auto"/>
          <w:sz w:val="84"/>
          <w:szCs w:val="24"/>
        </w:rPr>
      </w:pPr>
    </w:p>
    <w:p w14:paraId="33DA986C">
      <w:pPr>
        <w:spacing w:before="120" w:after="120" w:line="360" w:lineRule="auto"/>
        <w:jc w:val="center"/>
        <w:rPr>
          <w:rFonts w:ascii="Arial" w:hAnsi="Arial" w:eastAsia="黑体"/>
          <w:b/>
          <w:bCs/>
          <w:color w:val="auto"/>
          <w:sz w:val="84"/>
          <w:szCs w:val="24"/>
        </w:rPr>
      </w:pPr>
      <w:r>
        <w:rPr>
          <w:rFonts w:hint="eastAsia" w:ascii="Arial" w:hAnsi="Arial" w:eastAsia="黑体"/>
          <w:color w:val="auto"/>
          <w:spacing w:val="210"/>
          <w:sz w:val="84"/>
          <w:szCs w:val="24"/>
        </w:rPr>
        <w:t>招标文</w:t>
      </w:r>
      <w:r>
        <w:rPr>
          <w:rFonts w:hint="eastAsia" w:ascii="Arial" w:hAnsi="Arial" w:eastAsia="黑体"/>
          <w:color w:val="auto"/>
          <w:sz w:val="84"/>
          <w:szCs w:val="24"/>
        </w:rPr>
        <w:t>件</w:t>
      </w:r>
    </w:p>
    <w:p w14:paraId="75B1BB7F">
      <w:pPr>
        <w:keepNext/>
        <w:keepLines/>
        <w:spacing w:before="260" w:after="260" w:line="416" w:lineRule="auto"/>
        <w:ind w:firstLine="2429"/>
        <w:outlineLvl w:val="1"/>
        <w:rPr>
          <w:rFonts w:ascii="Arial" w:hAnsi="Arial"/>
          <w:b/>
          <w:bCs/>
          <w:color w:val="auto"/>
          <w:sz w:val="32"/>
          <w:szCs w:val="24"/>
        </w:rPr>
      </w:pPr>
    </w:p>
    <w:p w14:paraId="6FA2D431">
      <w:pPr>
        <w:keepNext/>
        <w:keepLines/>
        <w:spacing w:before="260" w:after="260" w:line="416" w:lineRule="auto"/>
        <w:ind w:firstLine="2429"/>
        <w:outlineLvl w:val="1"/>
        <w:rPr>
          <w:rFonts w:ascii="Arial" w:hAnsi="Arial"/>
          <w:b/>
          <w:bCs/>
          <w:color w:val="auto"/>
          <w:sz w:val="32"/>
          <w:szCs w:val="24"/>
        </w:rPr>
      </w:pPr>
    </w:p>
    <w:p w14:paraId="27946E8C">
      <w:pPr>
        <w:pStyle w:val="29"/>
        <w:rPr>
          <w:color w:val="auto"/>
        </w:rPr>
      </w:pPr>
    </w:p>
    <w:p w14:paraId="08B0ECC9">
      <w:pPr>
        <w:keepNext/>
        <w:keepLines/>
        <w:spacing w:before="260" w:after="260" w:line="416" w:lineRule="auto"/>
        <w:jc w:val="center"/>
        <w:outlineLvl w:val="1"/>
        <w:rPr>
          <w:rFonts w:hint="eastAsia" w:ascii="Arial" w:hAnsi="Arial" w:eastAsia="宋体"/>
          <w:b/>
          <w:bCs/>
          <w:color w:val="auto"/>
          <w:sz w:val="32"/>
          <w:szCs w:val="24"/>
          <w:lang w:eastAsia="zh-CN"/>
        </w:rPr>
      </w:pPr>
      <w:r>
        <w:rPr>
          <w:rFonts w:hint="eastAsia" w:ascii="Arial" w:hAnsi="Arial"/>
          <w:b/>
          <w:bCs/>
          <w:color w:val="auto"/>
          <w:sz w:val="32"/>
          <w:szCs w:val="24"/>
        </w:rPr>
        <w:t>项目名称：</w:t>
      </w:r>
      <w:r>
        <w:rPr>
          <w:rFonts w:hint="eastAsia" w:ascii="Arial" w:hAnsi="Arial"/>
          <w:b/>
          <w:bCs/>
          <w:color w:val="auto"/>
          <w:sz w:val="32"/>
          <w:szCs w:val="24"/>
          <w:lang w:eastAsia="zh-CN"/>
        </w:rPr>
        <w:t>射阳县中医院信息化建设项目-软件系统</w:t>
      </w:r>
    </w:p>
    <w:p w14:paraId="3702920D">
      <w:pPr>
        <w:keepNext/>
        <w:keepLines/>
        <w:spacing w:before="260" w:after="260" w:line="416" w:lineRule="auto"/>
        <w:ind w:firstLine="1285"/>
        <w:outlineLvl w:val="1"/>
        <w:rPr>
          <w:rFonts w:hint="eastAsia" w:ascii="Arial" w:hAnsi="Arial"/>
          <w:b/>
          <w:bCs/>
          <w:color w:val="auto"/>
          <w:sz w:val="32"/>
          <w:szCs w:val="24"/>
          <w:lang w:val="en-US" w:eastAsia="zh-CN"/>
        </w:rPr>
      </w:pPr>
      <w:r>
        <w:rPr>
          <w:rFonts w:hint="eastAsia" w:ascii="Arial" w:hAnsi="Arial"/>
          <w:b/>
          <w:bCs/>
          <w:color w:val="auto"/>
          <w:sz w:val="32"/>
          <w:szCs w:val="24"/>
        </w:rPr>
        <w:t>项目编号：JSZC-320924-JZCG-G2024-0038</w:t>
      </w:r>
    </w:p>
    <w:p w14:paraId="35FE9D7F">
      <w:pPr>
        <w:keepNext/>
        <w:keepLines/>
        <w:spacing w:before="260" w:after="260" w:line="416" w:lineRule="auto"/>
        <w:ind w:firstLine="1285"/>
        <w:outlineLvl w:val="1"/>
        <w:rPr>
          <w:rFonts w:hint="default" w:ascii="Arial" w:hAnsi="Arial" w:eastAsia="宋体"/>
          <w:b/>
          <w:bCs/>
          <w:color w:val="auto"/>
          <w:sz w:val="32"/>
          <w:szCs w:val="24"/>
          <w:lang w:val="en-US" w:eastAsia="zh-CN"/>
        </w:rPr>
      </w:pPr>
    </w:p>
    <w:p w14:paraId="69139CC9">
      <w:pPr>
        <w:pStyle w:val="12"/>
        <w:ind w:left="440" w:firstLine="643"/>
        <w:rPr>
          <w:rFonts w:ascii="Arial" w:hAnsi="Arial"/>
          <w:b/>
          <w:bCs/>
          <w:color w:val="auto"/>
          <w:sz w:val="32"/>
        </w:rPr>
      </w:pPr>
    </w:p>
    <w:p w14:paraId="6CFFEEDD">
      <w:pPr>
        <w:rPr>
          <w:rFonts w:ascii="Arial" w:hAnsi="Arial"/>
          <w:b/>
          <w:bCs/>
          <w:color w:val="auto"/>
          <w:sz w:val="32"/>
          <w:szCs w:val="24"/>
        </w:rPr>
      </w:pPr>
    </w:p>
    <w:p w14:paraId="419EBABB">
      <w:pPr>
        <w:pStyle w:val="29"/>
        <w:rPr>
          <w:rFonts w:ascii="Arial" w:hAnsi="Arial"/>
          <w:b/>
          <w:bCs/>
          <w:color w:val="auto"/>
          <w:sz w:val="32"/>
          <w:szCs w:val="24"/>
        </w:rPr>
      </w:pPr>
    </w:p>
    <w:p w14:paraId="1D5E6CEE">
      <w:pPr>
        <w:rPr>
          <w:rFonts w:ascii="Arial" w:hAnsi="Arial"/>
          <w:b/>
          <w:bCs/>
          <w:color w:val="auto"/>
          <w:sz w:val="32"/>
          <w:szCs w:val="24"/>
        </w:rPr>
      </w:pPr>
    </w:p>
    <w:p w14:paraId="7F9C7DA8">
      <w:pPr>
        <w:pStyle w:val="29"/>
        <w:rPr>
          <w:rFonts w:ascii="Arial" w:hAnsi="Arial"/>
          <w:b/>
          <w:bCs/>
          <w:color w:val="auto"/>
          <w:sz w:val="32"/>
          <w:szCs w:val="24"/>
        </w:rPr>
      </w:pPr>
    </w:p>
    <w:p w14:paraId="7454028F">
      <w:pPr>
        <w:rPr>
          <w:color w:val="auto"/>
        </w:rPr>
      </w:pPr>
    </w:p>
    <w:p w14:paraId="63CB6FB1">
      <w:pPr>
        <w:rPr>
          <w:color w:val="auto"/>
        </w:rPr>
      </w:pPr>
    </w:p>
    <w:p w14:paraId="6F3312EA">
      <w:pPr>
        <w:jc w:val="center"/>
        <w:rPr>
          <w:b/>
          <w:color w:val="auto"/>
          <w:sz w:val="32"/>
          <w:szCs w:val="32"/>
        </w:rPr>
      </w:pPr>
      <w:r>
        <w:rPr>
          <w:rFonts w:hint="eastAsia" w:cs="Arial"/>
          <w:b/>
          <w:color w:val="auto"/>
          <w:sz w:val="32"/>
          <w:szCs w:val="32"/>
        </w:rPr>
        <w:t>采购单位：</w:t>
      </w:r>
      <w:r>
        <w:rPr>
          <w:rFonts w:hint="eastAsia"/>
          <w:b/>
          <w:color w:val="auto"/>
          <w:sz w:val="32"/>
          <w:szCs w:val="32"/>
        </w:rPr>
        <w:t>射阳县中医院</w:t>
      </w:r>
    </w:p>
    <w:p w14:paraId="5589466C">
      <w:pPr>
        <w:spacing w:line="800" w:lineRule="exact"/>
        <w:jc w:val="center"/>
        <w:outlineLvl w:val="0"/>
        <w:rPr>
          <w:b/>
          <w:color w:val="auto"/>
          <w:sz w:val="32"/>
          <w:szCs w:val="32"/>
        </w:rPr>
      </w:pPr>
      <w:r>
        <w:rPr>
          <w:rFonts w:hint="eastAsia"/>
          <w:b/>
          <w:color w:val="auto"/>
          <w:sz w:val="32"/>
          <w:szCs w:val="32"/>
        </w:rPr>
        <w:t>2024年</w:t>
      </w:r>
      <w:r>
        <w:rPr>
          <w:rFonts w:hint="eastAsia"/>
          <w:b/>
          <w:color w:val="auto"/>
          <w:sz w:val="32"/>
          <w:szCs w:val="32"/>
          <w:lang w:val="en-US" w:eastAsia="zh-CN"/>
        </w:rPr>
        <w:t>12</w:t>
      </w:r>
      <w:r>
        <w:rPr>
          <w:rFonts w:hint="eastAsia"/>
          <w:b/>
          <w:color w:val="auto"/>
          <w:sz w:val="32"/>
          <w:szCs w:val="32"/>
        </w:rPr>
        <w:t>月</w:t>
      </w:r>
    </w:p>
    <w:p w14:paraId="5BE5DC9C">
      <w:pPr>
        <w:pStyle w:val="12"/>
        <w:ind w:left="440" w:firstLine="643"/>
        <w:rPr>
          <w:rFonts w:ascii="Arial" w:hAnsi="Arial"/>
          <w:b/>
          <w:bCs/>
          <w:color w:val="auto"/>
          <w:sz w:val="32"/>
          <w:highlight w:val="yellow"/>
        </w:rPr>
      </w:pPr>
    </w:p>
    <w:p w14:paraId="72BE906C">
      <w:pPr>
        <w:rPr>
          <w:rFonts w:ascii="Arial" w:hAnsi="Arial"/>
          <w:b/>
          <w:bCs/>
          <w:color w:val="auto"/>
          <w:sz w:val="32"/>
          <w:szCs w:val="24"/>
          <w:highlight w:val="yellow"/>
        </w:rPr>
      </w:pPr>
    </w:p>
    <w:p w14:paraId="10DC9F9D">
      <w:pPr>
        <w:pStyle w:val="9"/>
        <w:keepNext/>
        <w:spacing w:before="361" w:beforeAutospacing="0" w:afterAutospacing="0" w:line="360" w:lineRule="auto"/>
        <w:jc w:val="center"/>
        <w:rPr>
          <w:rFonts w:ascii="黑体" w:hAnsi="Arial" w:eastAsia="黑体" w:cs="Arial"/>
          <w:b/>
          <w:bCs/>
          <w:color w:val="auto"/>
          <w:sz w:val="44"/>
          <w:szCs w:val="44"/>
        </w:rPr>
        <w:sectPr>
          <w:pgSz w:w="11906" w:h="16838"/>
          <w:pgMar w:top="1440" w:right="1800" w:bottom="1440" w:left="1800" w:header="851" w:footer="992" w:gutter="0"/>
          <w:cols w:space="425" w:num="1"/>
          <w:docGrid w:linePitch="360" w:charSpace="0"/>
        </w:sectPr>
      </w:pPr>
    </w:p>
    <w:p w14:paraId="5EDD3090">
      <w:pPr>
        <w:pStyle w:val="9"/>
        <w:spacing w:beforeAutospacing="0" w:afterAutospacing="0" w:line="480" w:lineRule="auto"/>
        <w:jc w:val="center"/>
        <w:rPr>
          <w:color w:val="auto"/>
        </w:rPr>
      </w:pPr>
      <w:r>
        <w:rPr>
          <w:rFonts w:ascii="Times New Roman" w:hAnsi="Times New Roman"/>
          <w:color w:val="auto"/>
          <w:sz w:val="21"/>
          <w:szCs w:val="21"/>
        </w:rPr>
        <w:t> </w:t>
      </w:r>
      <w:bookmarkStart w:id="0" w:name="_Toc16938516"/>
      <w:bookmarkStart w:id="1" w:name="_Toc20823272"/>
      <w:bookmarkStart w:id="2" w:name="_Toc120614210"/>
      <w:bookmarkStart w:id="3" w:name="_Toc513029200"/>
      <w:bookmarkStart w:id="4" w:name="_Toc523127445"/>
      <w:bookmarkStart w:id="5" w:name="_Toc479757206"/>
      <w:r>
        <w:rPr>
          <w:rFonts w:ascii="Times New Roman" w:hAnsi="Times New Roman"/>
          <w:color w:val="auto"/>
          <w:sz w:val="21"/>
          <w:szCs w:val="21"/>
        </w:rPr>
        <w:t> </w:t>
      </w:r>
      <w:r>
        <w:rPr>
          <w:rFonts w:ascii="黑体" w:hAnsi="宋体" w:eastAsia="黑体" w:cs="黑体"/>
          <w:b/>
          <w:color w:val="auto"/>
          <w:sz w:val="44"/>
          <w:szCs w:val="44"/>
        </w:rPr>
        <w:t>总  目  录</w:t>
      </w:r>
      <w:bookmarkEnd w:id="0"/>
      <w:bookmarkEnd w:id="1"/>
      <w:bookmarkEnd w:id="2"/>
      <w:bookmarkEnd w:id="3"/>
      <w:bookmarkEnd w:id="4"/>
      <w:bookmarkEnd w:id="5"/>
    </w:p>
    <w:p w14:paraId="35CDEEF7">
      <w:pPr>
        <w:pStyle w:val="9"/>
        <w:spacing w:beforeAutospacing="0" w:afterAutospacing="0" w:line="480" w:lineRule="auto"/>
        <w:jc w:val="both"/>
        <w:rPr>
          <w:color w:val="auto"/>
        </w:rPr>
      </w:pPr>
      <w:r>
        <w:rPr>
          <w:color w:val="auto"/>
        </w:rPr>
        <w:t> </w:t>
      </w:r>
    </w:p>
    <w:p w14:paraId="0E90C7FB">
      <w:pPr>
        <w:pStyle w:val="9"/>
        <w:tabs>
          <w:tab w:val="left" w:pos="1441"/>
        </w:tabs>
        <w:spacing w:beforeAutospacing="0" w:afterAutospacing="0" w:line="480" w:lineRule="auto"/>
        <w:ind w:left="2160" w:hanging="1440"/>
        <w:jc w:val="both"/>
        <w:rPr>
          <w:color w:val="auto"/>
        </w:rPr>
      </w:pPr>
      <w:r>
        <w:rPr>
          <w:rFonts w:hint="eastAsia" w:ascii="黑体" w:hAnsi="宋体" w:eastAsia="黑体" w:cs="黑体"/>
          <w:color w:val="auto"/>
          <w:sz w:val="36"/>
          <w:szCs w:val="36"/>
        </w:rPr>
        <w:t xml:space="preserve">招标公告……………………………………2 </w:t>
      </w:r>
    </w:p>
    <w:p w14:paraId="65EFE21A">
      <w:pPr>
        <w:pStyle w:val="9"/>
        <w:tabs>
          <w:tab w:val="left" w:pos="1441"/>
        </w:tabs>
        <w:spacing w:beforeAutospacing="0" w:afterAutospacing="0" w:line="480" w:lineRule="auto"/>
        <w:ind w:left="2160" w:hanging="1440"/>
        <w:jc w:val="both"/>
        <w:rPr>
          <w:color w:val="auto"/>
        </w:rPr>
      </w:pPr>
      <w:r>
        <w:rPr>
          <w:rFonts w:hint="eastAsia" w:ascii="黑体" w:hAnsi="宋体" w:eastAsia="黑体" w:cs="黑体"/>
          <w:color w:val="auto"/>
          <w:sz w:val="36"/>
          <w:szCs w:val="36"/>
        </w:rPr>
        <w:t xml:space="preserve">投标人须知…………………………………6  </w:t>
      </w:r>
    </w:p>
    <w:p w14:paraId="29CF316B">
      <w:pPr>
        <w:pStyle w:val="9"/>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合同文本……………………………………19</w:t>
      </w:r>
    </w:p>
    <w:p w14:paraId="70CC4396">
      <w:pPr>
        <w:pStyle w:val="9"/>
        <w:tabs>
          <w:tab w:val="left" w:pos="1441"/>
        </w:tabs>
        <w:spacing w:beforeAutospacing="0" w:afterAutospacing="0" w:line="480" w:lineRule="auto"/>
        <w:ind w:left="2160" w:hanging="1440"/>
        <w:jc w:val="both"/>
        <w:rPr>
          <w:rFonts w:eastAsia="黑体"/>
          <w:color w:val="auto"/>
        </w:rPr>
      </w:pPr>
      <w:r>
        <w:rPr>
          <w:rFonts w:hint="eastAsia" w:ascii="黑体" w:hAnsi="宋体" w:eastAsia="黑体" w:cs="黑体"/>
          <w:color w:val="auto"/>
          <w:sz w:val="36"/>
          <w:szCs w:val="36"/>
        </w:rPr>
        <w:t>采购需求……………………………………24</w:t>
      </w:r>
    </w:p>
    <w:p w14:paraId="52A0604C">
      <w:pPr>
        <w:pStyle w:val="9"/>
        <w:tabs>
          <w:tab w:val="left" w:pos="1441"/>
        </w:tabs>
        <w:spacing w:beforeAutospacing="0" w:afterAutospacing="0" w:line="480" w:lineRule="auto"/>
        <w:ind w:left="2160" w:hanging="1440"/>
        <w:jc w:val="both"/>
        <w:rPr>
          <w:rFonts w:ascii="黑体" w:hAnsi="宋体" w:eastAsia="黑体" w:cs="黑体"/>
          <w:color w:val="auto"/>
          <w:sz w:val="36"/>
          <w:szCs w:val="36"/>
        </w:rPr>
      </w:pPr>
      <w:r>
        <w:rPr>
          <w:rFonts w:hint="eastAsia" w:ascii="黑体" w:hAnsi="宋体" w:eastAsia="黑体" w:cs="黑体"/>
          <w:color w:val="auto"/>
          <w:sz w:val="36"/>
          <w:szCs w:val="36"/>
        </w:rPr>
        <w:t>评标方法与评标标准………………………161</w:t>
      </w:r>
    </w:p>
    <w:p w14:paraId="05D67D53">
      <w:pPr>
        <w:pStyle w:val="9"/>
        <w:tabs>
          <w:tab w:val="left" w:pos="1441"/>
        </w:tabs>
        <w:spacing w:beforeAutospacing="0" w:afterAutospacing="0" w:line="480" w:lineRule="auto"/>
        <w:ind w:left="2160" w:hanging="1440"/>
        <w:jc w:val="both"/>
        <w:rPr>
          <w:rFonts w:ascii="黑体" w:hAnsi="Arial" w:eastAsia="黑体" w:cs="Arial"/>
          <w:b/>
          <w:bCs/>
          <w:color w:val="auto"/>
          <w:sz w:val="44"/>
          <w:szCs w:val="44"/>
        </w:rPr>
        <w:sectPr>
          <w:footerReference r:id="rId4" w:type="default"/>
          <w:pgSz w:w="11906" w:h="16838"/>
          <w:pgMar w:top="1440" w:right="1689" w:bottom="1440" w:left="1689" w:header="851" w:footer="992" w:gutter="0"/>
          <w:pgNumType w:start="1"/>
          <w:cols w:space="425" w:num="1"/>
          <w:docGrid w:linePitch="360" w:charSpace="0"/>
        </w:sectPr>
      </w:pPr>
      <w:r>
        <w:rPr>
          <w:rFonts w:hint="eastAsia" w:ascii="黑体" w:hAnsi="宋体" w:eastAsia="黑体" w:cs="黑体"/>
          <w:color w:val="auto"/>
          <w:sz w:val="36"/>
          <w:szCs w:val="36"/>
        </w:rPr>
        <w:t>投标文件格式………………………………167</w:t>
      </w:r>
    </w:p>
    <w:p w14:paraId="3E222C0D">
      <w:pPr>
        <w:pStyle w:val="9"/>
        <w:keepNext/>
        <w:spacing w:before="361" w:beforeAutospacing="0" w:afterAutospacing="0" w:line="360" w:lineRule="auto"/>
        <w:jc w:val="center"/>
        <w:rPr>
          <w:rFonts w:ascii="黑体" w:hAnsi="宋体" w:eastAsia="黑体" w:cs="黑体"/>
          <w:color w:val="auto"/>
          <w:sz w:val="32"/>
          <w:szCs w:val="32"/>
        </w:rPr>
      </w:pPr>
      <w:r>
        <w:rPr>
          <w:rFonts w:hint="eastAsia" w:ascii="黑体" w:hAnsi="Arial" w:eastAsia="黑体" w:cs="Arial"/>
          <w:b/>
          <w:bCs/>
          <w:color w:val="auto"/>
          <w:sz w:val="44"/>
          <w:szCs w:val="44"/>
        </w:rPr>
        <w:t>第一章  招标公告</w:t>
      </w:r>
    </w:p>
    <w:p w14:paraId="0B335A64">
      <w:pPr>
        <w:widowControl/>
        <w:pBdr>
          <w:top w:val="single" w:color="auto" w:sz="4" w:space="0"/>
          <w:left w:val="single" w:color="auto" w:sz="4" w:space="0"/>
          <w:bottom w:val="single" w:color="auto" w:sz="4" w:space="0"/>
          <w:right w:val="single" w:color="auto" w:sz="4" w:space="0"/>
        </w:pBdr>
        <w:spacing w:line="500" w:lineRule="exact"/>
        <w:ind w:firstLine="482"/>
        <w:rPr>
          <w:color w:val="auto"/>
          <w:sz w:val="24"/>
          <w:szCs w:val="20"/>
        </w:rPr>
      </w:pPr>
      <w:bookmarkStart w:id="6" w:name="_Toc35393621"/>
      <w:bookmarkStart w:id="7" w:name="_Toc28359079"/>
      <w:bookmarkStart w:id="8" w:name="_Toc38985263"/>
      <w:bookmarkStart w:id="9" w:name="_Toc28359002"/>
      <w:bookmarkStart w:id="10" w:name="_Toc35393790"/>
      <w:bookmarkStart w:id="11" w:name="_Hlk24379207"/>
      <w:r>
        <w:rPr>
          <w:rFonts w:hint="eastAsia"/>
          <w:color w:val="auto"/>
          <w:sz w:val="24"/>
          <w:szCs w:val="20"/>
        </w:rPr>
        <w:t>项目概况</w:t>
      </w:r>
    </w:p>
    <w:p w14:paraId="1ABEE6DF">
      <w:pPr>
        <w:widowControl/>
        <w:pBdr>
          <w:top w:val="single" w:color="auto" w:sz="4" w:space="0"/>
          <w:left w:val="single" w:color="auto" w:sz="4" w:space="0"/>
          <w:bottom w:val="single" w:color="auto" w:sz="4" w:space="0"/>
          <w:right w:val="single" w:color="auto" w:sz="4" w:space="0"/>
        </w:pBdr>
        <w:spacing w:line="500" w:lineRule="exact"/>
        <w:ind w:firstLine="480"/>
        <w:rPr>
          <w:color w:val="auto"/>
          <w:sz w:val="24"/>
          <w:szCs w:val="20"/>
        </w:rPr>
      </w:pPr>
      <w:r>
        <w:rPr>
          <w:rFonts w:hint="eastAsia"/>
          <w:color w:val="auto"/>
          <w:sz w:val="24"/>
          <w:szCs w:val="20"/>
          <w:u w:val="single"/>
          <w:lang w:eastAsia="zh-CN"/>
        </w:rPr>
        <w:t>射阳县中医院信息化建设项目-软件系统</w:t>
      </w:r>
      <w:r>
        <w:rPr>
          <w:rFonts w:hint="eastAsia"/>
          <w:color w:val="auto"/>
          <w:sz w:val="24"/>
          <w:szCs w:val="20"/>
        </w:rPr>
        <w:t>的潜在投标人可在“</w:t>
      </w:r>
      <w:r>
        <w:rPr>
          <w:rFonts w:hint="eastAsia"/>
          <w:color w:val="auto"/>
          <w:sz w:val="24"/>
          <w:szCs w:val="20"/>
          <w:u w:val="single"/>
        </w:rPr>
        <w:t>中国政府采购网、江苏政府采购网、盐城市政府采购网</w:t>
      </w:r>
      <w:r>
        <w:rPr>
          <w:rFonts w:hint="eastAsia"/>
          <w:color w:val="auto"/>
          <w:sz w:val="24"/>
          <w:szCs w:val="20"/>
        </w:rPr>
        <w:t>”获取招标文件，并于</w:t>
      </w:r>
      <w:r>
        <w:rPr>
          <w:rFonts w:hint="eastAsia"/>
          <w:color w:val="auto"/>
          <w:sz w:val="24"/>
          <w:szCs w:val="20"/>
          <w:u w:val="single"/>
        </w:rPr>
        <w:t>202</w:t>
      </w:r>
      <w:r>
        <w:rPr>
          <w:rFonts w:hint="eastAsia"/>
          <w:color w:val="auto"/>
          <w:sz w:val="24"/>
          <w:szCs w:val="20"/>
          <w:u w:val="single"/>
          <w:lang w:val="en-US" w:eastAsia="zh-CN"/>
        </w:rPr>
        <w:t>5</w:t>
      </w:r>
      <w:r>
        <w:rPr>
          <w:rFonts w:hint="eastAsia"/>
          <w:color w:val="auto"/>
          <w:sz w:val="24"/>
          <w:szCs w:val="20"/>
          <w:u w:val="single"/>
        </w:rPr>
        <w:t>年</w:t>
      </w:r>
      <w:r>
        <w:rPr>
          <w:rFonts w:hint="eastAsia"/>
          <w:color w:val="auto"/>
          <w:sz w:val="24"/>
          <w:szCs w:val="20"/>
          <w:u w:val="single"/>
          <w:lang w:val="en-US" w:eastAsia="zh-CN"/>
        </w:rPr>
        <w:t>1</w:t>
      </w:r>
      <w:r>
        <w:rPr>
          <w:rFonts w:hint="eastAsia"/>
          <w:color w:val="auto"/>
          <w:sz w:val="24"/>
          <w:szCs w:val="20"/>
          <w:u w:val="single"/>
        </w:rPr>
        <w:t>月</w:t>
      </w:r>
      <w:r>
        <w:rPr>
          <w:rFonts w:hint="eastAsia"/>
          <w:color w:val="auto"/>
          <w:sz w:val="24"/>
          <w:szCs w:val="20"/>
          <w:u w:val="single"/>
          <w:lang w:val="en-US" w:eastAsia="zh-CN"/>
        </w:rPr>
        <w:t>23</w:t>
      </w:r>
      <w:r>
        <w:rPr>
          <w:rFonts w:hint="eastAsia"/>
          <w:color w:val="auto"/>
          <w:sz w:val="24"/>
          <w:szCs w:val="20"/>
          <w:u w:val="single"/>
        </w:rPr>
        <w:t>日</w:t>
      </w:r>
      <w:r>
        <w:rPr>
          <w:rFonts w:hint="eastAsia"/>
          <w:color w:val="auto"/>
          <w:sz w:val="24"/>
          <w:szCs w:val="20"/>
          <w:u w:val="single"/>
          <w:lang w:val="en-US" w:eastAsia="zh-CN"/>
        </w:rPr>
        <w:t>9</w:t>
      </w:r>
      <w:r>
        <w:rPr>
          <w:rFonts w:hint="eastAsia"/>
          <w:color w:val="auto"/>
          <w:sz w:val="24"/>
          <w:szCs w:val="20"/>
          <w:u w:val="single"/>
        </w:rPr>
        <w:t>点00分</w:t>
      </w:r>
      <w:r>
        <w:rPr>
          <w:rFonts w:hint="eastAsia"/>
          <w:color w:val="auto"/>
          <w:sz w:val="24"/>
          <w:szCs w:val="20"/>
        </w:rPr>
        <w:t>（北京时间）前递交投标文件。</w:t>
      </w:r>
    </w:p>
    <w:p w14:paraId="799F22D6">
      <w:pPr>
        <w:spacing w:line="500" w:lineRule="exact"/>
        <w:ind w:firstLine="480"/>
        <w:rPr>
          <w:b/>
          <w:bCs/>
          <w:color w:val="auto"/>
          <w:sz w:val="24"/>
          <w:szCs w:val="24"/>
        </w:rPr>
      </w:pPr>
      <w:r>
        <w:rPr>
          <w:rFonts w:hint="eastAsia" w:cs="Times New Roman"/>
          <w:b/>
          <w:bCs/>
          <w:color w:val="auto"/>
          <w:sz w:val="24"/>
          <w:szCs w:val="24"/>
        </w:rPr>
        <w:t>一、项目基本情况</w:t>
      </w:r>
      <w:bookmarkEnd w:id="6"/>
      <w:bookmarkEnd w:id="7"/>
      <w:bookmarkEnd w:id="8"/>
      <w:bookmarkEnd w:id="9"/>
      <w:bookmarkEnd w:id="10"/>
      <w:bookmarkEnd w:id="11"/>
    </w:p>
    <w:p w14:paraId="06057BDF">
      <w:pPr>
        <w:spacing w:line="500" w:lineRule="exact"/>
        <w:ind w:firstLine="480"/>
        <w:rPr>
          <w:rFonts w:hint="default" w:eastAsia="宋体"/>
          <w:color w:val="auto"/>
          <w:sz w:val="24"/>
          <w:szCs w:val="24"/>
          <w:lang w:val="en-US" w:eastAsia="zh-CN"/>
        </w:rPr>
      </w:pPr>
      <w:r>
        <w:rPr>
          <w:rFonts w:hint="eastAsia" w:cs="Times New Roman"/>
          <w:color w:val="auto"/>
          <w:sz w:val="24"/>
          <w:szCs w:val="24"/>
        </w:rPr>
        <w:t>1.项目编号：JSZC-320924-JZCG-G2024-0038</w:t>
      </w:r>
    </w:p>
    <w:p w14:paraId="60D8B4B5">
      <w:pPr>
        <w:spacing w:line="500" w:lineRule="exact"/>
        <w:ind w:firstLine="480"/>
        <w:rPr>
          <w:rFonts w:hint="eastAsia" w:eastAsia="宋体"/>
          <w:color w:val="auto"/>
          <w:sz w:val="24"/>
          <w:szCs w:val="24"/>
          <w:lang w:eastAsia="zh-CN"/>
        </w:rPr>
      </w:pPr>
      <w:bookmarkStart w:id="12" w:name="_Toc35393791"/>
      <w:bookmarkStart w:id="13" w:name="_Toc28359003"/>
      <w:bookmarkStart w:id="14" w:name="_Toc35393622"/>
      <w:bookmarkStart w:id="15" w:name="_Toc28359080"/>
      <w:bookmarkStart w:id="16" w:name="_Toc38985264"/>
      <w:r>
        <w:rPr>
          <w:rFonts w:hint="eastAsia" w:cs="Times New Roman"/>
          <w:color w:val="auto"/>
          <w:sz w:val="24"/>
          <w:szCs w:val="24"/>
        </w:rPr>
        <w:t>2.项目名称：</w:t>
      </w:r>
      <w:r>
        <w:rPr>
          <w:rFonts w:hint="eastAsia" w:cs="Times New Roman"/>
          <w:color w:val="auto"/>
          <w:sz w:val="24"/>
          <w:szCs w:val="24"/>
          <w:lang w:eastAsia="zh-CN"/>
        </w:rPr>
        <w:t>射阳县中医院信息化建设项目-软件系统</w:t>
      </w:r>
    </w:p>
    <w:p w14:paraId="1A63F68E">
      <w:pPr>
        <w:spacing w:line="500" w:lineRule="exact"/>
        <w:ind w:firstLine="480"/>
        <w:rPr>
          <w:color w:val="auto"/>
          <w:sz w:val="24"/>
          <w:szCs w:val="24"/>
        </w:rPr>
      </w:pPr>
      <w:r>
        <w:rPr>
          <w:rFonts w:hint="eastAsia" w:cs="Times New Roman"/>
          <w:color w:val="auto"/>
          <w:sz w:val="24"/>
          <w:szCs w:val="24"/>
        </w:rPr>
        <w:t>3.采购方式：公开招标</w:t>
      </w:r>
    </w:p>
    <w:p w14:paraId="2EEF4CE9">
      <w:pPr>
        <w:spacing w:line="500" w:lineRule="exact"/>
        <w:ind w:firstLine="480"/>
        <w:rPr>
          <w:color w:val="auto"/>
          <w:sz w:val="24"/>
          <w:szCs w:val="24"/>
        </w:rPr>
      </w:pPr>
      <w:r>
        <w:rPr>
          <w:rFonts w:hint="eastAsia" w:cs="Times New Roman"/>
          <w:color w:val="auto"/>
          <w:sz w:val="24"/>
          <w:szCs w:val="24"/>
        </w:rPr>
        <w:t>4.预算金额：</w:t>
      </w:r>
      <w:r>
        <w:rPr>
          <w:rFonts w:hint="eastAsia" w:cs="Times New Roman"/>
          <w:color w:val="auto"/>
          <w:sz w:val="24"/>
          <w:szCs w:val="24"/>
          <w:lang w:val="en-US" w:eastAsia="zh-CN"/>
        </w:rPr>
        <w:t>1155</w:t>
      </w:r>
      <w:r>
        <w:rPr>
          <w:rFonts w:hint="eastAsia" w:cs="Times New Roman"/>
          <w:color w:val="auto"/>
          <w:sz w:val="24"/>
          <w:szCs w:val="24"/>
        </w:rPr>
        <w:t>万元</w:t>
      </w:r>
    </w:p>
    <w:p w14:paraId="5267A301">
      <w:pPr>
        <w:spacing w:line="500" w:lineRule="exact"/>
        <w:ind w:firstLine="480"/>
        <w:rPr>
          <w:color w:val="auto"/>
          <w:sz w:val="24"/>
          <w:szCs w:val="24"/>
        </w:rPr>
      </w:pPr>
      <w:r>
        <w:rPr>
          <w:rFonts w:hint="eastAsia" w:cs="Times New Roman"/>
          <w:color w:val="auto"/>
          <w:sz w:val="24"/>
          <w:szCs w:val="24"/>
        </w:rPr>
        <w:t>5.最高限价：</w:t>
      </w:r>
      <w:r>
        <w:rPr>
          <w:rFonts w:hint="eastAsia" w:cs="Times New Roman"/>
          <w:color w:val="auto"/>
          <w:sz w:val="24"/>
          <w:szCs w:val="24"/>
          <w:lang w:val="en-US" w:eastAsia="zh-CN"/>
        </w:rPr>
        <w:t>1155</w:t>
      </w:r>
      <w:r>
        <w:rPr>
          <w:rFonts w:hint="eastAsia" w:cs="Times New Roman"/>
          <w:color w:val="auto"/>
          <w:sz w:val="24"/>
          <w:szCs w:val="24"/>
        </w:rPr>
        <w:t>万元</w:t>
      </w:r>
    </w:p>
    <w:p w14:paraId="26B2F407">
      <w:pPr>
        <w:spacing w:line="500" w:lineRule="exact"/>
        <w:ind w:firstLine="480"/>
        <w:rPr>
          <w:rFonts w:cs="Times New Roman"/>
          <w:color w:val="auto"/>
          <w:sz w:val="24"/>
          <w:szCs w:val="24"/>
        </w:rPr>
      </w:pPr>
      <w:r>
        <w:rPr>
          <w:rFonts w:hint="eastAsia" w:cs="Times New Roman"/>
          <w:color w:val="auto"/>
          <w:sz w:val="24"/>
          <w:szCs w:val="24"/>
        </w:rPr>
        <w:t>6.采购需求：</w:t>
      </w:r>
      <w:r>
        <w:rPr>
          <w:rFonts w:hint="eastAsia" w:cs="Times New Roman"/>
          <w:color w:val="auto"/>
          <w:sz w:val="24"/>
          <w:szCs w:val="24"/>
          <w:lang w:eastAsia="zh-CN"/>
        </w:rPr>
        <w:t>射阳县中医院信息化建设项目-软件系统</w:t>
      </w:r>
      <w:r>
        <w:rPr>
          <w:rFonts w:hint="eastAsia" w:cs="Times New Roman"/>
          <w:color w:val="auto"/>
          <w:sz w:val="24"/>
          <w:szCs w:val="24"/>
        </w:rPr>
        <w:t>，包含建设</w:t>
      </w:r>
      <w:r>
        <w:rPr>
          <w:rFonts w:cs="Times New Roman"/>
          <w:color w:val="auto"/>
          <w:sz w:val="24"/>
          <w:szCs w:val="24"/>
        </w:rPr>
        <w:t>医院一体化管理</w:t>
      </w:r>
      <w:r>
        <w:rPr>
          <w:rFonts w:hint="eastAsia" w:cs="Times New Roman"/>
          <w:color w:val="auto"/>
          <w:sz w:val="24"/>
          <w:szCs w:val="24"/>
        </w:rPr>
        <w:t>、</w:t>
      </w:r>
      <w:r>
        <w:rPr>
          <w:rFonts w:cs="Times New Roman"/>
          <w:color w:val="auto"/>
          <w:sz w:val="24"/>
          <w:szCs w:val="24"/>
        </w:rPr>
        <w:t>医院整体服务</w:t>
      </w:r>
      <w:r>
        <w:rPr>
          <w:rFonts w:hint="eastAsia" w:cs="Times New Roman"/>
          <w:color w:val="auto"/>
          <w:sz w:val="24"/>
          <w:szCs w:val="24"/>
        </w:rPr>
        <w:t>、</w:t>
      </w:r>
      <w:r>
        <w:rPr>
          <w:rFonts w:cs="Times New Roman"/>
          <w:color w:val="auto"/>
          <w:sz w:val="24"/>
          <w:szCs w:val="24"/>
        </w:rPr>
        <w:t xml:space="preserve">运营和管理水平 </w:t>
      </w:r>
      <w:r>
        <w:rPr>
          <w:rFonts w:hint="eastAsia" w:cs="Times New Roman"/>
          <w:color w:val="auto"/>
          <w:sz w:val="24"/>
          <w:szCs w:val="24"/>
        </w:rPr>
        <w:t>、</w:t>
      </w:r>
      <w:r>
        <w:rPr>
          <w:rFonts w:cs="Times New Roman"/>
          <w:color w:val="auto"/>
          <w:sz w:val="24"/>
          <w:szCs w:val="24"/>
        </w:rPr>
        <w:t>互联互通评级</w:t>
      </w:r>
      <w:r>
        <w:rPr>
          <w:rFonts w:hint="eastAsia" w:cs="Times New Roman"/>
          <w:color w:val="auto"/>
          <w:sz w:val="24"/>
          <w:szCs w:val="24"/>
        </w:rPr>
        <w:t>、</w:t>
      </w:r>
      <w:r>
        <w:rPr>
          <w:rFonts w:cs="Times New Roman"/>
          <w:color w:val="auto"/>
          <w:sz w:val="24"/>
          <w:szCs w:val="24"/>
        </w:rPr>
        <w:t>电子病历评级要求</w:t>
      </w:r>
      <w:r>
        <w:rPr>
          <w:rFonts w:hint="eastAsia" w:cs="Times New Roman"/>
          <w:color w:val="auto"/>
          <w:sz w:val="24"/>
          <w:szCs w:val="24"/>
        </w:rPr>
        <w:t>建设等内容。具体以本招标文件中第四章采购需求为准。</w:t>
      </w:r>
    </w:p>
    <w:p w14:paraId="6E098303">
      <w:pPr>
        <w:widowControl/>
        <w:spacing w:line="500" w:lineRule="exact"/>
        <w:ind w:firstLine="555"/>
        <w:rPr>
          <w:rFonts w:hint="eastAsia"/>
          <w:color w:val="auto"/>
          <w:sz w:val="24"/>
          <w:szCs w:val="24"/>
          <w:shd w:val="clear" w:color="auto" w:fill="FFFFFF"/>
          <w:lang w:val="en-US" w:eastAsia="zh-CN"/>
        </w:rPr>
      </w:pPr>
      <w:r>
        <w:rPr>
          <w:rFonts w:hint="eastAsia"/>
          <w:color w:val="auto"/>
          <w:sz w:val="24"/>
          <w:szCs w:val="24"/>
          <w:shd w:val="clear" w:color="auto" w:fill="FFFFFF"/>
          <w:lang w:val="en-US" w:eastAsia="zh-CN"/>
        </w:rPr>
        <w:t>7.履约时间：</w:t>
      </w:r>
      <w:r>
        <w:rPr>
          <w:rFonts w:hint="eastAsia"/>
          <w:color w:val="auto"/>
          <w:sz w:val="24"/>
          <w:szCs w:val="24"/>
          <w:shd w:val="clear" w:color="auto" w:fill="FFFFFF"/>
        </w:rPr>
        <w:t>本项目软件系统建设周期为 18 个月</w:t>
      </w:r>
      <w:r>
        <w:rPr>
          <w:rFonts w:hint="eastAsia"/>
          <w:color w:val="auto"/>
          <w:sz w:val="24"/>
          <w:szCs w:val="24"/>
          <w:shd w:val="clear" w:color="auto" w:fill="FFFFFF"/>
          <w:lang w:eastAsia="zh-CN"/>
        </w:rPr>
        <w:t>；</w:t>
      </w:r>
      <w:r>
        <w:rPr>
          <w:rFonts w:hint="eastAsia"/>
          <w:color w:val="auto"/>
          <w:sz w:val="24"/>
          <w:szCs w:val="24"/>
          <w:shd w:val="clear" w:color="auto" w:fill="FFFFFF"/>
        </w:rPr>
        <w:t>自合同签订之日起</w:t>
      </w:r>
      <w:r>
        <w:rPr>
          <w:rFonts w:hint="eastAsia"/>
          <w:color w:val="auto"/>
          <w:sz w:val="24"/>
          <w:szCs w:val="24"/>
          <w:shd w:val="clear" w:color="auto" w:fill="FFFFFF"/>
          <w:lang w:eastAsia="zh-CN"/>
        </w:rPr>
        <w:t>，</w:t>
      </w:r>
      <w:r>
        <w:rPr>
          <w:rFonts w:hint="eastAsia"/>
          <w:color w:val="auto"/>
          <w:sz w:val="24"/>
          <w:szCs w:val="24"/>
          <w:shd w:val="clear" w:color="auto" w:fill="FFFFFF"/>
          <w:lang w:val="en-US" w:eastAsia="zh-CN"/>
        </w:rPr>
        <w:t>须</w:t>
      </w:r>
      <w:r>
        <w:rPr>
          <w:rFonts w:hint="eastAsia"/>
          <w:color w:val="auto"/>
          <w:sz w:val="24"/>
          <w:szCs w:val="24"/>
          <w:shd w:val="clear" w:color="auto" w:fill="FFFFFF"/>
        </w:rPr>
        <w:t>在 2025 年7月前完成主要系统</w:t>
      </w:r>
      <w:r>
        <w:rPr>
          <w:rFonts w:hint="default"/>
          <w:color w:val="auto"/>
          <w:sz w:val="24"/>
          <w:szCs w:val="24"/>
          <w:shd w:val="clear" w:color="auto" w:fill="FFFFFF"/>
        </w:rPr>
        <w:t>（医院集成平台、医院数据中心、药品管理系统、医务管理（病案管理系统、病案首页数据质量管理）、临床医生、临床护理（住院护士工作站、护理记录、门急诊输液管理）、医技业务（检验信息系统对接、影像信息系统、电生理信息管理、治疗信息管理）、就诊管理、结算管理、财务管理、统一接口）</w:t>
      </w:r>
      <w:r>
        <w:rPr>
          <w:rFonts w:hint="eastAsia"/>
          <w:color w:val="auto"/>
          <w:sz w:val="24"/>
          <w:szCs w:val="24"/>
          <w:shd w:val="clear" w:color="auto" w:fill="FFFFFF"/>
        </w:rPr>
        <w:t>的安装调试并交付采购人投入使用</w:t>
      </w:r>
      <w:r>
        <w:rPr>
          <w:rFonts w:hint="eastAsia"/>
          <w:color w:val="auto"/>
          <w:sz w:val="24"/>
          <w:szCs w:val="24"/>
          <w:shd w:val="clear" w:color="auto" w:fill="FFFFFF"/>
          <w:lang w:eastAsia="zh-CN"/>
        </w:rPr>
        <w:t>，</w:t>
      </w:r>
      <w:r>
        <w:rPr>
          <w:rFonts w:hint="eastAsia"/>
          <w:color w:val="auto"/>
          <w:sz w:val="24"/>
          <w:szCs w:val="24"/>
          <w:shd w:val="clear" w:color="auto" w:fill="FFFFFF"/>
        </w:rPr>
        <w:t>且</w:t>
      </w:r>
      <w:r>
        <w:rPr>
          <w:rFonts w:hint="eastAsia"/>
          <w:color w:val="auto"/>
          <w:sz w:val="24"/>
          <w:szCs w:val="24"/>
          <w:shd w:val="clear" w:color="auto" w:fill="FFFFFF"/>
          <w:lang w:val="en-US" w:eastAsia="zh-CN"/>
        </w:rPr>
        <w:t>在</w:t>
      </w:r>
      <w:r>
        <w:rPr>
          <w:rFonts w:hint="eastAsia"/>
          <w:color w:val="auto"/>
          <w:sz w:val="24"/>
          <w:szCs w:val="24"/>
          <w:shd w:val="clear" w:color="auto" w:fill="FFFFFF"/>
        </w:rPr>
        <w:t>2025 年内通过国家电子病历分级评价4级测评</w:t>
      </w:r>
      <w:r>
        <w:rPr>
          <w:rFonts w:hint="eastAsia"/>
          <w:color w:val="auto"/>
          <w:sz w:val="24"/>
          <w:szCs w:val="24"/>
          <w:shd w:val="clear" w:color="auto" w:fill="FFFFFF"/>
          <w:lang w:eastAsia="zh-CN"/>
        </w:rPr>
        <w:t>；</w:t>
      </w:r>
      <w:r>
        <w:rPr>
          <w:rFonts w:hint="eastAsia"/>
          <w:color w:val="auto"/>
          <w:sz w:val="24"/>
          <w:szCs w:val="24"/>
          <w:shd w:val="clear" w:color="auto" w:fill="FFFFFF"/>
        </w:rPr>
        <w:t>18 个月内完成全部软件模块的安装调试并交付采购人投入</w:t>
      </w:r>
      <w:r>
        <w:rPr>
          <w:rFonts w:hint="eastAsia"/>
          <w:color w:val="auto"/>
          <w:sz w:val="24"/>
          <w:szCs w:val="24"/>
          <w:shd w:val="clear" w:color="auto" w:fill="FFFFFF"/>
          <w:lang w:val="en-US" w:eastAsia="zh-CN"/>
        </w:rPr>
        <w:t>使用。并经采购人（或委托有资质的第三方）验收合格。</w:t>
      </w:r>
    </w:p>
    <w:p w14:paraId="7755273A">
      <w:pPr>
        <w:widowControl/>
        <w:spacing w:line="500" w:lineRule="exact"/>
        <w:ind w:firstLine="555"/>
        <w:rPr>
          <w:color w:val="auto"/>
          <w:sz w:val="24"/>
          <w:szCs w:val="24"/>
          <w:shd w:val="clear" w:color="auto" w:fill="FFFFFF"/>
        </w:rPr>
      </w:pPr>
      <w:r>
        <w:rPr>
          <w:rFonts w:hint="eastAsia"/>
          <w:color w:val="auto"/>
          <w:sz w:val="24"/>
          <w:szCs w:val="24"/>
          <w:shd w:val="clear" w:color="auto" w:fill="FFFFFF"/>
        </w:rPr>
        <w:t>8.本项目接受联合体参与招标，联合体中所有成员数量不得超过2名。</w:t>
      </w:r>
      <w:r>
        <w:rPr>
          <w:rFonts w:hint="eastAsia"/>
          <w:color w:val="auto"/>
          <w:sz w:val="24"/>
          <w:szCs w:val="24"/>
        </w:rPr>
        <w:t>以一个供应商身份共同参加政府采购。</w:t>
      </w:r>
    </w:p>
    <w:p w14:paraId="360EEC5E">
      <w:pPr>
        <w:spacing w:line="500" w:lineRule="exact"/>
        <w:ind w:firstLine="480"/>
        <w:rPr>
          <w:b/>
          <w:bCs/>
          <w:color w:val="auto"/>
          <w:sz w:val="24"/>
          <w:szCs w:val="24"/>
        </w:rPr>
      </w:pPr>
      <w:r>
        <w:rPr>
          <w:rFonts w:hint="eastAsia" w:cs="Times New Roman"/>
          <w:b/>
          <w:bCs/>
          <w:color w:val="auto"/>
          <w:sz w:val="24"/>
          <w:szCs w:val="24"/>
        </w:rPr>
        <w:t>二、申请人的资格要求：</w:t>
      </w:r>
      <w:bookmarkEnd w:id="12"/>
      <w:bookmarkEnd w:id="13"/>
      <w:bookmarkEnd w:id="14"/>
      <w:bookmarkEnd w:id="15"/>
      <w:bookmarkEnd w:id="16"/>
    </w:p>
    <w:p w14:paraId="6B8B1284">
      <w:pPr>
        <w:spacing w:line="500" w:lineRule="exact"/>
        <w:ind w:firstLine="480"/>
        <w:rPr>
          <w:color w:val="auto"/>
          <w:sz w:val="24"/>
          <w:szCs w:val="24"/>
        </w:rPr>
      </w:pPr>
      <w:r>
        <w:rPr>
          <w:rFonts w:hint="eastAsia" w:cs="Times New Roman"/>
          <w:color w:val="auto"/>
          <w:sz w:val="24"/>
          <w:szCs w:val="24"/>
        </w:rPr>
        <w:t>1.满足《中华人民共和国政府采购法》第二十二条规定，并提供下列材料：</w:t>
      </w:r>
    </w:p>
    <w:p w14:paraId="01536E17">
      <w:pPr>
        <w:spacing w:line="500" w:lineRule="exact"/>
        <w:ind w:firstLine="480"/>
        <w:rPr>
          <w:color w:val="auto"/>
          <w:sz w:val="24"/>
          <w:szCs w:val="24"/>
        </w:rPr>
      </w:pPr>
      <w:r>
        <w:rPr>
          <w:rFonts w:hint="eastAsia" w:cs="Times New Roman"/>
          <w:color w:val="auto"/>
          <w:sz w:val="24"/>
          <w:szCs w:val="24"/>
        </w:rPr>
        <w:t>1.1 法人或者其他组织的营业执照等证明文件，自然人的身份证明；</w:t>
      </w:r>
    </w:p>
    <w:p w14:paraId="5B805A7E">
      <w:pPr>
        <w:spacing w:line="500" w:lineRule="exact"/>
        <w:ind w:firstLine="480"/>
        <w:rPr>
          <w:color w:val="auto"/>
          <w:sz w:val="24"/>
          <w:szCs w:val="24"/>
        </w:rPr>
      </w:pPr>
      <w:r>
        <w:rPr>
          <w:rFonts w:hint="eastAsia" w:cs="Times New Roman"/>
          <w:color w:val="auto"/>
          <w:sz w:val="24"/>
          <w:szCs w:val="24"/>
        </w:rPr>
        <w:t>1.2上一年度的财务状况报表（成立不满一年无需提供）；</w:t>
      </w:r>
    </w:p>
    <w:p w14:paraId="0913C41C">
      <w:pPr>
        <w:spacing w:line="500" w:lineRule="exact"/>
        <w:ind w:firstLine="480"/>
        <w:rPr>
          <w:color w:val="auto"/>
          <w:sz w:val="24"/>
          <w:szCs w:val="24"/>
        </w:rPr>
      </w:pPr>
      <w:r>
        <w:rPr>
          <w:rFonts w:hint="eastAsia" w:cs="Times New Roman"/>
          <w:color w:val="auto"/>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A09B743">
      <w:pPr>
        <w:spacing w:line="500" w:lineRule="exact"/>
        <w:ind w:firstLine="480"/>
        <w:rPr>
          <w:color w:val="auto"/>
          <w:sz w:val="24"/>
          <w:szCs w:val="24"/>
        </w:rPr>
      </w:pPr>
      <w:r>
        <w:rPr>
          <w:rFonts w:hint="eastAsia" w:cs="Times New Roman"/>
          <w:color w:val="auto"/>
          <w:sz w:val="24"/>
          <w:szCs w:val="24"/>
        </w:rPr>
        <w:t>1.4具备履行合同所必需的设备和专业技术能力的书面声明；</w:t>
      </w:r>
    </w:p>
    <w:p w14:paraId="5DC43334">
      <w:pPr>
        <w:spacing w:line="500" w:lineRule="exact"/>
        <w:ind w:firstLine="480"/>
        <w:rPr>
          <w:color w:val="auto"/>
          <w:sz w:val="24"/>
          <w:szCs w:val="24"/>
        </w:rPr>
      </w:pPr>
      <w:r>
        <w:rPr>
          <w:rFonts w:hint="eastAsia" w:cs="Times New Roman"/>
          <w:color w:val="auto"/>
          <w:sz w:val="24"/>
          <w:szCs w:val="24"/>
        </w:rPr>
        <w:t>1.5参加政府采购活动前3年内在经营活动中没有重大违法记录的书面声明。</w:t>
      </w:r>
    </w:p>
    <w:p w14:paraId="557EAD75">
      <w:pPr>
        <w:pStyle w:val="30"/>
        <w:spacing w:beforeAutospacing="0" w:afterAutospacing="0" w:line="500" w:lineRule="exact"/>
        <w:ind w:firstLine="482"/>
        <w:jc w:val="both"/>
        <w:rPr>
          <w:rFonts w:ascii="宋体" w:hAnsi="宋体" w:cs="宋体"/>
          <w:color w:val="auto"/>
        </w:rPr>
      </w:pPr>
      <w:r>
        <w:rPr>
          <w:rFonts w:hint="eastAsia" w:ascii="宋体" w:hAnsi="宋体" w:cs="宋体"/>
          <w:color w:val="auto"/>
        </w:rPr>
        <w:t>1.6法律、行政法规规定的其他条件。</w:t>
      </w:r>
    </w:p>
    <w:p w14:paraId="5F8DEF74">
      <w:pPr>
        <w:pStyle w:val="30"/>
        <w:spacing w:beforeAutospacing="0" w:afterAutospacing="0" w:line="500" w:lineRule="exact"/>
        <w:ind w:firstLine="482"/>
        <w:jc w:val="both"/>
        <w:rPr>
          <w:rFonts w:hint="eastAsia" w:ascii="宋体" w:hAnsi="宋体" w:cs="宋体"/>
          <w:color w:val="auto"/>
        </w:rPr>
      </w:pPr>
      <w:r>
        <w:rPr>
          <w:rFonts w:hint="eastAsia" w:ascii="宋体" w:hAnsi="宋体" w:cs="宋体"/>
          <w:color w:val="auto"/>
        </w:rPr>
        <w:t>2.落实政府采购政策需满足的资格要求：本项目采购标的所属行业为“ 软件和信息技术服务业</w:t>
      </w:r>
      <w:r>
        <w:rPr>
          <w:rFonts w:hint="eastAsia" w:ascii="宋体" w:hAnsi="宋体" w:cs="宋体"/>
          <w:color w:val="auto"/>
          <w:lang w:eastAsia="zh-CN"/>
        </w:rPr>
        <w:t>”</w:t>
      </w:r>
      <w:r>
        <w:rPr>
          <w:rFonts w:hint="eastAsia" w:ascii="宋体" w:hAnsi="宋体" w:cs="宋体"/>
          <w:color w:val="auto"/>
        </w:rPr>
        <w:t>（服务业）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0A9EFF08">
      <w:pPr>
        <w:pStyle w:val="30"/>
        <w:spacing w:beforeAutospacing="0" w:afterAutospacing="0" w:line="500" w:lineRule="exact"/>
        <w:ind w:firstLine="482"/>
        <w:jc w:val="both"/>
        <w:rPr>
          <w:rFonts w:hint="eastAsia" w:ascii="宋体" w:hAnsi="宋体" w:cs="宋体"/>
          <w:color w:val="auto"/>
        </w:rPr>
      </w:pPr>
      <w:r>
        <w:rPr>
          <w:rFonts w:hint="eastAsia" w:ascii="宋体" w:hAnsi="宋体" w:cs="宋体"/>
          <w:color w:val="auto"/>
        </w:rPr>
        <w:t>3.本项目的特定资格要求：</w:t>
      </w:r>
    </w:p>
    <w:p w14:paraId="76F5E8FF">
      <w:pPr>
        <w:pStyle w:val="30"/>
        <w:spacing w:beforeAutospacing="0" w:afterAutospacing="0" w:line="500" w:lineRule="exact"/>
        <w:ind w:firstLine="482"/>
        <w:jc w:val="both"/>
        <w:rPr>
          <w:rFonts w:hint="eastAsia" w:ascii="宋体" w:hAnsi="宋体" w:cs="宋体"/>
          <w:color w:val="auto"/>
          <w:lang w:val="en-US" w:eastAsia="zh-CN"/>
        </w:rPr>
      </w:pPr>
      <w:r>
        <w:rPr>
          <w:rFonts w:hint="eastAsia" w:ascii="宋体" w:hAnsi="宋体" w:cs="宋体"/>
          <w:color w:val="auto"/>
          <w:lang w:val="en-US" w:eastAsia="zh-CN"/>
        </w:rPr>
        <w:t>3.1</w:t>
      </w:r>
      <w:r>
        <w:rPr>
          <w:rFonts w:hint="eastAsia" w:ascii="宋体" w:hAnsi="宋体"/>
          <w:color w:val="auto"/>
          <w:szCs w:val="28"/>
        </w:rPr>
        <w:t>投标人授权委托人须为本单位正式员工</w:t>
      </w:r>
      <w:r>
        <w:rPr>
          <w:rFonts w:hint="eastAsia" w:ascii="宋体" w:hAnsi="宋体"/>
          <w:color w:val="auto"/>
          <w:szCs w:val="28"/>
          <w:lang w:eastAsia="zh-CN"/>
        </w:rPr>
        <w:t>（</w:t>
      </w:r>
      <w:r>
        <w:rPr>
          <w:rFonts w:hint="eastAsia" w:ascii="宋体" w:hAnsi="宋体"/>
          <w:color w:val="auto"/>
          <w:szCs w:val="28"/>
          <w:lang w:val="en-US" w:eastAsia="zh-CN"/>
        </w:rPr>
        <w:t>如是联合体投标，授权委托人须为联合体牵头公司正式员工</w:t>
      </w:r>
      <w:r>
        <w:rPr>
          <w:rFonts w:hint="eastAsia" w:ascii="宋体" w:hAnsi="宋体"/>
          <w:color w:val="auto"/>
          <w:szCs w:val="28"/>
          <w:lang w:eastAsia="zh-CN"/>
        </w:rPr>
        <w:t>）</w:t>
      </w:r>
      <w:r>
        <w:rPr>
          <w:rFonts w:hint="eastAsia" w:ascii="宋体" w:hAnsi="宋体"/>
          <w:color w:val="auto"/>
          <w:szCs w:val="28"/>
        </w:rPr>
        <w:t>，</w:t>
      </w:r>
      <w:r>
        <w:rPr>
          <w:rFonts w:hint="eastAsia" w:ascii="宋体" w:hAnsi="宋体" w:cs="宋体"/>
          <w:color w:val="auto"/>
        </w:rPr>
        <w:t>须提供投标人为其缴纳的近期社保证明材料（如授权委托人为法人，则无须提供社保材料）；</w:t>
      </w:r>
    </w:p>
    <w:p w14:paraId="2190EE3D">
      <w:pPr>
        <w:pStyle w:val="30"/>
        <w:spacing w:beforeAutospacing="0" w:afterAutospacing="0" w:line="500" w:lineRule="exact"/>
        <w:ind w:firstLine="482"/>
        <w:jc w:val="left"/>
        <w:rPr>
          <w:rFonts w:hint="eastAsia" w:ascii="宋体" w:hAnsi="宋体" w:cs="宋体"/>
          <w:color w:val="auto"/>
          <w:lang w:val="en-US" w:eastAsia="zh-CN"/>
        </w:rPr>
      </w:pPr>
      <w:r>
        <w:rPr>
          <w:rFonts w:hint="eastAsia" w:ascii="宋体" w:hAnsi="宋体" w:cs="宋体"/>
          <w:color w:val="auto"/>
          <w:lang w:val="en-US" w:eastAsia="zh-CN"/>
        </w:rPr>
        <w:t>3.2本项目接受联合体投标，联合体单位数量不得超过2家。若以联合体形式投标，须满足以下条件：</w:t>
      </w:r>
    </w:p>
    <w:p w14:paraId="0C49F2EE">
      <w:pPr>
        <w:pStyle w:val="30"/>
        <w:spacing w:beforeAutospacing="0" w:afterAutospacing="0" w:line="500" w:lineRule="exact"/>
        <w:ind w:firstLine="482"/>
        <w:jc w:val="left"/>
        <w:rPr>
          <w:rFonts w:hint="eastAsia" w:ascii="宋体" w:hAnsi="宋体" w:cs="宋体"/>
          <w:color w:val="auto"/>
          <w:lang w:val="en-US" w:eastAsia="zh-CN"/>
        </w:rPr>
      </w:pPr>
      <w:r>
        <w:rPr>
          <w:rFonts w:hint="eastAsia" w:ascii="宋体" w:hAnsi="宋体" w:cs="宋体"/>
          <w:color w:val="auto"/>
          <w:lang w:val="en-US" w:eastAsia="zh-CN"/>
        </w:rPr>
        <w:t>（1）联合体组成单位不超过2家，联合体各成员之间应签订并提交《联合体协议书》，明确联合体牵头单位作为投标全权代表，代表所有联合体成员负责执行一切与该项目招投标活动有关的事项；</w:t>
      </w:r>
      <w:r>
        <w:rPr>
          <w:rFonts w:hint="eastAsia" w:ascii="宋体" w:hAnsi="宋体" w:cs="宋体"/>
          <w:color w:val="auto"/>
          <w:lang w:val="en-US" w:eastAsia="zh-CN"/>
        </w:rPr>
        <w:br w:type="textWrapping"/>
      </w:r>
      <w:r>
        <w:rPr>
          <w:rFonts w:hint="eastAsia" w:ascii="宋体" w:hAnsi="宋体" w:cs="宋体"/>
          <w:color w:val="auto"/>
          <w:lang w:val="en-US" w:eastAsia="zh-CN"/>
        </w:rPr>
        <w:t>   （2）参加联合体的各成员不得再以自己名义单独投标，也不得再与其他单位组成新的联合体参与该项目投标。</w:t>
      </w:r>
    </w:p>
    <w:p w14:paraId="5FC6DFBE">
      <w:pPr>
        <w:pStyle w:val="30"/>
        <w:spacing w:beforeAutospacing="0" w:afterAutospacing="0" w:line="500" w:lineRule="exact"/>
        <w:ind w:firstLine="482"/>
        <w:jc w:val="both"/>
        <w:rPr>
          <w:rFonts w:hint="eastAsia" w:ascii="宋体" w:hAnsi="宋体" w:cs="宋体"/>
          <w:color w:val="auto"/>
          <w:lang w:val="en-US" w:eastAsia="zh-CN"/>
        </w:rPr>
      </w:pPr>
      <w:r>
        <w:rPr>
          <w:rFonts w:hint="eastAsia" w:ascii="宋体" w:hAnsi="宋体" w:cs="宋体"/>
          <w:color w:val="auto"/>
          <w:lang w:val="en-US" w:eastAsia="zh-CN"/>
        </w:rPr>
        <w:t>（3）以联合体形式进行政府采购投标的，参加联合体的供应商均应当具备《中华人民共和国政府采购法》第二十二条规定的条件，并在投标时提供。</w:t>
      </w:r>
    </w:p>
    <w:p w14:paraId="6A97EF31">
      <w:pPr>
        <w:pStyle w:val="30"/>
        <w:spacing w:beforeAutospacing="0" w:afterAutospacing="0" w:line="500" w:lineRule="exact"/>
        <w:ind w:firstLine="482"/>
        <w:jc w:val="both"/>
        <w:rPr>
          <w:rFonts w:hint="eastAsia" w:ascii="宋体" w:hAnsi="宋体" w:cs="宋体"/>
          <w:color w:val="auto"/>
          <w:lang w:val="en-US" w:eastAsia="zh-CN"/>
        </w:rPr>
      </w:pPr>
      <w:r>
        <w:rPr>
          <w:rFonts w:hint="eastAsia" w:ascii="宋体" w:hAnsi="宋体" w:cs="宋体"/>
          <w:color w:val="auto"/>
          <w:lang w:val="en-US" w:eastAsia="zh-CN"/>
        </w:rPr>
        <w:t>3.3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23D3A4A">
      <w:pPr>
        <w:pStyle w:val="30"/>
        <w:spacing w:beforeAutospacing="0" w:afterAutospacing="0" w:line="500" w:lineRule="exact"/>
        <w:ind w:firstLine="482"/>
        <w:jc w:val="both"/>
        <w:rPr>
          <w:rFonts w:hint="eastAsia" w:ascii="宋体" w:hAnsi="宋体" w:cs="宋体"/>
          <w:color w:val="auto"/>
          <w:lang w:val="en-US" w:eastAsia="zh-CN"/>
        </w:rPr>
      </w:pPr>
      <w:r>
        <w:rPr>
          <w:rFonts w:hint="eastAsia" w:ascii="宋体" w:hAnsi="宋体" w:cs="宋体"/>
          <w:color w:val="auto"/>
          <w:lang w:val="en-US" w:eastAsia="zh-CN"/>
        </w:rPr>
        <w:t>3.4单位负责人为同一人或者存在直接控股、管理关系的不同供应商，不得参加同一合同项下的政府采购活动。</w:t>
      </w:r>
    </w:p>
    <w:p w14:paraId="33145C77">
      <w:pPr>
        <w:pStyle w:val="30"/>
        <w:spacing w:beforeAutospacing="0" w:afterAutospacing="0" w:line="500" w:lineRule="exact"/>
        <w:ind w:firstLine="482"/>
        <w:jc w:val="both"/>
        <w:rPr>
          <w:rFonts w:hint="eastAsia" w:ascii="宋体" w:hAnsi="宋体" w:cs="宋体"/>
          <w:b/>
          <w:bCs/>
          <w:color w:val="auto"/>
        </w:rPr>
      </w:pPr>
      <w:r>
        <w:rPr>
          <w:rFonts w:hint="eastAsia" w:ascii="宋体" w:hAnsi="宋体" w:cs="宋体"/>
          <w:b/>
          <w:bCs/>
          <w:color w:val="auto"/>
        </w:rPr>
        <w:t>三、获取招标文件</w:t>
      </w:r>
    </w:p>
    <w:p w14:paraId="35E621C6">
      <w:pPr>
        <w:spacing w:line="500" w:lineRule="exact"/>
        <w:ind w:firstLine="480"/>
        <w:rPr>
          <w:rFonts w:hint="eastAsia" w:cs="Times New Roman"/>
          <w:b w:val="0"/>
          <w:bCs w:val="0"/>
          <w:color w:val="auto"/>
          <w:sz w:val="24"/>
          <w:szCs w:val="24"/>
        </w:rPr>
      </w:pPr>
      <w:bookmarkStart w:id="17" w:name="_Toc28359082"/>
      <w:bookmarkStart w:id="18" w:name="_Toc35393624"/>
      <w:bookmarkStart w:id="19" w:name="_Toc28359005"/>
      <w:bookmarkStart w:id="20" w:name="_Toc35393793"/>
      <w:bookmarkStart w:id="21" w:name="_Toc38985266"/>
      <w:r>
        <w:rPr>
          <w:rFonts w:hint="eastAsia" w:cs="Times New Roman"/>
          <w:b w:val="0"/>
          <w:bCs w:val="0"/>
          <w:color w:val="auto"/>
          <w:sz w:val="24"/>
          <w:szCs w:val="24"/>
        </w:rPr>
        <w:t>1.时间：</w:t>
      </w:r>
      <w:bookmarkEnd w:id="17"/>
      <w:bookmarkEnd w:id="18"/>
      <w:bookmarkEnd w:id="19"/>
      <w:bookmarkEnd w:id="20"/>
      <w:bookmarkEnd w:id="21"/>
      <w:r>
        <w:rPr>
          <w:rFonts w:hint="eastAsia" w:cs="Times New Roman"/>
          <w:b w:val="0"/>
          <w:bCs w:val="0"/>
          <w:color w:val="auto"/>
          <w:sz w:val="24"/>
          <w:szCs w:val="24"/>
        </w:rPr>
        <w:t>自招标文件公告发布之日起5个工作日 </w:t>
      </w:r>
    </w:p>
    <w:p w14:paraId="43183FF7">
      <w:pPr>
        <w:spacing w:line="500" w:lineRule="exact"/>
        <w:ind w:firstLine="480"/>
        <w:rPr>
          <w:rFonts w:hint="eastAsia" w:cs="Times New Roman"/>
          <w:b w:val="0"/>
          <w:bCs w:val="0"/>
          <w:color w:val="auto"/>
          <w:sz w:val="24"/>
          <w:szCs w:val="24"/>
        </w:rPr>
      </w:pPr>
      <w:r>
        <w:rPr>
          <w:rFonts w:hint="eastAsia" w:cs="Times New Roman"/>
          <w:b w:val="0"/>
          <w:bCs w:val="0"/>
          <w:color w:val="auto"/>
          <w:sz w:val="24"/>
          <w:szCs w:val="24"/>
        </w:rPr>
        <w:t>2.地点：中国政府采购网、江苏政府采购网、盐城市政府采购网</w:t>
      </w:r>
    </w:p>
    <w:p w14:paraId="1AA13DE3">
      <w:pPr>
        <w:spacing w:line="500" w:lineRule="exact"/>
        <w:ind w:firstLine="480"/>
        <w:rPr>
          <w:rFonts w:hint="eastAsia" w:cs="Times New Roman"/>
          <w:b w:val="0"/>
          <w:bCs w:val="0"/>
          <w:color w:val="auto"/>
          <w:sz w:val="24"/>
          <w:szCs w:val="24"/>
        </w:rPr>
      </w:pPr>
      <w:r>
        <w:rPr>
          <w:rFonts w:hint="eastAsia" w:cs="Times New Roman"/>
          <w:b w:val="0"/>
          <w:bCs w:val="0"/>
          <w:color w:val="auto"/>
          <w:sz w:val="24"/>
          <w:szCs w:val="24"/>
        </w:rPr>
        <w:t>3.方式：在“中国政府采购网”、“江苏政府采购网”、“盐城市政府采购网”自行免费下载招标文件。</w:t>
      </w:r>
    </w:p>
    <w:p w14:paraId="32733EA4">
      <w:pPr>
        <w:spacing w:line="500" w:lineRule="exact"/>
        <w:ind w:firstLine="480"/>
        <w:rPr>
          <w:rFonts w:hint="eastAsia" w:cs="Times New Roman"/>
          <w:b w:val="0"/>
          <w:bCs w:val="0"/>
          <w:color w:val="auto"/>
          <w:sz w:val="24"/>
          <w:szCs w:val="24"/>
        </w:rPr>
      </w:pPr>
      <w:r>
        <w:rPr>
          <w:rFonts w:hint="eastAsia" w:cs="Times New Roman"/>
          <w:b w:val="0"/>
          <w:bCs w:val="0"/>
          <w:color w:val="auto"/>
          <w:sz w:val="24"/>
          <w:szCs w:val="24"/>
        </w:rPr>
        <w:t>4.售价：0元</w:t>
      </w:r>
    </w:p>
    <w:p w14:paraId="4C81ED83">
      <w:pPr>
        <w:spacing w:line="500" w:lineRule="exact"/>
        <w:ind w:firstLine="480"/>
        <w:rPr>
          <w:b/>
          <w:bCs/>
          <w:color w:val="auto"/>
          <w:sz w:val="24"/>
          <w:szCs w:val="24"/>
        </w:rPr>
      </w:pPr>
      <w:r>
        <w:rPr>
          <w:rFonts w:hint="eastAsia" w:cs="Times New Roman"/>
          <w:b/>
          <w:bCs/>
          <w:color w:val="auto"/>
          <w:sz w:val="24"/>
          <w:szCs w:val="24"/>
        </w:rPr>
        <w:t>四、提交投标文件截止时间、开标时间和地点</w:t>
      </w:r>
    </w:p>
    <w:p w14:paraId="4DCB8880">
      <w:pPr>
        <w:spacing w:line="500" w:lineRule="exact"/>
        <w:ind w:firstLine="480"/>
        <w:rPr>
          <w:color w:val="auto"/>
          <w:sz w:val="24"/>
          <w:szCs w:val="24"/>
        </w:rPr>
      </w:pPr>
      <w:r>
        <w:rPr>
          <w:rFonts w:hint="eastAsia" w:cs="Times New Roman"/>
          <w:color w:val="auto"/>
          <w:sz w:val="24"/>
          <w:szCs w:val="24"/>
        </w:rPr>
        <w:t>1、时间：202</w:t>
      </w:r>
      <w:r>
        <w:rPr>
          <w:rFonts w:hint="eastAsia" w:cs="Times New Roman"/>
          <w:color w:val="auto"/>
          <w:sz w:val="24"/>
          <w:szCs w:val="24"/>
          <w:lang w:val="en-US" w:eastAsia="zh-CN"/>
        </w:rPr>
        <w:t>5</w:t>
      </w:r>
      <w:r>
        <w:rPr>
          <w:rFonts w:hint="eastAsia" w:cs="Times New Roman"/>
          <w:color w:val="auto"/>
          <w:sz w:val="24"/>
          <w:szCs w:val="24"/>
        </w:rPr>
        <w:t>年</w:t>
      </w:r>
      <w:r>
        <w:rPr>
          <w:rFonts w:hint="eastAsia" w:cs="Times New Roman"/>
          <w:color w:val="auto"/>
          <w:sz w:val="24"/>
          <w:szCs w:val="24"/>
          <w:lang w:val="en-US" w:eastAsia="zh-CN"/>
        </w:rPr>
        <w:t>1</w:t>
      </w:r>
      <w:r>
        <w:rPr>
          <w:rFonts w:hint="eastAsia" w:cs="Times New Roman"/>
          <w:color w:val="auto"/>
          <w:sz w:val="24"/>
          <w:szCs w:val="24"/>
        </w:rPr>
        <w:t>月</w:t>
      </w:r>
      <w:r>
        <w:rPr>
          <w:rFonts w:hint="eastAsia" w:cs="Times New Roman"/>
          <w:color w:val="auto"/>
          <w:sz w:val="24"/>
          <w:szCs w:val="24"/>
          <w:lang w:val="en-US" w:eastAsia="zh-CN"/>
        </w:rPr>
        <w:t>23</w:t>
      </w:r>
      <w:r>
        <w:rPr>
          <w:rFonts w:hint="eastAsia" w:cs="Times New Roman"/>
          <w:color w:val="auto"/>
          <w:sz w:val="24"/>
          <w:szCs w:val="24"/>
        </w:rPr>
        <w:t>日</w:t>
      </w:r>
      <w:r>
        <w:rPr>
          <w:rFonts w:hint="eastAsia" w:cs="Times New Roman"/>
          <w:color w:val="auto"/>
          <w:sz w:val="24"/>
          <w:szCs w:val="24"/>
          <w:lang w:val="en-US" w:eastAsia="zh-CN"/>
        </w:rPr>
        <w:t>9</w:t>
      </w:r>
      <w:r>
        <w:rPr>
          <w:rFonts w:hint="eastAsia" w:cs="Times New Roman"/>
          <w:color w:val="auto"/>
          <w:sz w:val="24"/>
          <w:szCs w:val="24"/>
        </w:rPr>
        <w:t>点00分（北京时间）</w:t>
      </w:r>
    </w:p>
    <w:p w14:paraId="72DA0ECF">
      <w:pPr>
        <w:spacing w:line="500" w:lineRule="exact"/>
        <w:ind w:firstLine="480"/>
        <w:rPr>
          <w:color w:val="auto"/>
          <w:sz w:val="24"/>
          <w:szCs w:val="24"/>
        </w:rPr>
      </w:pPr>
      <w:r>
        <w:rPr>
          <w:rFonts w:hint="eastAsia" w:cs="Times New Roman"/>
          <w:color w:val="auto"/>
          <w:sz w:val="24"/>
          <w:szCs w:val="24"/>
        </w:rPr>
        <w:t>2、地点：“苏采云”政府采购交易系统网上开标大厅。</w:t>
      </w:r>
    </w:p>
    <w:p w14:paraId="071E672D">
      <w:pPr>
        <w:spacing w:line="500" w:lineRule="exact"/>
        <w:ind w:firstLine="480"/>
        <w:rPr>
          <w:b/>
          <w:bCs/>
          <w:color w:val="auto"/>
          <w:sz w:val="24"/>
          <w:szCs w:val="24"/>
        </w:rPr>
      </w:pPr>
      <w:bookmarkStart w:id="22" w:name="_Toc35393625"/>
      <w:bookmarkStart w:id="23" w:name="_Toc28359084"/>
      <w:bookmarkStart w:id="24" w:name="_Toc28359007"/>
      <w:bookmarkStart w:id="25" w:name="_Toc38985267"/>
      <w:bookmarkStart w:id="26" w:name="_Toc35393794"/>
      <w:r>
        <w:rPr>
          <w:rFonts w:hint="eastAsia" w:cs="Times New Roman"/>
          <w:b/>
          <w:bCs/>
          <w:color w:val="auto"/>
          <w:sz w:val="24"/>
          <w:szCs w:val="24"/>
        </w:rPr>
        <w:t>五、公告期限</w:t>
      </w:r>
      <w:bookmarkEnd w:id="22"/>
      <w:bookmarkEnd w:id="23"/>
      <w:bookmarkEnd w:id="24"/>
      <w:bookmarkEnd w:id="25"/>
      <w:bookmarkEnd w:id="26"/>
    </w:p>
    <w:p w14:paraId="5761D593">
      <w:pPr>
        <w:spacing w:line="500" w:lineRule="exact"/>
        <w:ind w:firstLine="480"/>
        <w:rPr>
          <w:color w:val="auto"/>
          <w:sz w:val="24"/>
          <w:szCs w:val="24"/>
        </w:rPr>
      </w:pPr>
      <w:r>
        <w:rPr>
          <w:rFonts w:hint="eastAsia" w:cs="Times New Roman"/>
          <w:color w:val="auto"/>
          <w:sz w:val="24"/>
          <w:szCs w:val="24"/>
        </w:rPr>
        <w:t>自本公告发布之日起5个工作日。</w:t>
      </w:r>
    </w:p>
    <w:p w14:paraId="4E217D20">
      <w:pPr>
        <w:spacing w:line="500" w:lineRule="exact"/>
        <w:ind w:firstLine="480"/>
        <w:rPr>
          <w:b/>
          <w:bCs/>
          <w:color w:val="auto"/>
          <w:sz w:val="24"/>
          <w:szCs w:val="24"/>
        </w:rPr>
      </w:pPr>
      <w:r>
        <w:rPr>
          <w:rFonts w:hint="eastAsia" w:cs="Times New Roman"/>
          <w:b/>
          <w:bCs/>
          <w:color w:val="auto"/>
          <w:sz w:val="24"/>
          <w:szCs w:val="24"/>
        </w:rPr>
        <w:t>六、其他补充事宜</w:t>
      </w:r>
    </w:p>
    <w:p w14:paraId="4F3AAB84">
      <w:pPr>
        <w:pStyle w:val="30"/>
        <w:spacing w:beforeAutospacing="0" w:afterAutospacing="0" w:line="500" w:lineRule="exact"/>
        <w:ind w:firstLine="482"/>
        <w:rPr>
          <w:rFonts w:ascii="宋体" w:hAnsi="宋体" w:cs="宋体"/>
          <w:color w:val="auto"/>
        </w:rPr>
      </w:pPr>
      <w:bookmarkStart w:id="27" w:name="_Toc28359008"/>
      <w:bookmarkStart w:id="28" w:name="_Toc35393796"/>
      <w:bookmarkStart w:id="29" w:name="_Toc28359085"/>
      <w:bookmarkStart w:id="30" w:name="_Toc35393627"/>
      <w:bookmarkStart w:id="31" w:name="_Toc38985269"/>
      <w:r>
        <w:rPr>
          <w:rFonts w:hint="eastAsia" w:ascii="宋体" w:hAnsi="宋体" w:cs="宋体"/>
          <w:color w:val="auto"/>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04B9418D">
      <w:pPr>
        <w:pStyle w:val="30"/>
        <w:spacing w:beforeAutospacing="0" w:afterAutospacing="0" w:line="500" w:lineRule="exact"/>
        <w:ind w:firstLine="482"/>
        <w:rPr>
          <w:rFonts w:ascii="宋体" w:hAnsi="宋体" w:cs="宋体"/>
          <w:color w:val="auto"/>
        </w:rPr>
      </w:pPr>
      <w:r>
        <w:rPr>
          <w:rFonts w:hint="eastAsia" w:ascii="宋体" w:hAnsi="宋体" w:cs="宋体"/>
          <w:color w:val="auto"/>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10A43221">
      <w:pPr>
        <w:pStyle w:val="30"/>
        <w:spacing w:beforeAutospacing="0" w:afterAutospacing="0" w:line="500" w:lineRule="exact"/>
        <w:ind w:firstLine="482"/>
        <w:rPr>
          <w:rFonts w:ascii="宋体" w:hAnsi="宋体" w:cs="宋体"/>
          <w:color w:val="auto"/>
        </w:rPr>
      </w:pPr>
      <w:r>
        <w:rPr>
          <w:rFonts w:hint="eastAsia" w:ascii="宋体" w:hAnsi="宋体" w:cs="宋体"/>
          <w:color w:val="auto"/>
        </w:rPr>
        <w:t>2.有关本次招标的事项若存在变动或修改，敬请及时关注射阳县行政服务中心在“中国政府采购网、江苏政府采购网、盐城市政府采购网”发布的更正公告。</w:t>
      </w:r>
    </w:p>
    <w:p w14:paraId="128CD91A">
      <w:pPr>
        <w:pStyle w:val="30"/>
        <w:spacing w:beforeAutospacing="0" w:afterAutospacing="0" w:line="500" w:lineRule="exact"/>
        <w:ind w:firstLine="482"/>
        <w:jc w:val="both"/>
        <w:rPr>
          <w:rFonts w:ascii="宋体" w:hAnsi="宋体" w:cs="宋体"/>
          <w:color w:val="auto"/>
        </w:rPr>
      </w:pPr>
      <w:r>
        <w:rPr>
          <w:rFonts w:hint="eastAsia" w:ascii="宋体" w:hAnsi="宋体" w:cs="宋体"/>
          <w:color w:val="auto"/>
        </w:rPr>
        <w:t>3.本次招标不收取投标保证金，不收取质量保证金。</w:t>
      </w:r>
    </w:p>
    <w:p w14:paraId="3E59B9BB">
      <w:pPr>
        <w:pBdr>
          <w:top w:val="none" w:color="000000" w:sz="0" w:space="0"/>
          <w:left w:val="none" w:color="000000" w:sz="0" w:space="0"/>
          <w:bottom w:val="none" w:color="000000" w:sz="0" w:space="0"/>
          <w:right w:val="none" w:color="000000" w:sz="0" w:space="0"/>
        </w:pBdr>
        <w:spacing w:line="500" w:lineRule="exact"/>
        <w:ind w:firstLine="482"/>
        <w:rPr>
          <w:color w:val="auto"/>
        </w:rPr>
      </w:pPr>
      <w:r>
        <w:rPr>
          <w:color w:val="auto"/>
          <w:sz w:val="24"/>
        </w:rPr>
        <w:t>4.电子投标文件一份(通过系统提交)；纸质投标文件正本一份，副本</w:t>
      </w:r>
      <w:r>
        <w:rPr>
          <w:rFonts w:hint="eastAsia"/>
          <w:color w:val="auto"/>
          <w:sz w:val="24"/>
        </w:rPr>
        <w:t>六</w:t>
      </w:r>
      <w:r>
        <w:rPr>
          <w:color w:val="auto"/>
          <w:sz w:val="24"/>
        </w:rPr>
        <w:t>份（评审结束后由中标候选人邮寄至</w:t>
      </w:r>
      <w:r>
        <w:rPr>
          <w:rFonts w:hint="eastAsia"/>
          <w:color w:val="auto"/>
          <w:sz w:val="24"/>
        </w:rPr>
        <w:t>射阳县行政服务中心</w:t>
      </w:r>
      <w:r>
        <w:rPr>
          <w:color w:val="auto"/>
          <w:sz w:val="24"/>
        </w:rPr>
        <w:t>）。</w:t>
      </w:r>
    </w:p>
    <w:p w14:paraId="6DE8F9D1">
      <w:pPr>
        <w:spacing w:line="500" w:lineRule="exact"/>
        <w:ind w:firstLine="480"/>
        <w:rPr>
          <w:b/>
          <w:bCs/>
          <w:color w:val="auto"/>
          <w:sz w:val="24"/>
          <w:szCs w:val="24"/>
        </w:rPr>
      </w:pPr>
      <w:r>
        <w:rPr>
          <w:rFonts w:hint="eastAsia" w:cs="Times New Roman"/>
          <w:b/>
          <w:bCs/>
          <w:color w:val="auto"/>
          <w:sz w:val="24"/>
          <w:szCs w:val="24"/>
        </w:rPr>
        <w:t>七、本次招标联系方式</w:t>
      </w:r>
      <w:bookmarkEnd w:id="27"/>
      <w:bookmarkEnd w:id="28"/>
      <w:bookmarkEnd w:id="29"/>
      <w:bookmarkEnd w:id="30"/>
      <w:bookmarkEnd w:id="31"/>
    </w:p>
    <w:p w14:paraId="170A179E">
      <w:pPr>
        <w:spacing w:line="500" w:lineRule="exact"/>
        <w:ind w:firstLine="480"/>
        <w:rPr>
          <w:color w:val="auto"/>
          <w:sz w:val="24"/>
          <w:szCs w:val="24"/>
        </w:rPr>
      </w:pPr>
      <w:r>
        <w:rPr>
          <w:rFonts w:hint="eastAsia" w:cs="Times New Roman"/>
          <w:color w:val="auto"/>
          <w:sz w:val="24"/>
          <w:szCs w:val="24"/>
        </w:rPr>
        <w:t>1、采购人信息</w:t>
      </w:r>
    </w:p>
    <w:p w14:paraId="1DB8EAA7">
      <w:pPr>
        <w:spacing w:line="500" w:lineRule="exact"/>
        <w:ind w:firstLine="480"/>
        <w:rPr>
          <w:color w:val="auto"/>
          <w:sz w:val="24"/>
          <w:szCs w:val="24"/>
        </w:rPr>
      </w:pPr>
      <w:r>
        <w:rPr>
          <w:rFonts w:hint="eastAsia" w:cs="Times New Roman"/>
          <w:color w:val="auto"/>
          <w:sz w:val="24"/>
          <w:szCs w:val="24"/>
        </w:rPr>
        <w:t>名    称：射阳县中医院</w:t>
      </w:r>
    </w:p>
    <w:p w14:paraId="133667F6">
      <w:pPr>
        <w:spacing w:line="500" w:lineRule="exact"/>
        <w:ind w:firstLine="480"/>
        <w:rPr>
          <w:color w:val="auto"/>
          <w:sz w:val="24"/>
          <w:szCs w:val="24"/>
          <w:shd w:val="clear" w:color="auto" w:fill="FFFFFF"/>
        </w:rPr>
      </w:pPr>
      <w:r>
        <w:rPr>
          <w:rFonts w:hint="eastAsia" w:cs="Times New Roman"/>
          <w:color w:val="auto"/>
          <w:sz w:val="24"/>
          <w:szCs w:val="24"/>
        </w:rPr>
        <w:t>地    址：</w:t>
      </w:r>
      <w:r>
        <w:rPr>
          <w:rFonts w:hint="eastAsia"/>
          <w:color w:val="auto"/>
          <w:sz w:val="24"/>
          <w:szCs w:val="24"/>
          <w:shd w:val="clear" w:color="auto" w:fill="FFFFFF"/>
        </w:rPr>
        <w:t>射阳县合德镇发鸿街27号</w:t>
      </w:r>
    </w:p>
    <w:p w14:paraId="4E94FB30">
      <w:pPr>
        <w:spacing w:line="500" w:lineRule="exact"/>
        <w:ind w:firstLine="480"/>
        <w:rPr>
          <w:rFonts w:cs="Times New Roman"/>
          <w:color w:val="auto"/>
          <w:sz w:val="24"/>
          <w:szCs w:val="24"/>
        </w:rPr>
      </w:pPr>
      <w:r>
        <w:rPr>
          <w:rFonts w:hint="eastAsia" w:cs="Times New Roman"/>
          <w:color w:val="auto"/>
          <w:sz w:val="24"/>
          <w:szCs w:val="24"/>
        </w:rPr>
        <w:t>联 系 人：</w:t>
      </w:r>
      <w:r>
        <w:rPr>
          <w:rFonts w:hint="eastAsia" w:cs="Times New Roman"/>
          <w:color w:val="auto"/>
          <w:sz w:val="24"/>
          <w:szCs w:val="24"/>
          <w:lang w:eastAsia="zh-CN"/>
        </w:rPr>
        <w:t>胡女士</w:t>
      </w:r>
      <w:r>
        <w:rPr>
          <w:rFonts w:hint="eastAsia" w:cs="Times New Roman"/>
          <w:color w:val="auto"/>
          <w:sz w:val="24"/>
          <w:szCs w:val="24"/>
          <w:lang w:val="en-US" w:eastAsia="zh-CN"/>
        </w:rPr>
        <w:t xml:space="preserve">   </w:t>
      </w:r>
      <w:r>
        <w:rPr>
          <w:rFonts w:hint="eastAsia" w:cs="Times New Roman"/>
          <w:color w:val="auto"/>
          <w:sz w:val="24"/>
          <w:szCs w:val="24"/>
        </w:rPr>
        <w:t>李先生</w:t>
      </w:r>
    </w:p>
    <w:p w14:paraId="153934AE">
      <w:pPr>
        <w:spacing w:line="500" w:lineRule="exact"/>
        <w:ind w:firstLine="480"/>
        <w:rPr>
          <w:rFonts w:hint="default" w:eastAsia="宋体"/>
          <w:color w:val="auto"/>
          <w:sz w:val="24"/>
          <w:szCs w:val="24"/>
          <w:lang w:val="en-US" w:eastAsia="zh-CN"/>
        </w:rPr>
      </w:pPr>
      <w:r>
        <w:rPr>
          <w:rFonts w:hint="eastAsia" w:cs="Times New Roman"/>
          <w:color w:val="auto"/>
          <w:sz w:val="24"/>
          <w:szCs w:val="24"/>
        </w:rPr>
        <w:t>联系方式：</w:t>
      </w:r>
      <w:r>
        <w:rPr>
          <w:rFonts w:hint="eastAsia" w:cs="Times New Roman"/>
          <w:color w:val="auto"/>
          <w:sz w:val="24"/>
          <w:szCs w:val="24"/>
          <w:lang w:val="en-US" w:eastAsia="zh-CN"/>
        </w:rPr>
        <w:t>13407516848  15351565009</w:t>
      </w:r>
    </w:p>
    <w:p w14:paraId="675A0F48">
      <w:pPr>
        <w:pStyle w:val="30"/>
        <w:spacing w:beforeAutospacing="0" w:afterAutospacing="0" w:line="500" w:lineRule="exact"/>
        <w:ind w:firstLine="480"/>
        <w:rPr>
          <w:rFonts w:ascii="宋体" w:hAnsi="宋体" w:cs="宋体"/>
          <w:color w:val="auto"/>
        </w:rPr>
      </w:pPr>
      <w:r>
        <w:rPr>
          <w:rFonts w:hint="eastAsia" w:ascii="宋体" w:hAnsi="宋体" w:cs="宋体"/>
          <w:color w:val="auto"/>
        </w:rPr>
        <w:t>2.</w:t>
      </w:r>
      <w:r>
        <w:rPr>
          <w:rFonts w:hint="eastAsia" w:ascii="宋体" w:hAnsi="宋体"/>
          <w:color w:val="auto"/>
          <w:szCs w:val="24"/>
        </w:rPr>
        <w:t>采购代理机构信息</w:t>
      </w:r>
    </w:p>
    <w:p w14:paraId="382F682E">
      <w:pPr>
        <w:pStyle w:val="30"/>
        <w:spacing w:beforeAutospacing="0" w:afterAutospacing="0" w:line="500" w:lineRule="exact"/>
        <w:ind w:firstLine="480"/>
        <w:rPr>
          <w:rFonts w:ascii="宋体" w:hAnsi="宋体"/>
          <w:color w:val="auto"/>
        </w:rPr>
      </w:pPr>
      <w:r>
        <w:rPr>
          <w:rFonts w:hint="eastAsia" w:ascii="宋体" w:hAnsi="宋体" w:cs="宋体"/>
          <w:color w:val="auto"/>
        </w:rPr>
        <w:t>单位名称：射阳县行政服务中心</w:t>
      </w:r>
    </w:p>
    <w:p w14:paraId="6B789EC9">
      <w:pPr>
        <w:pStyle w:val="30"/>
        <w:spacing w:beforeAutospacing="0" w:afterAutospacing="0" w:line="500" w:lineRule="exact"/>
        <w:ind w:firstLine="480"/>
        <w:jc w:val="both"/>
        <w:rPr>
          <w:rFonts w:ascii="宋体" w:hAnsi="宋体"/>
          <w:color w:val="auto"/>
        </w:rPr>
      </w:pPr>
      <w:r>
        <w:rPr>
          <w:rFonts w:hint="eastAsia" w:ascii="宋体" w:hAnsi="宋体" w:cs="宋体"/>
          <w:color w:val="auto"/>
        </w:rPr>
        <w:t>单位地址：盐城市射阳县幸福大道16号</w:t>
      </w:r>
    </w:p>
    <w:p w14:paraId="4051ECA4">
      <w:pPr>
        <w:pStyle w:val="30"/>
        <w:spacing w:beforeAutospacing="0" w:afterAutospacing="0" w:line="500" w:lineRule="exact"/>
        <w:ind w:firstLine="480"/>
        <w:jc w:val="both"/>
        <w:rPr>
          <w:rFonts w:ascii="宋体" w:hAnsi="宋体" w:cs="宋体"/>
          <w:color w:val="auto"/>
        </w:rPr>
      </w:pPr>
      <w:r>
        <w:rPr>
          <w:rFonts w:hint="eastAsia" w:ascii="宋体" w:hAnsi="宋体" w:cs="宋体"/>
          <w:color w:val="auto"/>
        </w:rPr>
        <w:t>联 系 人：集采科</w:t>
      </w:r>
    </w:p>
    <w:p w14:paraId="77DEC795">
      <w:pPr>
        <w:pStyle w:val="30"/>
        <w:spacing w:beforeAutospacing="0" w:afterAutospacing="0" w:line="500" w:lineRule="exact"/>
        <w:ind w:firstLine="480"/>
        <w:jc w:val="both"/>
        <w:rPr>
          <w:rFonts w:ascii="宋体" w:hAnsi="宋体" w:cs="宋体"/>
          <w:color w:val="auto"/>
        </w:rPr>
      </w:pPr>
      <w:r>
        <w:rPr>
          <w:rFonts w:hint="eastAsia" w:ascii="宋体" w:hAnsi="宋体" w:cs="宋体"/>
          <w:color w:val="auto"/>
        </w:rPr>
        <w:t>联系方式：0515-82391711</w:t>
      </w:r>
    </w:p>
    <w:p w14:paraId="40386FB4">
      <w:pPr>
        <w:pStyle w:val="30"/>
        <w:spacing w:beforeAutospacing="0" w:afterAutospacing="0" w:line="500" w:lineRule="exact"/>
        <w:ind w:firstLine="480"/>
        <w:rPr>
          <w:rFonts w:ascii="宋体" w:hAnsi="宋体" w:cs="宋体"/>
          <w:color w:val="auto"/>
        </w:rPr>
      </w:pPr>
      <w:r>
        <w:rPr>
          <w:rFonts w:hint="eastAsia" w:ascii="宋体" w:hAnsi="宋体" w:cs="宋体"/>
          <w:color w:val="auto"/>
        </w:rPr>
        <w:t>3.项目联系方式</w:t>
      </w:r>
    </w:p>
    <w:p w14:paraId="49A5E859">
      <w:pPr>
        <w:pStyle w:val="30"/>
        <w:spacing w:beforeAutospacing="0" w:afterAutospacing="0" w:line="500" w:lineRule="exact"/>
        <w:ind w:firstLine="480"/>
        <w:jc w:val="both"/>
        <w:rPr>
          <w:rFonts w:ascii="宋体" w:hAnsi="宋体" w:cs="宋体"/>
          <w:color w:val="auto"/>
        </w:rPr>
      </w:pPr>
      <w:r>
        <w:rPr>
          <w:rFonts w:hint="eastAsia" w:ascii="宋体" w:hAnsi="宋体" w:cs="宋体"/>
          <w:color w:val="auto"/>
        </w:rPr>
        <w:t>项目联系人：集采科</w:t>
      </w:r>
    </w:p>
    <w:p w14:paraId="31771BDD">
      <w:pPr>
        <w:pStyle w:val="30"/>
        <w:spacing w:beforeAutospacing="0" w:afterAutospacing="0" w:line="500" w:lineRule="exact"/>
        <w:ind w:firstLine="480"/>
        <w:jc w:val="both"/>
        <w:rPr>
          <w:rFonts w:ascii="宋体" w:hAnsi="宋体" w:cs="宋体"/>
          <w:color w:val="auto"/>
        </w:rPr>
      </w:pPr>
      <w:r>
        <w:rPr>
          <w:rFonts w:hint="eastAsia" w:ascii="宋体" w:hAnsi="宋体" w:cs="宋体"/>
          <w:color w:val="auto"/>
        </w:rPr>
        <w:t>电话：0515-82391711</w:t>
      </w:r>
    </w:p>
    <w:p w14:paraId="58A2CE2E">
      <w:pPr>
        <w:pStyle w:val="30"/>
        <w:spacing w:beforeAutospacing="0" w:afterAutospacing="0" w:line="500" w:lineRule="exact"/>
        <w:ind w:firstLine="480"/>
        <w:rPr>
          <w:rFonts w:ascii="宋体" w:hAnsi="宋体" w:cs="宋体"/>
          <w:color w:val="auto"/>
        </w:rPr>
      </w:pPr>
    </w:p>
    <w:p w14:paraId="1233051F">
      <w:pPr>
        <w:widowControl/>
        <w:shd w:val="clear" w:color="auto" w:fill="FFFFFF"/>
        <w:spacing w:line="360" w:lineRule="auto"/>
        <w:ind w:firstLine="560"/>
        <w:rPr>
          <w:color w:val="auto"/>
          <w:szCs w:val="28"/>
        </w:rPr>
      </w:pPr>
      <w:r>
        <w:rPr>
          <w:b/>
          <w:bCs/>
          <w:color w:val="auto"/>
          <w:szCs w:val="28"/>
        </w:rPr>
        <w:br w:type="page" w:clear="all"/>
      </w:r>
    </w:p>
    <w:p w14:paraId="5A5693C7">
      <w:pPr>
        <w:keepNext/>
        <w:keepLines/>
        <w:spacing w:before="260" w:after="260" w:line="416" w:lineRule="auto"/>
        <w:ind w:firstLine="2429"/>
        <w:outlineLvl w:val="1"/>
        <w:rPr>
          <w:rFonts w:ascii="黑体" w:hAnsi="Arial" w:eastAsia="黑体" w:cs="Arial"/>
          <w:color w:val="auto"/>
          <w:sz w:val="44"/>
          <w:szCs w:val="44"/>
        </w:rPr>
      </w:pPr>
      <w:r>
        <w:rPr>
          <w:rFonts w:hint="eastAsia" w:ascii="黑体" w:hAnsi="Arial" w:eastAsia="黑体" w:cs="Arial"/>
          <w:b/>
          <w:bCs/>
          <w:color w:val="auto"/>
          <w:sz w:val="44"/>
          <w:szCs w:val="44"/>
        </w:rPr>
        <w:t xml:space="preserve">第二章  </w:t>
      </w:r>
      <w:bookmarkStart w:id="32" w:name="_Toc16938518"/>
      <w:bookmarkStart w:id="33" w:name="_Toc120614213"/>
      <w:bookmarkStart w:id="34" w:name="_Toc20823274"/>
      <w:bookmarkStart w:id="35" w:name="_Toc513029202"/>
      <w:r>
        <w:rPr>
          <w:rFonts w:hint="eastAsia" w:ascii="黑体" w:hAnsi="Arial" w:eastAsia="黑体" w:cs="Arial"/>
          <w:b/>
          <w:bCs/>
          <w:color w:val="auto"/>
          <w:sz w:val="44"/>
          <w:szCs w:val="44"/>
        </w:rPr>
        <w:t>投标人须知</w:t>
      </w:r>
      <w:bookmarkEnd w:id="32"/>
      <w:bookmarkEnd w:id="33"/>
      <w:bookmarkEnd w:id="34"/>
      <w:bookmarkEnd w:id="35"/>
    </w:p>
    <w:p w14:paraId="46D592DB">
      <w:pPr>
        <w:pStyle w:val="30"/>
        <w:keepNext/>
        <w:keepLines/>
        <w:spacing w:before="145" w:beforeAutospacing="0" w:after="145" w:afterAutospacing="0" w:line="460" w:lineRule="exact"/>
        <w:ind w:firstLine="498"/>
        <w:jc w:val="both"/>
        <w:rPr>
          <w:rFonts w:ascii="宋体" w:hAnsi="宋体" w:cs="宋体"/>
          <w:color w:val="auto"/>
          <w:szCs w:val="24"/>
        </w:rPr>
      </w:pPr>
      <w:bookmarkStart w:id="36" w:name="_Toc513029203"/>
      <w:bookmarkStart w:id="37" w:name="_Toc16938519"/>
      <w:bookmarkStart w:id="38" w:name="_Toc20823275"/>
      <w:bookmarkStart w:id="39" w:name="_Toc120614214"/>
      <w:bookmarkStart w:id="40" w:name="_Toc120614221"/>
      <w:bookmarkStart w:id="41" w:name="_Toc513029242"/>
      <w:bookmarkStart w:id="42" w:name="_Toc20823314"/>
      <w:bookmarkStart w:id="43" w:name="_Toc16938558"/>
      <w:bookmarkStart w:id="44" w:name="_Toc479757207"/>
      <w:r>
        <w:rPr>
          <w:rFonts w:hint="eastAsia" w:ascii="宋体" w:hAnsi="宋体" w:cs="宋体"/>
          <w:b/>
          <w:color w:val="auto"/>
          <w:szCs w:val="24"/>
        </w:rPr>
        <w:t>一、总则</w:t>
      </w:r>
      <w:bookmarkEnd w:id="36"/>
      <w:bookmarkEnd w:id="37"/>
      <w:bookmarkEnd w:id="38"/>
      <w:bookmarkEnd w:id="39"/>
    </w:p>
    <w:p w14:paraId="30F99241">
      <w:pPr>
        <w:pStyle w:val="30"/>
        <w:keepNext/>
        <w:keepLines/>
        <w:spacing w:beforeAutospacing="0" w:afterAutospacing="0" w:line="460" w:lineRule="exact"/>
        <w:ind w:firstLine="480"/>
        <w:jc w:val="both"/>
        <w:rPr>
          <w:rFonts w:ascii="宋体" w:hAnsi="宋体" w:cs="宋体"/>
          <w:color w:val="auto"/>
          <w:szCs w:val="24"/>
        </w:rPr>
      </w:pPr>
      <w:bookmarkStart w:id="45" w:name="_Toc20823276"/>
      <w:bookmarkStart w:id="46" w:name="_Toc513029204"/>
      <w:bookmarkStart w:id="47" w:name="_Toc16938520"/>
      <w:bookmarkStart w:id="48" w:name="_Toc458694821"/>
      <w:r>
        <w:rPr>
          <w:rFonts w:hint="eastAsia" w:ascii="宋体" w:hAnsi="宋体" w:cs="宋体"/>
          <w:color w:val="auto"/>
          <w:szCs w:val="24"/>
        </w:rPr>
        <w:t>1</w:t>
      </w:r>
      <w:bookmarkEnd w:id="45"/>
      <w:r>
        <w:rPr>
          <w:rFonts w:hint="eastAsia" w:ascii="宋体" w:hAnsi="宋体" w:cs="宋体"/>
          <w:color w:val="auto"/>
          <w:szCs w:val="24"/>
        </w:rPr>
        <w:t>、招标方式</w:t>
      </w:r>
      <w:bookmarkEnd w:id="46"/>
      <w:bookmarkEnd w:id="47"/>
      <w:bookmarkEnd w:id="48"/>
    </w:p>
    <w:p w14:paraId="0AB33FA5">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1.1 本次招标采取公开招标方式，本招标文件仅适用于招标公告中所述项目。</w:t>
      </w:r>
    </w:p>
    <w:p w14:paraId="39A11E75">
      <w:pPr>
        <w:pStyle w:val="30"/>
        <w:keepNext/>
        <w:keepLines/>
        <w:spacing w:beforeAutospacing="0" w:afterAutospacing="0" w:line="460" w:lineRule="exact"/>
        <w:ind w:firstLine="480"/>
        <w:jc w:val="both"/>
        <w:rPr>
          <w:rFonts w:ascii="宋体" w:hAnsi="宋体" w:cs="宋体"/>
          <w:color w:val="auto"/>
          <w:szCs w:val="24"/>
        </w:rPr>
      </w:pPr>
      <w:bookmarkStart w:id="49" w:name="_Toc513029205"/>
      <w:bookmarkStart w:id="50" w:name="_Toc20823277"/>
      <w:bookmarkStart w:id="51" w:name="_Toc16938521"/>
      <w:r>
        <w:rPr>
          <w:rFonts w:hint="eastAsia" w:ascii="宋体" w:hAnsi="宋体" w:cs="宋体"/>
          <w:color w:val="auto"/>
          <w:szCs w:val="24"/>
        </w:rPr>
        <w:t>2、合格的投标人</w:t>
      </w:r>
      <w:bookmarkEnd w:id="49"/>
      <w:bookmarkEnd w:id="50"/>
      <w:bookmarkEnd w:id="51"/>
    </w:p>
    <w:p w14:paraId="03A061BF">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2.1满足招标公告中供应商的资格要求的规定。</w:t>
      </w:r>
    </w:p>
    <w:p w14:paraId="5D8DA048">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2.2 满足本文件实质性要求和条件的规定。</w:t>
      </w:r>
    </w:p>
    <w:p w14:paraId="53F1C0DB">
      <w:pPr>
        <w:pStyle w:val="30"/>
        <w:keepNext/>
        <w:keepLines/>
        <w:spacing w:beforeAutospacing="0" w:afterAutospacing="0" w:line="460" w:lineRule="exact"/>
        <w:ind w:firstLine="480"/>
        <w:jc w:val="both"/>
        <w:rPr>
          <w:rFonts w:ascii="宋体" w:hAnsi="宋体" w:cs="宋体"/>
          <w:color w:val="auto"/>
          <w:szCs w:val="24"/>
        </w:rPr>
      </w:pPr>
      <w:bookmarkStart w:id="52" w:name="_Toc16938522"/>
      <w:bookmarkStart w:id="53" w:name="_Toc513029206"/>
      <w:bookmarkStart w:id="54" w:name="_Toc20823278"/>
      <w:r>
        <w:rPr>
          <w:rFonts w:hint="eastAsia" w:ascii="宋体" w:hAnsi="宋体" w:cs="宋体"/>
          <w:color w:val="auto"/>
          <w:szCs w:val="24"/>
        </w:rPr>
        <w:t>3、适用法律</w:t>
      </w:r>
      <w:bookmarkEnd w:id="52"/>
      <w:bookmarkEnd w:id="53"/>
      <w:bookmarkEnd w:id="54"/>
    </w:p>
    <w:p w14:paraId="6125BFE5">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3.1 本次招标及由此产生的合同受中华人民共和国有关的法律法规制约和保护。</w:t>
      </w:r>
    </w:p>
    <w:p w14:paraId="74A18A3F">
      <w:pPr>
        <w:pStyle w:val="30"/>
        <w:keepNext/>
        <w:keepLines/>
        <w:spacing w:beforeAutospacing="0" w:afterAutospacing="0" w:line="460" w:lineRule="exact"/>
        <w:ind w:firstLine="480"/>
        <w:jc w:val="both"/>
        <w:rPr>
          <w:rFonts w:ascii="宋体" w:hAnsi="宋体" w:cs="宋体"/>
          <w:color w:val="auto"/>
          <w:szCs w:val="24"/>
        </w:rPr>
      </w:pPr>
      <w:bookmarkStart w:id="55" w:name="_Toc462564067"/>
      <w:bookmarkStart w:id="56" w:name="_Toc16938523"/>
      <w:bookmarkStart w:id="57" w:name="_Toc20823279"/>
      <w:bookmarkStart w:id="58" w:name="_Toc513029207"/>
      <w:r>
        <w:rPr>
          <w:rFonts w:hint="eastAsia" w:ascii="宋体" w:hAnsi="宋体" w:cs="宋体"/>
          <w:color w:val="auto"/>
          <w:szCs w:val="24"/>
        </w:rPr>
        <w:t>4、投标费用</w:t>
      </w:r>
      <w:bookmarkEnd w:id="55"/>
      <w:bookmarkEnd w:id="56"/>
      <w:bookmarkEnd w:id="57"/>
      <w:bookmarkEnd w:id="58"/>
    </w:p>
    <w:p w14:paraId="7B5455BE">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4.1 投标人应自行承担所有与参加投标有关的费用，无论投标过程中的做法和结果如何，射阳县行政服务中心（以下简称采购中心）在任何情况下均无义务和责任承担这些费用。</w:t>
      </w:r>
    </w:p>
    <w:p w14:paraId="5C2F04BD">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4.2本次招标采购中心和采购人不收取标书工本费。</w:t>
      </w:r>
    </w:p>
    <w:p w14:paraId="431D768A">
      <w:pPr>
        <w:pStyle w:val="30"/>
        <w:keepNext/>
        <w:keepLines/>
        <w:spacing w:beforeAutospacing="0" w:afterAutospacing="0" w:line="460" w:lineRule="exact"/>
        <w:ind w:firstLine="480"/>
        <w:jc w:val="both"/>
        <w:rPr>
          <w:rFonts w:ascii="宋体" w:hAnsi="宋体" w:cs="宋体"/>
          <w:color w:val="auto"/>
          <w:szCs w:val="24"/>
        </w:rPr>
      </w:pPr>
      <w:r>
        <w:rPr>
          <w:rFonts w:hint="eastAsia" w:ascii="宋体" w:hAnsi="宋体" w:cs="宋体"/>
          <w:bCs/>
          <w:color w:val="auto"/>
          <w:szCs w:val="24"/>
        </w:rPr>
        <w:t>5、</w:t>
      </w:r>
      <w:r>
        <w:rPr>
          <w:rFonts w:hint="eastAsia" w:ascii="宋体" w:hAnsi="宋体" w:cs="宋体"/>
          <w:color w:val="auto"/>
          <w:szCs w:val="24"/>
        </w:rPr>
        <w:t>招标文件的约束力</w:t>
      </w:r>
    </w:p>
    <w:p w14:paraId="050635A4">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5.1 投标人一旦参加本项目采购活动，即被认为接受了本招标文件的规定和约束。</w:t>
      </w:r>
    </w:p>
    <w:p w14:paraId="1AD65218">
      <w:pPr>
        <w:pStyle w:val="30"/>
        <w:keepNext/>
        <w:keepLines/>
        <w:spacing w:before="145" w:beforeAutospacing="0" w:after="145" w:afterAutospacing="0" w:line="460" w:lineRule="exact"/>
        <w:ind w:firstLine="482"/>
        <w:jc w:val="both"/>
        <w:rPr>
          <w:rFonts w:ascii="宋体" w:hAnsi="宋体" w:cs="宋体"/>
          <w:color w:val="auto"/>
          <w:szCs w:val="24"/>
        </w:rPr>
      </w:pPr>
      <w:bookmarkStart w:id="59" w:name="_Toc513029209"/>
      <w:bookmarkStart w:id="60" w:name="_Toc20823281"/>
      <w:bookmarkStart w:id="61" w:name="_Toc16938525"/>
      <w:bookmarkStart w:id="62" w:name="_Toc120614215"/>
      <w:r>
        <w:rPr>
          <w:rFonts w:hint="eastAsia" w:ascii="宋体" w:hAnsi="宋体" w:cs="宋体"/>
          <w:b/>
          <w:color w:val="auto"/>
          <w:szCs w:val="24"/>
        </w:rPr>
        <w:t>二、招标文件</w:t>
      </w:r>
      <w:bookmarkEnd w:id="59"/>
      <w:bookmarkEnd w:id="60"/>
      <w:bookmarkEnd w:id="61"/>
      <w:bookmarkEnd w:id="62"/>
    </w:p>
    <w:p w14:paraId="6B3FC4BE">
      <w:pPr>
        <w:pStyle w:val="30"/>
        <w:keepNext/>
        <w:keepLines/>
        <w:spacing w:beforeAutospacing="0" w:afterAutospacing="0" w:line="460" w:lineRule="exact"/>
        <w:ind w:firstLine="480"/>
        <w:jc w:val="both"/>
        <w:rPr>
          <w:rFonts w:ascii="宋体" w:hAnsi="宋体" w:cs="宋体"/>
          <w:color w:val="auto"/>
          <w:szCs w:val="24"/>
        </w:rPr>
      </w:pPr>
      <w:bookmarkStart w:id="63" w:name="_Toc16938526"/>
      <w:bookmarkStart w:id="64" w:name="_Toc513029210"/>
      <w:bookmarkStart w:id="65" w:name="_Toc20823282"/>
      <w:r>
        <w:rPr>
          <w:rFonts w:hint="eastAsia" w:ascii="宋体" w:hAnsi="宋体" w:cs="宋体"/>
          <w:color w:val="auto"/>
          <w:szCs w:val="24"/>
        </w:rPr>
        <w:t>6、招标文件构成</w:t>
      </w:r>
      <w:bookmarkEnd w:id="63"/>
      <w:bookmarkEnd w:id="64"/>
      <w:bookmarkEnd w:id="65"/>
    </w:p>
    <w:p w14:paraId="4A2B45AF">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6.1 招标文件由以下部分组成：</w:t>
      </w:r>
    </w:p>
    <w:p w14:paraId="4C7347F0">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（1）</w:t>
      </w:r>
      <w:r>
        <w:rPr>
          <w:rFonts w:hint="eastAsia" w:ascii="宋体" w:hAnsi="宋体" w:cs="宋体"/>
          <w:color w:val="auto"/>
        </w:rPr>
        <w:t>招标公告</w:t>
      </w:r>
    </w:p>
    <w:p w14:paraId="200E6595">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（2）投标人须知</w:t>
      </w:r>
    </w:p>
    <w:p w14:paraId="7952476F">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（3）合同文本</w:t>
      </w:r>
    </w:p>
    <w:p w14:paraId="7EA08388">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（4）采购需求</w:t>
      </w:r>
    </w:p>
    <w:p w14:paraId="35E85D74">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（5）评标方法与评标标准</w:t>
      </w:r>
    </w:p>
    <w:p w14:paraId="5A1BF635">
      <w:pPr>
        <w:pStyle w:val="30"/>
        <w:spacing w:beforeAutospacing="0" w:afterAutospacing="0" w:line="460" w:lineRule="exact"/>
        <w:ind w:firstLine="360"/>
        <w:jc w:val="both"/>
        <w:rPr>
          <w:rFonts w:ascii="宋体" w:hAnsi="宋体" w:cs="宋体"/>
          <w:color w:val="auto"/>
          <w:szCs w:val="24"/>
        </w:rPr>
      </w:pPr>
      <w:r>
        <w:rPr>
          <w:rFonts w:hint="eastAsia" w:ascii="宋体" w:hAnsi="宋体" w:cs="宋体"/>
          <w:color w:val="auto"/>
          <w:szCs w:val="24"/>
        </w:rPr>
        <w:t>（6）投标文件格式</w:t>
      </w:r>
    </w:p>
    <w:p w14:paraId="3CA7D397">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请仔细检查招标文件是否齐全，如有缺漏请立即与采购中心联系解决。</w:t>
      </w:r>
    </w:p>
    <w:p w14:paraId="3D2D6302">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06CB65">
      <w:pPr>
        <w:pStyle w:val="30"/>
        <w:keepNext/>
        <w:keepLines/>
        <w:spacing w:beforeAutospacing="0" w:afterAutospacing="0" w:line="460" w:lineRule="exact"/>
        <w:ind w:firstLine="480"/>
        <w:jc w:val="both"/>
        <w:rPr>
          <w:rFonts w:ascii="宋体" w:hAnsi="宋体" w:cs="宋体"/>
          <w:color w:val="auto"/>
          <w:szCs w:val="24"/>
        </w:rPr>
      </w:pPr>
      <w:bookmarkStart w:id="66" w:name="_Toc513029211"/>
      <w:bookmarkStart w:id="67" w:name="_Toc20823283"/>
      <w:bookmarkStart w:id="68" w:name="_Toc16938527"/>
      <w:bookmarkStart w:id="69" w:name="_Toc462564070"/>
      <w:r>
        <w:rPr>
          <w:rFonts w:hint="eastAsia" w:ascii="宋体" w:hAnsi="宋体" w:cs="宋体"/>
          <w:color w:val="auto"/>
          <w:szCs w:val="24"/>
        </w:rPr>
        <w:t>7、招标文件的澄清</w:t>
      </w:r>
      <w:bookmarkEnd w:id="66"/>
      <w:bookmarkEnd w:id="67"/>
      <w:bookmarkEnd w:id="68"/>
      <w:bookmarkEnd w:id="69"/>
    </w:p>
    <w:p w14:paraId="5FB6A7AD">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7.1 任何要求对招标文件进行澄清的投标人，应在投标截止期</w:t>
      </w:r>
      <w:r>
        <w:rPr>
          <w:rFonts w:hint="eastAsia" w:ascii="宋体" w:hAnsi="宋体" w:cs="宋体"/>
          <w:b/>
          <w:color w:val="auto"/>
          <w:szCs w:val="24"/>
        </w:rPr>
        <w:t>十日</w:t>
      </w:r>
      <w:r>
        <w:rPr>
          <w:rFonts w:hint="eastAsia" w:ascii="宋体" w:hAnsi="宋体" w:cs="宋体"/>
          <w:color w:val="auto"/>
          <w:szCs w:val="24"/>
        </w:rPr>
        <w:t>前按招标公告中的通讯地址，以书面形式通知采购中心。</w:t>
      </w:r>
    </w:p>
    <w:p w14:paraId="41FCF78F">
      <w:pPr>
        <w:pStyle w:val="30"/>
        <w:keepNext/>
        <w:keepLines/>
        <w:spacing w:beforeAutospacing="0" w:afterAutospacing="0" w:line="460" w:lineRule="exact"/>
        <w:ind w:firstLine="480"/>
        <w:jc w:val="both"/>
        <w:rPr>
          <w:rFonts w:ascii="宋体" w:hAnsi="宋体" w:cs="宋体"/>
          <w:color w:val="auto"/>
          <w:szCs w:val="24"/>
        </w:rPr>
      </w:pPr>
      <w:bookmarkStart w:id="70" w:name="_Toc462564071"/>
      <w:bookmarkStart w:id="71" w:name="_Toc16938528"/>
      <w:bookmarkStart w:id="72" w:name="_Toc20823284"/>
      <w:bookmarkStart w:id="73" w:name="_Toc513029212"/>
      <w:r>
        <w:rPr>
          <w:rFonts w:hint="eastAsia" w:ascii="宋体" w:hAnsi="宋体" w:cs="宋体"/>
          <w:color w:val="auto"/>
          <w:szCs w:val="24"/>
        </w:rPr>
        <w:t>8、招标文件的修改</w:t>
      </w:r>
      <w:bookmarkEnd w:id="70"/>
      <w:bookmarkEnd w:id="71"/>
      <w:bookmarkEnd w:id="72"/>
      <w:bookmarkEnd w:id="73"/>
    </w:p>
    <w:p w14:paraId="05A4554F">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8.1 在投标截止时间前，采购中心可以对招标文件进行修改。</w:t>
      </w:r>
    </w:p>
    <w:p w14:paraId="7B182FF3">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8.2 采购中心有权按照法定的要求推迟投标截止日期和开标日期。</w:t>
      </w:r>
    </w:p>
    <w:p w14:paraId="6D2D5A6A">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8.3 招标文件的修改将在中国政府采购网、江苏政府采购网、盐城市政府采购网公布，补充文件将作为招标文件的组成部分，并对投标人具有约束力。</w:t>
      </w:r>
    </w:p>
    <w:p w14:paraId="504CE54D">
      <w:pPr>
        <w:pStyle w:val="30"/>
        <w:keepNext/>
        <w:keepLines/>
        <w:spacing w:before="145" w:beforeAutospacing="0" w:after="145" w:afterAutospacing="0" w:line="460" w:lineRule="exact"/>
        <w:ind w:firstLine="482"/>
        <w:jc w:val="both"/>
        <w:rPr>
          <w:rFonts w:ascii="宋体" w:hAnsi="宋体" w:cs="宋体"/>
          <w:color w:val="auto"/>
          <w:szCs w:val="24"/>
        </w:rPr>
      </w:pPr>
      <w:bookmarkStart w:id="74" w:name="_Toc513029213"/>
      <w:bookmarkStart w:id="75" w:name="_Toc16938529"/>
      <w:bookmarkStart w:id="76" w:name="_Toc120614216"/>
      <w:bookmarkStart w:id="77" w:name="_Toc462564072"/>
      <w:bookmarkStart w:id="78" w:name="_Toc20823285"/>
      <w:r>
        <w:rPr>
          <w:rFonts w:hint="eastAsia" w:ascii="宋体" w:hAnsi="宋体" w:cs="宋体"/>
          <w:b/>
          <w:color w:val="auto"/>
          <w:szCs w:val="24"/>
        </w:rPr>
        <w:t>三、投标文件的编制</w:t>
      </w:r>
      <w:bookmarkEnd w:id="74"/>
      <w:bookmarkEnd w:id="75"/>
      <w:bookmarkEnd w:id="76"/>
      <w:bookmarkEnd w:id="77"/>
      <w:bookmarkEnd w:id="78"/>
    </w:p>
    <w:p w14:paraId="30F9D248">
      <w:pPr>
        <w:pStyle w:val="30"/>
        <w:keepNext/>
        <w:keepLines/>
        <w:spacing w:beforeAutospacing="0" w:afterAutospacing="0" w:line="460" w:lineRule="exact"/>
        <w:ind w:firstLine="480"/>
        <w:jc w:val="both"/>
        <w:rPr>
          <w:rFonts w:ascii="宋体" w:hAnsi="宋体" w:cs="宋体"/>
          <w:color w:val="auto"/>
          <w:szCs w:val="24"/>
        </w:rPr>
      </w:pPr>
      <w:bookmarkStart w:id="79" w:name="_Toc513029214"/>
      <w:bookmarkStart w:id="80" w:name="_Toc16938530"/>
      <w:bookmarkStart w:id="81" w:name="_Toc462564073"/>
      <w:bookmarkStart w:id="82" w:name="_Toc20823286"/>
      <w:r>
        <w:rPr>
          <w:rFonts w:hint="eastAsia" w:ascii="宋体" w:hAnsi="宋体" w:cs="宋体"/>
          <w:color w:val="auto"/>
          <w:szCs w:val="24"/>
        </w:rPr>
        <w:t>9、投标文件的语言及度量衡单位</w:t>
      </w:r>
      <w:bookmarkEnd w:id="79"/>
      <w:bookmarkEnd w:id="80"/>
      <w:bookmarkEnd w:id="81"/>
      <w:bookmarkEnd w:id="82"/>
    </w:p>
    <w:p w14:paraId="4CAA929B">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9.1 投标人提交的投标文件以及投标人与采购中心就有关投标的所有来往通知、函件和文件均应使用</w:t>
      </w:r>
      <w:r>
        <w:rPr>
          <w:rFonts w:hint="eastAsia" w:ascii="宋体" w:hAnsi="宋体" w:cs="宋体"/>
          <w:b/>
          <w:color w:val="auto"/>
          <w:szCs w:val="24"/>
        </w:rPr>
        <w:t>简体中文</w:t>
      </w:r>
      <w:r>
        <w:rPr>
          <w:rFonts w:hint="eastAsia" w:ascii="宋体" w:hAnsi="宋体" w:cs="宋体"/>
          <w:color w:val="auto"/>
          <w:szCs w:val="24"/>
        </w:rPr>
        <w:t>。</w:t>
      </w:r>
    </w:p>
    <w:p w14:paraId="5FB3DA19">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9.2 除技术性能另有规定外，投标文件所使用的度量衡单位，均须采用国家法定计量单位。</w:t>
      </w:r>
    </w:p>
    <w:p w14:paraId="6F337FB2">
      <w:pPr>
        <w:pStyle w:val="30"/>
        <w:keepNext/>
        <w:keepLines/>
        <w:spacing w:beforeAutospacing="0" w:afterAutospacing="0" w:line="460" w:lineRule="exact"/>
        <w:ind w:firstLine="480"/>
        <w:jc w:val="both"/>
        <w:rPr>
          <w:rFonts w:ascii="宋体" w:hAnsi="宋体" w:cs="宋体"/>
          <w:color w:val="auto"/>
          <w:szCs w:val="24"/>
        </w:rPr>
      </w:pPr>
      <w:bookmarkStart w:id="83" w:name="_Toc16938531"/>
      <w:bookmarkStart w:id="84" w:name="_Toc462564074"/>
      <w:bookmarkStart w:id="85" w:name="_Toc20823287"/>
      <w:bookmarkStart w:id="86" w:name="_Toc513029215"/>
      <w:r>
        <w:rPr>
          <w:rFonts w:hint="eastAsia" w:ascii="宋体" w:hAnsi="宋体" w:cs="宋体"/>
          <w:color w:val="auto"/>
          <w:szCs w:val="24"/>
        </w:rPr>
        <w:t>10、投标文件构成</w:t>
      </w:r>
      <w:bookmarkEnd w:id="83"/>
      <w:bookmarkEnd w:id="84"/>
      <w:bookmarkEnd w:id="85"/>
      <w:bookmarkEnd w:id="86"/>
    </w:p>
    <w:p w14:paraId="0B07AA03">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10.1 投标人编写的投标文件应包括资格证明文件、符合性证明文件、投标分项报价表、技术要求响应及偏离表、商务要求响应及偏离表、其他证明文件、投标函、开标一览表等部分。</w:t>
      </w:r>
    </w:p>
    <w:p w14:paraId="41F4A028">
      <w:pPr>
        <w:pStyle w:val="30"/>
        <w:spacing w:beforeAutospacing="0" w:afterAutospacing="0" w:line="460" w:lineRule="exact"/>
        <w:ind w:firstLine="480"/>
        <w:jc w:val="both"/>
        <w:rPr>
          <w:rFonts w:ascii="宋体" w:hAnsi="宋体" w:cs="宋体"/>
          <w:color w:val="auto"/>
          <w:szCs w:val="24"/>
        </w:rPr>
      </w:pPr>
      <w:r>
        <w:rPr>
          <w:rFonts w:hint="eastAsia" w:ascii="宋体" w:hAnsi="宋体" w:cs="宋体"/>
          <w:color w:val="auto"/>
          <w:szCs w:val="24"/>
        </w:rPr>
        <w:t>10.2 如标书制作工具中格式和内容与“中国政府采购网、江苏政府采购网、盐城市政府采购网”发布的招标文件不一致，请以“中国政府采购网、江苏政府采购网、盐城市政府采购网”发布的招标文件为准。</w:t>
      </w:r>
    </w:p>
    <w:p w14:paraId="30EDDC90">
      <w:pPr>
        <w:pStyle w:val="30"/>
        <w:keepNext/>
        <w:keepLines/>
        <w:spacing w:beforeAutospacing="0" w:afterAutospacing="0" w:line="460" w:lineRule="exact"/>
        <w:ind w:firstLine="480"/>
        <w:jc w:val="both"/>
        <w:rPr>
          <w:rFonts w:ascii="宋体" w:hAnsi="宋体" w:cs="宋体"/>
          <w:color w:val="auto"/>
          <w:szCs w:val="24"/>
        </w:rPr>
      </w:pPr>
      <w:bookmarkStart w:id="87" w:name="_Toc49090509"/>
      <w:bookmarkStart w:id="88" w:name="_Toc14577357"/>
      <w:bookmarkStart w:id="89" w:name="_Toc14577354"/>
      <w:bookmarkStart w:id="90" w:name="_Toc49090508"/>
      <w:bookmarkStart w:id="91" w:name="_Toc513029216"/>
      <w:bookmarkStart w:id="92" w:name="_Toc513029219"/>
      <w:bookmarkStart w:id="93" w:name="_Toc14577355"/>
      <w:bookmarkStart w:id="94" w:name="_Toc49090507"/>
      <w:r>
        <w:rPr>
          <w:rFonts w:hint="eastAsia" w:ascii="宋体" w:hAnsi="宋体" w:cs="宋体"/>
          <w:color w:val="auto"/>
          <w:szCs w:val="24"/>
        </w:rPr>
        <w:t>11、证明投标人及投标标的符合招标文件规定的文件</w:t>
      </w:r>
      <w:bookmarkEnd w:id="87"/>
      <w:bookmarkEnd w:id="88"/>
      <w:bookmarkEnd w:id="89"/>
      <w:bookmarkEnd w:id="90"/>
      <w:bookmarkEnd w:id="91"/>
      <w:bookmarkEnd w:id="92"/>
      <w:bookmarkEnd w:id="93"/>
      <w:bookmarkEnd w:id="94"/>
    </w:p>
    <w:p w14:paraId="69C49E38">
      <w:pPr>
        <w:pStyle w:val="30"/>
        <w:spacing w:beforeAutospacing="0" w:afterAutospacing="0" w:line="460" w:lineRule="exact"/>
        <w:jc w:val="both"/>
        <w:rPr>
          <w:rFonts w:ascii="宋体" w:hAnsi="宋体" w:cs="宋体"/>
          <w:color w:val="auto"/>
          <w:szCs w:val="24"/>
        </w:rPr>
      </w:pPr>
      <w:r>
        <w:rPr>
          <w:rFonts w:hint="eastAsia" w:ascii="宋体" w:hAnsi="宋体" w:cs="宋体"/>
          <w:color w:val="auto"/>
          <w:szCs w:val="24"/>
        </w:rPr>
        <w:t>  11.1 投标人应按照招标文件要求提交证明文件，证明其及投标标的符合招标文件规定。</w:t>
      </w:r>
    </w:p>
    <w:p w14:paraId="5C83C60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11.2招标文件对证明文件无明确形式要求的，证明文件可以以文字资料、图纸和数据等形式提交。</w:t>
      </w:r>
    </w:p>
    <w:p w14:paraId="6A10F272">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12、投标分项报价表</w:t>
      </w:r>
    </w:p>
    <w:p w14:paraId="37F44D0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12.1 投标人应按照招标文件规定格式填报投标分项报价表。</w:t>
      </w:r>
    </w:p>
    <w:p w14:paraId="4BFA7E4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12.2投标货币。投标文件中的单价和总价无特殊规定的采用人民币报价，以元为单位标注。招标文件中另有规定的按规定执行。</w:t>
      </w:r>
    </w:p>
    <w:p w14:paraId="3E18003A">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13、技术要求响应及偏离表、商务要求响应及偏离表</w:t>
      </w:r>
    </w:p>
    <w:p w14:paraId="79DF3209">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13.1投标人需对招标文件中的技术要求与商务要求逐项作出响应或偏离，并说明原因。</w:t>
      </w:r>
    </w:p>
    <w:p w14:paraId="4468467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13.2 投标人可在投标文件中提供认为需要的其他技术文件或说明。</w:t>
      </w:r>
    </w:p>
    <w:p w14:paraId="2D82C4C6">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14、</w:t>
      </w:r>
      <w:bookmarkStart w:id="95" w:name="_Toc14577359"/>
      <w:bookmarkStart w:id="96" w:name="_Toc49090510"/>
      <w:r>
        <w:rPr>
          <w:rFonts w:hint="eastAsia" w:ascii="宋体" w:hAnsi="宋体" w:cs="宋体"/>
          <w:color w:val="auto"/>
          <w:szCs w:val="24"/>
        </w:rPr>
        <w:t>投标函和开标一览表</w:t>
      </w:r>
      <w:bookmarkEnd w:id="95"/>
      <w:bookmarkEnd w:id="96"/>
    </w:p>
    <w:p w14:paraId="35A3792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14.1 投标人应按照招标文件中提供的格式完整、正确填写投标函、开标一览表。</w:t>
      </w:r>
    </w:p>
    <w:p w14:paraId="1F19147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14.2 对于采用货币报价的项目，开标一览表中的投标总报价应与投标分项报价表中的投标总报价一致，如不一致，不作为无效投标处理，但评标时按开标一览表中价格为准。</w:t>
      </w:r>
    </w:p>
    <w:p w14:paraId="636E2039">
      <w:pPr>
        <w:pStyle w:val="30"/>
        <w:keepNext/>
        <w:keepLines/>
        <w:spacing w:beforeAutospacing="0" w:afterAutospacing="0" w:line="500" w:lineRule="exact"/>
        <w:ind w:firstLine="480"/>
        <w:jc w:val="both"/>
        <w:rPr>
          <w:rFonts w:ascii="宋体" w:hAnsi="宋体" w:cs="宋体"/>
          <w:color w:val="auto"/>
          <w:szCs w:val="24"/>
        </w:rPr>
      </w:pPr>
      <w:bookmarkStart w:id="97" w:name="_Toc49090511"/>
      <w:bookmarkStart w:id="98" w:name="_Toc14577360"/>
      <w:r>
        <w:rPr>
          <w:rFonts w:hint="eastAsia" w:ascii="宋体" w:hAnsi="宋体" w:cs="宋体"/>
          <w:color w:val="auto"/>
          <w:szCs w:val="24"/>
        </w:rPr>
        <w:t>15、投标有效期</w:t>
      </w:r>
      <w:bookmarkEnd w:id="97"/>
      <w:bookmarkEnd w:id="98"/>
    </w:p>
    <w:p w14:paraId="5499223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15.1投标有效期为采购中心规定的开标之日后</w:t>
      </w:r>
      <w:r>
        <w:rPr>
          <w:rFonts w:hint="eastAsia" w:ascii="宋体" w:hAnsi="宋体" w:cs="宋体"/>
          <w:b/>
          <w:color w:val="auto"/>
          <w:szCs w:val="24"/>
          <w:u w:val="single"/>
        </w:rPr>
        <w:t>六十（60）天</w:t>
      </w:r>
      <w:r>
        <w:rPr>
          <w:rFonts w:hint="eastAsia" w:ascii="宋体" w:hAnsi="宋体" w:cs="宋体"/>
          <w:color w:val="auto"/>
          <w:szCs w:val="24"/>
        </w:rPr>
        <w:t>。投标有效期比规定短的将被视为未实质性响应招标文件而予以拒绝。</w:t>
      </w:r>
    </w:p>
    <w:p w14:paraId="6F4B9C1B">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16、投标有效期的延长</w:t>
      </w:r>
    </w:p>
    <w:p w14:paraId="4A6122E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053A2EFC">
      <w:pPr>
        <w:pStyle w:val="30"/>
        <w:keepNext/>
        <w:keepLines/>
        <w:spacing w:before="145" w:beforeAutospacing="0" w:after="145" w:afterAutospacing="0" w:line="500" w:lineRule="exact"/>
        <w:ind w:firstLine="482"/>
        <w:jc w:val="both"/>
        <w:rPr>
          <w:rFonts w:ascii="宋体" w:hAnsi="宋体" w:cs="宋体"/>
          <w:color w:val="auto"/>
          <w:szCs w:val="24"/>
        </w:rPr>
      </w:pPr>
      <w:bookmarkStart w:id="99" w:name="_Toc120614217"/>
      <w:bookmarkStart w:id="100" w:name="_Toc513029224"/>
      <w:bookmarkStart w:id="101" w:name="_Toc20823296"/>
      <w:bookmarkStart w:id="102" w:name="_Toc16938540"/>
      <w:r>
        <w:rPr>
          <w:rFonts w:hint="eastAsia" w:ascii="宋体" w:hAnsi="宋体" w:cs="宋体"/>
          <w:b/>
          <w:color w:val="auto"/>
          <w:szCs w:val="24"/>
        </w:rPr>
        <w:t>四、投标文件的递交</w:t>
      </w:r>
      <w:bookmarkEnd w:id="99"/>
      <w:bookmarkEnd w:id="100"/>
      <w:bookmarkEnd w:id="101"/>
      <w:bookmarkEnd w:id="102"/>
    </w:p>
    <w:p w14:paraId="204F7F46">
      <w:pPr>
        <w:pStyle w:val="30"/>
        <w:keepNext/>
        <w:keepLines/>
        <w:spacing w:beforeAutospacing="0" w:afterAutospacing="0" w:line="500" w:lineRule="exact"/>
        <w:ind w:firstLine="480"/>
        <w:jc w:val="both"/>
        <w:rPr>
          <w:rFonts w:ascii="宋体" w:hAnsi="宋体" w:cs="宋体"/>
          <w:color w:val="auto"/>
          <w:szCs w:val="24"/>
        </w:rPr>
      </w:pPr>
      <w:bookmarkStart w:id="103" w:name="_Toc513029225"/>
      <w:bookmarkStart w:id="104" w:name="_Toc20823297"/>
      <w:bookmarkStart w:id="105" w:name="_Toc462564084"/>
      <w:bookmarkStart w:id="106" w:name="_Toc16938541"/>
      <w:r>
        <w:rPr>
          <w:rFonts w:hint="eastAsia" w:ascii="宋体" w:hAnsi="宋体" w:cs="宋体"/>
          <w:color w:val="auto"/>
          <w:szCs w:val="24"/>
        </w:rPr>
        <w:t>17、电子投标文件</w:t>
      </w:r>
      <w:bookmarkEnd w:id="103"/>
      <w:bookmarkEnd w:id="104"/>
      <w:bookmarkEnd w:id="105"/>
      <w:bookmarkEnd w:id="106"/>
      <w:r>
        <w:rPr>
          <w:rFonts w:hint="eastAsia" w:ascii="宋体" w:hAnsi="宋体" w:cs="宋体"/>
          <w:color w:val="auto"/>
          <w:szCs w:val="24"/>
        </w:rPr>
        <w:t>的递交</w:t>
      </w:r>
    </w:p>
    <w:p w14:paraId="4907124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17.1投标人应当按照《操作手册》规定，在投标截止时间前制作并上传电子投标文件。</w:t>
      </w:r>
      <w:bookmarkStart w:id="107" w:name="_Toc16938542"/>
      <w:bookmarkEnd w:id="107"/>
      <w:bookmarkStart w:id="108" w:name="_Toc20823298"/>
      <w:bookmarkEnd w:id="108"/>
    </w:p>
    <w:p w14:paraId="434F2645">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18、投标截止日期</w:t>
      </w:r>
    </w:p>
    <w:p w14:paraId="69B939D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i/>
          <w:color w:val="auto"/>
          <w:szCs w:val="24"/>
          <w:u w:val="single"/>
        </w:rPr>
        <w:t>18.1 投标人上传电子投标文件的时间不得迟于招标公告中规定的投标截止时间。</w:t>
      </w:r>
    </w:p>
    <w:p w14:paraId="66B5D9B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投标人应充分考虑到网络环境、网络带宽等风险因素，如因投标人自身原因造成的电子投标文件上传不成功的按照本招标文件第二章第27.1.2条规定做无效投标处理。</w:t>
      </w:r>
    </w:p>
    <w:p w14:paraId="17E1E0A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18.2 采购中心可以按照规定，通过修改招标文件酌情延长投标截止日期，在此情况下，投标人的所有权利和义务以及投标人受制的截止日期均应以延长后新的截止日期为准。</w:t>
      </w:r>
    </w:p>
    <w:p w14:paraId="40A3CB57">
      <w:pPr>
        <w:pStyle w:val="30"/>
        <w:keepNext/>
        <w:keepLines/>
        <w:spacing w:beforeAutospacing="0" w:afterAutospacing="0" w:line="500" w:lineRule="exact"/>
        <w:ind w:firstLine="480"/>
        <w:jc w:val="both"/>
        <w:rPr>
          <w:rFonts w:ascii="宋体" w:hAnsi="宋体" w:cs="宋体"/>
          <w:color w:val="auto"/>
          <w:szCs w:val="24"/>
        </w:rPr>
      </w:pPr>
      <w:bookmarkStart w:id="109" w:name="_Toc20823299"/>
      <w:bookmarkStart w:id="110" w:name="_Toc16938543"/>
      <w:bookmarkStart w:id="111" w:name="_Toc513029227"/>
      <w:r>
        <w:rPr>
          <w:rFonts w:hint="eastAsia" w:ascii="宋体" w:hAnsi="宋体" w:cs="宋体"/>
          <w:color w:val="auto"/>
          <w:szCs w:val="24"/>
        </w:rPr>
        <w:t>19、投标文件</w:t>
      </w:r>
      <w:bookmarkEnd w:id="109"/>
      <w:bookmarkEnd w:id="110"/>
      <w:bookmarkEnd w:id="111"/>
      <w:r>
        <w:rPr>
          <w:rFonts w:hint="eastAsia" w:ascii="宋体" w:hAnsi="宋体" w:cs="宋体"/>
          <w:color w:val="auto"/>
          <w:szCs w:val="24"/>
        </w:rPr>
        <w:t>的拒收</w:t>
      </w:r>
    </w:p>
    <w:p w14:paraId="1FF175D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19.1 采购中心拒绝接收在其规定的投标截止时间后上传的任何投标文件。</w:t>
      </w:r>
    </w:p>
    <w:p w14:paraId="4F6B0D5E">
      <w:pPr>
        <w:pStyle w:val="30"/>
        <w:keepNext/>
        <w:keepLines/>
        <w:spacing w:beforeAutospacing="0" w:afterAutospacing="0" w:line="500" w:lineRule="exact"/>
        <w:ind w:firstLine="480"/>
        <w:jc w:val="both"/>
        <w:rPr>
          <w:rFonts w:ascii="宋体" w:hAnsi="宋体" w:cs="宋体"/>
          <w:color w:val="auto"/>
          <w:szCs w:val="24"/>
        </w:rPr>
      </w:pPr>
      <w:bookmarkStart w:id="112" w:name="_Toc20823300"/>
      <w:bookmarkStart w:id="113" w:name="_Toc513029228"/>
      <w:bookmarkStart w:id="114" w:name="_Toc16938544"/>
      <w:r>
        <w:rPr>
          <w:rFonts w:hint="eastAsia" w:ascii="宋体" w:hAnsi="宋体" w:cs="宋体"/>
          <w:color w:val="auto"/>
          <w:szCs w:val="24"/>
        </w:rPr>
        <w:t>20、投标文件的撤回和修改</w:t>
      </w:r>
      <w:bookmarkEnd w:id="112"/>
      <w:bookmarkEnd w:id="113"/>
      <w:bookmarkEnd w:id="114"/>
    </w:p>
    <w:p w14:paraId="0FAA12E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20.1 投标文件的撤回</w:t>
      </w:r>
    </w:p>
    <w:p w14:paraId="475F051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20.1.1 电子投标文件的撤回</w:t>
      </w:r>
    </w:p>
    <w:p w14:paraId="6331A6E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投标人可在投标截止时间前，撤回其电子投标文件，具体操作方法见《操作手册》。</w:t>
      </w:r>
    </w:p>
    <w:p w14:paraId="0A6BA7B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20.1.2 投标人撤回电子投标文件，则认为其不再参与本项目投标活动。</w:t>
      </w:r>
    </w:p>
    <w:p w14:paraId="494D3C1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20.2 投标文件的修改</w:t>
      </w:r>
    </w:p>
    <w:p w14:paraId="45DE924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20.2.1投标人可在投标截止时间前，对其电子投标文件进行修改，具体操作方法见《操作手册》。</w:t>
      </w:r>
    </w:p>
    <w:p w14:paraId="070A049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20.2.2 在投标截止时间之后，投标人不得对其电子投标文件作任何修改。</w:t>
      </w:r>
    </w:p>
    <w:p w14:paraId="47DDE73C">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20.3 在投标截止时间至招标文件中规定的投标有效期满之间的这段时间内，投标人不得撤回其投标。</w:t>
      </w:r>
    </w:p>
    <w:p w14:paraId="24E811A4">
      <w:pPr>
        <w:pStyle w:val="30"/>
        <w:keepNext/>
        <w:keepLines/>
        <w:spacing w:before="145" w:beforeAutospacing="0" w:after="145" w:afterAutospacing="0" w:line="500" w:lineRule="exact"/>
        <w:ind w:firstLine="482"/>
        <w:jc w:val="both"/>
        <w:rPr>
          <w:rFonts w:ascii="宋体" w:hAnsi="宋体" w:cs="宋体"/>
          <w:color w:val="auto"/>
          <w:szCs w:val="24"/>
        </w:rPr>
      </w:pPr>
      <w:bookmarkStart w:id="115" w:name="_Toc120614218"/>
      <w:bookmarkStart w:id="116" w:name="_Toc16938545"/>
      <w:bookmarkStart w:id="117" w:name="_Toc20823301"/>
      <w:bookmarkStart w:id="118" w:name="_Toc513029229"/>
      <w:r>
        <w:rPr>
          <w:rFonts w:hint="eastAsia" w:ascii="宋体" w:hAnsi="宋体" w:cs="宋体"/>
          <w:b/>
          <w:color w:val="auto"/>
          <w:szCs w:val="24"/>
        </w:rPr>
        <w:t>五、开标与评标</w:t>
      </w:r>
      <w:bookmarkEnd w:id="115"/>
      <w:bookmarkEnd w:id="116"/>
      <w:bookmarkEnd w:id="117"/>
      <w:bookmarkEnd w:id="118"/>
    </w:p>
    <w:p w14:paraId="574C4B26">
      <w:pPr>
        <w:pStyle w:val="30"/>
        <w:keepNext/>
        <w:keepLines/>
        <w:spacing w:beforeAutospacing="0" w:afterAutospacing="0" w:line="500" w:lineRule="exact"/>
        <w:ind w:firstLine="480"/>
        <w:jc w:val="both"/>
        <w:rPr>
          <w:rFonts w:ascii="宋体" w:hAnsi="宋体" w:cs="宋体"/>
          <w:color w:val="auto"/>
          <w:szCs w:val="24"/>
        </w:rPr>
      </w:pPr>
      <w:bookmarkStart w:id="119" w:name="_Toc20823302"/>
      <w:bookmarkStart w:id="120" w:name="_Toc16938546"/>
      <w:bookmarkStart w:id="121" w:name="_Toc513029230"/>
      <w:r>
        <w:rPr>
          <w:rFonts w:hint="eastAsia" w:ascii="宋体" w:hAnsi="宋体" w:cs="宋体"/>
          <w:color w:val="auto"/>
          <w:szCs w:val="24"/>
        </w:rPr>
        <w:t>21、开标</w:t>
      </w:r>
      <w:bookmarkEnd w:id="119"/>
      <w:bookmarkEnd w:id="120"/>
      <w:bookmarkEnd w:id="121"/>
    </w:p>
    <w:p w14:paraId="7078DA9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21.1 采购中心将在招标公告中规定的时间和地点组织公开开标。投标人应当按照《操作手册》规定，参加开标活动和在苏采云系统规定的时间内对投标文件进行解密。</w:t>
      </w:r>
    </w:p>
    <w:p w14:paraId="59757EA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21.2开标仪式由采购中心组织。苏采云系统将自动对项目进行开标，并宣布各投标人名称和投标价格。</w:t>
      </w:r>
    </w:p>
    <w:p w14:paraId="43E6FB5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21.3投标人在开标过程中涉及到的投标文件解密、开标结果确认等工作，应按照《操作手册》规定执行。</w:t>
      </w:r>
    </w:p>
    <w:p w14:paraId="315C6109">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21.4投标人如果对开标过程和开标记录有疑义，应当根据《操作手册》规定提出，如 苏采云系统中《开标记录表》宣布后5分钟内未提出的，视同认可开标结果。</w:t>
      </w:r>
    </w:p>
    <w:p w14:paraId="05382B96">
      <w:pPr>
        <w:pStyle w:val="30"/>
        <w:keepNext/>
        <w:keepLines/>
        <w:spacing w:beforeAutospacing="0" w:afterAutospacing="0" w:line="500" w:lineRule="exact"/>
        <w:ind w:firstLine="480"/>
        <w:jc w:val="both"/>
        <w:rPr>
          <w:rFonts w:ascii="宋体" w:hAnsi="宋体" w:cs="宋体"/>
          <w:color w:val="auto"/>
          <w:szCs w:val="24"/>
        </w:rPr>
      </w:pPr>
      <w:bookmarkStart w:id="122" w:name="_Toc20823303"/>
      <w:bookmarkStart w:id="123" w:name="_Toc16938547"/>
      <w:bookmarkStart w:id="124" w:name="_Toc513029231"/>
      <w:r>
        <w:rPr>
          <w:rFonts w:hint="eastAsia" w:ascii="宋体" w:hAnsi="宋体" w:cs="宋体"/>
          <w:color w:val="auto"/>
          <w:szCs w:val="24"/>
        </w:rPr>
        <w:t>22、评标委员会</w:t>
      </w:r>
      <w:bookmarkEnd w:id="122"/>
      <w:bookmarkEnd w:id="123"/>
      <w:bookmarkEnd w:id="124"/>
    </w:p>
    <w:p w14:paraId="559F166E">
      <w:pPr>
        <w:pStyle w:val="30"/>
        <w:spacing w:beforeAutospacing="0" w:afterAutospacing="0" w:line="500" w:lineRule="exact"/>
        <w:jc w:val="both"/>
        <w:rPr>
          <w:rFonts w:ascii="宋体" w:hAnsi="宋体" w:cs="宋体"/>
          <w:color w:val="auto"/>
          <w:szCs w:val="24"/>
        </w:rPr>
      </w:pPr>
      <w:r>
        <w:rPr>
          <w:rFonts w:hint="eastAsia" w:ascii="宋体" w:hAnsi="宋体" w:cs="宋体"/>
          <w:b/>
          <w:color w:val="auto"/>
          <w:szCs w:val="24"/>
        </w:rPr>
        <w:t xml:space="preserve">   </w:t>
      </w:r>
      <w:r>
        <w:rPr>
          <w:rFonts w:hint="eastAsia" w:ascii="宋体" w:hAnsi="宋体" w:cs="宋体"/>
          <w:color w:val="auto"/>
          <w:szCs w:val="24"/>
        </w:rPr>
        <w:t>22.1开标后，采购中心将立即组织评标委员会（以下简称评委会）进行评标。</w:t>
      </w:r>
    </w:p>
    <w:p w14:paraId="0A79C6F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22.2 评委会由采购人代表和有关技术、经济等方面的专家组成，且人员构成符合政府采购有关规定。</w:t>
      </w:r>
    </w:p>
    <w:p w14:paraId="4475989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22.3评委会独立工作，负责评审所有投标文件并确定中标侯选人。</w:t>
      </w:r>
    </w:p>
    <w:p w14:paraId="1FF644C4">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23、评标过程的保密与公正</w:t>
      </w:r>
    </w:p>
    <w:p w14:paraId="0718C1D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23.1凡是与审查、澄清、评价和比较投标的有关资料以及授标建议等，采购人、评委、采购中心均不得向投标人或与评标无关的其他人员透露。</w:t>
      </w:r>
    </w:p>
    <w:p w14:paraId="6848BB2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23.2在评标过程中，投标人不得以任何行为影响评标过程，否则其投标文件将被作为无效投标文件。</w:t>
      </w:r>
    </w:p>
    <w:p w14:paraId="7193884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23.3 采购中心和评标委员会不向未中标的投标人解释未中标原因，也不公布评标过程中的相关细节。</w:t>
      </w:r>
    </w:p>
    <w:p w14:paraId="763BEB7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23.4 采用综合评分法的项目，未中标的投标人可于中标结果公告期限届满之日起通过苏采云系统查看自己的评审得分及排序情况。</w:t>
      </w:r>
    </w:p>
    <w:p w14:paraId="09537C4D">
      <w:pPr>
        <w:pStyle w:val="30"/>
        <w:keepNext/>
        <w:keepLines/>
        <w:spacing w:beforeAutospacing="0" w:afterAutospacing="0" w:line="500" w:lineRule="exact"/>
        <w:ind w:firstLine="480"/>
        <w:jc w:val="both"/>
        <w:rPr>
          <w:rFonts w:ascii="宋体" w:hAnsi="宋体" w:cs="宋体"/>
          <w:color w:val="auto"/>
          <w:szCs w:val="24"/>
        </w:rPr>
      </w:pPr>
      <w:bookmarkStart w:id="125" w:name="_Toc20823304"/>
      <w:bookmarkStart w:id="126" w:name="_Toc16938548"/>
      <w:bookmarkStart w:id="127" w:name="_Toc513029232"/>
      <w:r>
        <w:rPr>
          <w:rFonts w:hint="eastAsia" w:ascii="宋体" w:hAnsi="宋体" w:cs="宋体"/>
          <w:color w:val="auto"/>
          <w:szCs w:val="24"/>
        </w:rPr>
        <w:t>24、投标文件的澄清</w:t>
      </w:r>
      <w:bookmarkEnd w:id="125"/>
      <w:bookmarkEnd w:id="126"/>
      <w:bookmarkEnd w:id="127"/>
    </w:p>
    <w:p w14:paraId="66B4B0A3">
      <w:pPr>
        <w:pStyle w:val="30"/>
        <w:spacing w:beforeAutospacing="0" w:afterAutospacing="0" w:line="500" w:lineRule="exact"/>
        <w:ind w:firstLine="480"/>
        <w:jc w:val="both"/>
        <w:rPr>
          <w:rFonts w:ascii="宋体" w:hAnsi="宋体" w:cs="宋体"/>
          <w:color w:val="auto"/>
          <w:szCs w:val="24"/>
        </w:rPr>
      </w:pPr>
      <w:bookmarkStart w:id="128" w:name="_Toc513029233"/>
      <w:bookmarkStart w:id="129" w:name="_Toc16938549"/>
      <w:bookmarkStart w:id="130" w:name="_Toc20823305"/>
      <w:r>
        <w:rPr>
          <w:rFonts w:hint="eastAsia" w:ascii="宋体" w:hAnsi="宋体" w:cs="宋体"/>
          <w:color w:val="auto"/>
          <w:szCs w:val="24"/>
        </w:rPr>
        <w:t>24.1评标期间，评委会对投标文件中含义不明确、同类问题表述不一致或者有明显文字和计算错误的内容，有权要求投标人作出必要的澄清、说明或者补正。</w:t>
      </w:r>
      <w:bookmarkEnd w:id="128"/>
      <w:bookmarkEnd w:id="129"/>
      <w:bookmarkEnd w:id="130"/>
    </w:p>
    <w:p w14:paraId="088B5C9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投标人的澄清、说明或者补正不得超出投标文件的范围或者改变投标文件的实质性内容。</w:t>
      </w:r>
    </w:p>
    <w:p w14:paraId="6D0A430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评标委员会并非对每个投标人都做澄清要求。</w:t>
      </w:r>
    </w:p>
    <w:p w14:paraId="211FBD2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B19257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24.3 接到评委会澄清、说明和补正要求的投标人如未按规定做出澄清、说明和补正，其风险由投标人自行承担。</w:t>
      </w:r>
    </w:p>
    <w:p w14:paraId="6CA9E90C">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25、对投标文件的初审</w:t>
      </w:r>
    </w:p>
    <w:p w14:paraId="5E650D1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25.1投标文件初审分为资格审查和符合性审查。</w:t>
      </w:r>
    </w:p>
    <w:p w14:paraId="054C0F5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25.1.1 资格审查：依据法律法规和招标文件的规定，由采购人对投标文件中的资格证明文件进行审查。资格审查的结论，采购人以书面形式向评委会进行反馈。</w:t>
      </w:r>
    </w:p>
    <w:p w14:paraId="4020948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采购人在进行资格性审查的同时，将在“信用中国”网站查询投标人的信用记录，以确定投标人是否具备投标资格,查询结果留存并归档。</w:t>
      </w:r>
    </w:p>
    <w:p w14:paraId="196ECE4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8C84809">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25.1.2 符合性审查：依据招标文件的规定，由评委会从投标文件的有效性、完整性和对招标文件的响应程度进行审查，以确定是否对招标文件的实质性要求作出响应。</w:t>
      </w:r>
    </w:p>
    <w:p w14:paraId="09B27BA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25.1.3 未通过资格审查或符合性审查的投标人，采购中心将在苏采云系统中告知未通过资格审查或符合性审查的原因，评审结束后，采购中心将不再告知未通过资格审查或符合性审查的原因。</w:t>
      </w:r>
    </w:p>
    <w:p w14:paraId="2436C89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25.2在详细评标之前，评委会将首先审查每份投标文件是否实质性响应了招标文件的要求。实质性响应的投标应该是与招标文件要求的全部条款、条件和规格相符，没有重大偏离或保留的投标。</w:t>
      </w:r>
    </w:p>
    <w:p w14:paraId="3D29C4E9">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6EABA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25.3如果投标文件实质上没有响应招标文件的要求，评委会将予以拒绝，投标人不得通过修改或撤销不合要求的偏离或保留而使其投标成为实质性响应的投标。</w:t>
      </w:r>
    </w:p>
    <w:p w14:paraId="39B144E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25.4评委会将对确定为实质性响应的投标进行进一步审核，看其是否有计算上或累加上的算术错误，修正错误的原则如下：</w:t>
      </w:r>
    </w:p>
    <w:p w14:paraId="6E60438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（1）投标文件中开标一览表内容与投标文件中相应内容不一致的，以开标一览表为准。</w:t>
      </w:r>
    </w:p>
    <w:p w14:paraId="2E227839">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（2）大写金额和小写金额不一致的，以大写金额为准。</w:t>
      </w:r>
    </w:p>
    <w:p w14:paraId="19A55E3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（3）单价金额小数点或者百分比有明显错位的，以开标一览表的总价为准，并修改单价。</w:t>
      </w:r>
    </w:p>
    <w:p w14:paraId="045CE63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（4）总价金额与按单价汇总金额不一致的，以单价金额计算结果为准。</w:t>
      </w:r>
    </w:p>
    <w:p w14:paraId="359212F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同时出现两种以上错误的，按照前款规定的顺序修正。</w:t>
      </w:r>
    </w:p>
    <w:p w14:paraId="7848A40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25.5评委会将按上述修正错误的方法调整投标文件中的投标报价，并通过苏采云系统告知投标人，调整后的价格应对投标人具有约束力。如果投标人不接受修正后的价格，则其投标将被拒绝。</w:t>
      </w:r>
    </w:p>
    <w:p w14:paraId="7F8D911D">
      <w:pPr>
        <w:pStyle w:val="30"/>
        <w:spacing w:beforeAutospacing="0" w:afterAutospacing="0" w:line="500" w:lineRule="exact"/>
        <w:ind w:firstLine="420"/>
        <w:jc w:val="both"/>
        <w:rPr>
          <w:rFonts w:ascii="宋体" w:hAnsi="宋体" w:cs="宋体"/>
          <w:color w:val="auto"/>
          <w:szCs w:val="24"/>
        </w:rPr>
      </w:pPr>
      <w:bookmarkStart w:id="131" w:name="_Toc20823306"/>
      <w:bookmarkStart w:id="132" w:name="_Toc513029234"/>
      <w:bookmarkStart w:id="133" w:name="_Toc16938550"/>
      <w:r>
        <w:rPr>
          <w:rFonts w:hint="eastAsia" w:ascii="宋体" w:hAnsi="宋体" w:cs="宋体"/>
          <w:color w:val="auto"/>
          <w:szCs w:val="24"/>
        </w:rPr>
        <w:t>25.6</w:t>
      </w:r>
      <w:bookmarkEnd w:id="131"/>
      <w:bookmarkEnd w:id="132"/>
      <w:bookmarkEnd w:id="133"/>
      <w:r>
        <w:rPr>
          <w:rFonts w:hint="eastAsia" w:ascii="宋体" w:hAnsi="宋体" w:cs="宋体"/>
          <w:color w:val="auto"/>
          <w:szCs w:val="24"/>
        </w:rPr>
        <w:t>投标人在开、评标全过程中应保持通讯畅通，及时登录苏采云系统查阅、答复相关信息，并安排专人与采购中心及评标委员会联系。</w:t>
      </w:r>
    </w:p>
    <w:p w14:paraId="1ADB2FAA">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26、无效投标条款和废标条款</w:t>
      </w:r>
    </w:p>
    <w:p w14:paraId="493426CA">
      <w:pPr>
        <w:pStyle w:val="30"/>
        <w:spacing w:beforeAutospacing="0" w:afterAutospacing="0" w:line="500" w:lineRule="exact"/>
        <w:ind w:firstLine="480"/>
        <w:jc w:val="both"/>
        <w:rPr>
          <w:rFonts w:ascii="宋体" w:hAnsi="宋体" w:cs="宋体"/>
          <w:color w:val="auto"/>
          <w:szCs w:val="24"/>
        </w:rPr>
      </w:pPr>
      <w:bookmarkStart w:id="134" w:name="_Toc16938551"/>
      <w:bookmarkStart w:id="135" w:name="_Toc20823307"/>
      <w:bookmarkStart w:id="136" w:name="_Toc513029235"/>
      <w:r>
        <w:rPr>
          <w:rFonts w:hint="eastAsia" w:ascii="宋体" w:hAnsi="宋体" w:cs="宋体"/>
          <w:color w:val="auto"/>
          <w:szCs w:val="24"/>
        </w:rPr>
        <w:t>26.1无效投标条款</w:t>
      </w:r>
      <w:bookmarkEnd w:id="134"/>
      <w:bookmarkEnd w:id="135"/>
      <w:bookmarkEnd w:id="136"/>
    </w:p>
    <w:p w14:paraId="65CC3A8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26.1.1 投标人在苏采云系统规定的时间内未成功解密电子投标文件的。</w:t>
      </w:r>
    </w:p>
    <w:p w14:paraId="797FBEF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26.1.2 投标人未按照招标文件要求上传电子投标文件的。</w:t>
      </w:r>
    </w:p>
    <w:p w14:paraId="7D3924DA">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26.1.3同一投标人提交两个（含两个）以上不同的投标报价的。</w:t>
      </w:r>
    </w:p>
    <w:p w14:paraId="4CA65746">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26.1.4投标人不具备招标文件中规定资格要求的。</w:t>
      </w:r>
    </w:p>
    <w:p w14:paraId="4063F90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26.1.5投标人的报价超过了采购预算或最高限价的。</w:t>
      </w:r>
    </w:p>
    <w:p w14:paraId="21AF04B5">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26.1.6未通过符合性审查的。</w:t>
      </w:r>
    </w:p>
    <w:p w14:paraId="2953F4A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26.1.7不符合招标文件中规定的实质性要求和条件的（</w:t>
      </w:r>
      <w:r>
        <w:rPr>
          <w:rFonts w:hint="eastAsia" w:ascii="宋体" w:hAnsi="宋体" w:cs="宋体"/>
          <w:i/>
          <w:color w:val="auto"/>
          <w:szCs w:val="24"/>
          <w:u w:val="single"/>
        </w:rPr>
        <w:t>本招标文件中斜体且有下划线部分为实质性要求和条件）。</w:t>
      </w:r>
    </w:p>
    <w:p w14:paraId="2EEBB36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771247A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26.1.9 投标文件含有采购人不能接受的附加条件的。</w:t>
      </w:r>
    </w:p>
    <w:p w14:paraId="71CC9BB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CEEAF0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C3EDAB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26.1.12 投标文件未按照招标文件要求加盖CA电子公章的。</w:t>
      </w:r>
    </w:p>
    <w:p w14:paraId="5C6D54C8">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26.1.13其他法律、法规及本招标文件规定的属无效投标的情形。</w:t>
      </w:r>
    </w:p>
    <w:p w14:paraId="00720DA4">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26.2废标条款</w:t>
      </w:r>
    </w:p>
    <w:p w14:paraId="747223E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26.2.1符合专业条件的供应商或者对招标文件作实质响应的供应商不足三家的。</w:t>
      </w:r>
    </w:p>
    <w:p w14:paraId="33546802">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26.2.2出现影响采购公正的违法、违规行为的。</w:t>
      </w:r>
    </w:p>
    <w:p w14:paraId="36B0D262">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26.2.3因重大变故，采购任务取消的。</w:t>
      </w:r>
    </w:p>
    <w:p w14:paraId="6729455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26.2.4评标委员会认定招标文件存在歧义、重大缺陷导致评审工作无法进行。</w:t>
      </w:r>
    </w:p>
    <w:p w14:paraId="203BB9C7">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26.2.5 因苏采云系统系统故障原因造成开标不成功的。</w:t>
      </w:r>
    </w:p>
    <w:p w14:paraId="2387B1CF">
      <w:pPr>
        <w:pStyle w:val="30"/>
        <w:spacing w:beforeAutospacing="0" w:afterAutospacing="0" w:line="500" w:lineRule="exact"/>
        <w:ind w:left="479"/>
        <w:jc w:val="both"/>
        <w:rPr>
          <w:rFonts w:ascii="宋体" w:hAnsi="宋体" w:cs="宋体"/>
          <w:color w:val="auto"/>
          <w:szCs w:val="24"/>
        </w:rPr>
      </w:pPr>
      <w:r>
        <w:rPr>
          <w:rFonts w:hint="eastAsia" w:ascii="宋体" w:hAnsi="宋体" w:cs="宋体"/>
          <w:color w:val="auto"/>
          <w:szCs w:val="24"/>
        </w:rPr>
        <w:t>26.3 投标截止时间结束后参加投标的供应商不足三家的处理：</w:t>
      </w:r>
    </w:p>
    <w:p w14:paraId="3DF01A4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26.3.1如出现投标截止时间结束后参加投标的供应商或者在评标期间对招标文件做出实质响应的供应商不足三家情况，按政府采购相关规定执行。</w:t>
      </w:r>
    </w:p>
    <w:p w14:paraId="0D387192">
      <w:pPr>
        <w:pStyle w:val="30"/>
        <w:keepNext/>
        <w:keepLines/>
        <w:spacing w:before="145" w:beforeAutospacing="0" w:after="145" w:afterAutospacing="0" w:line="500" w:lineRule="exact"/>
        <w:ind w:firstLine="482"/>
        <w:jc w:val="both"/>
        <w:rPr>
          <w:rFonts w:ascii="宋体" w:hAnsi="宋体" w:cs="宋体"/>
          <w:color w:val="auto"/>
          <w:szCs w:val="24"/>
        </w:rPr>
      </w:pPr>
      <w:bookmarkStart w:id="137" w:name="_Toc120614219"/>
      <w:r>
        <w:rPr>
          <w:rFonts w:hint="eastAsia" w:ascii="宋体" w:hAnsi="宋体" w:cs="宋体"/>
          <w:b/>
          <w:color w:val="auto"/>
          <w:szCs w:val="24"/>
        </w:rPr>
        <w:t>六、定标</w:t>
      </w:r>
      <w:bookmarkEnd w:id="137"/>
    </w:p>
    <w:p w14:paraId="7F37278E">
      <w:pPr>
        <w:pStyle w:val="30"/>
        <w:keepNext/>
        <w:keepLines/>
        <w:spacing w:beforeAutospacing="0" w:afterAutospacing="0" w:line="500" w:lineRule="exact"/>
        <w:ind w:firstLine="480"/>
        <w:jc w:val="both"/>
        <w:rPr>
          <w:rFonts w:ascii="宋体" w:hAnsi="宋体" w:cs="宋体"/>
          <w:color w:val="auto"/>
          <w:szCs w:val="24"/>
        </w:rPr>
      </w:pPr>
      <w:bookmarkStart w:id="138" w:name="_Toc20823310"/>
      <w:bookmarkStart w:id="139" w:name="_Toc16938554"/>
      <w:bookmarkStart w:id="140" w:name="_Toc513029238"/>
      <w:r>
        <w:rPr>
          <w:rFonts w:hint="eastAsia" w:ascii="宋体" w:hAnsi="宋体" w:cs="宋体"/>
          <w:color w:val="auto"/>
          <w:szCs w:val="24"/>
        </w:rPr>
        <w:t>27、</w:t>
      </w:r>
      <w:bookmarkEnd w:id="138"/>
      <w:r>
        <w:rPr>
          <w:rFonts w:hint="eastAsia" w:ascii="宋体" w:hAnsi="宋体" w:cs="宋体"/>
          <w:color w:val="auto"/>
          <w:szCs w:val="24"/>
        </w:rPr>
        <w:t>确定</w:t>
      </w:r>
      <w:bookmarkEnd w:id="139"/>
      <w:bookmarkEnd w:id="140"/>
      <w:r>
        <w:rPr>
          <w:rFonts w:hint="eastAsia" w:ascii="宋体" w:hAnsi="宋体" w:cs="宋体"/>
          <w:color w:val="auto"/>
          <w:szCs w:val="24"/>
        </w:rPr>
        <w:t>中标单位</w:t>
      </w:r>
    </w:p>
    <w:p w14:paraId="0DBC3DC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 xml:space="preserve">27.1中标候选人的选取原则和数量见招标文件第五章规定。 </w:t>
      </w:r>
    </w:p>
    <w:p w14:paraId="32C0BC0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27.2 采购人应根据评委会推荐的中标候选人确定中标人。</w:t>
      </w:r>
    </w:p>
    <w:p w14:paraId="20E7798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27.3 采购中心将在“中国政府采购网、江苏政府采购网、盐城市政府采购网”发布中标公告，公告期限为1个工作日。</w:t>
      </w:r>
    </w:p>
    <w:p w14:paraId="0EF69CC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 若有充分证据证明，中标人出现下列情况之一的，一经查实，将被取消中标资格：</w:t>
      </w:r>
    </w:p>
    <w:p w14:paraId="654D08E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27.4.1提供虚假材料谋取中标的。</w:t>
      </w:r>
    </w:p>
    <w:p w14:paraId="17B2CED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27.4.2向采购人、采购中心行贿或者提供其他不正当利益的。</w:t>
      </w:r>
    </w:p>
    <w:p w14:paraId="0260835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27.4.3属于本文件规定的无效条件，但在评标过程中又未被评委会发现的。</w:t>
      </w:r>
    </w:p>
    <w:p w14:paraId="0A17ED8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27.4.4与采购人或者其他供应商恶意串通的。</w:t>
      </w:r>
    </w:p>
    <w:p w14:paraId="3C29A06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27.4.5采取不正当手段诋毁、排挤其他供应商的。</w:t>
      </w:r>
    </w:p>
    <w:p w14:paraId="095B13ED">
      <w:pPr>
        <w:pStyle w:val="30"/>
        <w:spacing w:beforeAutospacing="0" w:afterAutospacing="0" w:line="500" w:lineRule="exact"/>
        <w:ind w:firstLine="480"/>
        <w:jc w:val="both"/>
        <w:rPr>
          <w:rFonts w:ascii="宋体" w:hAnsi="宋体" w:cs="宋体"/>
          <w:color w:val="auto"/>
          <w:szCs w:val="24"/>
        </w:rPr>
      </w:pPr>
      <w:bookmarkStart w:id="141" w:name="_Toc200451960"/>
      <w:r>
        <w:rPr>
          <w:rFonts w:hint="eastAsia" w:ascii="宋体" w:hAnsi="宋体" w:cs="宋体"/>
          <w:color w:val="auto"/>
          <w:szCs w:val="24"/>
        </w:rPr>
        <w:t>27.5 有下列情形之一的，视为投标人串通投标，投标无效：</w:t>
      </w:r>
      <w:bookmarkEnd w:id="141"/>
    </w:p>
    <w:p w14:paraId="4ABEE83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27.5.1不同投标人的投标文件由同一单位或者个人编制；</w:t>
      </w:r>
    </w:p>
    <w:p w14:paraId="4B867BB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27.5.2不同投标人委托同一单位或者个人办理投标事宜；</w:t>
      </w:r>
    </w:p>
    <w:p w14:paraId="6CF5FE8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27.5.3 不同投标人的投标文件载明的项目管理成员或者联系人员为同一人；</w:t>
      </w:r>
    </w:p>
    <w:p w14:paraId="6B2CA9E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27.5.4不同投标人的投标文件异常一致或者投标报价呈规律性差异。</w:t>
      </w:r>
    </w:p>
    <w:p w14:paraId="24B1FE76">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28、质疑处理</w:t>
      </w:r>
    </w:p>
    <w:p w14:paraId="2B993B3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28.1 提出质疑的供应商应当是参与所质疑项目采购活动的供应商。潜在供应商依法获取其可质疑的采购文件的，可以对采购文件提出质疑。</w:t>
      </w:r>
    </w:p>
    <w:p w14:paraId="43D08C8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28.2 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A4CED8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28.2.1对可以质疑的采购文件提出质疑的，为收到采购文件之日或者采购文件公告期限届满之日；</w:t>
      </w:r>
    </w:p>
    <w:p w14:paraId="7B851ED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28.2.2对采购过程提出质疑的，为各采购程序环节结束之日；</w:t>
      </w:r>
    </w:p>
    <w:p w14:paraId="0935E53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28.2.3对中标或者成交结果提出质疑的，为中标或者成交结果公告期限届满之日。</w:t>
      </w:r>
    </w:p>
    <w:p w14:paraId="71DB991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供应商应当在法定质疑期内一次性提出针对同一采购程序环节的质疑。供应商如在法定期限内对同一采购程序环节提出多次质疑的，采购中心、采购人将只对供应商第一次质疑作出答复。</w:t>
      </w:r>
    </w:p>
    <w:p w14:paraId="7EE975F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28.3 质疑函必须按照本招标文件中《质疑函范本》要求的格式和内容进行填写。供应商如组成联合体参加投标，则《质疑函范本》中要求签字、盖章、加盖公章之处，联合体各方均须按要求签字、盖章、加盖公章。</w:t>
      </w:r>
    </w:p>
    <w:p w14:paraId="7E731EE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B44DDD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集中采购中心及采购人只接收以纸质原件形式送达的质疑,建议供应商尽量通过邮寄方式提交质疑（采购人和集中采购中心不接受未填写快递运单的快件）。</w:t>
      </w:r>
    </w:p>
    <w:p w14:paraId="42D0AD9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集中采购中心质疑接收部门为政府集中采购科（快递运单上的收件人填写“政府集中采购科”即可），联系地址：盐城市射阳县幸福大道16号（射阳县市民中心），联系电话：0515-82391711。</w:t>
      </w:r>
    </w:p>
    <w:p w14:paraId="50E42935">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采购人质疑接收人及联系方式见招标文件第一章。</w:t>
      </w:r>
    </w:p>
    <w:p w14:paraId="3687CB4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 以下情形的质疑不予受理</w:t>
      </w:r>
    </w:p>
    <w:p w14:paraId="1E691AF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28.5.1 内容不符合《政府采购质疑和投诉办法》第十二条规定的质疑。</w:t>
      </w:r>
    </w:p>
    <w:p w14:paraId="4E484F7C">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28.5.2 超出政府采购法定期限的质疑。</w:t>
      </w:r>
    </w:p>
    <w:p w14:paraId="7AD2194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28.5.3 以传真、电子邮件等方式递交的非原件形式的质疑。</w:t>
      </w:r>
    </w:p>
    <w:p w14:paraId="3972806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28.5.4 未参加投标活动的供应商或在投标活动中自身权益未受到损害的供应商所提出的质疑。</w:t>
      </w:r>
    </w:p>
    <w:p w14:paraId="7C02B95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28.5.5供应商组成联合体参加投标，联合体中任何一方或多方未按要求签字、盖章、加盖公章的质疑。</w:t>
      </w:r>
    </w:p>
    <w:p w14:paraId="6FB5BC10">
      <w:pPr>
        <w:pStyle w:val="30"/>
        <w:spacing w:beforeAutospacing="0" w:afterAutospacing="0" w:line="500" w:lineRule="exact"/>
        <w:ind w:firstLine="468"/>
        <w:jc w:val="both"/>
        <w:rPr>
          <w:rFonts w:ascii="宋体" w:hAnsi="宋体" w:cs="宋体"/>
          <w:color w:val="auto"/>
          <w:szCs w:val="24"/>
        </w:rPr>
      </w:pPr>
      <w:r>
        <w:rPr>
          <w:rFonts w:hint="eastAsia" w:ascii="宋体" w:hAnsi="宋体" w:cs="宋体"/>
          <w:color w:val="auto"/>
          <w:szCs w:val="24"/>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26A779A0">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29、中标通知书</w:t>
      </w:r>
    </w:p>
    <w:p w14:paraId="360491C4">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0E39492">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29.2 中标通知书将是合同的一个组成部分。对采购人和中标供应商均具有法律效力。中标通知书发出后，采购人改变中标结果的，或者中标供应商放弃中标项目的，应当依法承担法律责任。</w:t>
      </w:r>
    </w:p>
    <w:p w14:paraId="6774449B">
      <w:pPr>
        <w:pStyle w:val="30"/>
        <w:keepNext/>
        <w:keepLines/>
        <w:spacing w:before="145" w:beforeAutospacing="0" w:after="145" w:afterAutospacing="0" w:line="500" w:lineRule="exact"/>
        <w:ind w:firstLine="482"/>
        <w:jc w:val="both"/>
        <w:rPr>
          <w:rFonts w:ascii="宋体" w:hAnsi="宋体" w:cs="宋体"/>
          <w:color w:val="auto"/>
          <w:szCs w:val="24"/>
        </w:rPr>
      </w:pPr>
      <w:bookmarkStart w:id="142" w:name="_Toc20823308"/>
      <w:bookmarkStart w:id="143" w:name="_Toc16938552"/>
      <w:bookmarkStart w:id="144" w:name="_Toc513029236"/>
      <w:bookmarkStart w:id="145" w:name="_Toc120614220"/>
      <w:r>
        <w:rPr>
          <w:rFonts w:hint="eastAsia" w:ascii="宋体" w:hAnsi="宋体" w:cs="宋体"/>
          <w:b/>
          <w:color w:val="auto"/>
          <w:szCs w:val="24"/>
        </w:rPr>
        <w:t>七、授予合同</w:t>
      </w:r>
      <w:bookmarkEnd w:id="142"/>
      <w:bookmarkEnd w:id="143"/>
      <w:bookmarkEnd w:id="144"/>
      <w:bookmarkEnd w:id="145"/>
    </w:p>
    <w:p w14:paraId="235C27AE">
      <w:pPr>
        <w:pStyle w:val="30"/>
        <w:keepNext/>
        <w:keepLines/>
        <w:spacing w:beforeAutospacing="0" w:afterAutospacing="0" w:line="500" w:lineRule="exact"/>
        <w:ind w:firstLine="480"/>
        <w:jc w:val="both"/>
        <w:rPr>
          <w:rFonts w:ascii="宋体" w:hAnsi="宋体" w:cs="宋体"/>
          <w:color w:val="auto"/>
          <w:szCs w:val="24"/>
        </w:rPr>
      </w:pPr>
      <w:bookmarkStart w:id="146" w:name="_Toc16938553"/>
      <w:bookmarkStart w:id="147" w:name="_Toc513029237"/>
      <w:bookmarkStart w:id="148" w:name="_Toc20823309"/>
      <w:r>
        <w:rPr>
          <w:rFonts w:hint="eastAsia" w:ascii="宋体" w:hAnsi="宋体" w:cs="宋体"/>
          <w:color w:val="auto"/>
          <w:szCs w:val="24"/>
        </w:rPr>
        <w:t>30、签订合同</w:t>
      </w:r>
      <w:bookmarkEnd w:id="146"/>
      <w:bookmarkEnd w:id="147"/>
      <w:bookmarkEnd w:id="148"/>
    </w:p>
    <w:p w14:paraId="151DC0E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30.l中标人应当在中标通知书发出之日起三十日内（原则上在15日内签订合同），按照招标文件确定的事项与采购人签订政府采购合同。</w:t>
      </w:r>
    </w:p>
    <w:p w14:paraId="5BF72CD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30.2招标文件、中标人的投标文件及招标过程中有关澄清、承诺文件均应作为合同附件。</w:t>
      </w:r>
    </w:p>
    <w:p w14:paraId="4DE0BEB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30.3 签订合同后，</w:t>
      </w:r>
      <w:r>
        <w:rPr>
          <w:rFonts w:hint="eastAsia" w:ascii="宋体" w:hAnsi="宋体" w:cs="宋体"/>
          <w:i/>
          <w:color w:val="auto"/>
          <w:szCs w:val="24"/>
          <w:u w:val="single"/>
        </w:rPr>
        <w:t>中标人不得将合同标的进行转包</w:t>
      </w:r>
      <w:r>
        <w:rPr>
          <w:rFonts w:hint="eastAsia" w:ascii="宋体" w:hAnsi="宋体" w:cs="宋体"/>
          <w:color w:val="auto"/>
          <w:szCs w:val="24"/>
        </w:rPr>
        <w:t>。未经采购人同意，中标人也不得采用分包的形式履行合同，否则采购人有权终止合同。转包或分包造成采购人损失的，中标人应承担相应赔偿责任。</w:t>
      </w:r>
    </w:p>
    <w:p w14:paraId="23FE082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30.4政府采购合同签订之日起2个工作日内，将政府采购合同在省级以上人民政府财政部门指定的媒体上公告，但政府采购合同中涉及国家秘密、商业秘密的内容除外。</w:t>
      </w:r>
    </w:p>
    <w:p w14:paraId="145D1ECF">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31、服务（包含与服务相关的货物）的追加</w:t>
      </w:r>
    </w:p>
    <w:p w14:paraId="6BD0500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31.1</w:t>
      </w:r>
      <w:r>
        <w:rPr>
          <w:rFonts w:hint="eastAsia" w:ascii="宋体" w:hAnsi="宋体" w:cs="宋体"/>
          <w:color w:val="auto"/>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25D72E0">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32、政府采购履约资金扶持政策</w:t>
      </w:r>
    </w:p>
    <w:p w14:paraId="7EFF2DA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776AC215">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33、履约保证金</w:t>
      </w:r>
    </w:p>
    <w:p w14:paraId="0CF2ABD5">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33.1中标人在签订合同时交纳不超过中标额5%的履约保证金到招标人指定账户，根据合同履行情况，中标单位在履约期内无违约行为的，招标人在验收合格后15日内全额退还履约保证金，不计利息。 投标人自主选择以支票、汇票、本票、保函等非现金形式缴纳或提交。</w:t>
      </w:r>
    </w:p>
    <w:p w14:paraId="4B70750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33.2招标人对第三方信用服务机构依据标准规范评定为AA级及以上的政府采购供应商（需在签订采购合同前提供信用管理部门备案的第三方信用报告，且信用报告通过“信用盐城网”可查实），履约保证金缴纳比例为中标额3%。依据《关于在全省政府采购领域推行电子履约保函（保险）的通知》，鼓励供应商自愿使用履约保函（保险）代替缴纳履约保证金）。具体操作流程请按射财库【2021】17号文和射财库【2021】20号文执行。</w:t>
      </w:r>
    </w:p>
    <w:p w14:paraId="60911C28">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34、招标项目需满足的政府采购政策目标和具体支持对象</w:t>
      </w:r>
    </w:p>
    <w:p w14:paraId="4968DC1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7ED74F51">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44D0962B">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51D8A04D">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617AC1DA">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 xml:space="preserve">34.5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2346BB40">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34.6政府采购落实“政采贷”政策，依据《关于深入推进政府采购线上合同信用融资工作的通知》（苏财购﹝2021﹞82号）。</w:t>
      </w:r>
    </w:p>
    <w:p w14:paraId="217BA765">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786E7057">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34.8政府采购落实（苏财购﹝2022﹞51号）。</w:t>
      </w:r>
    </w:p>
    <w:p w14:paraId="6258943F">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34.9政府采购落实《关于进一步优化政府采购营商环境的通知》（射财库﹝2023﹞23号）。</w:t>
      </w:r>
    </w:p>
    <w:p w14:paraId="6BB47218">
      <w:pPr>
        <w:pStyle w:val="30"/>
        <w:keepNext/>
        <w:keepLines/>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35、踏勘</w:t>
      </w:r>
    </w:p>
    <w:p w14:paraId="39469B1E">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61B5C9E3">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35.2招标人在踏勘现场中介绍的项目情况，投标人在编制投标文件时参考，招标人不对投标人据此作出的判断和决策负责。</w:t>
      </w:r>
    </w:p>
    <w:p w14:paraId="10C45B26">
      <w:pPr>
        <w:pStyle w:val="30"/>
        <w:spacing w:beforeAutospacing="0" w:afterAutospacing="0" w:line="500" w:lineRule="exact"/>
        <w:ind w:firstLine="480"/>
        <w:jc w:val="both"/>
        <w:rPr>
          <w:rFonts w:ascii="宋体" w:hAnsi="宋体" w:cs="宋体"/>
          <w:color w:val="auto"/>
          <w:szCs w:val="24"/>
        </w:rPr>
      </w:pPr>
      <w:r>
        <w:rPr>
          <w:rFonts w:hint="eastAsia" w:ascii="宋体" w:hAnsi="宋体" w:cs="宋体"/>
          <w:color w:val="auto"/>
          <w:szCs w:val="24"/>
        </w:rPr>
        <w:t>35.3投标人承担踏勘现场所发生的自身费用。</w:t>
      </w:r>
    </w:p>
    <w:p w14:paraId="6B29B501">
      <w:pPr>
        <w:pStyle w:val="30"/>
        <w:spacing w:beforeAutospacing="0" w:afterAutospacing="0" w:line="500" w:lineRule="exact"/>
        <w:ind w:firstLine="480"/>
        <w:jc w:val="both"/>
        <w:rPr>
          <w:rFonts w:ascii="宋体" w:hAnsi="宋体" w:cs="宋体"/>
          <w:color w:val="auto"/>
          <w:szCs w:val="24"/>
        </w:rPr>
      </w:pPr>
    </w:p>
    <w:p w14:paraId="4C1E6C1C">
      <w:pPr>
        <w:pStyle w:val="30"/>
        <w:spacing w:beforeAutospacing="0" w:afterAutospacing="0" w:line="500" w:lineRule="exact"/>
        <w:ind w:firstLine="480"/>
        <w:jc w:val="both"/>
        <w:rPr>
          <w:rFonts w:ascii="宋体" w:hAnsi="宋体" w:cs="宋体"/>
          <w:color w:val="auto"/>
          <w:szCs w:val="24"/>
        </w:rPr>
      </w:pPr>
    </w:p>
    <w:p w14:paraId="1625E83F">
      <w:pPr>
        <w:pStyle w:val="30"/>
        <w:spacing w:beforeAutospacing="0" w:afterAutospacing="0" w:line="500" w:lineRule="exact"/>
        <w:ind w:firstLine="480"/>
        <w:jc w:val="both"/>
        <w:rPr>
          <w:rFonts w:ascii="宋体" w:hAnsi="宋体" w:cs="宋体"/>
          <w:color w:val="auto"/>
          <w:szCs w:val="24"/>
        </w:rPr>
      </w:pPr>
    </w:p>
    <w:p w14:paraId="5ECF6517">
      <w:pPr>
        <w:pStyle w:val="30"/>
        <w:spacing w:beforeAutospacing="0" w:afterAutospacing="0" w:line="500" w:lineRule="exact"/>
        <w:ind w:firstLine="480"/>
        <w:jc w:val="both"/>
        <w:rPr>
          <w:rFonts w:ascii="宋体" w:hAnsi="宋体" w:cs="宋体"/>
          <w:color w:val="auto"/>
          <w:szCs w:val="24"/>
        </w:rPr>
      </w:pPr>
    </w:p>
    <w:p w14:paraId="7CF5839A">
      <w:pPr>
        <w:pStyle w:val="30"/>
        <w:spacing w:beforeAutospacing="0" w:afterAutospacing="0" w:line="500" w:lineRule="exact"/>
        <w:ind w:firstLine="480"/>
        <w:jc w:val="both"/>
        <w:rPr>
          <w:rFonts w:ascii="宋体" w:hAnsi="宋体" w:cs="宋体"/>
          <w:color w:val="auto"/>
          <w:szCs w:val="24"/>
        </w:rPr>
      </w:pPr>
    </w:p>
    <w:p w14:paraId="6E29977C">
      <w:pPr>
        <w:pStyle w:val="30"/>
        <w:spacing w:beforeAutospacing="0" w:afterAutospacing="0" w:line="500" w:lineRule="exact"/>
        <w:ind w:firstLine="480"/>
        <w:jc w:val="both"/>
        <w:rPr>
          <w:rFonts w:ascii="宋体" w:hAnsi="宋体" w:cs="宋体"/>
          <w:color w:val="auto"/>
          <w:szCs w:val="24"/>
        </w:rPr>
      </w:pPr>
    </w:p>
    <w:p w14:paraId="77820554">
      <w:pPr>
        <w:pStyle w:val="30"/>
        <w:spacing w:beforeAutospacing="0" w:afterAutospacing="0" w:line="500" w:lineRule="exact"/>
        <w:ind w:firstLine="480"/>
        <w:jc w:val="both"/>
        <w:rPr>
          <w:rFonts w:ascii="宋体" w:hAnsi="宋体" w:cs="宋体"/>
          <w:color w:val="auto"/>
          <w:szCs w:val="24"/>
        </w:rPr>
      </w:pPr>
    </w:p>
    <w:p w14:paraId="1575CE76">
      <w:pPr>
        <w:pStyle w:val="30"/>
        <w:spacing w:beforeAutospacing="0" w:afterAutospacing="0" w:line="500" w:lineRule="exact"/>
        <w:ind w:firstLine="480"/>
        <w:jc w:val="both"/>
        <w:rPr>
          <w:rFonts w:ascii="宋体" w:hAnsi="宋体" w:cs="宋体"/>
          <w:color w:val="auto"/>
          <w:szCs w:val="24"/>
        </w:rPr>
      </w:pPr>
    </w:p>
    <w:p w14:paraId="66320B6D">
      <w:pPr>
        <w:pStyle w:val="30"/>
        <w:spacing w:beforeAutospacing="0" w:afterAutospacing="0" w:line="500" w:lineRule="exact"/>
        <w:ind w:firstLine="480"/>
        <w:jc w:val="both"/>
        <w:rPr>
          <w:rFonts w:ascii="宋体" w:hAnsi="宋体" w:cs="宋体"/>
          <w:color w:val="auto"/>
          <w:szCs w:val="24"/>
        </w:rPr>
      </w:pPr>
    </w:p>
    <w:p w14:paraId="55BB483A">
      <w:pPr>
        <w:pStyle w:val="30"/>
        <w:spacing w:beforeAutospacing="0" w:afterAutospacing="0" w:line="500" w:lineRule="exact"/>
        <w:ind w:firstLine="480"/>
        <w:jc w:val="both"/>
        <w:rPr>
          <w:rFonts w:ascii="宋体" w:hAnsi="宋体" w:cs="宋体"/>
          <w:color w:val="auto"/>
          <w:szCs w:val="24"/>
        </w:rPr>
      </w:pPr>
    </w:p>
    <w:p w14:paraId="3CF0F309">
      <w:pPr>
        <w:keepNext/>
        <w:keepLines/>
        <w:spacing w:before="260" w:after="260" w:line="416" w:lineRule="auto"/>
        <w:ind w:firstLine="2429"/>
        <w:outlineLvl w:val="1"/>
        <w:rPr>
          <w:rFonts w:ascii="黑体" w:hAnsi="Arial" w:eastAsia="黑体" w:cs="Arial"/>
          <w:b/>
          <w:bCs/>
          <w:color w:val="auto"/>
          <w:sz w:val="44"/>
          <w:szCs w:val="44"/>
        </w:rPr>
      </w:pPr>
      <w:r>
        <w:rPr>
          <w:rFonts w:hint="eastAsia" w:ascii="黑体" w:hAnsi="Arial" w:eastAsia="黑体" w:cs="Arial"/>
          <w:b/>
          <w:bCs/>
          <w:color w:val="auto"/>
          <w:sz w:val="44"/>
          <w:szCs w:val="44"/>
        </w:rPr>
        <w:t>第三章  合同</w:t>
      </w:r>
      <w:bookmarkEnd w:id="40"/>
      <w:bookmarkEnd w:id="41"/>
      <w:bookmarkEnd w:id="42"/>
      <w:bookmarkEnd w:id="43"/>
      <w:bookmarkEnd w:id="44"/>
      <w:r>
        <w:rPr>
          <w:rFonts w:hint="eastAsia" w:ascii="黑体" w:hAnsi="Arial" w:eastAsia="黑体" w:cs="Arial"/>
          <w:b/>
          <w:bCs/>
          <w:color w:val="auto"/>
          <w:sz w:val="44"/>
          <w:szCs w:val="44"/>
        </w:rPr>
        <w:t>文本</w:t>
      </w:r>
    </w:p>
    <w:p w14:paraId="7F4F8A9C">
      <w:pPr>
        <w:jc w:val="center"/>
        <w:rPr>
          <w:b/>
          <w:color w:val="auto"/>
          <w:sz w:val="30"/>
          <w:szCs w:val="30"/>
        </w:rPr>
      </w:pPr>
    </w:p>
    <w:p w14:paraId="22A82D06">
      <w:pPr>
        <w:jc w:val="center"/>
        <w:rPr>
          <w:color w:val="auto"/>
        </w:rPr>
      </w:pPr>
      <w:r>
        <w:rPr>
          <w:rFonts w:hint="eastAsia"/>
          <w:b/>
          <w:color w:val="auto"/>
          <w:sz w:val="30"/>
          <w:szCs w:val="30"/>
        </w:rPr>
        <w:t>盐城市政府采购合同（服务）</w:t>
      </w:r>
    </w:p>
    <w:p w14:paraId="01E4E2B4">
      <w:pPr>
        <w:rPr>
          <w:color w:val="auto"/>
        </w:rPr>
      </w:pPr>
    </w:p>
    <w:p w14:paraId="517CACEF">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项目名称：</w:t>
      </w:r>
    </w:p>
    <w:p w14:paraId="35721FB3">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项目编号：</w:t>
      </w:r>
    </w:p>
    <w:p w14:paraId="2C8BAC22">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甲方：（买方）_________</w:t>
      </w:r>
    </w:p>
    <w:p w14:paraId="2346C85A">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乙方（牵头单位）：（卖方）_________</w:t>
      </w:r>
    </w:p>
    <w:p w14:paraId="1F18893A">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乙方（联合体成员）：（卖方）_________</w:t>
      </w:r>
    </w:p>
    <w:p w14:paraId="219450D6">
      <w:pPr>
        <w:pStyle w:val="9"/>
        <w:spacing w:before="120" w:beforeAutospacing="0" w:after="120" w:afterAutospacing="0" w:line="360" w:lineRule="auto"/>
        <w:jc w:val="both"/>
        <w:rPr>
          <w:color w:val="auto"/>
        </w:rPr>
      </w:pPr>
      <w:r>
        <w:rPr>
          <w:rFonts w:hint="eastAsia" w:ascii="宋体" w:hAnsi="宋体" w:cs="宋体"/>
          <w:color w:val="auto"/>
        </w:rPr>
        <w:t>   甲、乙双方根据   </w:t>
      </w:r>
      <w:r>
        <w:rPr>
          <w:rFonts w:hint="eastAsia" w:ascii="宋体" w:hAnsi="宋体" w:cs="宋体"/>
          <w:color w:val="auto"/>
          <w:u w:val="single"/>
        </w:rPr>
        <w:t xml:space="preserve">      </w:t>
      </w:r>
      <w:r>
        <w:rPr>
          <w:rFonts w:hint="eastAsia" w:ascii="宋体" w:hAnsi="宋体" w:cs="宋体"/>
          <w:color w:val="auto"/>
        </w:rPr>
        <w:t>项目公开招标的结果，签署本合同。</w:t>
      </w:r>
    </w:p>
    <w:p w14:paraId="2B2C2248">
      <w:pPr>
        <w:pStyle w:val="9"/>
        <w:spacing w:before="120" w:beforeAutospacing="0" w:after="120" w:afterAutospacing="0" w:line="360" w:lineRule="auto"/>
        <w:jc w:val="both"/>
        <w:rPr>
          <w:color w:val="auto"/>
        </w:rPr>
      </w:pPr>
      <w:r>
        <w:rPr>
          <w:rFonts w:hint="eastAsia" w:ascii="宋体" w:hAnsi="宋体" w:cs="宋体"/>
          <w:b/>
          <w:color w:val="auto"/>
        </w:rPr>
        <w:t>一、合同内容</w:t>
      </w:r>
    </w:p>
    <w:p w14:paraId="18C368B8">
      <w:pPr>
        <w:pStyle w:val="9"/>
        <w:spacing w:before="120" w:beforeAutospacing="0" w:after="120" w:afterAutospacing="0" w:line="360" w:lineRule="auto"/>
        <w:jc w:val="both"/>
        <w:rPr>
          <w:color w:val="auto"/>
        </w:rPr>
      </w:pPr>
      <w:r>
        <w:rPr>
          <w:rFonts w:hint="eastAsia" w:ascii="宋体" w:hAnsi="宋体" w:cs="宋体"/>
          <w:color w:val="auto"/>
        </w:rPr>
        <w:t>1.1 标的名称：</w:t>
      </w:r>
    </w:p>
    <w:p w14:paraId="2A3D1AF2">
      <w:pPr>
        <w:pStyle w:val="9"/>
        <w:spacing w:before="120" w:beforeAutospacing="0" w:after="120" w:afterAutospacing="0" w:line="360" w:lineRule="auto"/>
        <w:jc w:val="both"/>
        <w:rPr>
          <w:color w:val="auto"/>
        </w:rPr>
      </w:pPr>
      <w:r>
        <w:rPr>
          <w:rFonts w:hint="eastAsia" w:ascii="宋体" w:hAnsi="宋体" w:cs="宋体"/>
          <w:color w:val="auto"/>
        </w:rPr>
        <w:t>1.2标的质量：</w:t>
      </w:r>
    </w:p>
    <w:p w14:paraId="185067A6">
      <w:pPr>
        <w:pStyle w:val="9"/>
        <w:spacing w:before="120" w:beforeAutospacing="0" w:after="120" w:afterAutospacing="0" w:line="360" w:lineRule="auto"/>
        <w:jc w:val="both"/>
        <w:rPr>
          <w:color w:val="auto"/>
        </w:rPr>
      </w:pPr>
      <w:r>
        <w:rPr>
          <w:rFonts w:hint="eastAsia" w:ascii="宋体" w:hAnsi="宋体" w:cs="宋体"/>
          <w:color w:val="auto"/>
        </w:rPr>
        <w:t>1.3 标的数量（规模）：</w:t>
      </w:r>
    </w:p>
    <w:p w14:paraId="6C814547">
      <w:pPr>
        <w:pStyle w:val="9"/>
        <w:spacing w:before="120" w:beforeAutospacing="0" w:after="120" w:afterAutospacing="0" w:line="360" w:lineRule="auto"/>
        <w:jc w:val="both"/>
        <w:rPr>
          <w:color w:val="auto"/>
        </w:rPr>
      </w:pPr>
      <w:r>
        <w:rPr>
          <w:rFonts w:hint="eastAsia" w:ascii="宋体" w:hAnsi="宋体" w:cs="宋体"/>
          <w:color w:val="auto"/>
        </w:rPr>
        <w:t>1.4 履行时间（期限）：</w:t>
      </w:r>
    </w:p>
    <w:p w14:paraId="37D4CE18">
      <w:pPr>
        <w:pStyle w:val="9"/>
        <w:spacing w:before="120" w:beforeAutospacing="0" w:after="120" w:afterAutospacing="0" w:line="360" w:lineRule="auto"/>
        <w:jc w:val="both"/>
        <w:rPr>
          <w:color w:val="auto"/>
        </w:rPr>
      </w:pPr>
      <w:r>
        <w:rPr>
          <w:rFonts w:hint="eastAsia" w:ascii="宋体" w:hAnsi="宋体" w:cs="宋体"/>
          <w:color w:val="auto"/>
        </w:rPr>
        <w:t>1.5 履行地点：</w:t>
      </w:r>
    </w:p>
    <w:p w14:paraId="3502CE5B">
      <w:pPr>
        <w:pStyle w:val="9"/>
        <w:spacing w:before="120" w:beforeAutospacing="0" w:after="120" w:afterAutospacing="0" w:line="360" w:lineRule="auto"/>
        <w:jc w:val="both"/>
        <w:rPr>
          <w:color w:val="auto"/>
        </w:rPr>
      </w:pPr>
      <w:r>
        <w:rPr>
          <w:rFonts w:hint="eastAsia" w:ascii="宋体" w:hAnsi="宋体" w:cs="宋体"/>
          <w:color w:val="auto"/>
        </w:rPr>
        <w:t>1.6履行方式：</w:t>
      </w:r>
    </w:p>
    <w:p w14:paraId="2A400FAD">
      <w:pPr>
        <w:pStyle w:val="9"/>
        <w:spacing w:before="120" w:beforeAutospacing="0" w:after="120" w:afterAutospacing="0" w:line="360" w:lineRule="auto"/>
        <w:jc w:val="both"/>
        <w:rPr>
          <w:color w:val="auto"/>
        </w:rPr>
      </w:pPr>
      <w:r>
        <w:rPr>
          <w:rFonts w:hint="eastAsia" w:ascii="宋体" w:hAnsi="宋体" w:cs="宋体"/>
          <w:b/>
          <w:color w:val="auto"/>
        </w:rPr>
        <w:t>二、合同金额</w:t>
      </w:r>
    </w:p>
    <w:p w14:paraId="4B891D59">
      <w:pPr>
        <w:pStyle w:val="9"/>
        <w:spacing w:before="120" w:beforeAutospacing="0" w:after="120" w:afterAutospacing="0" w:line="360" w:lineRule="auto"/>
        <w:ind w:left="410" w:hanging="410"/>
        <w:rPr>
          <w:color w:val="auto"/>
        </w:rPr>
      </w:pPr>
      <w:r>
        <w:rPr>
          <w:rFonts w:hint="eastAsia" w:ascii="宋体" w:hAnsi="宋体" w:cs="宋体"/>
          <w:color w:val="auto"/>
        </w:rPr>
        <w:t>2.1本合同金额为（大写）：___________________________（__________元）人民币。</w:t>
      </w:r>
    </w:p>
    <w:p w14:paraId="77FFBB84">
      <w:pPr>
        <w:pStyle w:val="9"/>
        <w:spacing w:before="120" w:beforeAutospacing="0" w:after="120" w:afterAutospacing="0" w:line="360" w:lineRule="auto"/>
        <w:jc w:val="both"/>
        <w:rPr>
          <w:color w:val="auto"/>
        </w:rPr>
      </w:pPr>
      <w:r>
        <w:rPr>
          <w:rFonts w:hint="eastAsia" w:ascii="宋体" w:hAnsi="宋体" w:cs="宋体"/>
          <w:b/>
          <w:color w:val="auto"/>
        </w:rPr>
        <w:t>三、技术资料</w:t>
      </w:r>
    </w:p>
    <w:p w14:paraId="0DA6CB04">
      <w:pPr>
        <w:pStyle w:val="9"/>
        <w:spacing w:before="120" w:beforeAutospacing="0" w:after="120" w:afterAutospacing="0" w:line="360" w:lineRule="auto"/>
        <w:ind w:left="410" w:hanging="410"/>
        <w:jc w:val="both"/>
        <w:rPr>
          <w:color w:val="auto"/>
        </w:rPr>
      </w:pPr>
      <w:r>
        <w:rPr>
          <w:rFonts w:hint="eastAsia" w:ascii="宋体" w:hAnsi="宋体" w:cs="宋体"/>
          <w:color w:val="auto"/>
        </w:rPr>
        <w:t>3.1乙方应按招标文件规定的时间向甲方提供服务（包含与服务相关的货物）的有关技术资料。</w:t>
      </w:r>
    </w:p>
    <w:p w14:paraId="0695D3DC">
      <w:pPr>
        <w:pStyle w:val="9"/>
        <w:spacing w:before="120" w:beforeAutospacing="0" w:after="120" w:afterAutospacing="0" w:line="360" w:lineRule="auto"/>
        <w:ind w:left="410" w:hanging="410"/>
        <w:jc w:val="both"/>
        <w:rPr>
          <w:color w:val="auto"/>
        </w:rPr>
      </w:pPr>
      <w:r>
        <w:rPr>
          <w:rFonts w:hint="eastAsia" w:ascii="宋体" w:hAnsi="宋体" w:cs="宋体"/>
          <w:color w:va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789BD8">
      <w:pPr>
        <w:pStyle w:val="9"/>
        <w:spacing w:before="120" w:beforeAutospacing="0" w:after="120" w:afterAutospacing="0" w:line="360" w:lineRule="auto"/>
        <w:ind w:left="412" w:hanging="412"/>
        <w:jc w:val="both"/>
        <w:rPr>
          <w:color w:val="auto"/>
        </w:rPr>
      </w:pPr>
      <w:r>
        <w:rPr>
          <w:rFonts w:hint="eastAsia" w:ascii="宋体" w:hAnsi="宋体" w:cs="宋体"/>
          <w:b/>
          <w:color w:val="auto"/>
        </w:rPr>
        <w:t>四、知识产权</w:t>
      </w:r>
    </w:p>
    <w:p w14:paraId="13341960">
      <w:pPr>
        <w:pStyle w:val="9"/>
        <w:spacing w:before="120" w:beforeAutospacing="0" w:after="120" w:afterAutospacing="0" w:line="360" w:lineRule="auto"/>
        <w:ind w:left="408" w:hanging="408"/>
        <w:jc w:val="both"/>
        <w:rPr>
          <w:color w:val="auto"/>
        </w:rPr>
      </w:pPr>
      <w:r>
        <w:rPr>
          <w:rFonts w:hint="eastAsia" w:ascii="宋体" w:hAnsi="宋体" w:cs="宋体"/>
          <w:color w:val="auto"/>
        </w:rPr>
        <w:t>4.1乙方应保证甲方在使用、接受本合同服务（包含与服务相关的货物）或其任何一部分时不受第三方提出侵犯其专利权、版权、商标权和工业设计权等知识产权的起诉。一旦出现侵权，由乙方负全部责任。</w:t>
      </w:r>
    </w:p>
    <w:p w14:paraId="0AC184F1">
      <w:pPr>
        <w:pStyle w:val="9"/>
        <w:spacing w:before="120" w:beforeAutospacing="0" w:after="120" w:afterAutospacing="0" w:line="360" w:lineRule="auto"/>
        <w:jc w:val="both"/>
        <w:rPr>
          <w:color w:val="auto"/>
        </w:rPr>
      </w:pPr>
      <w:r>
        <w:rPr>
          <w:rFonts w:hint="eastAsia" w:ascii="宋体" w:hAnsi="宋体" w:cs="宋体"/>
          <w:b/>
          <w:color w:val="auto"/>
        </w:rPr>
        <w:t>五、产权担保</w:t>
      </w:r>
    </w:p>
    <w:p w14:paraId="342023ED">
      <w:pPr>
        <w:pStyle w:val="9"/>
        <w:spacing w:before="120" w:beforeAutospacing="0" w:after="120" w:afterAutospacing="0" w:line="360" w:lineRule="auto"/>
        <w:ind w:left="408" w:hanging="408"/>
        <w:jc w:val="both"/>
        <w:rPr>
          <w:color w:val="auto"/>
        </w:rPr>
      </w:pPr>
      <w:r>
        <w:rPr>
          <w:rFonts w:hint="eastAsia" w:ascii="宋体" w:hAnsi="宋体" w:cs="宋体"/>
          <w:color w:val="auto"/>
        </w:rPr>
        <w:t>5.1乙方保证所交付的服务（包含与服务相关的货物）的所有权完全属于乙方且无任何抵押、查封等产权瑕疵。本项目所有数据资产为射阳县中医院所有。</w:t>
      </w:r>
    </w:p>
    <w:p w14:paraId="59C57E80">
      <w:pPr>
        <w:pStyle w:val="9"/>
        <w:spacing w:before="120" w:beforeAutospacing="0" w:after="120" w:afterAutospacing="0" w:line="360" w:lineRule="auto"/>
        <w:ind w:left="410" w:hanging="410"/>
        <w:jc w:val="both"/>
        <w:rPr>
          <w:color w:val="auto"/>
        </w:rPr>
      </w:pPr>
      <w:r>
        <w:rPr>
          <w:rFonts w:hint="eastAsia" w:ascii="宋体" w:hAnsi="宋体" w:cs="宋体"/>
          <w:b/>
          <w:color w:val="auto"/>
        </w:rPr>
        <w:t>六、履约保证金</w:t>
      </w:r>
    </w:p>
    <w:p w14:paraId="4A10E5CD">
      <w:pPr>
        <w:pStyle w:val="9"/>
        <w:spacing w:before="120" w:beforeAutospacing="0" w:after="120" w:afterAutospacing="0" w:line="360" w:lineRule="auto"/>
        <w:jc w:val="both"/>
        <w:rPr>
          <w:rFonts w:hint="default" w:ascii="宋体" w:hAnsi="宋体" w:cs="宋体"/>
          <w:color w:val="auto"/>
          <w:lang w:val="en-US" w:eastAsia="zh-CN"/>
        </w:rPr>
      </w:pPr>
      <w:r>
        <w:rPr>
          <w:rFonts w:hint="eastAsia" w:ascii="宋体" w:hAnsi="宋体" w:cs="宋体"/>
          <w:color w:val="auto"/>
        </w:rPr>
        <w:t>6.1乙方交纳人民币_________元作为本合同的履约保证金</w:t>
      </w:r>
      <w:r>
        <w:rPr>
          <w:rFonts w:hint="eastAsia" w:ascii="宋体" w:hAnsi="宋体" w:cs="宋体"/>
          <w:color w:val="auto"/>
          <w:lang w:eastAsia="zh-CN"/>
        </w:rPr>
        <w:t>，（备注：履约保证金为</w:t>
      </w:r>
      <w:r>
        <w:rPr>
          <w:rFonts w:hint="eastAsia" w:ascii="宋体" w:hAnsi="宋体" w:cs="宋体"/>
          <w:color w:val="auto"/>
          <w:lang w:val="en-US" w:eastAsia="zh-CN"/>
        </w:rPr>
        <w:t>不超过</w:t>
      </w:r>
      <w:r>
        <w:rPr>
          <w:rFonts w:hint="eastAsia" w:ascii="宋体" w:hAnsi="宋体" w:cs="宋体"/>
          <w:color w:val="auto"/>
          <w:lang w:eastAsia="zh-CN"/>
        </w:rPr>
        <w:t>合同金额的</w:t>
      </w:r>
      <w:r>
        <w:rPr>
          <w:rFonts w:hint="eastAsia" w:ascii="宋体" w:hAnsi="宋体" w:cs="宋体"/>
          <w:color w:val="auto"/>
          <w:lang w:val="en-US" w:eastAsia="zh-CN"/>
        </w:rPr>
        <w:t>10</w:t>
      </w:r>
      <w:r>
        <w:rPr>
          <w:rFonts w:hint="eastAsia" w:ascii="宋体" w:hAnsi="宋体" w:cs="宋体"/>
          <w:color w:val="auto"/>
          <w:lang w:eastAsia="zh-CN"/>
        </w:rPr>
        <w:t>%，采购人应当对AA评级及以上政府采购供应商（需提供信用管理部门备案的第三方信用报告）免收履约保证金或降低履约保证金缴纳比例。</w:t>
      </w:r>
      <w:r>
        <w:rPr>
          <w:rFonts w:hint="eastAsia" w:ascii="宋体" w:hAnsi="宋体" w:cs="宋体"/>
          <w:color w:val="auto"/>
          <w:lang w:val="en-US" w:eastAsia="zh-CN"/>
        </w:rPr>
        <w:t>)</w:t>
      </w:r>
    </w:p>
    <w:p w14:paraId="5352C7AE">
      <w:pPr>
        <w:pStyle w:val="9"/>
        <w:spacing w:before="120" w:beforeAutospacing="0" w:after="120" w:afterAutospacing="0" w:line="360" w:lineRule="auto"/>
        <w:ind w:left="408" w:hanging="408"/>
        <w:jc w:val="both"/>
        <w:rPr>
          <w:color w:val="auto"/>
        </w:rPr>
      </w:pPr>
      <w:r>
        <w:rPr>
          <w:rFonts w:hint="eastAsia" w:ascii="宋体" w:hAnsi="宋体" w:cs="宋体"/>
          <w:color w:val="auto"/>
        </w:rPr>
        <w:t>6.2合同履行结束后，甲方应及时退还交纳的履约保证金。</w:t>
      </w:r>
    </w:p>
    <w:p w14:paraId="71D2D56B">
      <w:pPr>
        <w:spacing w:line="360" w:lineRule="auto"/>
        <w:rPr>
          <w:color w:val="auto"/>
          <w:sz w:val="24"/>
        </w:rPr>
      </w:pPr>
      <w:r>
        <w:rPr>
          <w:rFonts w:hint="eastAsia"/>
          <w:color w:val="auto"/>
          <w:sz w:val="24"/>
        </w:rPr>
        <w:t>6.3履约保证金的退还：</w:t>
      </w:r>
    </w:p>
    <w:p w14:paraId="09456AC0">
      <w:pPr>
        <w:spacing w:line="360" w:lineRule="auto"/>
        <w:rPr>
          <w:color w:val="auto"/>
          <w:sz w:val="24"/>
        </w:rPr>
      </w:pPr>
      <w:r>
        <w:rPr>
          <w:rFonts w:hint="eastAsia"/>
          <w:color w:val="auto"/>
          <w:sz w:val="24"/>
        </w:rPr>
        <w:t>6.3.1方式：无息退还至投标人缴纳履约保证金的账户。如为保函，在到期时自行失效。</w:t>
      </w:r>
    </w:p>
    <w:p w14:paraId="76CC875B">
      <w:pPr>
        <w:spacing w:line="360" w:lineRule="auto"/>
        <w:rPr>
          <w:color w:val="auto"/>
          <w:sz w:val="24"/>
        </w:rPr>
      </w:pPr>
      <w:r>
        <w:rPr>
          <w:rFonts w:hint="eastAsia"/>
          <w:color w:val="auto"/>
          <w:sz w:val="24"/>
        </w:rPr>
        <w:t>6.3.2时间：验收合格且采购人收到发票后15日内。</w:t>
      </w:r>
    </w:p>
    <w:p w14:paraId="547AD77F">
      <w:pPr>
        <w:spacing w:line="360" w:lineRule="auto"/>
        <w:rPr>
          <w:color w:val="auto"/>
          <w:sz w:val="24"/>
        </w:rPr>
      </w:pPr>
      <w:r>
        <w:rPr>
          <w:rFonts w:hint="eastAsia"/>
          <w:color w:val="auto"/>
          <w:sz w:val="24"/>
        </w:rPr>
        <w:t>6.3.3条件：按合同要求全部履约完成并经采购人验收合格，且采购人收到中标人出具的发票。</w:t>
      </w:r>
    </w:p>
    <w:p w14:paraId="195DB8CF">
      <w:pPr>
        <w:spacing w:line="360" w:lineRule="auto"/>
        <w:rPr>
          <w:color w:val="auto"/>
          <w:sz w:val="24"/>
        </w:rPr>
      </w:pPr>
      <w:r>
        <w:rPr>
          <w:rFonts w:hint="eastAsia"/>
          <w:color w:val="auto"/>
          <w:sz w:val="24"/>
        </w:rPr>
        <w:t>6.3.4不予退还情形：</w:t>
      </w:r>
    </w:p>
    <w:p w14:paraId="61CEDE3F">
      <w:pPr>
        <w:spacing w:line="360" w:lineRule="auto"/>
        <w:rPr>
          <w:color w:val="auto"/>
          <w:sz w:val="24"/>
        </w:rPr>
      </w:pPr>
      <w:r>
        <w:rPr>
          <w:rFonts w:hint="eastAsia"/>
          <w:color w:val="auto"/>
          <w:sz w:val="24"/>
        </w:rPr>
        <w:t>除不可抗力情况外，投标人出现下列情形之一的，其履约保证金，招标人将视情节决定不予退还或部分不予退还。</w:t>
      </w:r>
    </w:p>
    <w:p w14:paraId="3C5E57D4">
      <w:pPr>
        <w:spacing w:line="360" w:lineRule="auto"/>
        <w:rPr>
          <w:color w:val="auto"/>
          <w:sz w:val="24"/>
        </w:rPr>
      </w:pPr>
      <w:r>
        <w:rPr>
          <w:rFonts w:hint="eastAsia"/>
          <w:color w:val="auto"/>
          <w:sz w:val="24"/>
        </w:rPr>
        <w:t>（1）中标人无正当理由拒绝签订合同的，或者在签订合同时向采购人提出附加条件或者更改合同实质性内容要求的；</w:t>
      </w:r>
    </w:p>
    <w:p w14:paraId="50149CBC">
      <w:pPr>
        <w:spacing w:line="360" w:lineRule="auto"/>
        <w:rPr>
          <w:color w:val="auto"/>
          <w:sz w:val="24"/>
        </w:rPr>
      </w:pPr>
      <w:r>
        <w:rPr>
          <w:rFonts w:hint="eastAsia"/>
          <w:color w:val="auto"/>
          <w:sz w:val="24"/>
        </w:rPr>
        <w:t>（2）中标人不履行与采购人订立的合同的；</w:t>
      </w:r>
    </w:p>
    <w:p w14:paraId="32FA5FC0">
      <w:pPr>
        <w:spacing w:line="360" w:lineRule="auto"/>
        <w:rPr>
          <w:color w:val="auto"/>
          <w:sz w:val="24"/>
        </w:rPr>
      </w:pPr>
      <w:r>
        <w:rPr>
          <w:rFonts w:hint="eastAsia"/>
          <w:color w:val="auto"/>
          <w:sz w:val="24"/>
        </w:rPr>
        <w:t>（3）中标人所供货物或服务不符合招标文件规定要求的；</w:t>
      </w:r>
    </w:p>
    <w:p w14:paraId="3A0E9BDD">
      <w:pPr>
        <w:spacing w:line="360" w:lineRule="auto"/>
        <w:rPr>
          <w:color w:val="auto"/>
          <w:sz w:val="24"/>
        </w:rPr>
      </w:pPr>
      <w:r>
        <w:rPr>
          <w:rFonts w:hint="eastAsia"/>
          <w:color w:val="auto"/>
          <w:sz w:val="24"/>
        </w:rPr>
        <w:t>（4）中标人采取欺骗、弄虚作假方式投标的或与其它投标人串通投标的；</w:t>
      </w:r>
    </w:p>
    <w:p w14:paraId="6EC5C54B">
      <w:pPr>
        <w:spacing w:line="360" w:lineRule="auto"/>
        <w:rPr>
          <w:color w:val="auto"/>
          <w:sz w:val="24"/>
        </w:rPr>
      </w:pPr>
      <w:r>
        <w:rPr>
          <w:rFonts w:hint="eastAsia"/>
          <w:color w:val="auto"/>
          <w:sz w:val="24"/>
        </w:rPr>
        <w:t>（5）中标人将合同内容转包、违法分包的；</w:t>
      </w:r>
    </w:p>
    <w:p w14:paraId="6F2C1063">
      <w:pPr>
        <w:spacing w:line="360" w:lineRule="auto"/>
        <w:rPr>
          <w:color w:val="auto"/>
          <w:sz w:val="24"/>
        </w:rPr>
      </w:pPr>
      <w:r>
        <w:rPr>
          <w:rFonts w:hint="eastAsia"/>
          <w:color w:val="auto"/>
          <w:sz w:val="24"/>
        </w:rPr>
        <w:t>（6）中标人故意捏造事实或伪造证明材料，进行虚假恶意投诉或反映的。</w:t>
      </w:r>
    </w:p>
    <w:p w14:paraId="4D62FC7C">
      <w:pPr>
        <w:spacing w:line="360" w:lineRule="auto"/>
        <w:rPr>
          <w:color w:val="auto"/>
          <w:sz w:val="24"/>
        </w:rPr>
      </w:pPr>
      <w:r>
        <w:rPr>
          <w:rFonts w:hint="eastAsia"/>
          <w:color w:val="auto"/>
          <w:sz w:val="24"/>
        </w:rPr>
        <w:t>6.3.5逾期退还的违约责任：采购人逾期无故未退还履约保证金的，按中国人民银行同期贷款基准利率上浮20%后的利率支付超期资金占用费，但因供应商自身原因导致无法及时退还的除外。</w:t>
      </w:r>
    </w:p>
    <w:p w14:paraId="05885043">
      <w:pPr>
        <w:pStyle w:val="9"/>
        <w:spacing w:before="145" w:beforeAutospacing="0" w:after="145" w:afterAutospacing="0" w:line="360" w:lineRule="auto"/>
        <w:jc w:val="both"/>
        <w:rPr>
          <w:color w:val="auto"/>
        </w:rPr>
      </w:pPr>
      <w:r>
        <w:rPr>
          <w:rFonts w:hint="eastAsia" w:ascii="宋体" w:hAnsi="宋体" w:cs="宋体"/>
          <w:b/>
          <w:color w:val="auto"/>
        </w:rPr>
        <w:t>七、合同转包或分包</w:t>
      </w:r>
    </w:p>
    <w:p w14:paraId="51C7252C">
      <w:pPr>
        <w:pStyle w:val="9"/>
        <w:spacing w:before="145" w:beforeAutospacing="0" w:after="145" w:afterAutospacing="0" w:line="360" w:lineRule="auto"/>
        <w:jc w:val="both"/>
        <w:rPr>
          <w:color w:val="auto"/>
        </w:rPr>
      </w:pPr>
      <w:r>
        <w:rPr>
          <w:rFonts w:hint="eastAsia" w:ascii="宋体" w:hAnsi="宋体" w:cs="宋体"/>
          <w:color w:val="auto"/>
        </w:rPr>
        <w:t>7.1乙方不得将合同标的转包给他人履行。</w:t>
      </w:r>
    </w:p>
    <w:p w14:paraId="7E79BB6B">
      <w:pPr>
        <w:pStyle w:val="9"/>
        <w:spacing w:before="145" w:beforeAutospacing="0" w:after="145" w:afterAutospacing="0" w:line="360" w:lineRule="auto"/>
        <w:jc w:val="both"/>
        <w:rPr>
          <w:color w:val="auto"/>
        </w:rPr>
      </w:pPr>
      <w:r>
        <w:rPr>
          <w:rFonts w:hint="eastAsia" w:ascii="宋体" w:hAnsi="宋体" w:cs="宋体"/>
          <w:color w:val="auto"/>
        </w:rPr>
        <w:t>7.2乙方不得将合同标的分包给他人履行。</w:t>
      </w:r>
    </w:p>
    <w:p w14:paraId="29EE029C">
      <w:pPr>
        <w:pStyle w:val="9"/>
        <w:spacing w:before="145" w:beforeAutospacing="0" w:after="145" w:afterAutospacing="0" w:line="360" w:lineRule="auto"/>
        <w:jc w:val="both"/>
        <w:rPr>
          <w:color w:val="auto"/>
        </w:rPr>
      </w:pPr>
      <w:r>
        <w:rPr>
          <w:rFonts w:hint="eastAsia" w:ascii="宋体" w:hAnsi="宋体" w:cs="宋体"/>
          <w:color w:val="auto"/>
        </w:rPr>
        <w:t>7.3乙方如有转包或未经甲方同意的分包行为，甲方有权解除合同。</w:t>
      </w:r>
    </w:p>
    <w:p w14:paraId="00CB71C5">
      <w:pPr>
        <w:pStyle w:val="9"/>
        <w:spacing w:before="120" w:beforeAutospacing="0" w:after="120" w:afterAutospacing="0" w:line="360" w:lineRule="auto"/>
        <w:jc w:val="both"/>
        <w:rPr>
          <w:color w:val="auto"/>
        </w:rPr>
      </w:pPr>
      <w:r>
        <w:rPr>
          <w:rFonts w:hint="eastAsia" w:ascii="宋体" w:hAnsi="宋体" w:cs="宋体"/>
          <w:b/>
          <w:color w:val="auto"/>
        </w:rPr>
        <w:t>八、合同款项支付</w:t>
      </w:r>
    </w:p>
    <w:p w14:paraId="518F2F9D">
      <w:pPr>
        <w:pStyle w:val="9"/>
        <w:spacing w:before="120" w:beforeAutospacing="0" w:after="120" w:afterAutospacing="0" w:line="360" w:lineRule="auto"/>
        <w:jc w:val="both"/>
        <w:rPr>
          <w:rFonts w:hint="eastAsia" w:ascii="宋体" w:hAnsi="宋体" w:cs="宋体"/>
          <w:color w:val="auto"/>
          <w:lang w:val="en-US" w:eastAsia="zh-CN"/>
        </w:rPr>
      </w:pPr>
      <w:r>
        <w:rPr>
          <w:rFonts w:hint="eastAsia" w:ascii="宋体" w:hAnsi="宋体" w:cs="宋体"/>
          <w:color w:val="auto"/>
        </w:rPr>
        <w:t>8.1合同款项的支付方式及进度安排</w:t>
      </w:r>
    </w:p>
    <w:p w14:paraId="64CB6CF0">
      <w:pPr>
        <w:spacing w:line="360" w:lineRule="auto"/>
        <w:rPr>
          <w:rFonts w:hint="eastAsia" w:cs="Times New Roman"/>
          <w:color w:val="auto"/>
          <w:sz w:val="24"/>
          <w:szCs w:val="24"/>
        </w:rPr>
      </w:pPr>
      <w:r>
        <w:rPr>
          <w:rFonts w:hint="eastAsia" w:cs="Times New Roman"/>
          <w:color w:val="auto"/>
          <w:sz w:val="24"/>
          <w:szCs w:val="24"/>
          <w:lang w:val="en-US" w:eastAsia="zh-CN"/>
        </w:rPr>
        <w:t>8.1.1</w:t>
      </w:r>
      <w:r>
        <w:rPr>
          <w:rFonts w:hint="eastAsia" w:cs="Times New Roman"/>
          <w:color w:val="auto"/>
          <w:sz w:val="24"/>
          <w:szCs w:val="24"/>
        </w:rPr>
        <w:t>合同签订时，采购单位支付合同总价的30%作为项目启动预付款。预付款支付比例（或中标单位是否需要采购单位支付预付款）由采购人与中标人根据实际情况协商一致在合同中作说明。</w:t>
      </w:r>
    </w:p>
    <w:p w14:paraId="5B57A41F">
      <w:pPr>
        <w:spacing w:line="360" w:lineRule="auto"/>
        <w:rPr>
          <w:rFonts w:hint="eastAsia" w:cs="Times New Roman"/>
          <w:color w:val="auto"/>
          <w:sz w:val="24"/>
          <w:szCs w:val="24"/>
          <w:lang w:eastAsia="zh-CN"/>
        </w:rPr>
      </w:pPr>
      <w:r>
        <w:rPr>
          <w:rFonts w:hint="eastAsia" w:cs="Times New Roman"/>
          <w:color w:val="auto"/>
          <w:sz w:val="24"/>
          <w:szCs w:val="24"/>
          <w:lang w:val="en-US" w:eastAsia="zh-CN"/>
        </w:rPr>
        <w:t>8.1.2</w:t>
      </w:r>
      <w:r>
        <w:rPr>
          <w:rFonts w:hint="eastAsia" w:cs="Times New Roman"/>
          <w:color w:val="auto"/>
          <w:sz w:val="24"/>
          <w:szCs w:val="24"/>
        </w:rPr>
        <w:t>项目验收合格正式运行后付</w:t>
      </w:r>
      <w:r>
        <w:rPr>
          <w:rFonts w:hint="eastAsia" w:cs="Times New Roman"/>
          <w:color w:val="auto"/>
          <w:sz w:val="24"/>
          <w:szCs w:val="24"/>
          <w:lang w:val="en-US" w:eastAsia="zh-CN"/>
        </w:rPr>
        <w:t>至</w:t>
      </w:r>
      <w:r>
        <w:rPr>
          <w:rFonts w:hint="eastAsia" w:cs="Times New Roman"/>
          <w:color w:val="auto"/>
          <w:sz w:val="24"/>
          <w:szCs w:val="24"/>
        </w:rPr>
        <w:t>合同</w:t>
      </w:r>
      <w:r>
        <w:rPr>
          <w:rFonts w:hint="eastAsia" w:cs="Times New Roman"/>
          <w:color w:val="auto"/>
          <w:sz w:val="24"/>
          <w:szCs w:val="24"/>
          <w:lang w:val="en-US" w:eastAsia="zh-CN"/>
        </w:rPr>
        <w:t>总</w:t>
      </w:r>
      <w:r>
        <w:rPr>
          <w:rFonts w:hint="eastAsia" w:cs="Times New Roman"/>
          <w:color w:val="auto"/>
          <w:sz w:val="24"/>
          <w:szCs w:val="24"/>
        </w:rPr>
        <w:t>价的 70%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47D69EB5">
      <w:pPr>
        <w:spacing w:line="360" w:lineRule="auto"/>
        <w:ind w:firstLine="482"/>
        <w:rPr>
          <w:rFonts w:hint="eastAsia" w:cs="Times New Roman"/>
          <w:color w:val="auto"/>
          <w:sz w:val="24"/>
          <w:szCs w:val="24"/>
          <w:lang w:eastAsia="zh-CN"/>
        </w:rPr>
      </w:pPr>
      <w:r>
        <w:rPr>
          <w:rFonts w:hint="eastAsia" w:cs="Times New Roman"/>
          <w:color w:val="auto"/>
          <w:sz w:val="24"/>
          <w:szCs w:val="24"/>
          <w:lang w:val="en-US" w:eastAsia="zh-CN"/>
        </w:rPr>
        <w:t>备注：</w:t>
      </w:r>
      <w:r>
        <w:rPr>
          <w:rFonts w:hint="eastAsia" w:cs="Times New Roman"/>
          <w:color w:val="auto"/>
          <w:sz w:val="24"/>
          <w:szCs w:val="24"/>
        </w:rPr>
        <w:t>其中软件项目完成进度的 80%，付至合同</w:t>
      </w:r>
      <w:r>
        <w:rPr>
          <w:rFonts w:hint="eastAsia" w:cs="Times New Roman"/>
          <w:color w:val="auto"/>
          <w:sz w:val="24"/>
          <w:szCs w:val="24"/>
          <w:lang w:val="en-US" w:eastAsia="zh-CN"/>
        </w:rPr>
        <w:t>总</w:t>
      </w:r>
      <w:r>
        <w:rPr>
          <w:rFonts w:hint="eastAsia" w:cs="Times New Roman"/>
          <w:color w:val="auto"/>
          <w:sz w:val="24"/>
          <w:szCs w:val="24"/>
        </w:rPr>
        <w:t>价的50%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40F89361">
      <w:pPr>
        <w:spacing w:line="360" w:lineRule="auto"/>
        <w:rPr>
          <w:rFonts w:hint="eastAsia" w:cs="Times New Roman"/>
          <w:color w:val="auto"/>
          <w:sz w:val="24"/>
          <w:szCs w:val="24"/>
          <w:lang w:eastAsia="zh-CN"/>
        </w:rPr>
      </w:pPr>
      <w:r>
        <w:rPr>
          <w:rFonts w:hint="eastAsia" w:cs="Times New Roman"/>
          <w:color w:val="auto"/>
          <w:sz w:val="24"/>
          <w:szCs w:val="24"/>
          <w:lang w:val="en-US" w:eastAsia="zh-CN"/>
        </w:rPr>
        <w:t>8.1.3</w:t>
      </w:r>
      <w:r>
        <w:rPr>
          <w:rFonts w:hint="eastAsia" w:cs="Times New Roman"/>
          <w:color w:val="auto"/>
          <w:sz w:val="24"/>
          <w:szCs w:val="24"/>
        </w:rPr>
        <w:t>项目正式运行起一年后付至合同价的 80%</w:t>
      </w:r>
      <w:r>
        <w:rPr>
          <w:rFonts w:hint="eastAsia" w:cs="Times New Roman"/>
          <w:color w:val="auto"/>
          <w:sz w:val="24"/>
          <w:szCs w:val="24"/>
          <w:lang w:eastAsia="zh-CN"/>
        </w:rPr>
        <w:t>；</w:t>
      </w:r>
    </w:p>
    <w:p w14:paraId="3B3F35B4">
      <w:pPr>
        <w:spacing w:line="360" w:lineRule="auto"/>
        <w:rPr>
          <w:rFonts w:hint="eastAsia" w:cs="Times New Roman"/>
          <w:color w:val="auto"/>
          <w:sz w:val="24"/>
          <w:szCs w:val="24"/>
        </w:rPr>
      </w:pPr>
      <w:r>
        <w:rPr>
          <w:rFonts w:hint="eastAsia" w:cs="Times New Roman"/>
          <w:color w:val="auto"/>
          <w:sz w:val="24"/>
          <w:szCs w:val="24"/>
          <w:lang w:val="en-US" w:eastAsia="zh-CN"/>
        </w:rPr>
        <w:t>8.1.4</w:t>
      </w:r>
      <w:r>
        <w:rPr>
          <w:rFonts w:hint="eastAsia" w:cs="Times New Roman"/>
          <w:color w:val="auto"/>
          <w:sz w:val="24"/>
          <w:szCs w:val="24"/>
        </w:rPr>
        <w:t>项目正式运行起二年后付至合同价的 100%;</w:t>
      </w:r>
    </w:p>
    <w:p w14:paraId="5239D50D">
      <w:pPr>
        <w:pStyle w:val="9"/>
        <w:spacing w:before="120" w:beforeAutospacing="0" w:after="120" w:afterAutospacing="0" w:line="360" w:lineRule="auto"/>
        <w:jc w:val="both"/>
        <w:rPr>
          <w:rFonts w:ascii="宋体" w:hAnsi="宋体" w:cs="宋体"/>
          <w:color w:val="auto"/>
        </w:rPr>
      </w:pPr>
      <w:r>
        <w:rPr>
          <w:rFonts w:hint="eastAsia" w:ascii="宋体" w:hAnsi="宋体" w:cs="宋体"/>
          <w:color w:val="auto"/>
        </w:rPr>
        <w:t>8.1.</w:t>
      </w:r>
      <w:r>
        <w:rPr>
          <w:rFonts w:hint="eastAsia" w:ascii="宋体" w:hAnsi="宋体" w:cs="宋体"/>
          <w:color w:val="auto"/>
          <w:lang w:val="en-US" w:eastAsia="zh-CN"/>
        </w:rPr>
        <w:t>5</w:t>
      </w:r>
      <w:r>
        <w:rPr>
          <w:rFonts w:hint="eastAsia" w:ascii="宋体" w:hAnsi="宋体" w:cs="宋体"/>
          <w:color w:val="auto"/>
        </w:rPr>
        <w:t>以上付款均无息，结算时，乙方需提供税务发票。</w:t>
      </w:r>
    </w:p>
    <w:p w14:paraId="24D5C6CD">
      <w:pPr>
        <w:pStyle w:val="9"/>
        <w:spacing w:before="145" w:beforeAutospacing="0" w:after="145" w:afterAutospacing="0" w:line="360" w:lineRule="auto"/>
        <w:jc w:val="both"/>
        <w:rPr>
          <w:color w:val="auto"/>
        </w:rPr>
      </w:pPr>
      <w:r>
        <w:rPr>
          <w:rFonts w:hint="eastAsia" w:ascii="宋体" w:hAnsi="宋体" w:cs="宋体"/>
          <w:b/>
          <w:color w:val="auto"/>
        </w:rPr>
        <w:t>九、税费</w:t>
      </w:r>
    </w:p>
    <w:p w14:paraId="15F27677">
      <w:pPr>
        <w:pStyle w:val="9"/>
        <w:spacing w:before="145" w:beforeAutospacing="0" w:after="145" w:afterAutospacing="0" w:line="360" w:lineRule="auto"/>
        <w:jc w:val="both"/>
        <w:rPr>
          <w:color w:val="auto"/>
        </w:rPr>
      </w:pPr>
      <w:r>
        <w:rPr>
          <w:rFonts w:hint="eastAsia" w:ascii="宋体" w:hAnsi="宋体" w:cs="宋体"/>
          <w:color w:val="auto"/>
        </w:rPr>
        <w:t>9.1本合同执行中相关的一切税费均由乙方负担。</w:t>
      </w:r>
    </w:p>
    <w:p w14:paraId="0879062C">
      <w:pPr>
        <w:pStyle w:val="9"/>
        <w:spacing w:before="120" w:beforeAutospacing="0" w:after="120" w:afterAutospacing="0" w:line="360" w:lineRule="auto"/>
        <w:jc w:val="both"/>
        <w:rPr>
          <w:color w:val="auto"/>
        </w:rPr>
      </w:pPr>
      <w:r>
        <w:rPr>
          <w:rFonts w:hint="eastAsia" w:ascii="宋体" w:hAnsi="宋体" w:cs="宋体"/>
          <w:b/>
          <w:color w:val="auto"/>
        </w:rPr>
        <w:t>十、项目验收</w:t>
      </w:r>
    </w:p>
    <w:p w14:paraId="7448FA1D">
      <w:pPr>
        <w:pStyle w:val="9"/>
        <w:spacing w:before="120" w:beforeAutospacing="0" w:after="120" w:afterAutospacing="0" w:line="360" w:lineRule="auto"/>
        <w:ind w:left="480" w:hanging="480"/>
        <w:jc w:val="both"/>
        <w:rPr>
          <w:color w:val="auto"/>
        </w:rPr>
      </w:pPr>
      <w:r>
        <w:rPr>
          <w:rFonts w:hint="eastAsia" w:ascii="宋体" w:hAnsi="宋体" w:cs="宋体"/>
          <w:color w:val="auto"/>
        </w:rPr>
        <w:t>10.1甲方依法组织履约验收工作。</w:t>
      </w:r>
    </w:p>
    <w:p w14:paraId="2641833E">
      <w:pPr>
        <w:pStyle w:val="9"/>
        <w:spacing w:before="120" w:beforeAutospacing="0" w:after="120" w:afterAutospacing="0" w:line="360" w:lineRule="auto"/>
        <w:ind w:left="480" w:hanging="480"/>
        <w:jc w:val="both"/>
        <w:rPr>
          <w:color w:val="auto"/>
        </w:rPr>
      </w:pPr>
      <w:r>
        <w:rPr>
          <w:rFonts w:hint="eastAsia" w:ascii="宋体" w:hAnsi="宋体" w:cs="宋体"/>
          <w:color w:val="auto"/>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B6F9435">
      <w:pPr>
        <w:pStyle w:val="9"/>
        <w:spacing w:before="120" w:beforeAutospacing="0" w:after="120" w:afterAutospacing="0" w:line="360" w:lineRule="auto"/>
        <w:ind w:left="480" w:hanging="480"/>
        <w:jc w:val="both"/>
        <w:rPr>
          <w:color w:val="auto"/>
        </w:rPr>
      </w:pPr>
      <w:r>
        <w:rPr>
          <w:rFonts w:hint="eastAsia" w:ascii="宋体" w:hAnsi="宋体" w:cs="宋体"/>
          <w:color w:val="auto"/>
        </w:rPr>
        <w:t>10.3对于实际使用人和甲方分离的项目，甲方邀请实际使用人参与验收。</w:t>
      </w:r>
    </w:p>
    <w:p w14:paraId="14DA2C1A">
      <w:pPr>
        <w:pStyle w:val="9"/>
        <w:spacing w:before="120" w:beforeAutospacing="0" w:after="120" w:afterAutospacing="0" w:line="360" w:lineRule="auto"/>
        <w:ind w:left="480" w:hanging="480"/>
        <w:jc w:val="both"/>
        <w:rPr>
          <w:color w:val="auto"/>
        </w:rPr>
      </w:pPr>
      <w:r>
        <w:rPr>
          <w:rFonts w:hint="eastAsia" w:ascii="宋体" w:hAnsi="宋体" w:cs="宋体"/>
          <w:color w:val="auto"/>
        </w:rPr>
        <w:t>10.4如有必要，甲方邀请参加本项目的其他供应商或第三方专业机构及专家参与验收，相关意见将作为验收书的参考资料。</w:t>
      </w:r>
    </w:p>
    <w:p w14:paraId="5193DFD2">
      <w:pPr>
        <w:pStyle w:val="9"/>
        <w:spacing w:before="120" w:beforeAutospacing="0" w:after="120" w:afterAutospacing="0" w:line="360" w:lineRule="auto"/>
        <w:ind w:left="480" w:hanging="480"/>
        <w:jc w:val="both"/>
        <w:rPr>
          <w:color w:val="auto"/>
        </w:rPr>
      </w:pPr>
      <w:r>
        <w:rPr>
          <w:rFonts w:hint="eastAsia" w:ascii="宋体" w:hAnsi="宋体" w:cs="宋体"/>
          <w:color w:val="auto"/>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660B39A">
      <w:pPr>
        <w:pStyle w:val="9"/>
        <w:spacing w:before="120" w:beforeAutospacing="0" w:after="120" w:afterAutospacing="0" w:line="360" w:lineRule="auto"/>
        <w:ind w:left="480" w:hanging="480"/>
        <w:jc w:val="both"/>
        <w:rPr>
          <w:color w:val="auto"/>
        </w:rPr>
      </w:pPr>
      <w:r>
        <w:rPr>
          <w:rFonts w:hint="eastAsia" w:ascii="宋体" w:hAnsi="宋体" w:cs="宋体"/>
          <w:color w:val="auto"/>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E4EB4DA">
      <w:pPr>
        <w:pStyle w:val="9"/>
        <w:spacing w:before="120" w:beforeAutospacing="0" w:after="120" w:afterAutospacing="0" w:line="360" w:lineRule="auto"/>
        <w:jc w:val="both"/>
        <w:rPr>
          <w:color w:val="auto"/>
        </w:rPr>
      </w:pPr>
      <w:r>
        <w:rPr>
          <w:rFonts w:hint="eastAsia" w:ascii="宋体" w:hAnsi="宋体" w:cs="宋体"/>
          <w:b/>
          <w:color w:val="auto"/>
        </w:rPr>
        <w:t>十一、违约责任</w:t>
      </w:r>
    </w:p>
    <w:p w14:paraId="0561FEF7">
      <w:pPr>
        <w:pStyle w:val="9"/>
        <w:spacing w:before="120" w:beforeAutospacing="0" w:after="120" w:afterAutospacing="0" w:line="360" w:lineRule="auto"/>
        <w:ind w:left="410" w:hanging="410"/>
        <w:jc w:val="both"/>
        <w:rPr>
          <w:color w:val="auto"/>
        </w:rPr>
      </w:pPr>
      <w:r>
        <w:rPr>
          <w:rFonts w:hint="eastAsia" w:ascii="宋体" w:hAnsi="宋体" w:cs="宋体"/>
          <w:color w:val="auto"/>
        </w:rPr>
        <w:t>11.1甲方无正当理由拒绝接受乙方提供服务的，甲方向乙方偿付拒绝接受服务合同价款总值</w:t>
      </w:r>
      <w:r>
        <w:rPr>
          <w:rFonts w:hint="eastAsia" w:ascii="宋体" w:hAnsi="宋体" w:cs="宋体"/>
          <w:color w:val="auto"/>
          <w:u w:val="single"/>
        </w:rPr>
        <w:t xml:space="preserve">    </w:t>
      </w:r>
      <w:r>
        <w:rPr>
          <w:rFonts w:hint="eastAsia" w:ascii="宋体" w:hAnsi="宋体" w:cs="宋体"/>
          <w:color w:val="auto"/>
        </w:rPr>
        <w:t>的违约金。</w:t>
      </w:r>
    </w:p>
    <w:p w14:paraId="2BD69DB9">
      <w:pPr>
        <w:pStyle w:val="9"/>
        <w:spacing w:before="120" w:beforeAutospacing="0" w:after="120" w:afterAutospacing="0" w:line="360" w:lineRule="auto"/>
        <w:ind w:left="410" w:hanging="410"/>
        <w:jc w:val="both"/>
        <w:rPr>
          <w:color w:val="auto"/>
        </w:rPr>
      </w:pPr>
      <w:r>
        <w:rPr>
          <w:rFonts w:hint="eastAsia" w:ascii="宋体" w:hAnsi="宋体" w:cs="宋体"/>
          <w:color w:val="auto"/>
        </w:rPr>
        <w:t>11.2甲方无故逾期验收和办理合同款项支付手续的,甲方应按逾期付款总额</w:t>
      </w:r>
      <w:r>
        <w:rPr>
          <w:rFonts w:hint="eastAsia" w:ascii="宋体" w:hAnsi="宋体" w:cs="宋体"/>
          <w:color w:val="auto"/>
          <w:u w:val="single"/>
        </w:rPr>
        <w:t xml:space="preserve">    </w:t>
      </w:r>
      <w:r>
        <w:rPr>
          <w:rFonts w:hint="eastAsia" w:ascii="宋体" w:hAnsi="宋体" w:cs="宋体"/>
          <w:color w:val="auto"/>
        </w:rPr>
        <w:t>每日向乙方支付违约金。</w:t>
      </w:r>
    </w:p>
    <w:p w14:paraId="5DC870E0">
      <w:pPr>
        <w:pStyle w:val="9"/>
        <w:spacing w:before="120" w:beforeAutospacing="0" w:after="120" w:afterAutospacing="0" w:line="360" w:lineRule="auto"/>
        <w:ind w:left="410" w:hanging="410"/>
        <w:jc w:val="both"/>
        <w:rPr>
          <w:color w:val="auto"/>
        </w:rPr>
      </w:pPr>
      <w:r>
        <w:rPr>
          <w:rFonts w:hint="eastAsia" w:ascii="宋体" w:hAnsi="宋体" w:cs="宋体"/>
          <w:color w:val="auto"/>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auto"/>
          <w:u w:val="single"/>
        </w:rPr>
        <w:t xml:space="preserve">     </w:t>
      </w:r>
      <w:r>
        <w:rPr>
          <w:rFonts w:hint="eastAsia" w:ascii="宋体" w:hAnsi="宋体" w:cs="宋体"/>
          <w:color w:val="auto"/>
        </w:rPr>
        <w:t xml:space="preserve">的违约金，如造成甲方损失超过违约金的，超出部分由乙方继续承担赔偿责任。 </w:t>
      </w:r>
    </w:p>
    <w:p w14:paraId="55E93A0F">
      <w:pPr>
        <w:pStyle w:val="9"/>
        <w:spacing w:before="120" w:beforeAutospacing="0" w:after="120" w:afterAutospacing="0" w:line="360" w:lineRule="auto"/>
        <w:ind w:left="410" w:hanging="410"/>
        <w:jc w:val="both"/>
        <w:rPr>
          <w:color w:val="auto"/>
        </w:rPr>
      </w:pPr>
      <w:r>
        <w:rPr>
          <w:rFonts w:hint="eastAsia" w:ascii="宋体" w:hAnsi="宋体" w:cs="宋体"/>
          <w:color w:val="auto"/>
        </w:rPr>
        <w:t>11.4乙方所提供服务的标准不符合合同规定及招标文件规定标准的，甲方有权拒绝接受服务，并可单方面解除合同。</w:t>
      </w:r>
    </w:p>
    <w:p w14:paraId="67C184B4">
      <w:pPr>
        <w:pStyle w:val="9"/>
        <w:spacing w:before="120" w:beforeAutospacing="0" w:after="120" w:afterAutospacing="0" w:line="360" w:lineRule="auto"/>
        <w:jc w:val="both"/>
        <w:rPr>
          <w:color w:val="auto"/>
        </w:rPr>
      </w:pPr>
      <w:r>
        <w:rPr>
          <w:rFonts w:hint="eastAsia" w:ascii="宋体" w:hAnsi="宋体" w:cs="宋体"/>
          <w:b/>
          <w:color w:val="auto"/>
        </w:rPr>
        <w:t>十二、不可抗力事件处理</w:t>
      </w:r>
    </w:p>
    <w:p w14:paraId="49F76AD2">
      <w:pPr>
        <w:pStyle w:val="9"/>
        <w:spacing w:before="120" w:beforeAutospacing="0" w:after="120" w:afterAutospacing="0" w:line="360" w:lineRule="auto"/>
        <w:ind w:left="480" w:hanging="480"/>
        <w:jc w:val="both"/>
        <w:rPr>
          <w:color w:val="auto"/>
        </w:rPr>
      </w:pPr>
      <w:r>
        <w:rPr>
          <w:rFonts w:hint="eastAsia" w:ascii="宋体" w:hAnsi="宋体" w:cs="宋体"/>
          <w:color w:val="auto"/>
        </w:rPr>
        <w:t>12.1在合同有效期内，任何一方因不可抗力事件导致不能履行合同，则合同履行期可延长，其延长期与不可抗力影响 期相同。</w:t>
      </w:r>
    </w:p>
    <w:p w14:paraId="42D27F4B">
      <w:pPr>
        <w:pStyle w:val="9"/>
        <w:spacing w:before="120" w:beforeAutospacing="0" w:after="120" w:afterAutospacing="0" w:line="360" w:lineRule="auto"/>
        <w:jc w:val="both"/>
        <w:rPr>
          <w:color w:val="auto"/>
        </w:rPr>
      </w:pPr>
      <w:r>
        <w:rPr>
          <w:rFonts w:hint="eastAsia" w:ascii="宋体" w:hAnsi="宋体" w:cs="宋体"/>
          <w:color w:val="auto"/>
        </w:rPr>
        <w:t>12.2不可抗力事件发生后，应立即通知对方，并寄送有关权威机构出具的证明。</w:t>
      </w:r>
    </w:p>
    <w:p w14:paraId="5C4D3014">
      <w:pPr>
        <w:pStyle w:val="9"/>
        <w:spacing w:before="120" w:beforeAutospacing="0" w:after="120" w:afterAutospacing="0" w:line="360" w:lineRule="auto"/>
        <w:jc w:val="both"/>
        <w:rPr>
          <w:color w:val="auto"/>
        </w:rPr>
      </w:pPr>
      <w:r>
        <w:rPr>
          <w:rFonts w:hint="eastAsia" w:ascii="宋体" w:hAnsi="宋体" w:cs="宋体"/>
          <w:color w:val="auto"/>
        </w:rPr>
        <w:t>12.3不可抗力事件延续120天以上，双方应通过友好协商，确定是否继续履行合同。</w:t>
      </w:r>
    </w:p>
    <w:p w14:paraId="370E2BDB">
      <w:pPr>
        <w:pStyle w:val="9"/>
        <w:spacing w:before="120" w:beforeAutospacing="0" w:after="120" w:afterAutospacing="0" w:line="360" w:lineRule="auto"/>
        <w:jc w:val="both"/>
        <w:rPr>
          <w:color w:val="auto"/>
        </w:rPr>
      </w:pPr>
      <w:r>
        <w:rPr>
          <w:rFonts w:hint="eastAsia" w:ascii="宋体" w:hAnsi="宋体" w:cs="宋体"/>
          <w:b/>
          <w:color w:val="auto"/>
        </w:rPr>
        <w:t>十三、解决争议的方法</w:t>
      </w:r>
    </w:p>
    <w:p w14:paraId="10423A96">
      <w:pPr>
        <w:pStyle w:val="9"/>
        <w:spacing w:before="120" w:beforeAutospacing="0" w:after="120" w:afterAutospacing="0" w:line="360" w:lineRule="auto"/>
        <w:jc w:val="both"/>
        <w:rPr>
          <w:color w:val="auto"/>
        </w:rPr>
      </w:pPr>
      <w:r>
        <w:rPr>
          <w:rFonts w:hint="eastAsia" w:ascii="宋体" w:hAnsi="宋体" w:cs="宋体"/>
          <w:color w:val="auto"/>
        </w:rPr>
        <w:t>13.1双方在签订、履行合同中所发生的一切争议，应通过友好协商解决。如协商不成，由甲方住所地人民法院管辖。</w:t>
      </w:r>
    </w:p>
    <w:p w14:paraId="4105519F">
      <w:pPr>
        <w:pStyle w:val="9"/>
        <w:spacing w:before="120" w:beforeAutospacing="0" w:after="120" w:afterAutospacing="0" w:line="360" w:lineRule="auto"/>
        <w:jc w:val="both"/>
        <w:rPr>
          <w:color w:val="auto"/>
        </w:rPr>
      </w:pPr>
      <w:r>
        <w:rPr>
          <w:rFonts w:hint="eastAsia" w:ascii="宋体" w:hAnsi="宋体" w:cs="宋体"/>
          <w:b/>
          <w:color w:val="auto"/>
        </w:rPr>
        <w:t>十四、合同生效及其它</w:t>
      </w:r>
    </w:p>
    <w:p w14:paraId="5945D866">
      <w:pPr>
        <w:pStyle w:val="9"/>
        <w:spacing w:before="120" w:beforeAutospacing="0" w:after="120" w:afterAutospacing="0" w:line="360" w:lineRule="auto"/>
        <w:jc w:val="both"/>
        <w:rPr>
          <w:color w:val="auto"/>
        </w:rPr>
      </w:pPr>
      <w:r>
        <w:rPr>
          <w:rFonts w:hint="eastAsia" w:ascii="宋体" w:hAnsi="宋体" w:cs="宋体"/>
          <w:color w:val="auto"/>
        </w:rPr>
        <w:t>14.1合同经双方法定代表人或授权委托代表人签字并加盖单位公章后生效。</w:t>
      </w:r>
    </w:p>
    <w:p w14:paraId="5D7EFE42">
      <w:pPr>
        <w:pStyle w:val="9"/>
        <w:spacing w:before="120" w:beforeAutospacing="0" w:after="120" w:afterAutospacing="0" w:line="360" w:lineRule="auto"/>
        <w:jc w:val="both"/>
        <w:rPr>
          <w:color w:val="auto"/>
        </w:rPr>
      </w:pPr>
      <w:r>
        <w:rPr>
          <w:rFonts w:hint="eastAsia" w:ascii="宋体" w:hAnsi="宋体" w:cs="宋体"/>
          <w:color w:val="auto"/>
        </w:rPr>
        <w:t>14.2本合同未尽事宜，遵照《民法典》、《政府采购法》有关条文执行。</w:t>
      </w:r>
    </w:p>
    <w:p w14:paraId="5B63A0C1">
      <w:pPr>
        <w:pStyle w:val="9"/>
        <w:spacing w:before="120" w:beforeAutospacing="0" w:after="120" w:afterAutospacing="0" w:line="360" w:lineRule="auto"/>
        <w:ind w:left="480" w:hanging="480"/>
        <w:jc w:val="both"/>
        <w:rPr>
          <w:color w:val="auto"/>
        </w:rPr>
      </w:pPr>
      <w:r>
        <w:rPr>
          <w:rFonts w:hint="eastAsia" w:ascii="宋体" w:hAnsi="宋体" w:cs="宋体"/>
          <w:color w:val="auto"/>
        </w:rPr>
        <w:t>14.3 本合同正本一式两份，具有同等法律效力，甲方、乙方各执一份。</w:t>
      </w:r>
    </w:p>
    <w:p w14:paraId="4CD6E8B3">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 xml:space="preserve">甲方：                   </w:t>
      </w:r>
    </w:p>
    <w:p w14:paraId="05079E67">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 xml:space="preserve">地址：                   </w:t>
      </w:r>
    </w:p>
    <w:p w14:paraId="1F3D2CE9">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 xml:space="preserve">法定代表人或授权代表：             </w:t>
      </w:r>
    </w:p>
    <w:p w14:paraId="1E7D0735">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 xml:space="preserve">联系电话：                       </w:t>
      </w:r>
    </w:p>
    <w:p w14:paraId="2DF852ED">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乙方（牵头单位）：                         乙方（联合体成员）：</w:t>
      </w:r>
    </w:p>
    <w:p w14:paraId="3FEB580E">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地址：                                                 地址：</w:t>
      </w:r>
    </w:p>
    <w:p w14:paraId="55FD7C65">
      <w:pPr>
        <w:pStyle w:val="9"/>
        <w:spacing w:before="120" w:beforeAutospacing="0" w:after="120" w:afterAutospacing="0" w:line="300" w:lineRule="exact"/>
        <w:ind w:firstLine="480"/>
        <w:jc w:val="both"/>
        <w:rPr>
          <w:rFonts w:ascii="宋体" w:hAnsi="宋体" w:cs="宋体"/>
          <w:color w:val="auto"/>
          <w:szCs w:val="24"/>
        </w:rPr>
      </w:pPr>
      <w:r>
        <w:rPr>
          <w:rFonts w:hint="eastAsia" w:ascii="宋体" w:hAnsi="宋体" w:cs="宋体"/>
          <w:color w:val="auto"/>
          <w:szCs w:val="24"/>
        </w:rPr>
        <w:t>法定代表人或授权代表：                 法定代表人或授权代表：</w:t>
      </w:r>
    </w:p>
    <w:p w14:paraId="189F01EC">
      <w:pPr>
        <w:pStyle w:val="9"/>
        <w:spacing w:before="120" w:beforeAutospacing="0" w:after="120" w:afterAutospacing="0" w:line="300" w:lineRule="exact"/>
        <w:ind w:firstLine="480"/>
        <w:jc w:val="both"/>
        <w:rPr>
          <w:rFonts w:ascii="宋体" w:hAnsi="宋体" w:cs="宋体"/>
          <w:color w:val="auto"/>
          <w:sz w:val="21"/>
          <w:szCs w:val="21"/>
        </w:rPr>
      </w:pPr>
      <w:r>
        <w:rPr>
          <w:rFonts w:hint="eastAsia" w:ascii="宋体" w:hAnsi="宋体" w:cs="宋体"/>
          <w:color w:val="auto"/>
          <w:szCs w:val="24"/>
        </w:rPr>
        <w:t xml:space="preserve">联系电话：  </w:t>
      </w:r>
      <w:r>
        <w:rPr>
          <w:rFonts w:hint="eastAsia" w:ascii="宋体" w:hAnsi="宋体" w:cs="宋体"/>
          <w:color w:val="auto"/>
          <w:sz w:val="21"/>
          <w:szCs w:val="21"/>
        </w:rPr>
        <w:t xml:space="preserve">                                             </w:t>
      </w:r>
      <w:r>
        <w:rPr>
          <w:rFonts w:hint="eastAsia" w:ascii="宋体" w:hAnsi="宋体" w:cs="宋体"/>
          <w:color w:val="auto"/>
          <w:szCs w:val="24"/>
        </w:rPr>
        <w:t>联系电话：</w:t>
      </w:r>
    </w:p>
    <w:p w14:paraId="27749EE9">
      <w:pPr>
        <w:pStyle w:val="9"/>
        <w:spacing w:before="120" w:beforeAutospacing="0" w:after="120" w:afterAutospacing="0" w:line="300" w:lineRule="exact"/>
        <w:ind w:firstLine="420"/>
        <w:jc w:val="center"/>
        <w:rPr>
          <w:rFonts w:ascii="宋体" w:hAnsi="宋体" w:cs="宋体"/>
          <w:color w:val="auto"/>
          <w:sz w:val="21"/>
          <w:szCs w:val="21"/>
        </w:rPr>
      </w:pPr>
      <w:r>
        <w:rPr>
          <w:rFonts w:hint="eastAsia" w:ascii="宋体" w:hAnsi="宋体" w:cs="宋体"/>
          <w:color w:val="auto"/>
          <w:sz w:val="21"/>
          <w:szCs w:val="21"/>
        </w:rPr>
        <w:t xml:space="preserve"> </w:t>
      </w:r>
    </w:p>
    <w:p w14:paraId="7AA6CEAE">
      <w:pPr>
        <w:pStyle w:val="9"/>
        <w:spacing w:before="120" w:beforeAutospacing="0" w:after="120" w:afterAutospacing="0" w:line="300" w:lineRule="exact"/>
        <w:ind w:firstLine="420"/>
        <w:jc w:val="center"/>
        <w:rPr>
          <w:color w:val="auto"/>
          <w:spacing w:val="-6"/>
          <w:sz w:val="44"/>
        </w:rPr>
      </w:pPr>
      <w:r>
        <w:rPr>
          <w:rFonts w:hint="eastAsia" w:ascii="宋体" w:hAnsi="宋体" w:cs="宋体"/>
          <w:color w:val="auto"/>
          <w:sz w:val="21"/>
          <w:szCs w:val="21"/>
        </w:rPr>
        <w:t xml:space="preserve">                           签订日期：      年    月   日</w:t>
      </w:r>
      <w:r>
        <w:rPr>
          <w:rFonts w:hint="eastAsia" w:ascii="黑体" w:eastAsia="黑体" w:cs="黑体"/>
          <w:color w:val="auto"/>
          <w:sz w:val="44"/>
          <w:szCs w:val="44"/>
        </w:rPr>
        <w:t xml:space="preserve"> </w:t>
      </w:r>
    </w:p>
    <w:p w14:paraId="77F50F13">
      <w:pPr>
        <w:spacing w:before="120" w:after="120" w:line="0" w:lineRule="atLeast"/>
        <w:jc w:val="center"/>
        <w:rPr>
          <w:rFonts w:hint="eastAsia" w:ascii="黑体" w:hAnsi="Courier New" w:eastAsia="黑体" w:cs="Courier New"/>
          <w:bCs/>
          <w:color w:val="auto"/>
          <w:sz w:val="44"/>
          <w:szCs w:val="21"/>
        </w:rPr>
      </w:pPr>
    </w:p>
    <w:p w14:paraId="034C5672">
      <w:pPr>
        <w:spacing w:before="120" w:after="120" w:line="0" w:lineRule="atLeast"/>
        <w:jc w:val="center"/>
        <w:rPr>
          <w:rFonts w:cs="Courier New"/>
          <w:color w:val="auto"/>
          <w:sz w:val="24"/>
          <w:szCs w:val="24"/>
        </w:rPr>
      </w:pPr>
      <w:r>
        <w:rPr>
          <w:rFonts w:hint="eastAsia" w:ascii="黑体" w:hAnsi="Courier New" w:eastAsia="黑体" w:cs="Courier New"/>
          <w:bCs/>
          <w:color w:val="auto"/>
          <w:sz w:val="44"/>
          <w:szCs w:val="21"/>
        </w:rPr>
        <w:t>第四章 采购需求</w:t>
      </w:r>
    </w:p>
    <w:p w14:paraId="77F24401">
      <w:pPr>
        <w:spacing w:line="360" w:lineRule="auto"/>
        <w:ind w:firstLine="482"/>
        <w:rPr>
          <w:rFonts w:hint="eastAsia" w:cs="Times New Roman"/>
          <w:b/>
          <w:bCs/>
          <w:color w:val="auto"/>
          <w:sz w:val="24"/>
          <w:szCs w:val="24"/>
          <w:lang w:val="en-US" w:eastAsia="zh-CN"/>
        </w:rPr>
      </w:pPr>
      <w:bookmarkStart w:id="149" w:name="_bookmark0"/>
      <w:bookmarkEnd w:id="149"/>
      <w:r>
        <w:rPr>
          <w:rFonts w:hint="eastAsia" w:cs="Times New Roman"/>
          <w:b/>
          <w:bCs/>
          <w:color w:val="auto"/>
          <w:sz w:val="24"/>
          <w:szCs w:val="24"/>
          <w:lang w:val="en-US" w:eastAsia="zh-CN"/>
        </w:rPr>
        <w:t>一、项目建设需求</w:t>
      </w:r>
    </w:p>
    <w:p w14:paraId="3FC9DD2D">
      <w:pPr>
        <w:spacing w:line="360" w:lineRule="auto"/>
        <w:ind w:firstLine="482"/>
        <w:rPr>
          <w:rFonts w:hint="eastAsia" w:cs="Times New Roman"/>
          <w:b/>
          <w:bCs/>
          <w:color w:val="auto"/>
          <w:sz w:val="24"/>
          <w:szCs w:val="24"/>
          <w:lang w:val="en-US" w:eastAsia="zh-CN"/>
        </w:rPr>
      </w:pPr>
      <w:bookmarkStart w:id="150" w:name="_bookmark1"/>
      <w:bookmarkEnd w:id="150"/>
      <w:r>
        <w:rPr>
          <w:rFonts w:hint="eastAsia" w:cs="Times New Roman"/>
          <w:b/>
          <w:bCs/>
          <w:color w:val="auto"/>
          <w:sz w:val="24"/>
          <w:szCs w:val="24"/>
          <w:lang w:val="en-US" w:eastAsia="zh-CN"/>
        </w:rPr>
        <w:t>1、项目背景</w:t>
      </w:r>
    </w:p>
    <w:p w14:paraId="474880E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射阳县中医院创建于 1959 年，复建于 1979 年，经过数十年的发展，现已 建成为一所集医疗、教学、科研、急救、康复、保健为一体的国家“二级甲等”中医医院。目前正在创建三级中医医院。</w:t>
      </w:r>
    </w:p>
    <w:p w14:paraId="436D297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多年来，医院坚持视社会公益为己任，把人民健康利益放在首位。以群众健康的乐园、员工发展的平台、社会文明的窗口和幸福生活的源泉为愿景，向下扎根，向上攀登，努力建成特色鲜明、区域知名的高水平医院。</w:t>
      </w:r>
    </w:p>
    <w:p w14:paraId="3CBAF0F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射阳县中医院的发展离不开信息化建设，在当今的互联网时代，大力发展信息化建设已经成为医院各级干部职工的共识。</w:t>
      </w:r>
    </w:p>
    <w:p w14:paraId="665E45D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借助医院的信息化建设，能够快速实现射阳县中医院内部流程优化</w:t>
      </w:r>
      <w:r>
        <w:rPr>
          <w:rFonts w:hint="eastAsia" w:ascii="宋体" w:hAnsi="宋体" w:eastAsia="宋体" w:cs="宋体"/>
          <w:b w:val="0"/>
          <w:bCs w:val="0"/>
          <w:color w:val="auto"/>
          <w:sz w:val="24"/>
          <w:szCs w:val="24"/>
          <w:lang w:val="en-US" w:eastAsia="zh-CN" w:bidi="ar-SA"/>
        </w:rPr>
        <w:t>、</w:t>
      </w:r>
      <w:r>
        <w:rPr>
          <w:rFonts w:hint="eastAsia" w:cs="Times New Roman"/>
          <w:color w:val="auto"/>
          <w:sz w:val="24"/>
          <w:szCs w:val="24"/>
          <w:lang w:val="en-US" w:eastAsia="zh-CN"/>
        </w:rPr>
        <w:t>外部互联网+医疗，助力医院医疗业务快速发展，提升射阳县中医院地区综合影响力。针对区域医共体、分级诊疗、医院精细化管理、患者服务等各个方面进行统筹兼顾，均衡发展，能够使得医院面向未来，合理布局，能够提升医院的区域示范效应，促进医院长足进步。同时，信息化的建设需要体现医院发展的整体要求，配合医院的发展步伐，适应医院各项业务的需求，为一线临床和管理部门服务。因此，医院以创建三级中医医院为主要目标，以《三级中医医院评审标准实施细则（2020 年修改版）》为建设标准，借助电子病历系统、互联互通、智慧医院契机，全面提升医院的整体信息化。通过本项目的建设，按照 “以评促建”的核心思想，在满足评级的基础上，能够不断提升医院的临床信息化服务及管理能力，让医院的整体信息化基础框架能够支撑未来 3~5 年的信息化发展要求。</w:t>
      </w:r>
    </w:p>
    <w:p w14:paraId="2F31763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 年经国务院同意，国家卫生健康委、国家发展改革委、财政部、人力资源社会保障部、国家医保局、国家药监局联合印发《深化医药卫生体制改革</w:t>
      </w:r>
    </w:p>
    <w:p w14:paraId="479E647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 年下半年重点工作任务》（以下简称《任务》），明确了 2023 年下半年</w:t>
      </w:r>
    </w:p>
    <w:p w14:paraId="75363B0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深化医改的重点任务和工作安排。下半年医改工作主要包括六个方面 20 条具体任务。其中，国家中医药管理局分工负责工作涉及促进优质医疗资源扩容和区域均衡布局、深化以公益性为导向的公立医院改革、促进多层次医疗保障有序衔接等方面。</w:t>
      </w:r>
    </w:p>
    <w:p w14:paraId="1F593FB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《任务》要求，国家中医药局、国家发展改革委、教育部、财政部、国家 卫生健康委、国家药监局、中央军委后勤保障部卫生局等按职责分工负责促进 中医药传承创新发展。加快国家中医药传承创新中心、国家中医疫病防治基地、中医特色重点医院、中西医协同“旗舰”医院建设，推进国家中医药综合改革 示范区建设。加强中医医院康复科和老年医学科建设，依托现有资源，建设一 批中医康复中心。加强中医药特色人才培养，面向基层医疗卫生机构医师和乡 村医生开展中医药知识技能培训。推进古代经典名方制剂研发，加快关键信息 考证发布及新药审批。</w:t>
      </w:r>
    </w:p>
    <w:p w14:paraId="3E5D4A7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提出，国家卫生健康委、国家发展改革委、教育部、财政部、人力资源社会保障部、国家中医药局、国家疾控局、中央军委后勤保障部卫生局和各省、自治区、直辖市人民政府等按职责分工负责推进国家医学中心和国家区域医疗中心设置建设。统筹布局综合类、专科类、中医类的国家医学中心建设项目，开展国家区域医疗中心建设成效评价，推动建立与国家区域医疗中心相适应的管理体制和运行机制。</w:t>
      </w:r>
    </w:p>
    <w:p w14:paraId="25C293D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《任务》要求，国家医保局、国家卫生健康委、财政部、国家中医药局、国家疾控局等按职责分工负责推动各省（自治区、直辖市）开展 2023 年度医疗服务价格调整评估，符合条件的在总量范围内及时调整价格，优先将技术劳务</w:t>
      </w:r>
    </w:p>
    <w:p w14:paraId="0A17331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价值为主的治疗类、手术类和部分中医医疗服务项目纳入调整范围。</w:t>
      </w:r>
    </w:p>
    <w:p w14:paraId="6132ED0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提出，国家医保局、财政部、国家卫生健康委、国家中医药局、国家疾控局等按职责分工负责深化多元复合式医保支付方式改革。推进长期、慢性病住院医疗服务按床日付费工作，探索实施中医优势病种按病种付费。</w:t>
      </w:r>
    </w:p>
    <w:p w14:paraId="110E945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为贯彻国家医改政策，实施健康江苏战略，江苏省密集推出了一系列医药 卫生体制改革方案，包括《江苏省“互联网+医疗健康”便民惠民活动的通知》</w:t>
      </w:r>
    </w:p>
    <w:p w14:paraId="2AFE409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（苏卫规划[2018]39 号）、《江苏省关于加快推进紧密型医共体建设试点工作的通知》（苏卫医政〔2018〕54 号）、关于进一步加强互联网医院建设完善互</w:t>
      </w:r>
    </w:p>
    <w:p w14:paraId="24CD6E4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联网医疗服务的通知（苏卫规划〔2023〕29 号）等文件，进一步深化了全省医药卫生体制改革。</w:t>
      </w:r>
    </w:p>
    <w:p w14:paraId="63D47A5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卫生健康相关负责领导曾在全省医院信息化建设推进会上对全省医院信息化建设形势和现状进行了分析，指出医院信息化建设经过多年发展，信息系统正逐步趋于全面、趋于合理、趋于人性、趋于高效，并在向集成化、协同化、区域型、整合型方向发展。国家和省关于推进“互联网+”行动、促进和规范健康医疗大数据应用发展、推开公立医院综合改革等政策文件，对医院信息化都提出了更高要求，医院信息化建设面临重大机遇和挑战。全省要进一步强化统筹、强化领导、强化标准、强化应用、强化服务、强化安全，扎实推进江苏省医院信息化建设；解决好信息化发展理念、组织领导、资金投入等问题；选择好信息化发展策略，突出建设重点，提倡联合开发，相互借鉴提高，勇于弯道超车。要把握好标准化、人性化、集成化、智能化、安全化等建设目标，抓好整体规划、需求导向、技术支撑、流程重组、互联互通、务实应用等关键环节。对于医院信息化建设当前任务，指出要认真做好几项落实，一是落实好电子病历全面建设和改造升级任务，二是落实好院内信息集成平台和数据中心建设任务，三是落实好医共体和分级诊疗制度信息化支撑任务，四是落实好与区域健康信息平台互联互通任务，五是落实好各级医疗服务综合监管平台建设任务，六是落实好基本医保异地就医结算信息系统接入运行任务，七是落实好医院信息化建设水平监测评价和督查任务。</w:t>
      </w:r>
    </w:p>
    <w:p w14:paraId="0BE697E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2022 年 12 月 5 日，国家中医药管理局印发《“十四五”中医药信息化发展规划》指出，要促进中医药信息化体系化、集约化、精细化发展，持续推动中医药业务与信息技术深度融合，以数字化、网络化、智能化促进行业转型升级，为推进中医药现代化、推动中医药事业和产业高质量发展提供有力的技术</w:t>
      </w:r>
    </w:p>
    <w:p w14:paraId="10EC334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支撑。提出，要开展夯实中医药信息化发展基础、深化数字便民惠民服务、加 强中医药数据资源治理、推进中医药数据资源创新应用等 4 个方面的主要任务。</w:t>
      </w:r>
    </w:p>
    <w:p w14:paraId="266C51A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 年 03 月，国家中医药管理局根据《中医药信息化发展“十三五”规划》(国中医药规财发〔2016〕36 号)要求，为进一步推进和规范中医医院信息化建设，提高中医医院信息化水平，印发了关于征求《中医医院信息化建设基</w:t>
      </w:r>
    </w:p>
    <w:p w14:paraId="433A4A5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本规范（修订）（征求意见稿）》和《中医医院信息系统基本功能规范（修订）</w:t>
      </w:r>
    </w:p>
    <w:p w14:paraId="11A4ED3E">
      <w:pPr>
        <w:spacing w:line="360" w:lineRule="auto"/>
        <w:rPr>
          <w:rFonts w:hint="eastAsia" w:cs="Times New Roman"/>
          <w:color w:val="auto"/>
          <w:sz w:val="24"/>
          <w:szCs w:val="24"/>
          <w:lang w:val="en-US" w:eastAsia="zh-CN"/>
        </w:rPr>
      </w:pPr>
      <w:r>
        <w:rPr>
          <w:rFonts w:hint="eastAsia" w:cs="Times New Roman"/>
          <w:color w:val="auto"/>
          <w:sz w:val="24"/>
          <w:szCs w:val="24"/>
          <w:lang w:val="en-US" w:eastAsia="zh-CN"/>
        </w:rPr>
        <w:t>（征求意见稿）》意见的函(以下简称《征求意见函》）。相较于 2011 版《中医医院信息化建设基本规范》，《中医医院信息化建设基本规范（修订）（征求意见稿）》扩展了规范体系分类，融合了相关新标准、新规范，重点突出了中医药特色等。与 2011 版《中医医院信息系统基本功能规范》相比，《中医医院信息系统基本功能规范（修订）（征求意见稿）》细化大类，新增中医治未病管理分系统、慢病管理分系统等 23 个系统，强化了信息安全及医院信息平台基础功能等。</w:t>
      </w:r>
    </w:p>
    <w:p w14:paraId="1ED1849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其中，《中医院信息化建设基本规范（2019 年修订征求意见稿）》第五十 三条指出中医医院应依据相关信息技术规范和标准，对信息系统开展标准符合 性测试和应用评价，检验和评价中医医院信息系统对相关标准的执行落实情况 及互联互通标准化成熟度水平，推动标准广泛应用，促进互联互通和信息共享。</w:t>
      </w:r>
    </w:p>
    <w:p w14:paraId="3549B92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中医医院应实现院内各诊疗环节信息互联互通，三级医院应达到医院信息互联互通标准化成熟度测评四级水平，二级医院应达到医院信息互联互通标准化成熟度测评三级水平。</w:t>
      </w:r>
    </w:p>
    <w:p w14:paraId="3871719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中医医院应按照《电子病历系统功能应用水平分级评价方法及标准（试 行）》开展电子病历信息化建设评价，持续提高中医电子病历信息化整体水平。三级中医医院应达到电子病历应用水平分级评价四级以上，即医院内实现全院 信息共享，并具备医疗决策支持功能。二级中医医院应要达到分级评价三级以 上，即实现医院内不同部门间数据交换。</w:t>
      </w:r>
    </w:p>
    <w:p w14:paraId="7C14E4B4">
      <w:pPr>
        <w:spacing w:line="360" w:lineRule="auto"/>
        <w:ind w:firstLine="482"/>
        <w:rPr>
          <w:rFonts w:hint="eastAsia" w:cs="Times New Roman"/>
          <w:b/>
          <w:bCs/>
          <w:color w:val="auto"/>
          <w:sz w:val="24"/>
          <w:szCs w:val="24"/>
          <w:lang w:val="en-US" w:eastAsia="zh-CN"/>
        </w:rPr>
      </w:pPr>
      <w:bookmarkStart w:id="151" w:name="_bookmark2"/>
      <w:bookmarkEnd w:id="151"/>
      <w:r>
        <w:rPr>
          <w:rFonts w:hint="eastAsia" w:cs="Times New Roman"/>
          <w:b/>
          <w:bCs/>
          <w:color w:val="auto"/>
          <w:sz w:val="24"/>
          <w:szCs w:val="24"/>
          <w:lang w:val="en-US" w:eastAsia="zh-CN"/>
        </w:rPr>
        <w:t>2、总体建设需求</w:t>
      </w:r>
    </w:p>
    <w:p w14:paraId="4709FC12">
      <w:pPr>
        <w:spacing w:line="360" w:lineRule="auto"/>
        <w:ind w:firstLine="482"/>
        <w:rPr>
          <w:rFonts w:hint="eastAsia" w:cs="Times New Roman"/>
          <w:color w:val="auto"/>
          <w:sz w:val="24"/>
          <w:szCs w:val="24"/>
          <w:lang w:val="en-US" w:eastAsia="zh-CN"/>
        </w:rPr>
      </w:pPr>
      <w:bookmarkStart w:id="152" w:name="_bookmark3"/>
      <w:bookmarkEnd w:id="152"/>
      <w:r>
        <w:rPr>
          <w:rFonts w:hint="eastAsia" w:cs="Times New Roman"/>
          <w:color w:val="auto"/>
          <w:sz w:val="24"/>
          <w:szCs w:val="24"/>
          <w:lang w:val="en-US" w:eastAsia="zh-CN"/>
        </w:rPr>
        <w:t>（1）满足三级中医医院评审要求</w:t>
      </w:r>
    </w:p>
    <w:p w14:paraId="6288B6B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本次医院信息化建设项目将以《三级中医医院评审标准》（2022 年版）、《三级中医医院评审标准实施细则（2023 年版）》、《中医院信息化建设基本规范（2019 年版）》、《中医院信息系统基本功能规范（2019 年修订征求意见稿）》、《电子病历系统功能应用水平分级评价方法及标准（试行）（2018年版）》以及《国家医疗健康信息医院信息互联互通标准化成熟度测评方案（2021 年版）》的要求和规范为建设标准。医院信息化建设完成后，医院能够满足三级中医医院评审标准，能协助医院通过三级中医医院评审。</w:t>
      </w:r>
    </w:p>
    <w:p w14:paraId="376D770C">
      <w:pPr>
        <w:spacing w:line="360" w:lineRule="auto"/>
        <w:ind w:firstLine="482"/>
        <w:rPr>
          <w:rFonts w:hint="eastAsia" w:cs="Times New Roman"/>
          <w:color w:val="auto"/>
          <w:sz w:val="24"/>
          <w:szCs w:val="24"/>
          <w:lang w:val="en-US" w:eastAsia="zh-CN"/>
        </w:rPr>
      </w:pPr>
      <w:bookmarkStart w:id="153" w:name="_bookmark4"/>
      <w:bookmarkEnd w:id="153"/>
      <w:r>
        <w:rPr>
          <w:rFonts w:hint="eastAsia" w:cs="Times New Roman"/>
          <w:color w:val="auto"/>
          <w:sz w:val="24"/>
          <w:szCs w:val="24"/>
          <w:lang w:val="en-US" w:eastAsia="zh-CN"/>
        </w:rPr>
        <w:t>（2）满足医院一体化管理</w:t>
      </w:r>
    </w:p>
    <w:p w14:paraId="74DD7F6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以支撑智慧医院建设的战略目标达成为原则，依托大数据、物联网、5G 等新型信息技术，在临床诊疗、患者服务、科学管理、医教研支撑、区域医疗协同等几个维度全面提升信息化支撑和服务能力，综合能力达到电子病历 4 级、</w:t>
      </w:r>
    </w:p>
    <w:p w14:paraId="0FA7A7B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互联互通成熟度四级甲等、智慧医院 3 级水平、三级中医医院，统筹区域医共体信息化建设。</w:t>
      </w:r>
    </w:p>
    <w:p w14:paraId="5045A4E0">
      <w:pPr>
        <w:spacing w:line="360" w:lineRule="auto"/>
        <w:ind w:firstLine="482"/>
        <w:rPr>
          <w:rFonts w:hint="eastAsia" w:cs="Times New Roman"/>
          <w:color w:val="auto"/>
          <w:sz w:val="24"/>
          <w:szCs w:val="24"/>
          <w:lang w:val="en-US" w:eastAsia="zh-CN"/>
        </w:rPr>
      </w:pPr>
      <w:bookmarkStart w:id="154" w:name="_bookmark5"/>
      <w:bookmarkEnd w:id="154"/>
      <w:r>
        <w:rPr>
          <w:rFonts w:hint="eastAsia" w:cs="Times New Roman"/>
          <w:color w:val="auto"/>
          <w:sz w:val="24"/>
          <w:szCs w:val="24"/>
          <w:lang w:val="en-US" w:eastAsia="zh-CN"/>
        </w:rPr>
        <w:t>（3）提升医院整体服务、运营和管理水平</w:t>
      </w:r>
    </w:p>
    <w:p w14:paraId="17D1D0F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医院信息化建设要求统筹规划，分三阶段建设。目前重点以“一体化建设”为主，优先推进，探索经验，逐步推进医院信息化建设。本项目满足深化医药  卫生体制改革的要求，根据对医院信息化建设情况的需求分析，结合医疗行业  信息化的发展，遵循互联互通、电子病历应用水平标准及《全国医院信息化标</w:t>
      </w:r>
    </w:p>
    <w:p w14:paraId="1ACA728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准与规范》、《中医院信息化建设基本规范（2019 年修订征求意见稿）》的要求，确定医院信息化建设总体目标为：</w:t>
      </w:r>
    </w:p>
    <w:p w14:paraId="30D2293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架构体系：高兼容、可扩展，可持续满足不断发展的服务需求；</w:t>
      </w:r>
    </w:p>
    <w:p w14:paraId="183058A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服务体系：信息互通、系统完善，可便捷提供不同对象的服务需求；</w:t>
      </w:r>
    </w:p>
    <w:p w14:paraId="16082C9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技术体系：技术先进、智能简约，可为普通人群广泛推广应用；</w:t>
      </w:r>
    </w:p>
    <w:p w14:paraId="2A30AB6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规范体系：标准闭环、支持互通，与国际国内标准高度融合。</w:t>
      </w:r>
    </w:p>
    <w:p w14:paraId="267A10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IT  架构：以信息集成平台为依托，进一步推进互联网、物联网广泛应用，</w:t>
      </w:r>
    </w:p>
    <w:p w14:paraId="484FCBA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全面开展临床辅助决策支持，实现患者诊疗信息的共享及医护管信息利用的便利性。</w:t>
      </w:r>
    </w:p>
    <w:p w14:paraId="11D71CD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服务：以五级国家电子病历应用等级评审标准为参照，结合国家医院互联互通四级甲等的测评要求以及三级中医医院评审标准，全面提升医院信息化建设水平，重点提升临床效率、临床质量和医疗安全，夯实临床科研和管理数据的基础。</w:t>
      </w:r>
    </w:p>
    <w:p w14:paraId="2FE29CE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精细化管理：以公立医院考核指标和内控指标为切入点，完善医院运营管 理基础系统；建立全面的分类绩效指标体系，促进重点学科和核心病种的发展，扩大学科的学术影响力和社会影响力，实现医院精细化管理。</w:t>
      </w:r>
    </w:p>
    <w:p w14:paraId="196BEFF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科研教学：以核心病种科研为重心,支持大样本、多中心的临床单病种科研,实现对临床药物试验、转化医学研究的信息化支撑，加强科研管理，强调数据资产保护、利用和科研协作。</w:t>
      </w:r>
    </w:p>
    <w:p w14:paraId="6398654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应用技术创新：通过探索尝试互联网、云计算、大数据分析等领先的 IT 技术，为医院提供移动信息化、数据化的基础设施，实现医疗服务和患者建卡管理模式的创新，打造以患者为中心的移动智能就医平台。</w:t>
      </w:r>
    </w:p>
    <w:p w14:paraId="4435E346">
      <w:pPr>
        <w:spacing w:line="360" w:lineRule="auto"/>
        <w:ind w:firstLine="482"/>
        <w:rPr>
          <w:rFonts w:hint="eastAsia" w:cs="Times New Roman"/>
          <w:b/>
          <w:bCs/>
          <w:color w:val="auto"/>
          <w:sz w:val="24"/>
          <w:szCs w:val="24"/>
          <w:lang w:val="en-US" w:eastAsia="zh-CN"/>
        </w:rPr>
      </w:pPr>
      <w:bookmarkStart w:id="155" w:name="_bookmark6"/>
      <w:bookmarkEnd w:id="155"/>
      <w:r>
        <w:rPr>
          <w:rFonts w:hint="eastAsia" w:cs="Times New Roman"/>
          <w:b/>
          <w:bCs/>
          <w:color w:val="auto"/>
          <w:sz w:val="24"/>
          <w:szCs w:val="24"/>
          <w:lang w:val="en-US" w:eastAsia="zh-CN"/>
        </w:rPr>
        <w:t>3、互联互通评级需求</w:t>
      </w:r>
    </w:p>
    <w:p w14:paraId="718EBD8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顶层设计从平台建设角度考虑，平台搭建完成后，优先满足医院互联互通四甲的要求。信息共享与互联互通是医院信息化建设的核心诉求，以标准化信息为基础，实现数据、信息、资源的全面共享和管理。选用国际医疗行业通用的、行业领先的专业集成平台，项目具体应涵盖以下内容：</w:t>
      </w:r>
    </w:p>
    <w:p w14:paraId="4F389FF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（1）医疗数据交互必须遵循支持 HL7、DICOM 等国际医学数据标准，符合国家卫计委、省、市各级医院信息标准要求；</w:t>
      </w:r>
    </w:p>
    <w:p w14:paraId="7AF6C24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（2）支持多业务系统集成，可跨系统的获取病人基本信息、诊疗记录、电子病历信息、检验、检查报告信息，并调阅影像结果；</w:t>
      </w:r>
    </w:p>
    <w:p w14:paraId="5995986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（3）建立患者主索引（EMPI）管理，保障医院就诊介质及患者医疗信息可相互共享；</w:t>
      </w:r>
    </w:p>
    <w:p w14:paraId="4978366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（4）建设医院主数据信息库（MDM），包括门诊诊疗基本数据集标准、住院诊疗基本数据集标准、个人信息基本数据集标准、健康档案基本架构与数据标准等 50 余项。此外，目前通用的还有其他的国际编码、国标码、区域编码等，应当通过医院信息平台的建设和先进技术的采用，建立全院统一的标准字典库，促进这些数据标准在院内的统一应用，为今后实现不同医疗机构、不同业务系统间的信息交换信息标准和规范基础；</w:t>
      </w:r>
    </w:p>
    <w:p w14:paraId="6199045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（5）建立统一的医疗价格服务中心，支持医疗服务(而不仅仅是价表项目)价格根据医院等级、执行过程不同的自动价格项目及价格的计算；</w:t>
      </w:r>
    </w:p>
    <w:p w14:paraId="40A7FD3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（6）建立统一支付中心，支持多账户、多院区、多渠道、多类型管理，其医疗服务统一由支付中心处理；</w:t>
      </w:r>
    </w:p>
    <w:p w14:paraId="7D7D0D3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7）建立统一临床数据中心、运营数据中心及应用系统：临床数据集中存储，标准存储，通过临床数据中心建设临床科研平台；通过临床数据中心建设临床随访平台，实现临床专科医疗全过程追踪；构建医院运营管理数据中心，实现运营管理数据的深度挖掘、分析与直观展现，支撑医院科学决策，为医院领导管理决策提供有力依据；</w:t>
      </w:r>
    </w:p>
    <w:p w14:paraId="6FE4FB9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（8）建设“商业智能 BI”系统，提升医院临床数据分析、运营决策支持水 平；建立统一的标准接入体系，建设统一的平台服务接口发布及管理工作模式，提供规范化的平台协作支持方法。为保障医院平台集成信息系统的稳定，以及满足医院未来新上信息系统接入平台的方便性，需要建立基于 SOA 架构的信息交换平台，医院所有信息系统都需要通过信息交换平台进行协作，建立和发布核心业务交互规则库；</w:t>
      </w:r>
    </w:p>
    <w:p w14:paraId="77D43EC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（9）建立统一的信息安全管理机制和硬件支撑体系，保障医院内部信息安全；信息共享和系统集成应可灵活配置，便于未来与医院外部其它数据进行交互。满足未来医疗信息与区域、医保等共享和交换的需求。</w:t>
      </w:r>
    </w:p>
    <w:p w14:paraId="0547102D">
      <w:pPr>
        <w:spacing w:line="360" w:lineRule="auto"/>
        <w:ind w:firstLine="482"/>
        <w:rPr>
          <w:rFonts w:hint="eastAsia" w:cs="Times New Roman"/>
          <w:b/>
          <w:bCs/>
          <w:color w:val="auto"/>
          <w:sz w:val="24"/>
          <w:szCs w:val="24"/>
          <w:lang w:val="en-US" w:eastAsia="zh-CN"/>
        </w:rPr>
      </w:pPr>
      <w:bookmarkStart w:id="156" w:name="_bookmark7"/>
      <w:bookmarkEnd w:id="156"/>
      <w:r>
        <w:rPr>
          <w:rFonts w:hint="eastAsia" w:cs="Times New Roman"/>
          <w:b/>
          <w:bCs/>
          <w:color w:val="auto"/>
          <w:sz w:val="24"/>
          <w:szCs w:val="24"/>
          <w:lang w:val="en-US" w:eastAsia="zh-CN"/>
        </w:rPr>
        <w:t>4、电子病历评级要求</w:t>
      </w:r>
    </w:p>
    <w:p w14:paraId="01646B9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通过医院信息化建设，实现对医院现有的各个相互独立信息系统资源进行整合，构建统一标准的数据中心；统一的基于 HL7 的数据集、共享服务和共享 文档标准，以及统一界面的门户平台。医院信息化建设过程中，通过对医院业 务流程、系统接口、功能优化进行全面升华、改造，并结合电子病历评级标准，既可以从信息化建设的细节方面促进医院的整体信息化水平,又可以通过标准评价来间接验证医院的信息化建设成果真正意义达到 4 级水平，并初步达到 5 级水平。</w:t>
      </w:r>
    </w:p>
    <w:p w14:paraId="76D0311E">
      <w:pPr>
        <w:spacing w:line="360" w:lineRule="auto"/>
        <w:ind w:firstLine="482"/>
        <w:rPr>
          <w:rFonts w:hint="eastAsia" w:cs="Times New Roman"/>
          <w:b/>
          <w:bCs/>
          <w:color w:val="auto"/>
          <w:sz w:val="24"/>
          <w:szCs w:val="24"/>
          <w:lang w:val="en-US" w:eastAsia="zh-CN"/>
        </w:rPr>
      </w:pPr>
      <w:bookmarkStart w:id="157" w:name="_bookmark8"/>
      <w:bookmarkEnd w:id="157"/>
      <w:r>
        <w:rPr>
          <w:rFonts w:hint="eastAsia" w:cs="Times New Roman"/>
          <w:b/>
          <w:bCs/>
          <w:color w:val="auto"/>
          <w:sz w:val="24"/>
          <w:szCs w:val="24"/>
          <w:lang w:val="en-US" w:eastAsia="zh-CN"/>
        </w:rPr>
        <w:t>二、建设目标</w:t>
      </w:r>
    </w:p>
    <w:p w14:paraId="388A312E">
      <w:pPr>
        <w:spacing w:line="360" w:lineRule="auto"/>
        <w:ind w:firstLine="482"/>
        <w:rPr>
          <w:rFonts w:hint="eastAsia" w:cs="Times New Roman"/>
          <w:b/>
          <w:bCs/>
          <w:color w:val="auto"/>
          <w:sz w:val="24"/>
          <w:szCs w:val="24"/>
          <w:lang w:val="en-US" w:eastAsia="zh-CN"/>
        </w:rPr>
      </w:pPr>
      <w:bookmarkStart w:id="158" w:name="_bookmark9"/>
      <w:bookmarkEnd w:id="158"/>
      <w:r>
        <w:rPr>
          <w:rFonts w:hint="eastAsia" w:cs="Times New Roman"/>
          <w:b/>
          <w:bCs/>
          <w:color w:val="auto"/>
          <w:sz w:val="24"/>
          <w:szCs w:val="24"/>
          <w:lang w:val="en-US" w:eastAsia="zh-CN"/>
        </w:rPr>
        <w:t>1、总体目标</w:t>
      </w:r>
    </w:p>
    <w:p w14:paraId="37129A5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以支撑医院“一体化管理”的战略目标达成为原则，依托大数据、物联网、 5G 等新型信息技术，在临床诊疗、患者服务、科学管理、医教研支撑、区域医 疗协同等几个维度全面提升信息化支撑和服务能力，综合能力达到电子病历 4 级、互联互通成熟度四级甲等、三级中医医院，信息化建设水平在同级医院达到省内前列。</w:t>
      </w:r>
    </w:p>
    <w:p w14:paraId="75C3A88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要求统筹规划，分阶段建设。目前重点以“一体化建设”为主，优先推进，探索经验，逐步推进医院信息化建设。本项目满足深化医药卫生体制改革的要求，根据对医院信息化建设情况的需求分析，结合医疗行业信息化的发展，遵循互联互通、电子病历应用水平标准及《全国医院信息化标准与规范》、《中医院信息化建设基本规范（2019 年修订征求意见稿）》的要求，确定医院信息化建设总体目标为：</w:t>
      </w:r>
    </w:p>
    <w:p w14:paraId="5D45D0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（1）架构体系：高兼容、可扩展，可持续满足不断发展的服务需求；</w:t>
      </w:r>
    </w:p>
    <w:p w14:paraId="0C122F0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（2）服务体系：信息互通、系统完善，可便捷提供不同对象的服务需求；</w:t>
      </w:r>
    </w:p>
    <w:p w14:paraId="700CDD8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（3）技术体系：技术先进、智能简约，可为普通人群广泛推广应用；</w:t>
      </w:r>
    </w:p>
    <w:p w14:paraId="6840195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（4）规范体系：标准闭环、支持互通，与国际国内标准高度融合。</w:t>
      </w:r>
    </w:p>
    <w:p w14:paraId="4F5EF70D">
      <w:pPr>
        <w:spacing w:line="360" w:lineRule="auto"/>
        <w:ind w:firstLine="482"/>
        <w:rPr>
          <w:rFonts w:hint="eastAsia" w:cs="Times New Roman"/>
          <w:color w:val="auto"/>
          <w:sz w:val="24"/>
          <w:szCs w:val="24"/>
          <w:lang w:val="en-US" w:eastAsia="zh-CN"/>
        </w:rPr>
      </w:pPr>
    </w:p>
    <w:p w14:paraId="513012B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IT 架构：以信息集成平台为依托，进一步推进互联网、物联网广泛应用，全面开展临床辅助决策支持，实现患者诊疗信息的共享及医护管信息利用的便利性。</w:t>
      </w:r>
    </w:p>
    <w:p w14:paraId="487C750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服务：以国家电子病历应用等级评审标准为参照，结合国家医院互联互通四级甲等的测评要求以及三级中医医院评审标准，全面提升医院信息化建设水平，重点提升临床效率、临床质量和医疗安全，夯实临床科研和管理数据的基础。</w:t>
      </w:r>
    </w:p>
    <w:p w14:paraId="5375707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精细化管理：以公立医院考核指标和内控指标为切入点，完善医院运营管</w:t>
      </w:r>
    </w:p>
    <w:p w14:paraId="5D88077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理基础系统；建立全面的分类绩效指标体系，促进重点学科和核心病种的发展，扩大学科的学术影响力和社会影响力，实现医院精细化管理。</w:t>
      </w:r>
    </w:p>
    <w:p w14:paraId="40AFAF4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科研教学：以核心病种科研为重心,支持大样本、多中心的临床单病种科研,实现对临床药物试验、转化医学研究的信息化支撑，加强科研管理，强调数据资产保护、利用和科研协作。</w:t>
      </w:r>
    </w:p>
    <w:p w14:paraId="66B0E28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应用技术创新：通过探索尝试互联网、云计算、大数据分析等领先的 IT 技术，为医院提供移动信息化、数据化的基础设施，实现医疗服务和患者建卡管理模式的创新，打造以患者为中心的移动智能就医平台。</w:t>
      </w:r>
    </w:p>
    <w:p w14:paraId="064D5055">
      <w:pPr>
        <w:spacing w:line="360" w:lineRule="auto"/>
        <w:ind w:firstLine="482"/>
        <w:rPr>
          <w:rFonts w:hint="eastAsia" w:cs="Times New Roman"/>
          <w:b/>
          <w:bCs/>
          <w:color w:val="auto"/>
          <w:sz w:val="24"/>
          <w:szCs w:val="24"/>
          <w:lang w:val="en-US" w:eastAsia="zh-CN"/>
        </w:rPr>
      </w:pPr>
      <w:bookmarkStart w:id="159" w:name="_bookmark10"/>
      <w:bookmarkEnd w:id="159"/>
      <w:r>
        <w:rPr>
          <w:rFonts w:hint="eastAsia" w:cs="Times New Roman"/>
          <w:b/>
          <w:bCs/>
          <w:color w:val="auto"/>
          <w:sz w:val="24"/>
          <w:szCs w:val="24"/>
          <w:lang w:val="en-US" w:eastAsia="zh-CN"/>
        </w:rPr>
        <w:t>2、建设成效</w:t>
      </w:r>
    </w:p>
    <w:p w14:paraId="51D79CD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围绕“一切以病人为中心”，以建立“三级中医医院”为核心，依托“云 计算”、基于“大数据”、应用“物联网”、利用“人工智能，”实现“智慧 医疗、以人为本”为长远目标，根据医院建设发展战略要求，研究国内外先进 建设经验，结合射阳县中医院管理思想和自身特色，做好顶层设计、整体规划、合理布局、分布实施、阶段跟踪，打好硬件和网络基础等工作之后，医院项目 建成之后会达到的成效。</w:t>
      </w:r>
    </w:p>
    <w:p w14:paraId="4E211309">
      <w:pPr>
        <w:spacing w:line="360" w:lineRule="auto"/>
        <w:ind w:firstLine="482"/>
        <w:rPr>
          <w:rFonts w:hint="eastAsia" w:cs="Times New Roman"/>
          <w:color w:val="auto"/>
          <w:sz w:val="24"/>
          <w:szCs w:val="24"/>
          <w:lang w:val="en-US" w:eastAsia="zh-CN"/>
        </w:rPr>
      </w:pPr>
      <w:bookmarkStart w:id="160" w:name="_bookmark11"/>
      <w:bookmarkEnd w:id="160"/>
      <w:r>
        <w:rPr>
          <w:rFonts w:hint="eastAsia" w:cs="Times New Roman"/>
          <w:color w:val="auto"/>
          <w:sz w:val="24"/>
          <w:szCs w:val="24"/>
          <w:lang w:val="en-US" w:eastAsia="zh-CN"/>
        </w:rPr>
        <w:t>（1）在医院形象及宣传方面</w:t>
      </w:r>
    </w:p>
    <w:p w14:paraId="400C827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宣传：充分依托移动互联平台，实现医院对患者的精准消息推送、服务导流等应用。形象：依托医院重点专科优势，开展全市疾病防治结合的新体系，与盐城市区域卫生信息平台对接，利用大数据技术分析区域内相关重点疾病等患者群体，为此类患者群体开展精准推送、服务导流，充分发挥医院的综合服务能力。</w:t>
      </w:r>
    </w:p>
    <w:p w14:paraId="128C2ED9">
      <w:pPr>
        <w:spacing w:line="360" w:lineRule="auto"/>
        <w:ind w:firstLine="482"/>
        <w:rPr>
          <w:rFonts w:hint="eastAsia" w:cs="Times New Roman"/>
          <w:color w:val="auto"/>
          <w:sz w:val="24"/>
          <w:szCs w:val="24"/>
          <w:lang w:val="en-US" w:eastAsia="zh-CN"/>
        </w:rPr>
      </w:pPr>
      <w:bookmarkStart w:id="161" w:name="_bookmark12"/>
      <w:bookmarkEnd w:id="161"/>
      <w:r>
        <w:rPr>
          <w:rFonts w:hint="eastAsia" w:cs="Times New Roman"/>
          <w:color w:val="auto"/>
          <w:sz w:val="24"/>
          <w:szCs w:val="24"/>
          <w:lang w:val="en-US" w:eastAsia="zh-CN"/>
        </w:rPr>
        <w:t>（2）在通过评审方面</w:t>
      </w:r>
    </w:p>
    <w:p w14:paraId="547A8FF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三级中医医院评审：本次医院信息化建设项目将以《三级中医医院评审标准》（2022 年版）、《三级中医医院评审标准实施细则（2023 年版）》、</w:t>
      </w:r>
    </w:p>
    <w:p w14:paraId="720447D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《中医院信息化建设基本规范（2019 年版）》、《中医院信息系统基本功能规范（2019 年修订征求意见稿）》、《电子病历系统功能应用水平分级评价方法</w:t>
      </w:r>
    </w:p>
    <w:p w14:paraId="4E87220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及标准（试行）（2018 年版）》以及《国家医疗健康信息医院信息互联互通标准化成熟度测评方案（2021 年版）》的要求和规范为建设标准。医院信息化建设完成后，医院能够满足三级中医医院评审标准，能协助医院通过三级中医医院评审。</w:t>
      </w:r>
    </w:p>
    <w:p w14:paraId="53C67F1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互联互通评级：医院信息化顶层设计从平台建设角度考虑，平台搭建完成后，优先满足医院互联互通四甲的要求。信息共享与互联互通是医院信息化建设的核心诉求，以标准化信息为基础，实现数据、信息、资源的全面共享和管理，达到医院互联互通评级四级甲等。</w:t>
      </w:r>
    </w:p>
    <w:p w14:paraId="4A33595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电子病历评级：通过医院信息化项目的建设，实现对医院现有的各个相互独立信息系统资源进行整合，构建统一标准的数据中心；统一的基于 HL7 的数据集、共享服务和共享文档标准，以及统一界面的门户平台。信息平台建设过程中，通过对医院业务流程、系统接口、功能优化进行全面升华、改造，并结合电子病历评级标准，既可以从信息化建设的细节方面促进医院的整体信息化水平，又可以通过标准评价来间接验证医院的信息化建设成果真正意义达到 4级水平，可扩展达到 5 级水平。</w:t>
      </w:r>
    </w:p>
    <w:p w14:paraId="3275D6A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智慧医院评级：通过进一步进行信息系统的持续完善和建设，开展互联网医院建设，基于数据中心和业务规则知识库管理实现患者服务智能化应用，为患者提供全流程的个性化智慧服务，患者就诊更加便利，最终智慧服务水平可扩展达到达到 3 级水平。</w:t>
      </w:r>
    </w:p>
    <w:p w14:paraId="7AECB4B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区域医共体信息化建设：依据 2020 年国家卫健委《县域医共体信息化建设指南（征求意见稿）》要求，遵循“统一标准、集中共享；总体规划、分步实施；充分利旧、面向服务；适度超前、开放协作；支撑医改、惠及民生；保障安全、注重隐私”的六大原则进行建设，与射阳县区域卫生信息平台、“医网通”中心平台建设无缝对接，满足建设共享中药房等中医方面的建设需求。</w:t>
      </w:r>
    </w:p>
    <w:p w14:paraId="45189864">
      <w:pPr>
        <w:spacing w:line="360" w:lineRule="auto"/>
        <w:ind w:firstLine="482"/>
        <w:rPr>
          <w:rFonts w:hint="eastAsia" w:cs="Times New Roman"/>
          <w:color w:val="auto"/>
          <w:sz w:val="24"/>
          <w:szCs w:val="24"/>
          <w:lang w:val="en-US" w:eastAsia="zh-CN"/>
        </w:rPr>
      </w:pPr>
      <w:bookmarkStart w:id="162" w:name="_bookmark13"/>
      <w:bookmarkEnd w:id="162"/>
      <w:r>
        <w:rPr>
          <w:rFonts w:hint="eastAsia" w:cs="Times New Roman"/>
          <w:color w:val="auto"/>
          <w:sz w:val="24"/>
          <w:szCs w:val="24"/>
          <w:lang w:val="en-US" w:eastAsia="zh-CN"/>
        </w:rPr>
        <w:t>（3）在应用效果方面</w:t>
      </w:r>
    </w:p>
    <w:p w14:paraId="17496F6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医院：从服务范围、服务效能、学科水平、人才梯队四个方面，助力射阳</w:t>
      </w:r>
    </w:p>
    <w:p w14:paraId="3DDFEF6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县中医院在全市乃至全省的医疗品牌打造。管理者：医院管理高效、有序、可控。</w:t>
      </w:r>
    </w:p>
    <w:p w14:paraId="38C9998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医护人员：使用便捷、高效；支撑科研和临床。</w:t>
      </w:r>
    </w:p>
    <w:p w14:paraId="396FB7D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患者：就诊体验满意，就诊效率满意，就诊效果满意。</w:t>
      </w:r>
    </w:p>
    <w:p w14:paraId="594F112E">
      <w:pPr>
        <w:spacing w:line="360" w:lineRule="auto"/>
        <w:ind w:firstLine="482"/>
        <w:rPr>
          <w:rFonts w:hint="eastAsia" w:cs="Times New Roman"/>
          <w:b/>
          <w:bCs/>
          <w:color w:val="auto"/>
          <w:sz w:val="24"/>
          <w:szCs w:val="24"/>
          <w:lang w:val="en-US" w:eastAsia="zh-CN"/>
        </w:rPr>
      </w:pPr>
      <w:bookmarkStart w:id="163" w:name="_bookmark14"/>
      <w:bookmarkEnd w:id="163"/>
      <w:r>
        <w:rPr>
          <w:rFonts w:hint="eastAsia" w:cs="Times New Roman"/>
          <w:b/>
          <w:bCs/>
          <w:color w:val="auto"/>
          <w:sz w:val="24"/>
          <w:szCs w:val="24"/>
          <w:lang w:val="en-US" w:eastAsia="zh-CN"/>
        </w:rPr>
        <w:t>三、建设依据</w:t>
      </w:r>
    </w:p>
    <w:p w14:paraId="263B6F27">
      <w:pPr>
        <w:spacing w:line="360" w:lineRule="auto"/>
        <w:ind w:firstLine="482"/>
        <w:rPr>
          <w:rFonts w:hint="eastAsia" w:cs="Times New Roman"/>
          <w:b/>
          <w:bCs/>
          <w:color w:val="auto"/>
          <w:sz w:val="24"/>
          <w:szCs w:val="24"/>
          <w:lang w:val="en-US" w:eastAsia="zh-CN"/>
        </w:rPr>
      </w:pPr>
      <w:bookmarkStart w:id="164" w:name="_bookmark15"/>
      <w:bookmarkEnd w:id="164"/>
      <w:r>
        <w:rPr>
          <w:rFonts w:hint="eastAsia" w:cs="Times New Roman"/>
          <w:b/>
          <w:bCs/>
          <w:color w:val="auto"/>
          <w:sz w:val="24"/>
          <w:szCs w:val="24"/>
          <w:lang w:val="en-US" w:eastAsia="zh-CN"/>
        </w:rPr>
        <w:t>1、政策文件</w:t>
      </w:r>
    </w:p>
    <w:p w14:paraId="59FC11C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《中共中央国务院关于深化医药卫生体制改革的意见》，2009 年 3 月 17 日实施；</w:t>
      </w:r>
    </w:p>
    <w:p w14:paraId="581771D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《中共中央关于全面深化改革若干重大问题的决定》，2013 年 11 月 15 日实施；</w:t>
      </w:r>
    </w:p>
    <w:p w14:paraId="728166D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《国务院办公厅关于城市公立医院综合改革试点的指导意见》，国办发〔2015〕38 号；</w:t>
      </w:r>
    </w:p>
    <w:p w14:paraId="2684E5D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《国务院办公厅关于推进分级诊疗制度建设的指导意见》，国办发</w:t>
      </w:r>
    </w:p>
    <w:p w14:paraId="3E7C547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〔2015〕70 号；</w:t>
      </w:r>
    </w:p>
    <w:p w14:paraId="4FFE521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《国务院办公厅关于促进“互联网+医疗健康”发展的意见》，国办发</w:t>
      </w:r>
    </w:p>
    <w:p w14:paraId="18D42DA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〔2018〕26 号；</w:t>
      </w:r>
    </w:p>
    <w:p w14:paraId="67CC5E3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《国务院办公厅关于促进和规范健康医疗大数据应用发展的指导意见》，国办发〔2016〕47 号；</w:t>
      </w:r>
    </w:p>
    <w:p w14:paraId="731837B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《国家卫生计生委关于印发“十三五”全国人口健康信息化发展规划的通知》，国卫规划发〔2017〕6 号；</w:t>
      </w:r>
    </w:p>
    <w:p w14:paraId="763A37E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《江苏省“十三五”卫生与健康暨现代医疗卫生体系建设规划的通知》，苏政办发〔2016〕164 号；</w:t>
      </w:r>
    </w:p>
    <w:p w14:paraId="4960966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《江苏省“互联网+医疗健康”便民惠民活动的通知》，苏卫规划 [2018]39 号；</w:t>
      </w:r>
    </w:p>
    <w:p w14:paraId="119E02D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《关于加快推进紧密型医共体建设试点工作的通知》， 苏卫医政</w:t>
      </w:r>
    </w:p>
    <w:p w14:paraId="4450357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〔2018〕54 号）；</w:t>
      </w:r>
    </w:p>
    <w:p w14:paraId="5E7FC80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《江苏省“互联网+护理服务”试点工作实施方案》的通知（苏卫医政</w:t>
      </w:r>
    </w:p>
    <w:p w14:paraId="034B3CE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〔2019〕25 号）；</w:t>
      </w:r>
    </w:p>
    <w:p w14:paraId="78ADE81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《江苏省互联网医疗服务审批程序》的通知（苏卫医政〔2019〕26号）；</w:t>
      </w:r>
    </w:p>
    <w:p w14:paraId="55724D5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《国务院办公厅关于印发“十四五”中医药发展规划的通知》（国办发〔2022〕5 号）；</w:t>
      </w:r>
    </w:p>
    <w:p w14:paraId="09921B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《国家中医药管理局办公室关于印发国家三级公立中医医院绩效考核操作手册（2022 版）的通知》 （国中医药办医政发〔2022〕1 号）；</w:t>
      </w:r>
    </w:p>
    <w:p w14:paraId="0FF2AAC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《国家卫生健康委办公厅关于印发国家二级公立医院绩效考核操作手册（2022 版）的通知》（国卫办医函〔2022〕165 号）；</w:t>
      </w:r>
    </w:p>
    <w:p w14:paraId="19C5712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《关于印发江苏省改善就医感受提升患者体验主题活动实施方案</w:t>
      </w:r>
    </w:p>
    <w:p w14:paraId="31B3799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（2023-2025）年的通知》，苏卫医政〔2023〕24 号；</w:t>
      </w:r>
    </w:p>
    <w:p w14:paraId="2B4B8A8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《关于做好专家门诊检查检验结果回报后继续就诊有关工作的通知》，苏卫办医政〔2023〕27 号；</w:t>
      </w:r>
    </w:p>
    <w:p w14:paraId="5251E23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《关于印发《江苏省全面提升医疗质量行动实施方案（2023-2025）年的通知》》，苏卫医政〔2023〕38 号；</w:t>
      </w:r>
    </w:p>
    <w:p w14:paraId="0BE695E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《关于进一步优化超声检查服务的通知》，苏卫医政便函〔2023〕39号；</w:t>
      </w:r>
    </w:p>
    <w:p w14:paraId="3D3B74C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《国家卫生健康委办公厅关于印发门(急)诊诊疗信息页质量管理规定</w:t>
      </w:r>
    </w:p>
    <w:p w14:paraId="6C58039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（试行）的通知》，国卫办医政发【2024】16 号；</w:t>
      </w:r>
    </w:p>
    <w:p w14:paraId="24D07E23">
      <w:pPr>
        <w:spacing w:line="360" w:lineRule="auto"/>
        <w:ind w:firstLine="482"/>
        <w:rPr>
          <w:rFonts w:hint="eastAsia" w:cs="Times New Roman"/>
          <w:b/>
          <w:bCs/>
          <w:color w:val="auto"/>
          <w:sz w:val="24"/>
          <w:szCs w:val="24"/>
          <w:lang w:val="en-US" w:eastAsia="zh-CN"/>
        </w:rPr>
      </w:pPr>
      <w:bookmarkStart w:id="165" w:name="_bookmark16"/>
      <w:bookmarkEnd w:id="165"/>
      <w:r>
        <w:rPr>
          <w:rFonts w:hint="eastAsia" w:cs="Times New Roman"/>
          <w:b/>
          <w:bCs/>
          <w:color w:val="auto"/>
          <w:sz w:val="24"/>
          <w:szCs w:val="24"/>
          <w:lang w:val="en-US" w:eastAsia="zh-CN"/>
        </w:rPr>
        <w:t>2、业务及管理规范</w:t>
      </w:r>
    </w:p>
    <w:p w14:paraId="5016F99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《国家卫生健康委办公厅关于印发门（急）诊诊疗信息页质量管理规定（试行）的通知》国卫办医政发【2024】16 号；</w:t>
      </w:r>
    </w:p>
    <w:p w14:paraId="4364304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《关于开展结构化中医门（急）诊电子病历升级改造试点工作的通知 》苏中医医政〔2021〕20 号；</w:t>
      </w:r>
    </w:p>
    <w:p w14:paraId="6180232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《三级中医医院评审标准》（2022 年版）；</w:t>
      </w:r>
    </w:p>
    <w:p w14:paraId="0B113BE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《三级中医医院评审标准实施细则（2023 年版）》；</w:t>
      </w:r>
    </w:p>
    <w:p w14:paraId="08D5DFA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《江苏省三级综合医院评审标准实施细则(2020 版)》，2020 年；</w:t>
      </w:r>
    </w:p>
    <w:p w14:paraId="0E335DE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《中医院信息化建设基本规范（2019 年版）》；</w:t>
      </w:r>
    </w:p>
    <w:p w14:paraId="1205F20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《中医院信息系统基本功能规范（2019 年修订征求意见稿）》；</w:t>
      </w:r>
    </w:p>
    <w:p w14:paraId="53E8E89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《关于印发进一步改善医疗服务行动计划（2018—2020 年）考核指标的通知》，国卫办医函〔2018〕894 号；</w:t>
      </w:r>
    </w:p>
    <w:p w14:paraId="7F12204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《关于印发医院智慧服务分级评估标准体系（试行）的通知》，国卫办医函〔2019〕236 号；</w:t>
      </w:r>
    </w:p>
    <w:p w14:paraId="06A5EF7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《医院信息平台应用功能指引》，国卫办规划函[2016]1110 号；</w:t>
      </w:r>
    </w:p>
    <w:p w14:paraId="0BD4B1D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《医院信息化建设应用技术指引（2017 版）》；国卫办规划函〔2017〕 1232 号；</w:t>
      </w:r>
    </w:p>
    <w:p w14:paraId="237377F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《关于印发全国医院信息化建设标准与规范（试行）的通知》，国卫办规划发〔2018〕4 号；</w:t>
      </w:r>
    </w:p>
    <w:p w14:paraId="593A6EA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《江苏省“互联网+护理服务”信息系统基本功能规范（试行）》，</w:t>
      </w:r>
    </w:p>
    <w:p w14:paraId="536642D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（苏卫办医政〔2019〕27 号；</w:t>
      </w:r>
    </w:p>
    <w:p w14:paraId="509CB81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《电子病历系统功能应用水平分级评价方法及标准（试行）（2018 年版）》</w:t>
      </w:r>
    </w:p>
    <w:p w14:paraId="3C40182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《国家医疗健康信息医院信息互联互通标准化成熟度测评方案（2021年版）》</w:t>
      </w:r>
    </w:p>
    <w:p w14:paraId="1409B3E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《关于推进我省卫生健康系统信创工作的通知（苏卫规划〔2023〕17号）》</w:t>
      </w:r>
    </w:p>
    <w:p w14:paraId="427C025C">
      <w:pPr>
        <w:spacing w:line="360" w:lineRule="auto"/>
        <w:ind w:firstLine="482"/>
        <w:rPr>
          <w:rFonts w:hint="eastAsia" w:cs="Times New Roman"/>
          <w:b/>
          <w:bCs/>
          <w:color w:val="auto"/>
          <w:sz w:val="24"/>
          <w:szCs w:val="24"/>
          <w:lang w:val="en-US" w:eastAsia="zh-CN"/>
        </w:rPr>
      </w:pPr>
      <w:bookmarkStart w:id="166" w:name="_bookmark17"/>
      <w:bookmarkEnd w:id="166"/>
      <w:r>
        <w:rPr>
          <w:rFonts w:hint="eastAsia" w:cs="Times New Roman"/>
          <w:b/>
          <w:bCs/>
          <w:color w:val="auto"/>
          <w:sz w:val="24"/>
          <w:szCs w:val="24"/>
          <w:lang w:val="en-US" w:eastAsia="zh-CN"/>
        </w:rPr>
        <w:t>3、卫生信息标准规范</w:t>
      </w:r>
    </w:p>
    <w:p w14:paraId="6AE8620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《医院信息系统功能规范》，卫办发［2002］116 号；</w:t>
      </w:r>
    </w:p>
    <w:p w14:paraId="71F38DF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《电子病历系统功能规范（试行）》，卫医政发〔2010〕114 号；</w:t>
      </w:r>
    </w:p>
    <w:p w14:paraId="251FC16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《电子病历基本架构与数据标准（征求意见稿）》，卫办综函〔2009〕 688 号；</w:t>
      </w:r>
    </w:p>
    <w:p w14:paraId="00B823F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《电子病历基本数据集第 1 部分：病例概要》等 20 项卫生行业标准的通告，国卫通〔2014〕5 号；</w:t>
      </w:r>
    </w:p>
    <w:p w14:paraId="16EEC88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关于发布《电子病历共享文档规范 第 1 部分：病历概要》等 57 项卫生行业标准的通告，国卫通〔2016〕12 号；</w:t>
      </w:r>
    </w:p>
    <w:p w14:paraId="3D03379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《电子病历系统应用水平分级评价标准 2018 年版（试行）》，国卫办医函〔2018〕1079 号；</w:t>
      </w:r>
    </w:p>
    <w:p w14:paraId="3FC7972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《基于电子病历的医院信息平台建设技术解决方案》，卫办发〔2009〕 130 号；</w:t>
      </w:r>
    </w:p>
    <w:p w14:paraId="59E1D63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《国家医疗健康信息医院信息互联互通标准化成熟度测评方案（2021年版）》，2021 年 3 月；</w:t>
      </w:r>
    </w:p>
    <w:p w14:paraId="265ED7A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《医院智慧服务分级评估标准体系（试行）的通知》，国卫办医函</w:t>
      </w:r>
    </w:p>
    <w:p w14:paraId="0CBE3B3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〔2019〕236 号；</w:t>
      </w:r>
    </w:p>
    <w:p w14:paraId="2AC610C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《远程医疗信息系统建设技术指南的通知》，国卫办规划发〔2014〕 69 号；</w:t>
      </w:r>
    </w:p>
    <w:p w14:paraId="021CE54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《卫生系统电子认证服务体系建设工作的通知》，卫办综发〔2010〕 74 号；</w:t>
      </w:r>
    </w:p>
    <w:p w14:paraId="1E5D0CB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《卫生行业信息安全等级保护工作的指导意见》, 卫办发〔2011〕85</w:t>
      </w:r>
    </w:p>
    <w:p w14:paraId="0822A7F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号;</w:t>
      </w:r>
    </w:p>
    <w:p w14:paraId="5BA82F7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参考国际标准：HL7、DICOM、IHE、CDA、XDS、ICD10 等。</w:t>
      </w:r>
    </w:p>
    <w:p w14:paraId="626283C0">
      <w:pPr>
        <w:spacing w:line="360" w:lineRule="auto"/>
        <w:ind w:firstLine="482"/>
        <w:rPr>
          <w:rFonts w:hint="eastAsia" w:cs="Times New Roman"/>
          <w:b/>
          <w:bCs/>
          <w:color w:val="auto"/>
          <w:sz w:val="24"/>
          <w:szCs w:val="24"/>
          <w:lang w:val="en-US" w:eastAsia="zh-CN"/>
        </w:rPr>
      </w:pPr>
      <w:bookmarkStart w:id="167" w:name="_bookmark18"/>
      <w:bookmarkEnd w:id="167"/>
      <w:r>
        <w:rPr>
          <w:rFonts w:hint="eastAsia" w:cs="Times New Roman"/>
          <w:b/>
          <w:bCs/>
          <w:color w:val="auto"/>
          <w:sz w:val="24"/>
          <w:szCs w:val="24"/>
          <w:lang w:val="en-US" w:eastAsia="zh-CN"/>
        </w:rPr>
        <w:t>4、信息技术标准</w:t>
      </w:r>
    </w:p>
    <w:p w14:paraId="0C72809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《中华人民共和国计算机信息系统安全保护条例》，中华人民共和国国务院令第 147 号发布；</w:t>
      </w:r>
    </w:p>
    <w:p w14:paraId="2FFA978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《计算机信息系统安全等级保护操作系统技术要求》，GAT 388-2002；</w:t>
      </w:r>
    </w:p>
    <w:p w14:paraId="55FCE6B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《计算机软件产品开发文件编制指南》，GB/T 8567-1988；</w:t>
      </w:r>
    </w:p>
    <w:p w14:paraId="22E0165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《质量管理和质量保证标准 第三部分：GB/T 19001-ISO 9001 在软件开发、供应和维护中的使用指南》，GB/T 19000.3-1994；</w:t>
      </w:r>
    </w:p>
    <w:p w14:paraId="67E7BCD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《电子信息系统机房设计规范》，GB 50174-2008；</w:t>
      </w:r>
    </w:p>
    <w:p w14:paraId="606907D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《临床检验结果共享系统互操作行规范》，电子病历委员技术工作组， 2007 年 12 月；</w:t>
      </w:r>
    </w:p>
    <w:p w14:paraId="5DF2E99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《江苏省人口健康信息平台共享数据》，2018 年发布实施；</w:t>
      </w:r>
    </w:p>
    <w:p w14:paraId="15BA55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国家卫健委关于印发《健康档案基本架构与数据标准》， 卫办发</w:t>
      </w:r>
    </w:p>
    <w:p w14:paraId="14F780F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〔2009〕46 号；</w:t>
      </w:r>
    </w:p>
    <w:p w14:paraId="57FA23E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国家卫健委关于印发《健康档案基本数据集编制规范》；</w:t>
      </w:r>
    </w:p>
    <w:p w14:paraId="0299E3D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 《电子病历基本架构与数据标准（征求意见稿）》，2009</w:t>
      </w:r>
    </w:p>
    <w:p w14:paraId="78EE8D6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年 5 月分布；</w:t>
      </w:r>
    </w:p>
    <w:p w14:paraId="0F2D93B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《三级综合医院医疗质量管理与控制指标（2011 年版）》，卫办医政函〔2011〕54 号；</w:t>
      </w:r>
    </w:p>
    <w:p w14:paraId="02217CF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《加强三级公立医院绩效考核工作的意见》，国办发〔2019〕4 号；</w:t>
      </w:r>
    </w:p>
    <w:p w14:paraId="5FAB86C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《关于推进医疗服务综合监管系统建设工作的通知》，（苏卫医政</w:t>
      </w:r>
    </w:p>
    <w:p w14:paraId="56084DF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〔2016〕64 号）；</w:t>
      </w:r>
    </w:p>
    <w:p w14:paraId="3DCF1C6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关于印发《江苏省医疗服务综合监管系统分级部署实施方案》的通知，苏卫办医政〔2019〕33 号。</w:t>
      </w:r>
    </w:p>
    <w:p w14:paraId="1B322AE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《数据管理能力成熟度评估模型》GB/T36073-2018</w:t>
      </w:r>
    </w:p>
    <w:p w14:paraId="7FF2F122">
      <w:pPr>
        <w:spacing w:line="360" w:lineRule="auto"/>
        <w:ind w:firstLine="482"/>
        <w:rPr>
          <w:rFonts w:hint="eastAsia" w:cs="Times New Roman"/>
          <w:b/>
          <w:bCs/>
          <w:color w:val="auto"/>
          <w:sz w:val="24"/>
          <w:szCs w:val="24"/>
          <w:lang w:val="en-US" w:eastAsia="zh-CN"/>
        </w:rPr>
      </w:pPr>
      <w:bookmarkStart w:id="168" w:name="_bookmark19"/>
      <w:bookmarkEnd w:id="168"/>
      <w:r>
        <w:rPr>
          <w:rFonts w:hint="eastAsia" w:cs="Times New Roman"/>
          <w:b/>
          <w:bCs/>
          <w:color w:val="auto"/>
          <w:sz w:val="24"/>
          <w:szCs w:val="24"/>
          <w:lang w:val="en-US" w:eastAsia="zh-CN"/>
        </w:rPr>
        <w:t>四、招标清单</w:t>
      </w:r>
    </w:p>
    <w:p w14:paraId="2928E91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项目建设包含三级中医医院评审、电子病历 4 级并可扩展 5 级测评、互联互通四级甲等、初步达到智慧医院三级水平、医共体（不限于卫健委平台及“医网通”对接）咨询服务、系统设计、开发、实施、运行维护以及相应的软件系统供货、安装调试、系统集成、运行维护、项目验收以及技术培训等。</w:t>
      </w:r>
    </w:p>
    <w:p w14:paraId="1659371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项目建设过程中所需接口及为落实国家、省、市、县政策要求改造费用等（3 年内），应全部包含在投标人的总价中，医院后续不承担额外的系统接口费用，按照信创（承诺免费进行适配升级）、等保要求建设。</w:t>
      </w:r>
    </w:p>
    <w:p w14:paraId="021B1796">
      <w:pPr>
        <w:pStyle w:val="4"/>
        <w:spacing w:before="4"/>
        <w:ind w:left="0"/>
        <w:rPr>
          <w:b/>
          <w:i/>
          <w:iCs/>
          <w:color w:val="auto"/>
          <w:sz w:val="6"/>
        </w:rPr>
      </w:pPr>
      <w:bookmarkStart w:id="169" w:name="_bookmark20"/>
      <w:bookmarkEnd w:id="169"/>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6153"/>
        <w:gridCol w:w="456"/>
        <w:gridCol w:w="458"/>
      </w:tblGrid>
      <w:tr w14:paraId="18111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456" w:type="dxa"/>
          </w:tcPr>
          <w:p w14:paraId="7934D0FF">
            <w:pPr>
              <w:pStyle w:val="25"/>
              <w:ind w:left="107"/>
              <w:rPr>
                <w:b/>
                <w:i w:val="0"/>
                <w:iCs w:val="0"/>
                <w:color w:val="auto"/>
                <w:sz w:val="24"/>
              </w:rPr>
            </w:pPr>
            <w:r>
              <w:rPr>
                <w:b/>
                <w:i w:val="0"/>
                <w:iCs w:val="0"/>
                <w:color w:val="auto"/>
                <w:w w:val="99"/>
                <w:sz w:val="24"/>
              </w:rPr>
              <w:t>序</w:t>
            </w:r>
          </w:p>
          <w:p w14:paraId="75AA50A4">
            <w:pPr>
              <w:pStyle w:val="25"/>
              <w:spacing w:before="4" w:line="289" w:lineRule="exact"/>
              <w:ind w:left="107"/>
              <w:rPr>
                <w:b/>
                <w:i w:val="0"/>
                <w:iCs w:val="0"/>
                <w:color w:val="auto"/>
                <w:sz w:val="24"/>
              </w:rPr>
            </w:pPr>
            <w:r>
              <w:rPr>
                <w:b/>
                <w:i w:val="0"/>
                <w:iCs w:val="0"/>
                <w:color w:val="auto"/>
                <w:w w:val="99"/>
                <w:sz w:val="24"/>
              </w:rPr>
              <w:t>号</w:t>
            </w:r>
          </w:p>
        </w:tc>
        <w:tc>
          <w:tcPr>
            <w:tcW w:w="1001" w:type="dxa"/>
          </w:tcPr>
          <w:p w14:paraId="04BEAEFD">
            <w:pPr>
              <w:pStyle w:val="25"/>
              <w:ind w:left="123" w:right="119"/>
              <w:jc w:val="center"/>
              <w:rPr>
                <w:b/>
                <w:i w:val="0"/>
                <w:iCs w:val="0"/>
                <w:color w:val="auto"/>
                <w:sz w:val="24"/>
              </w:rPr>
            </w:pPr>
            <w:r>
              <w:rPr>
                <w:b/>
                <w:i w:val="0"/>
                <w:iCs w:val="0"/>
                <w:color w:val="auto"/>
                <w:spacing w:val="-2"/>
                <w:sz w:val="24"/>
              </w:rPr>
              <w:t>系统</w:t>
            </w:r>
            <w:r>
              <w:rPr>
                <w:b/>
                <w:i w:val="0"/>
                <w:iCs w:val="0"/>
                <w:color w:val="auto"/>
                <w:spacing w:val="-10"/>
                <w:sz w:val="24"/>
              </w:rPr>
              <w:t>名</w:t>
            </w:r>
          </w:p>
          <w:p w14:paraId="29101355">
            <w:pPr>
              <w:pStyle w:val="25"/>
              <w:spacing w:before="4" w:line="289" w:lineRule="exact"/>
              <w:ind w:left="6"/>
              <w:jc w:val="center"/>
              <w:rPr>
                <w:b/>
                <w:i w:val="0"/>
                <w:iCs w:val="0"/>
                <w:color w:val="auto"/>
                <w:sz w:val="24"/>
              </w:rPr>
            </w:pPr>
            <w:r>
              <w:rPr>
                <w:b/>
                <w:i w:val="0"/>
                <w:iCs w:val="0"/>
                <w:color w:val="auto"/>
                <w:w w:val="99"/>
                <w:sz w:val="24"/>
              </w:rPr>
              <w:t>称</w:t>
            </w:r>
          </w:p>
        </w:tc>
        <w:tc>
          <w:tcPr>
            <w:tcW w:w="6153" w:type="dxa"/>
          </w:tcPr>
          <w:p w14:paraId="5A13B365">
            <w:pPr>
              <w:pStyle w:val="25"/>
              <w:spacing w:before="155"/>
              <w:ind w:left="1999" w:right="1994"/>
              <w:jc w:val="center"/>
              <w:rPr>
                <w:b/>
                <w:i w:val="0"/>
                <w:iCs w:val="0"/>
                <w:color w:val="auto"/>
                <w:sz w:val="24"/>
              </w:rPr>
            </w:pPr>
            <w:r>
              <w:rPr>
                <w:b/>
                <w:i w:val="0"/>
                <w:iCs w:val="0"/>
                <w:color w:val="auto"/>
                <w:spacing w:val="-4"/>
                <w:sz w:val="24"/>
              </w:rPr>
              <w:t>所含模块</w:t>
            </w:r>
          </w:p>
        </w:tc>
        <w:tc>
          <w:tcPr>
            <w:tcW w:w="456" w:type="dxa"/>
          </w:tcPr>
          <w:p w14:paraId="22619E58">
            <w:pPr>
              <w:pStyle w:val="25"/>
              <w:ind w:left="107"/>
              <w:rPr>
                <w:b/>
                <w:i w:val="0"/>
                <w:iCs w:val="0"/>
                <w:color w:val="auto"/>
                <w:sz w:val="24"/>
              </w:rPr>
            </w:pPr>
            <w:r>
              <w:rPr>
                <w:b/>
                <w:i w:val="0"/>
                <w:iCs w:val="0"/>
                <w:color w:val="auto"/>
                <w:w w:val="99"/>
                <w:sz w:val="24"/>
              </w:rPr>
              <w:t>单</w:t>
            </w:r>
          </w:p>
          <w:p w14:paraId="46EEAFFE">
            <w:pPr>
              <w:pStyle w:val="25"/>
              <w:spacing w:before="4" w:line="289" w:lineRule="exact"/>
              <w:ind w:left="107"/>
              <w:rPr>
                <w:b/>
                <w:i w:val="0"/>
                <w:iCs w:val="0"/>
                <w:color w:val="auto"/>
                <w:sz w:val="24"/>
              </w:rPr>
            </w:pPr>
            <w:r>
              <w:rPr>
                <w:b/>
                <w:i w:val="0"/>
                <w:iCs w:val="0"/>
                <w:color w:val="auto"/>
                <w:w w:val="99"/>
                <w:sz w:val="24"/>
              </w:rPr>
              <w:t>位</w:t>
            </w:r>
          </w:p>
        </w:tc>
        <w:tc>
          <w:tcPr>
            <w:tcW w:w="458" w:type="dxa"/>
          </w:tcPr>
          <w:p w14:paraId="46133195">
            <w:pPr>
              <w:pStyle w:val="25"/>
              <w:ind w:left="107"/>
              <w:rPr>
                <w:b/>
                <w:i w:val="0"/>
                <w:iCs w:val="0"/>
                <w:color w:val="auto"/>
                <w:sz w:val="24"/>
              </w:rPr>
            </w:pPr>
            <w:r>
              <w:rPr>
                <w:b/>
                <w:i w:val="0"/>
                <w:iCs w:val="0"/>
                <w:color w:val="auto"/>
                <w:w w:val="99"/>
                <w:sz w:val="24"/>
              </w:rPr>
              <w:t>数</w:t>
            </w:r>
          </w:p>
          <w:p w14:paraId="19989938">
            <w:pPr>
              <w:pStyle w:val="25"/>
              <w:spacing w:before="4" w:line="289" w:lineRule="exact"/>
              <w:ind w:left="107"/>
              <w:rPr>
                <w:b/>
                <w:i w:val="0"/>
                <w:iCs w:val="0"/>
                <w:color w:val="auto"/>
                <w:sz w:val="24"/>
              </w:rPr>
            </w:pPr>
            <w:r>
              <w:rPr>
                <w:b/>
                <w:i w:val="0"/>
                <w:iCs w:val="0"/>
                <w:color w:val="auto"/>
                <w:w w:val="99"/>
                <w:sz w:val="24"/>
              </w:rPr>
              <w:t>量</w:t>
            </w:r>
          </w:p>
        </w:tc>
      </w:tr>
      <w:tr w14:paraId="4F786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restart"/>
          </w:tcPr>
          <w:p w14:paraId="41401D3A">
            <w:pPr>
              <w:pStyle w:val="25"/>
              <w:rPr>
                <w:b/>
                <w:i w:val="0"/>
                <w:iCs w:val="0"/>
                <w:color w:val="auto"/>
                <w:sz w:val="18"/>
              </w:rPr>
            </w:pPr>
          </w:p>
          <w:p w14:paraId="2B006659">
            <w:pPr>
              <w:pStyle w:val="25"/>
              <w:rPr>
                <w:b/>
                <w:i w:val="0"/>
                <w:iCs w:val="0"/>
                <w:color w:val="auto"/>
                <w:sz w:val="18"/>
              </w:rPr>
            </w:pPr>
          </w:p>
          <w:p w14:paraId="063875F0">
            <w:pPr>
              <w:pStyle w:val="25"/>
              <w:rPr>
                <w:b/>
                <w:i w:val="0"/>
                <w:iCs w:val="0"/>
                <w:color w:val="auto"/>
                <w:sz w:val="18"/>
              </w:rPr>
            </w:pPr>
          </w:p>
          <w:p w14:paraId="216022A1">
            <w:pPr>
              <w:pStyle w:val="25"/>
              <w:rPr>
                <w:b/>
                <w:i w:val="0"/>
                <w:iCs w:val="0"/>
                <w:color w:val="auto"/>
                <w:sz w:val="18"/>
              </w:rPr>
            </w:pPr>
          </w:p>
          <w:p w14:paraId="01EDF4DC">
            <w:pPr>
              <w:pStyle w:val="25"/>
              <w:spacing w:before="138"/>
              <w:ind w:left="8"/>
              <w:jc w:val="center"/>
              <w:rPr>
                <w:i w:val="0"/>
                <w:iCs w:val="0"/>
                <w:color w:val="auto"/>
                <w:sz w:val="18"/>
              </w:rPr>
            </w:pPr>
            <w:r>
              <w:rPr>
                <w:i w:val="0"/>
                <w:iCs w:val="0"/>
                <w:color w:val="auto"/>
                <w:sz w:val="18"/>
              </w:rPr>
              <w:t>1</w:t>
            </w:r>
          </w:p>
        </w:tc>
        <w:tc>
          <w:tcPr>
            <w:tcW w:w="1001" w:type="dxa"/>
            <w:vMerge w:val="restart"/>
          </w:tcPr>
          <w:p w14:paraId="0A37096F">
            <w:pPr>
              <w:pStyle w:val="25"/>
              <w:rPr>
                <w:b/>
                <w:i w:val="0"/>
                <w:iCs w:val="0"/>
                <w:color w:val="auto"/>
                <w:sz w:val="18"/>
              </w:rPr>
            </w:pPr>
          </w:p>
          <w:p w14:paraId="3E21A6E4">
            <w:pPr>
              <w:pStyle w:val="25"/>
              <w:rPr>
                <w:b/>
                <w:i w:val="0"/>
                <w:iCs w:val="0"/>
                <w:color w:val="auto"/>
                <w:sz w:val="18"/>
              </w:rPr>
            </w:pPr>
          </w:p>
          <w:p w14:paraId="2972F40F">
            <w:pPr>
              <w:pStyle w:val="25"/>
              <w:rPr>
                <w:b/>
                <w:i w:val="0"/>
                <w:iCs w:val="0"/>
                <w:color w:val="auto"/>
                <w:sz w:val="18"/>
              </w:rPr>
            </w:pPr>
          </w:p>
          <w:p w14:paraId="3B713877">
            <w:pPr>
              <w:pStyle w:val="25"/>
              <w:spacing w:before="8"/>
              <w:rPr>
                <w:b/>
                <w:i w:val="0"/>
                <w:iCs w:val="0"/>
                <w:color w:val="auto"/>
                <w:sz w:val="19"/>
              </w:rPr>
            </w:pPr>
          </w:p>
          <w:p w14:paraId="2FBB7A6F">
            <w:pPr>
              <w:pStyle w:val="25"/>
              <w:spacing w:line="244" w:lineRule="auto"/>
              <w:ind w:left="318" w:right="130" w:hanging="180"/>
              <w:rPr>
                <w:i w:val="0"/>
                <w:iCs w:val="0"/>
                <w:color w:val="auto"/>
                <w:sz w:val="18"/>
              </w:rPr>
            </w:pPr>
            <w:r>
              <w:rPr>
                <w:i w:val="0"/>
                <w:iCs w:val="0"/>
                <w:color w:val="auto"/>
                <w:spacing w:val="-4"/>
                <w:sz w:val="18"/>
              </w:rPr>
              <w:t>医院集成</w:t>
            </w:r>
            <w:r>
              <w:rPr>
                <w:i w:val="0"/>
                <w:iCs w:val="0"/>
                <w:color w:val="auto"/>
                <w:spacing w:val="-6"/>
                <w:sz w:val="18"/>
              </w:rPr>
              <w:t>平台</w:t>
            </w:r>
          </w:p>
        </w:tc>
        <w:tc>
          <w:tcPr>
            <w:tcW w:w="6153" w:type="dxa"/>
          </w:tcPr>
          <w:p w14:paraId="42496E0D">
            <w:pPr>
              <w:pStyle w:val="25"/>
              <w:spacing w:before="26"/>
              <w:ind w:left="2220" w:firstLine="180" w:firstLineChars="100"/>
              <w:jc w:val="both"/>
              <w:rPr>
                <w:i w:val="0"/>
                <w:iCs w:val="0"/>
                <w:color w:val="auto"/>
                <w:sz w:val="18"/>
              </w:rPr>
            </w:pPr>
            <w:r>
              <w:rPr>
                <w:i w:val="0"/>
                <w:iCs w:val="0"/>
                <w:color w:val="auto"/>
                <w:sz w:val="18"/>
              </w:rPr>
              <w:t>平台集成服务</w:t>
            </w:r>
          </w:p>
        </w:tc>
        <w:tc>
          <w:tcPr>
            <w:tcW w:w="456" w:type="dxa"/>
          </w:tcPr>
          <w:p w14:paraId="5C35DD7A">
            <w:pPr>
              <w:pStyle w:val="25"/>
              <w:spacing w:line="267" w:lineRule="exact"/>
              <w:ind w:right="8"/>
              <w:jc w:val="center"/>
              <w:rPr>
                <w:i w:val="0"/>
                <w:iCs w:val="0"/>
                <w:color w:val="auto"/>
              </w:rPr>
            </w:pPr>
            <w:r>
              <w:rPr>
                <w:i w:val="0"/>
                <w:iCs w:val="0"/>
                <w:color w:val="auto"/>
              </w:rPr>
              <w:t>项</w:t>
            </w:r>
          </w:p>
        </w:tc>
        <w:tc>
          <w:tcPr>
            <w:tcW w:w="458" w:type="dxa"/>
          </w:tcPr>
          <w:p w14:paraId="2D70BC52">
            <w:pPr>
              <w:pStyle w:val="25"/>
              <w:spacing w:line="267" w:lineRule="exact"/>
              <w:ind w:right="98"/>
              <w:jc w:val="right"/>
              <w:rPr>
                <w:i w:val="0"/>
                <w:iCs w:val="0"/>
                <w:color w:val="auto"/>
              </w:rPr>
            </w:pPr>
            <w:r>
              <w:rPr>
                <w:i w:val="0"/>
                <w:iCs w:val="0"/>
                <w:color w:val="auto"/>
              </w:rPr>
              <w:t>1</w:t>
            </w:r>
          </w:p>
        </w:tc>
      </w:tr>
      <w:tr w14:paraId="723B4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84BD04C">
            <w:pPr>
              <w:rPr>
                <w:i w:val="0"/>
                <w:iCs w:val="0"/>
                <w:color w:val="auto"/>
                <w:sz w:val="2"/>
                <w:szCs w:val="2"/>
              </w:rPr>
            </w:pPr>
          </w:p>
        </w:tc>
        <w:tc>
          <w:tcPr>
            <w:tcW w:w="1001" w:type="dxa"/>
            <w:vMerge w:val="continue"/>
            <w:tcBorders>
              <w:top w:val="nil"/>
            </w:tcBorders>
          </w:tcPr>
          <w:p w14:paraId="78CAE2AC">
            <w:pPr>
              <w:rPr>
                <w:i w:val="0"/>
                <w:iCs w:val="0"/>
                <w:color w:val="auto"/>
                <w:sz w:val="2"/>
                <w:szCs w:val="2"/>
              </w:rPr>
            </w:pPr>
          </w:p>
        </w:tc>
        <w:tc>
          <w:tcPr>
            <w:tcW w:w="6153" w:type="dxa"/>
          </w:tcPr>
          <w:p w14:paraId="28D2C91C">
            <w:pPr>
              <w:pStyle w:val="25"/>
              <w:spacing w:before="26"/>
              <w:ind w:left="2002" w:right="1994"/>
              <w:jc w:val="center"/>
              <w:rPr>
                <w:i w:val="0"/>
                <w:iCs w:val="0"/>
                <w:color w:val="auto"/>
                <w:sz w:val="18"/>
              </w:rPr>
            </w:pPr>
            <w:r>
              <w:rPr>
                <w:i w:val="0"/>
                <w:iCs w:val="0"/>
                <w:color w:val="auto"/>
                <w:sz w:val="18"/>
              </w:rPr>
              <w:t>EMPI</w:t>
            </w:r>
            <w:r>
              <w:rPr>
                <w:i w:val="0"/>
                <w:iCs w:val="0"/>
                <w:color w:val="auto"/>
                <w:spacing w:val="-10"/>
                <w:sz w:val="18"/>
              </w:rPr>
              <w:t>主索引服务</w:t>
            </w:r>
          </w:p>
        </w:tc>
        <w:tc>
          <w:tcPr>
            <w:tcW w:w="456" w:type="dxa"/>
          </w:tcPr>
          <w:p w14:paraId="556DE0C0">
            <w:pPr>
              <w:pStyle w:val="25"/>
              <w:spacing w:line="265" w:lineRule="exact"/>
              <w:ind w:right="8"/>
              <w:jc w:val="center"/>
              <w:rPr>
                <w:i w:val="0"/>
                <w:iCs w:val="0"/>
                <w:color w:val="auto"/>
              </w:rPr>
            </w:pPr>
            <w:r>
              <w:rPr>
                <w:i w:val="0"/>
                <w:iCs w:val="0"/>
                <w:color w:val="auto"/>
              </w:rPr>
              <w:t>项</w:t>
            </w:r>
          </w:p>
        </w:tc>
        <w:tc>
          <w:tcPr>
            <w:tcW w:w="458" w:type="dxa"/>
          </w:tcPr>
          <w:p w14:paraId="532E8FAA">
            <w:pPr>
              <w:pStyle w:val="25"/>
              <w:spacing w:line="265" w:lineRule="exact"/>
              <w:ind w:right="98"/>
              <w:jc w:val="right"/>
              <w:rPr>
                <w:i w:val="0"/>
                <w:iCs w:val="0"/>
                <w:color w:val="auto"/>
              </w:rPr>
            </w:pPr>
            <w:r>
              <w:rPr>
                <w:i w:val="0"/>
                <w:iCs w:val="0"/>
                <w:color w:val="auto"/>
              </w:rPr>
              <w:t>1</w:t>
            </w:r>
          </w:p>
        </w:tc>
      </w:tr>
      <w:tr w14:paraId="200E3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2CB9970">
            <w:pPr>
              <w:rPr>
                <w:i w:val="0"/>
                <w:iCs w:val="0"/>
                <w:color w:val="auto"/>
                <w:sz w:val="2"/>
                <w:szCs w:val="2"/>
              </w:rPr>
            </w:pPr>
          </w:p>
        </w:tc>
        <w:tc>
          <w:tcPr>
            <w:tcW w:w="1001" w:type="dxa"/>
            <w:vMerge w:val="continue"/>
            <w:tcBorders>
              <w:top w:val="nil"/>
            </w:tcBorders>
          </w:tcPr>
          <w:p w14:paraId="4E773185">
            <w:pPr>
              <w:rPr>
                <w:i w:val="0"/>
                <w:iCs w:val="0"/>
                <w:color w:val="auto"/>
                <w:sz w:val="2"/>
                <w:szCs w:val="2"/>
              </w:rPr>
            </w:pPr>
          </w:p>
        </w:tc>
        <w:tc>
          <w:tcPr>
            <w:tcW w:w="6153" w:type="dxa"/>
          </w:tcPr>
          <w:p w14:paraId="7E64120E">
            <w:pPr>
              <w:pStyle w:val="25"/>
              <w:spacing w:before="26"/>
              <w:ind w:left="2002" w:right="1994"/>
              <w:jc w:val="center"/>
              <w:rPr>
                <w:i w:val="0"/>
                <w:iCs w:val="0"/>
                <w:color w:val="auto"/>
                <w:sz w:val="18"/>
              </w:rPr>
            </w:pPr>
            <w:r>
              <w:rPr>
                <w:i w:val="0"/>
                <w:iCs w:val="0"/>
                <w:color w:val="auto"/>
                <w:spacing w:val="-2"/>
                <w:sz w:val="18"/>
              </w:rPr>
              <w:t>主数据管理</w:t>
            </w:r>
          </w:p>
        </w:tc>
        <w:tc>
          <w:tcPr>
            <w:tcW w:w="456" w:type="dxa"/>
          </w:tcPr>
          <w:p w14:paraId="22C87B24">
            <w:pPr>
              <w:pStyle w:val="25"/>
              <w:spacing w:line="266" w:lineRule="exact"/>
              <w:ind w:right="8"/>
              <w:jc w:val="center"/>
              <w:rPr>
                <w:i w:val="0"/>
                <w:iCs w:val="0"/>
                <w:color w:val="auto"/>
              </w:rPr>
            </w:pPr>
            <w:r>
              <w:rPr>
                <w:i w:val="0"/>
                <w:iCs w:val="0"/>
                <w:color w:val="auto"/>
              </w:rPr>
              <w:t>项</w:t>
            </w:r>
          </w:p>
        </w:tc>
        <w:tc>
          <w:tcPr>
            <w:tcW w:w="458" w:type="dxa"/>
          </w:tcPr>
          <w:p w14:paraId="4EFFF899">
            <w:pPr>
              <w:pStyle w:val="25"/>
              <w:spacing w:line="266" w:lineRule="exact"/>
              <w:ind w:right="98"/>
              <w:jc w:val="right"/>
              <w:rPr>
                <w:i w:val="0"/>
                <w:iCs w:val="0"/>
                <w:color w:val="auto"/>
              </w:rPr>
            </w:pPr>
            <w:r>
              <w:rPr>
                <w:i w:val="0"/>
                <w:iCs w:val="0"/>
                <w:color w:val="auto"/>
              </w:rPr>
              <w:t>1</w:t>
            </w:r>
          </w:p>
        </w:tc>
      </w:tr>
      <w:tr w14:paraId="5C45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80EDE78">
            <w:pPr>
              <w:rPr>
                <w:i w:val="0"/>
                <w:iCs w:val="0"/>
                <w:color w:val="auto"/>
                <w:sz w:val="2"/>
                <w:szCs w:val="2"/>
              </w:rPr>
            </w:pPr>
          </w:p>
        </w:tc>
        <w:tc>
          <w:tcPr>
            <w:tcW w:w="1001" w:type="dxa"/>
            <w:vMerge w:val="continue"/>
            <w:tcBorders>
              <w:top w:val="nil"/>
            </w:tcBorders>
          </w:tcPr>
          <w:p w14:paraId="305DD528">
            <w:pPr>
              <w:rPr>
                <w:i w:val="0"/>
                <w:iCs w:val="0"/>
                <w:color w:val="auto"/>
                <w:sz w:val="2"/>
                <w:szCs w:val="2"/>
              </w:rPr>
            </w:pPr>
          </w:p>
        </w:tc>
        <w:tc>
          <w:tcPr>
            <w:tcW w:w="6153" w:type="dxa"/>
          </w:tcPr>
          <w:p w14:paraId="27913040">
            <w:pPr>
              <w:pStyle w:val="25"/>
              <w:spacing w:before="26"/>
              <w:ind w:left="2000" w:right="1994"/>
              <w:jc w:val="center"/>
              <w:rPr>
                <w:i w:val="0"/>
                <w:iCs w:val="0"/>
                <w:color w:val="auto"/>
                <w:sz w:val="18"/>
              </w:rPr>
            </w:pPr>
            <w:r>
              <w:rPr>
                <w:i w:val="0"/>
                <w:iCs w:val="0"/>
                <w:color w:val="auto"/>
                <w:spacing w:val="-2"/>
                <w:sz w:val="18"/>
              </w:rPr>
              <w:t>统一身份认证服务</w:t>
            </w:r>
          </w:p>
        </w:tc>
        <w:tc>
          <w:tcPr>
            <w:tcW w:w="456" w:type="dxa"/>
          </w:tcPr>
          <w:p w14:paraId="2EF45373">
            <w:pPr>
              <w:pStyle w:val="25"/>
              <w:spacing w:line="265" w:lineRule="exact"/>
              <w:ind w:right="8"/>
              <w:jc w:val="center"/>
              <w:rPr>
                <w:i w:val="0"/>
                <w:iCs w:val="0"/>
                <w:color w:val="auto"/>
              </w:rPr>
            </w:pPr>
            <w:r>
              <w:rPr>
                <w:i w:val="0"/>
                <w:iCs w:val="0"/>
                <w:color w:val="auto"/>
              </w:rPr>
              <w:t>项</w:t>
            </w:r>
          </w:p>
        </w:tc>
        <w:tc>
          <w:tcPr>
            <w:tcW w:w="458" w:type="dxa"/>
          </w:tcPr>
          <w:p w14:paraId="141E3DBF">
            <w:pPr>
              <w:pStyle w:val="25"/>
              <w:spacing w:line="265" w:lineRule="exact"/>
              <w:ind w:right="98"/>
              <w:jc w:val="right"/>
              <w:rPr>
                <w:i w:val="0"/>
                <w:iCs w:val="0"/>
                <w:color w:val="auto"/>
              </w:rPr>
            </w:pPr>
            <w:r>
              <w:rPr>
                <w:i w:val="0"/>
                <w:iCs w:val="0"/>
                <w:color w:val="auto"/>
              </w:rPr>
              <w:t>1</w:t>
            </w:r>
          </w:p>
        </w:tc>
      </w:tr>
      <w:tr w14:paraId="70106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0192FB1">
            <w:pPr>
              <w:rPr>
                <w:i w:val="0"/>
                <w:iCs w:val="0"/>
                <w:color w:val="auto"/>
                <w:sz w:val="2"/>
                <w:szCs w:val="2"/>
              </w:rPr>
            </w:pPr>
          </w:p>
        </w:tc>
        <w:tc>
          <w:tcPr>
            <w:tcW w:w="1001" w:type="dxa"/>
            <w:vMerge w:val="continue"/>
            <w:tcBorders>
              <w:top w:val="nil"/>
            </w:tcBorders>
          </w:tcPr>
          <w:p w14:paraId="7256BEB6">
            <w:pPr>
              <w:rPr>
                <w:i w:val="0"/>
                <w:iCs w:val="0"/>
                <w:color w:val="auto"/>
                <w:sz w:val="2"/>
                <w:szCs w:val="2"/>
              </w:rPr>
            </w:pPr>
          </w:p>
        </w:tc>
        <w:tc>
          <w:tcPr>
            <w:tcW w:w="6153" w:type="dxa"/>
          </w:tcPr>
          <w:p w14:paraId="2D620394">
            <w:pPr>
              <w:pStyle w:val="25"/>
              <w:spacing w:before="26"/>
              <w:ind w:left="2000" w:right="1994"/>
              <w:jc w:val="center"/>
              <w:rPr>
                <w:i w:val="0"/>
                <w:iCs w:val="0"/>
                <w:color w:val="auto"/>
                <w:sz w:val="18"/>
              </w:rPr>
            </w:pPr>
            <w:r>
              <w:rPr>
                <w:i w:val="0"/>
                <w:iCs w:val="0"/>
                <w:color w:val="auto"/>
                <w:spacing w:val="-2"/>
                <w:sz w:val="18"/>
              </w:rPr>
              <w:t>单点登录服务</w:t>
            </w:r>
          </w:p>
        </w:tc>
        <w:tc>
          <w:tcPr>
            <w:tcW w:w="456" w:type="dxa"/>
          </w:tcPr>
          <w:p w14:paraId="75266389">
            <w:pPr>
              <w:pStyle w:val="25"/>
              <w:spacing w:line="265" w:lineRule="exact"/>
              <w:ind w:right="8"/>
              <w:jc w:val="center"/>
              <w:rPr>
                <w:i w:val="0"/>
                <w:iCs w:val="0"/>
                <w:color w:val="auto"/>
              </w:rPr>
            </w:pPr>
            <w:r>
              <w:rPr>
                <w:i w:val="0"/>
                <w:iCs w:val="0"/>
                <w:color w:val="auto"/>
              </w:rPr>
              <w:t>项</w:t>
            </w:r>
          </w:p>
        </w:tc>
        <w:tc>
          <w:tcPr>
            <w:tcW w:w="458" w:type="dxa"/>
          </w:tcPr>
          <w:p w14:paraId="0DA1EF91">
            <w:pPr>
              <w:pStyle w:val="25"/>
              <w:spacing w:line="265" w:lineRule="exact"/>
              <w:ind w:right="98"/>
              <w:jc w:val="right"/>
              <w:rPr>
                <w:i w:val="0"/>
                <w:iCs w:val="0"/>
                <w:color w:val="auto"/>
              </w:rPr>
            </w:pPr>
            <w:r>
              <w:rPr>
                <w:i w:val="0"/>
                <w:iCs w:val="0"/>
                <w:color w:val="auto"/>
              </w:rPr>
              <w:t>1</w:t>
            </w:r>
          </w:p>
        </w:tc>
      </w:tr>
      <w:tr w14:paraId="43123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A1DC6EA">
            <w:pPr>
              <w:rPr>
                <w:i w:val="0"/>
                <w:iCs w:val="0"/>
                <w:color w:val="auto"/>
                <w:sz w:val="2"/>
                <w:szCs w:val="2"/>
              </w:rPr>
            </w:pPr>
          </w:p>
        </w:tc>
        <w:tc>
          <w:tcPr>
            <w:tcW w:w="1001" w:type="dxa"/>
            <w:vMerge w:val="continue"/>
            <w:tcBorders>
              <w:top w:val="nil"/>
            </w:tcBorders>
          </w:tcPr>
          <w:p w14:paraId="44D13A9F">
            <w:pPr>
              <w:rPr>
                <w:i w:val="0"/>
                <w:iCs w:val="0"/>
                <w:color w:val="auto"/>
                <w:sz w:val="2"/>
                <w:szCs w:val="2"/>
              </w:rPr>
            </w:pPr>
          </w:p>
        </w:tc>
        <w:tc>
          <w:tcPr>
            <w:tcW w:w="6153" w:type="dxa"/>
          </w:tcPr>
          <w:p w14:paraId="6A370F92">
            <w:pPr>
              <w:pStyle w:val="25"/>
              <w:spacing w:before="26"/>
              <w:ind w:left="2000" w:right="1994"/>
              <w:jc w:val="center"/>
              <w:rPr>
                <w:i w:val="0"/>
                <w:iCs w:val="0"/>
                <w:color w:val="auto"/>
                <w:sz w:val="18"/>
              </w:rPr>
            </w:pPr>
            <w:r>
              <w:rPr>
                <w:i w:val="0"/>
                <w:iCs w:val="0"/>
                <w:color w:val="auto"/>
                <w:spacing w:val="-2"/>
                <w:sz w:val="18"/>
              </w:rPr>
              <w:t>平台注册服务</w:t>
            </w:r>
          </w:p>
        </w:tc>
        <w:tc>
          <w:tcPr>
            <w:tcW w:w="456" w:type="dxa"/>
          </w:tcPr>
          <w:p w14:paraId="0632F5E4">
            <w:pPr>
              <w:pStyle w:val="25"/>
              <w:spacing w:line="265" w:lineRule="exact"/>
              <w:ind w:right="8"/>
              <w:jc w:val="center"/>
              <w:rPr>
                <w:i w:val="0"/>
                <w:iCs w:val="0"/>
                <w:color w:val="auto"/>
              </w:rPr>
            </w:pPr>
            <w:r>
              <w:rPr>
                <w:i w:val="0"/>
                <w:iCs w:val="0"/>
                <w:color w:val="auto"/>
              </w:rPr>
              <w:t>项</w:t>
            </w:r>
          </w:p>
        </w:tc>
        <w:tc>
          <w:tcPr>
            <w:tcW w:w="458" w:type="dxa"/>
          </w:tcPr>
          <w:p w14:paraId="5D7A3CAA">
            <w:pPr>
              <w:pStyle w:val="25"/>
              <w:spacing w:line="265" w:lineRule="exact"/>
              <w:ind w:right="98"/>
              <w:jc w:val="right"/>
              <w:rPr>
                <w:i w:val="0"/>
                <w:iCs w:val="0"/>
                <w:color w:val="auto"/>
              </w:rPr>
            </w:pPr>
            <w:r>
              <w:rPr>
                <w:i w:val="0"/>
                <w:iCs w:val="0"/>
                <w:color w:val="auto"/>
              </w:rPr>
              <w:t>1</w:t>
            </w:r>
          </w:p>
        </w:tc>
      </w:tr>
      <w:tr w14:paraId="11A43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231AF10">
            <w:pPr>
              <w:rPr>
                <w:i w:val="0"/>
                <w:iCs w:val="0"/>
                <w:color w:val="auto"/>
                <w:sz w:val="2"/>
                <w:szCs w:val="2"/>
              </w:rPr>
            </w:pPr>
          </w:p>
        </w:tc>
        <w:tc>
          <w:tcPr>
            <w:tcW w:w="1001" w:type="dxa"/>
            <w:vMerge w:val="continue"/>
            <w:tcBorders>
              <w:top w:val="nil"/>
            </w:tcBorders>
          </w:tcPr>
          <w:p w14:paraId="6CDF62BB">
            <w:pPr>
              <w:rPr>
                <w:i w:val="0"/>
                <w:iCs w:val="0"/>
                <w:color w:val="auto"/>
                <w:sz w:val="2"/>
                <w:szCs w:val="2"/>
              </w:rPr>
            </w:pPr>
          </w:p>
        </w:tc>
        <w:tc>
          <w:tcPr>
            <w:tcW w:w="6153" w:type="dxa"/>
          </w:tcPr>
          <w:p w14:paraId="4096BEF4">
            <w:pPr>
              <w:pStyle w:val="25"/>
              <w:spacing w:before="26"/>
              <w:ind w:left="2000" w:right="1994"/>
              <w:jc w:val="center"/>
              <w:rPr>
                <w:i w:val="0"/>
                <w:iCs w:val="0"/>
                <w:color w:val="auto"/>
                <w:sz w:val="18"/>
              </w:rPr>
            </w:pPr>
            <w:r>
              <w:rPr>
                <w:i w:val="0"/>
                <w:iCs w:val="0"/>
                <w:color w:val="auto"/>
                <w:spacing w:val="-2"/>
                <w:sz w:val="18"/>
              </w:rPr>
              <w:t>平台管理工具</w:t>
            </w:r>
          </w:p>
        </w:tc>
        <w:tc>
          <w:tcPr>
            <w:tcW w:w="456" w:type="dxa"/>
          </w:tcPr>
          <w:p w14:paraId="23BC0E09">
            <w:pPr>
              <w:pStyle w:val="25"/>
              <w:spacing w:line="265" w:lineRule="exact"/>
              <w:ind w:right="8"/>
              <w:jc w:val="center"/>
              <w:rPr>
                <w:i w:val="0"/>
                <w:iCs w:val="0"/>
                <w:color w:val="auto"/>
              </w:rPr>
            </w:pPr>
            <w:r>
              <w:rPr>
                <w:i w:val="0"/>
                <w:iCs w:val="0"/>
                <w:color w:val="auto"/>
              </w:rPr>
              <w:t>项</w:t>
            </w:r>
          </w:p>
        </w:tc>
        <w:tc>
          <w:tcPr>
            <w:tcW w:w="458" w:type="dxa"/>
          </w:tcPr>
          <w:p w14:paraId="241C4338">
            <w:pPr>
              <w:pStyle w:val="25"/>
              <w:spacing w:line="265" w:lineRule="exact"/>
              <w:ind w:right="98"/>
              <w:jc w:val="right"/>
              <w:rPr>
                <w:i w:val="0"/>
                <w:iCs w:val="0"/>
                <w:color w:val="auto"/>
              </w:rPr>
            </w:pPr>
            <w:r>
              <w:rPr>
                <w:i w:val="0"/>
                <w:iCs w:val="0"/>
                <w:color w:val="auto"/>
              </w:rPr>
              <w:t>1</w:t>
            </w:r>
          </w:p>
        </w:tc>
      </w:tr>
      <w:tr w14:paraId="700D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ECD3F4E">
            <w:pPr>
              <w:rPr>
                <w:i w:val="0"/>
                <w:iCs w:val="0"/>
                <w:color w:val="auto"/>
                <w:sz w:val="2"/>
                <w:szCs w:val="2"/>
              </w:rPr>
            </w:pPr>
          </w:p>
        </w:tc>
        <w:tc>
          <w:tcPr>
            <w:tcW w:w="1001" w:type="dxa"/>
            <w:vMerge w:val="continue"/>
            <w:tcBorders>
              <w:top w:val="nil"/>
            </w:tcBorders>
          </w:tcPr>
          <w:p w14:paraId="68FCCEDC">
            <w:pPr>
              <w:rPr>
                <w:i w:val="0"/>
                <w:iCs w:val="0"/>
                <w:color w:val="auto"/>
                <w:sz w:val="2"/>
                <w:szCs w:val="2"/>
              </w:rPr>
            </w:pPr>
          </w:p>
        </w:tc>
        <w:tc>
          <w:tcPr>
            <w:tcW w:w="6153" w:type="dxa"/>
          </w:tcPr>
          <w:p w14:paraId="073E643F">
            <w:pPr>
              <w:pStyle w:val="25"/>
              <w:spacing w:before="52" w:line="213" w:lineRule="exact"/>
              <w:ind w:left="2265"/>
              <w:rPr>
                <w:i w:val="0"/>
                <w:iCs w:val="0"/>
                <w:color w:val="auto"/>
                <w:sz w:val="18"/>
              </w:rPr>
            </w:pPr>
            <w:r>
              <w:rPr>
                <w:i w:val="0"/>
                <w:iCs w:val="0"/>
                <w:color w:val="auto"/>
                <w:spacing w:val="-2"/>
                <w:sz w:val="18"/>
              </w:rPr>
              <w:t>基于平台的交换服务</w:t>
            </w:r>
          </w:p>
        </w:tc>
        <w:tc>
          <w:tcPr>
            <w:tcW w:w="456" w:type="dxa"/>
          </w:tcPr>
          <w:p w14:paraId="01F9BB21">
            <w:pPr>
              <w:pStyle w:val="25"/>
              <w:spacing w:line="265" w:lineRule="exact"/>
              <w:ind w:right="8"/>
              <w:jc w:val="center"/>
              <w:rPr>
                <w:i w:val="0"/>
                <w:iCs w:val="0"/>
                <w:color w:val="auto"/>
              </w:rPr>
            </w:pPr>
            <w:r>
              <w:rPr>
                <w:i w:val="0"/>
                <w:iCs w:val="0"/>
                <w:color w:val="auto"/>
              </w:rPr>
              <w:t>项</w:t>
            </w:r>
          </w:p>
        </w:tc>
        <w:tc>
          <w:tcPr>
            <w:tcW w:w="458" w:type="dxa"/>
          </w:tcPr>
          <w:p w14:paraId="3E3DE590">
            <w:pPr>
              <w:pStyle w:val="25"/>
              <w:spacing w:line="265" w:lineRule="exact"/>
              <w:ind w:right="98"/>
              <w:jc w:val="right"/>
              <w:rPr>
                <w:i w:val="0"/>
                <w:iCs w:val="0"/>
                <w:color w:val="auto"/>
              </w:rPr>
            </w:pPr>
            <w:r>
              <w:rPr>
                <w:i w:val="0"/>
                <w:iCs w:val="0"/>
                <w:color w:val="auto"/>
              </w:rPr>
              <w:t>1</w:t>
            </w:r>
          </w:p>
        </w:tc>
      </w:tr>
      <w:tr w14:paraId="6DEAC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7228FEB4">
            <w:pPr>
              <w:pStyle w:val="25"/>
              <w:spacing w:before="6"/>
              <w:rPr>
                <w:b/>
                <w:i w:val="0"/>
                <w:iCs w:val="0"/>
                <w:color w:val="auto"/>
                <w:sz w:val="13"/>
              </w:rPr>
            </w:pPr>
          </w:p>
          <w:p w14:paraId="2FB42D6D">
            <w:pPr>
              <w:pStyle w:val="25"/>
              <w:ind w:left="8"/>
              <w:jc w:val="center"/>
              <w:rPr>
                <w:i w:val="0"/>
                <w:iCs w:val="0"/>
                <w:color w:val="auto"/>
                <w:sz w:val="18"/>
              </w:rPr>
            </w:pPr>
            <w:r>
              <w:rPr>
                <w:i w:val="0"/>
                <w:iCs w:val="0"/>
                <w:color w:val="auto"/>
                <w:sz w:val="18"/>
              </w:rPr>
              <w:t>2</w:t>
            </w:r>
          </w:p>
        </w:tc>
        <w:tc>
          <w:tcPr>
            <w:tcW w:w="1001" w:type="dxa"/>
            <w:vMerge w:val="restart"/>
          </w:tcPr>
          <w:p w14:paraId="644E3465">
            <w:pPr>
              <w:pStyle w:val="25"/>
              <w:spacing w:before="57" w:line="242" w:lineRule="auto"/>
              <w:ind w:left="138" w:right="130"/>
              <w:rPr>
                <w:i w:val="0"/>
                <w:iCs w:val="0"/>
                <w:color w:val="auto"/>
                <w:sz w:val="18"/>
              </w:rPr>
            </w:pPr>
            <w:r>
              <w:rPr>
                <w:i w:val="0"/>
                <w:iCs w:val="0"/>
                <w:color w:val="auto"/>
                <w:spacing w:val="-4"/>
                <w:sz w:val="18"/>
              </w:rPr>
              <w:t>基于平台</w:t>
            </w:r>
            <w:r>
              <w:rPr>
                <w:i w:val="0"/>
                <w:iCs w:val="0"/>
                <w:color w:val="auto"/>
                <w:spacing w:val="-3"/>
                <w:sz w:val="18"/>
              </w:rPr>
              <w:t>的应用系</w:t>
            </w:r>
          </w:p>
        </w:tc>
        <w:tc>
          <w:tcPr>
            <w:tcW w:w="6153" w:type="dxa"/>
          </w:tcPr>
          <w:p w14:paraId="28E98610">
            <w:pPr>
              <w:pStyle w:val="25"/>
              <w:spacing w:before="26"/>
              <w:ind w:left="2174"/>
              <w:rPr>
                <w:i w:val="0"/>
                <w:iCs w:val="0"/>
                <w:color w:val="auto"/>
                <w:sz w:val="18"/>
              </w:rPr>
            </w:pPr>
            <w:r>
              <w:rPr>
                <w:i w:val="0"/>
                <w:iCs w:val="0"/>
                <w:color w:val="auto"/>
                <w:sz w:val="18"/>
              </w:rPr>
              <w:t>运营决策与分析</w:t>
            </w:r>
            <w:r>
              <w:rPr>
                <w:i w:val="0"/>
                <w:iCs w:val="0"/>
                <w:color w:val="auto"/>
                <w:spacing w:val="-4"/>
                <w:sz w:val="18"/>
              </w:rPr>
              <w:t>（BI）</w:t>
            </w:r>
          </w:p>
        </w:tc>
        <w:tc>
          <w:tcPr>
            <w:tcW w:w="456" w:type="dxa"/>
          </w:tcPr>
          <w:p w14:paraId="714BE96E">
            <w:pPr>
              <w:pStyle w:val="25"/>
              <w:spacing w:line="265" w:lineRule="exact"/>
              <w:ind w:right="8"/>
              <w:jc w:val="center"/>
              <w:rPr>
                <w:i w:val="0"/>
                <w:iCs w:val="0"/>
                <w:color w:val="auto"/>
              </w:rPr>
            </w:pPr>
            <w:r>
              <w:rPr>
                <w:i w:val="0"/>
                <w:iCs w:val="0"/>
                <w:color w:val="auto"/>
              </w:rPr>
              <w:t>项</w:t>
            </w:r>
          </w:p>
        </w:tc>
        <w:tc>
          <w:tcPr>
            <w:tcW w:w="458" w:type="dxa"/>
          </w:tcPr>
          <w:p w14:paraId="702D1BC8">
            <w:pPr>
              <w:pStyle w:val="25"/>
              <w:spacing w:line="265" w:lineRule="exact"/>
              <w:ind w:right="98"/>
              <w:jc w:val="right"/>
              <w:rPr>
                <w:i w:val="0"/>
                <w:iCs w:val="0"/>
                <w:color w:val="auto"/>
              </w:rPr>
            </w:pPr>
            <w:r>
              <w:rPr>
                <w:i w:val="0"/>
                <w:iCs w:val="0"/>
                <w:color w:val="auto"/>
              </w:rPr>
              <w:t>1</w:t>
            </w:r>
          </w:p>
        </w:tc>
      </w:tr>
      <w:tr w14:paraId="4AA26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CA27D44">
            <w:pPr>
              <w:rPr>
                <w:i w:val="0"/>
                <w:iCs w:val="0"/>
                <w:color w:val="auto"/>
                <w:sz w:val="2"/>
                <w:szCs w:val="2"/>
              </w:rPr>
            </w:pPr>
          </w:p>
        </w:tc>
        <w:tc>
          <w:tcPr>
            <w:tcW w:w="1001" w:type="dxa"/>
            <w:vMerge w:val="continue"/>
            <w:tcBorders>
              <w:top w:val="nil"/>
            </w:tcBorders>
          </w:tcPr>
          <w:p w14:paraId="61CEBF70">
            <w:pPr>
              <w:rPr>
                <w:i w:val="0"/>
                <w:iCs w:val="0"/>
                <w:color w:val="auto"/>
                <w:sz w:val="2"/>
                <w:szCs w:val="2"/>
              </w:rPr>
            </w:pPr>
          </w:p>
        </w:tc>
        <w:tc>
          <w:tcPr>
            <w:tcW w:w="6153" w:type="dxa"/>
          </w:tcPr>
          <w:p w14:paraId="397CB546">
            <w:pPr>
              <w:pStyle w:val="25"/>
              <w:spacing w:before="26"/>
              <w:ind w:left="2265"/>
              <w:rPr>
                <w:i w:val="0"/>
                <w:iCs w:val="0"/>
                <w:color w:val="auto"/>
                <w:sz w:val="18"/>
              </w:rPr>
            </w:pPr>
            <w:r>
              <w:rPr>
                <w:i w:val="0"/>
                <w:iCs w:val="0"/>
                <w:color w:val="auto"/>
                <w:spacing w:val="-2"/>
                <w:sz w:val="18"/>
              </w:rPr>
              <w:t>三级中医院绩效考核</w:t>
            </w:r>
          </w:p>
        </w:tc>
        <w:tc>
          <w:tcPr>
            <w:tcW w:w="456" w:type="dxa"/>
          </w:tcPr>
          <w:p w14:paraId="5FD63C8B">
            <w:pPr>
              <w:pStyle w:val="25"/>
              <w:spacing w:line="265" w:lineRule="exact"/>
              <w:ind w:right="8"/>
              <w:jc w:val="center"/>
              <w:rPr>
                <w:i w:val="0"/>
                <w:iCs w:val="0"/>
                <w:color w:val="auto"/>
              </w:rPr>
            </w:pPr>
            <w:r>
              <w:rPr>
                <w:i w:val="0"/>
                <w:iCs w:val="0"/>
                <w:color w:val="auto"/>
              </w:rPr>
              <w:t>项</w:t>
            </w:r>
          </w:p>
        </w:tc>
        <w:tc>
          <w:tcPr>
            <w:tcW w:w="458" w:type="dxa"/>
          </w:tcPr>
          <w:p w14:paraId="5BC4391F">
            <w:pPr>
              <w:pStyle w:val="25"/>
              <w:spacing w:line="265" w:lineRule="exact"/>
              <w:ind w:right="98"/>
              <w:jc w:val="right"/>
              <w:rPr>
                <w:i w:val="0"/>
                <w:iCs w:val="0"/>
                <w:color w:val="auto"/>
              </w:rPr>
            </w:pPr>
            <w:r>
              <w:rPr>
                <w:i w:val="0"/>
                <w:iCs w:val="0"/>
                <w:color w:val="auto"/>
              </w:rPr>
              <w:t>1</w:t>
            </w:r>
          </w:p>
        </w:tc>
      </w:tr>
    </w:tbl>
    <w:p w14:paraId="28DD479C">
      <w:pPr>
        <w:spacing w:line="265" w:lineRule="exact"/>
        <w:jc w:val="right"/>
        <w:rPr>
          <w:i w:val="0"/>
          <w:iCs w:val="0"/>
          <w:color w:val="auto"/>
        </w:rPr>
        <w:sectPr>
          <w:footerReference r:id="rId5" w:type="default"/>
          <w:pgSz w:w="11910" w:h="16840"/>
          <w:pgMar w:top="1460" w:right="1440" w:bottom="2010" w:left="1580" w:header="0" w:footer="1492" w:gutter="0"/>
          <w:cols w:space="708" w:num="1"/>
        </w:sectPr>
      </w:pPr>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1623"/>
        <w:gridCol w:w="4530"/>
        <w:gridCol w:w="456"/>
        <w:gridCol w:w="458"/>
      </w:tblGrid>
      <w:tr w14:paraId="5201E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Borders>
              <w:top w:val="nil"/>
            </w:tcBorders>
          </w:tcPr>
          <w:p w14:paraId="5996793F">
            <w:pPr>
              <w:pStyle w:val="25"/>
              <w:rPr>
                <w:rFonts w:ascii="Times New Roman"/>
                <w:i w:val="0"/>
                <w:iCs w:val="0"/>
                <w:color w:val="auto"/>
                <w:sz w:val="18"/>
              </w:rPr>
            </w:pPr>
          </w:p>
        </w:tc>
        <w:tc>
          <w:tcPr>
            <w:tcW w:w="1001" w:type="dxa"/>
            <w:vMerge w:val="restart"/>
            <w:tcBorders>
              <w:top w:val="nil"/>
            </w:tcBorders>
          </w:tcPr>
          <w:p w14:paraId="4A8CBE85">
            <w:pPr>
              <w:pStyle w:val="25"/>
              <w:spacing w:line="230" w:lineRule="exact"/>
              <w:ind w:left="4"/>
              <w:jc w:val="center"/>
              <w:rPr>
                <w:i w:val="0"/>
                <w:iCs w:val="0"/>
                <w:color w:val="auto"/>
                <w:sz w:val="18"/>
              </w:rPr>
            </w:pPr>
            <w:r>
              <w:rPr>
                <w:i w:val="0"/>
                <w:iCs w:val="0"/>
                <w:color w:val="auto"/>
                <w:sz w:val="18"/>
              </w:rPr>
              <w:t>统</w:t>
            </w:r>
          </w:p>
        </w:tc>
        <w:tc>
          <w:tcPr>
            <w:tcW w:w="6153" w:type="dxa"/>
            <w:gridSpan w:val="2"/>
          </w:tcPr>
          <w:p w14:paraId="07D2FF84">
            <w:pPr>
              <w:pStyle w:val="25"/>
              <w:spacing w:before="26"/>
              <w:ind w:left="2002" w:right="1994"/>
              <w:jc w:val="center"/>
              <w:rPr>
                <w:i w:val="0"/>
                <w:iCs w:val="0"/>
                <w:color w:val="auto"/>
                <w:sz w:val="18"/>
              </w:rPr>
            </w:pPr>
            <w:r>
              <w:rPr>
                <w:i w:val="0"/>
                <w:iCs w:val="0"/>
                <w:color w:val="auto"/>
                <w:spacing w:val="-15"/>
                <w:sz w:val="18"/>
              </w:rPr>
              <w:t xml:space="preserve">移动 </w:t>
            </w:r>
            <w:r>
              <w:rPr>
                <w:i w:val="0"/>
                <w:iCs w:val="0"/>
                <w:color w:val="auto"/>
                <w:spacing w:val="-5"/>
                <w:sz w:val="18"/>
              </w:rPr>
              <w:t>BI</w:t>
            </w:r>
          </w:p>
        </w:tc>
        <w:tc>
          <w:tcPr>
            <w:tcW w:w="456" w:type="dxa"/>
            <w:tcBorders>
              <w:top w:val="nil"/>
            </w:tcBorders>
          </w:tcPr>
          <w:p w14:paraId="225B6E2F">
            <w:pPr>
              <w:pStyle w:val="25"/>
              <w:spacing w:line="265" w:lineRule="exact"/>
              <w:ind w:right="8"/>
              <w:jc w:val="center"/>
              <w:rPr>
                <w:i w:val="0"/>
                <w:iCs w:val="0"/>
                <w:color w:val="auto"/>
              </w:rPr>
            </w:pPr>
            <w:r>
              <w:rPr>
                <w:i w:val="0"/>
                <w:iCs w:val="0"/>
                <w:color w:val="auto"/>
              </w:rPr>
              <w:t>项</w:t>
            </w:r>
          </w:p>
        </w:tc>
        <w:tc>
          <w:tcPr>
            <w:tcW w:w="458" w:type="dxa"/>
            <w:tcBorders>
              <w:top w:val="nil"/>
            </w:tcBorders>
          </w:tcPr>
          <w:p w14:paraId="711CD886">
            <w:pPr>
              <w:pStyle w:val="25"/>
              <w:spacing w:line="265" w:lineRule="exact"/>
              <w:ind w:right="98"/>
              <w:jc w:val="right"/>
              <w:rPr>
                <w:i w:val="0"/>
                <w:iCs w:val="0"/>
                <w:color w:val="auto"/>
              </w:rPr>
            </w:pPr>
            <w:r>
              <w:rPr>
                <w:i w:val="0"/>
                <w:iCs w:val="0"/>
                <w:color w:val="auto"/>
              </w:rPr>
              <w:t>1</w:t>
            </w:r>
          </w:p>
        </w:tc>
      </w:tr>
      <w:tr w14:paraId="29192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CD18D3B">
            <w:pPr>
              <w:rPr>
                <w:i w:val="0"/>
                <w:iCs w:val="0"/>
                <w:color w:val="auto"/>
                <w:sz w:val="2"/>
                <w:szCs w:val="2"/>
              </w:rPr>
            </w:pPr>
          </w:p>
        </w:tc>
        <w:tc>
          <w:tcPr>
            <w:tcW w:w="1001" w:type="dxa"/>
            <w:vMerge w:val="continue"/>
            <w:tcBorders>
              <w:top w:val="nil"/>
            </w:tcBorders>
          </w:tcPr>
          <w:p w14:paraId="55A2FB62">
            <w:pPr>
              <w:rPr>
                <w:i w:val="0"/>
                <w:iCs w:val="0"/>
                <w:color w:val="auto"/>
                <w:sz w:val="2"/>
                <w:szCs w:val="2"/>
              </w:rPr>
            </w:pPr>
          </w:p>
        </w:tc>
        <w:tc>
          <w:tcPr>
            <w:tcW w:w="6153" w:type="dxa"/>
            <w:gridSpan w:val="2"/>
          </w:tcPr>
          <w:p w14:paraId="6E0BD2DB">
            <w:pPr>
              <w:pStyle w:val="25"/>
              <w:spacing w:before="26"/>
              <w:ind w:left="2000" w:right="1994"/>
              <w:jc w:val="center"/>
              <w:rPr>
                <w:i w:val="0"/>
                <w:iCs w:val="0"/>
                <w:color w:val="auto"/>
                <w:sz w:val="18"/>
              </w:rPr>
            </w:pPr>
            <w:r>
              <w:rPr>
                <w:i w:val="0"/>
                <w:iCs w:val="0"/>
                <w:color w:val="auto"/>
                <w:spacing w:val="-2"/>
                <w:sz w:val="18"/>
              </w:rPr>
              <w:t>全院统一应用门户</w:t>
            </w:r>
          </w:p>
        </w:tc>
        <w:tc>
          <w:tcPr>
            <w:tcW w:w="456" w:type="dxa"/>
          </w:tcPr>
          <w:p w14:paraId="5E6D8D0A">
            <w:pPr>
              <w:pStyle w:val="25"/>
              <w:spacing w:line="266" w:lineRule="exact"/>
              <w:ind w:right="8"/>
              <w:jc w:val="center"/>
              <w:rPr>
                <w:i w:val="0"/>
                <w:iCs w:val="0"/>
                <w:color w:val="auto"/>
              </w:rPr>
            </w:pPr>
            <w:r>
              <w:rPr>
                <w:i w:val="0"/>
                <w:iCs w:val="0"/>
                <w:color w:val="auto"/>
              </w:rPr>
              <w:t>项</w:t>
            </w:r>
          </w:p>
        </w:tc>
        <w:tc>
          <w:tcPr>
            <w:tcW w:w="458" w:type="dxa"/>
          </w:tcPr>
          <w:p w14:paraId="12E15243">
            <w:pPr>
              <w:pStyle w:val="25"/>
              <w:spacing w:line="266" w:lineRule="exact"/>
              <w:ind w:right="98"/>
              <w:jc w:val="right"/>
              <w:rPr>
                <w:i w:val="0"/>
                <w:iCs w:val="0"/>
                <w:color w:val="auto"/>
              </w:rPr>
            </w:pPr>
            <w:r>
              <w:rPr>
                <w:i w:val="0"/>
                <w:iCs w:val="0"/>
                <w:color w:val="auto"/>
              </w:rPr>
              <w:t>1</w:t>
            </w:r>
          </w:p>
        </w:tc>
      </w:tr>
      <w:tr w14:paraId="319F6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FCFB899">
            <w:pPr>
              <w:rPr>
                <w:i w:val="0"/>
                <w:iCs w:val="0"/>
                <w:color w:val="auto"/>
                <w:sz w:val="2"/>
                <w:szCs w:val="2"/>
              </w:rPr>
            </w:pPr>
          </w:p>
        </w:tc>
        <w:tc>
          <w:tcPr>
            <w:tcW w:w="1001" w:type="dxa"/>
            <w:vMerge w:val="continue"/>
            <w:tcBorders>
              <w:top w:val="nil"/>
            </w:tcBorders>
          </w:tcPr>
          <w:p w14:paraId="193B8783">
            <w:pPr>
              <w:rPr>
                <w:i w:val="0"/>
                <w:iCs w:val="0"/>
                <w:color w:val="auto"/>
                <w:sz w:val="2"/>
                <w:szCs w:val="2"/>
              </w:rPr>
            </w:pPr>
          </w:p>
        </w:tc>
        <w:tc>
          <w:tcPr>
            <w:tcW w:w="6153" w:type="dxa"/>
            <w:gridSpan w:val="2"/>
          </w:tcPr>
          <w:p w14:paraId="1D68358E">
            <w:pPr>
              <w:pStyle w:val="25"/>
              <w:spacing w:before="26"/>
              <w:ind w:left="2000" w:right="1994"/>
              <w:jc w:val="center"/>
              <w:rPr>
                <w:i w:val="0"/>
                <w:iCs w:val="0"/>
                <w:color w:val="auto"/>
                <w:sz w:val="18"/>
              </w:rPr>
            </w:pPr>
            <w:r>
              <w:rPr>
                <w:i w:val="0"/>
                <w:iCs w:val="0"/>
                <w:color w:val="auto"/>
                <w:spacing w:val="-2"/>
                <w:sz w:val="18"/>
              </w:rPr>
              <w:t>患者全息视图</w:t>
            </w:r>
          </w:p>
        </w:tc>
        <w:tc>
          <w:tcPr>
            <w:tcW w:w="456" w:type="dxa"/>
          </w:tcPr>
          <w:p w14:paraId="4396AEAB">
            <w:pPr>
              <w:pStyle w:val="25"/>
              <w:spacing w:line="265" w:lineRule="exact"/>
              <w:ind w:right="8"/>
              <w:jc w:val="center"/>
              <w:rPr>
                <w:i w:val="0"/>
                <w:iCs w:val="0"/>
                <w:color w:val="auto"/>
              </w:rPr>
            </w:pPr>
            <w:r>
              <w:rPr>
                <w:i w:val="0"/>
                <w:iCs w:val="0"/>
                <w:color w:val="auto"/>
              </w:rPr>
              <w:t>项</w:t>
            </w:r>
          </w:p>
        </w:tc>
        <w:tc>
          <w:tcPr>
            <w:tcW w:w="458" w:type="dxa"/>
          </w:tcPr>
          <w:p w14:paraId="58E58B3A">
            <w:pPr>
              <w:pStyle w:val="25"/>
              <w:spacing w:line="265" w:lineRule="exact"/>
              <w:ind w:right="98"/>
              <w:jc w:val="right"/>
              <w:rPr>
                <w:i w:val="0"/>
                <w:iCs w:val="0"/>
                <w:color w:val="auto"/>
              </w:rPr>
            </w:pPr>
            <w:r>
              <w:rPr>
                <w:i w:val="0"/>
                <w:iCs w:val="0"/>
                <w:color w:val="auto"/>
              </w:rPr>
              <w:t>1</w:t>
            </w:r>
          </w:p>
        </w:tc>
      </w:tr>
      <w:tr w14:paraId="61FFD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4E2645D1">
            <w:pPr>
              <w:pStyle w:val="25"/>
              <w:spacing w:before="1"/>
              <w:rPr>
                <w:b/>
                <w:i w:val="0"/>
                <w:iCs w:val="0"/>
                <w:color w:val="auto"/>
                <w:sz w:val="25"/>
              </w:rPr>
            </w:pPr>
          </w:p>
          <w:p w14:paraId="2B32F737">
            <w:pPr>
              <w:pStyle w:val="25"/>
              <w:ind w:left="8"/>
              <w:jc w:val="center"/>
              <w:rPr>
                <w:i w:val="0"/>
                <w:iCs w:val="0"/>
                <w:color w:val="auto"/>
                <w:sz w:val="18"/>
              </w:rPr>
            </w:pPr>
            <w:r>
              <w:rPr>
                <w:i w:val="0"/>
                <w:iCs w:val="0"/>
                <w:color w:val="auto"/>
                <w:sz w:val="18"/>
              </w:rPr>
              <w:t>3</w:t>
            </w:r>
          </w:p>
        </w:tc>
        <w:tc>
          <w:tcPr>
            <w:tcW w:w="1001" w:type="dxa"/>
            <w:vMerge w:val="restart"/>
          </w:tcPr>
          <w:p w14:paraId="78D57A54">
            <w:pPr>
              <w:pStyle w:val="25"/>
              <w:spacing w:before="1"/>
              <w:rPr>
                <w:b/>
                <w:i w:val="0"/>
                <w:iCs w:val="0"/>
                <w:color w:val="auto"/>
                <w:sz w:val="16"/>
              </w:rPr>
            </w:pPr>
          </w:p>
          <w:p w14:paraId="4E7CF098">
            <w:pPr>
              <w:pStyle w:val="25"/>
              <w:spacing w:line="242" w:lineRule="auto"/>
              <w:ind w:left="318" w:right="130" w:hanging="180"/>
              <w:rPr>
                <w:i w:val="0"/>
                <w:iCs w:val="0"/>
                <w:color w:val="auto"/>
                <w:sz w:val="18"/>
              </w:rPr>
            </w:pPr>
            <w:r>
              <w:rPr>
                <w:i w:val="0"/>
                <w:iCs w:val="0"/>
                <w:color w:val="auto"/>
                <w:spacing w:val="-4"/>
                <w:sz w:val="18"/>
              </w:rPr>
              <w:t>医院数据</w:t>
            </w:r>
            <w:r>
              <w:rPr>
                <w:i w:val="0"/>
                <w:iCs w:val="0"/>
                <w:color w:val="auto"/>
                <w:spacing w:val="-6"/>
                <w:sz w:val="18"/>
              </w:rPr>
              <w:t>中心</w:t>
            </w:r>
          </w:p>
        </w:tc>
        <w:tc>
          <w:tcPr>
            <w:tcW w:w="6153" w:type="dxa"/>
            <w:gridSpan w:val="2"/>
          </w:tcPr>
          <w:p w14:paraId="6CE864EB">
            <w:pPr>
              <w:pStyle w:val="25"/>
              <w:spacing w:before="26"/>
              <w:ind w:left="2000" w:right="1994"/>
              <w:jc w:val="center"/>
              <w:rPr>
                <w:i w:val="0"/>
                <w:iCs w:val="0"/>
                <w:color w:val="auto"/>
                <w:sz w:val="18"/>
              </w:rPr>
            </w:pPr>
            <w:r>
              <w:rPr>
                <w:i w:val="0"/>
                <w:iCs w:val="0"/>
                <w:color w:val="auto"/>
                <w:spacing w:val="-3"/>
                <w:sz w:val="18"/>
              </w:rPr>
              <w:t>数据治理</w:t>
            </w:r>
          </w:p>
        </w:tc>
        <w:tc>
          <w:tcPr>
            <w:tcW w:w="456" w:type="dxa"/>
          </w:tcPr>
          <w:p w14:paraId="6B77F51A">
            <w:pPr>
              <w:pStyle w:val="25"/>
              <w:spacing w:line="265" w:lineRule="exact"/>
              <w:ind w:right="8"/>
              <w:jc w:val="center"/>
              <w:rPr>
                <w:i w:val="0"/>
                <w:iCs w:val="0"/>
                <w:color w:val="auto"/>
              </w:rPr>
            </w:pPr>
            <w:r>
              <w:rPr>
                <w:i w:val="0"/>
                <w:iCs w:val="0"/>
                <w:color w:val="auto"/>
              </w:rPr>
              <w:t>项</w:t>
            </w:r>
          </w:p>
        </w:tc>
        <w:tc>
          <w:tcPr>
            <w:tcW w:w="458" w:type="dxa"/>
          </w:tcPr>
          <w:p w14:paraId="09B44C29">
            <w:pPr>
              <w:pStyle w:val="25"/>
              <w:spacing w:line="265" w:lineRule="exact"/>
              <w:ind w:right="98"/>
              <w:jc w:val="right"/>
              <w:rPr>
                <w:i w:val="0"/>
                <w:iCs w:val="0"/>
                <w:color w:val="auto"/>
              </w:rPr>
            </w:pPr>
            <w:r>
              <w:rPr>
                <w:i w:val="0"/>
                <w:iCs w:val="0"/>
                <w:color w:val="auto"/>
              </w:rPr>
              <w:t>1</w:t>
            </w:r>
          </w:p>
        </w:tc>
      </w:tr>
      <w:tr w14:paraId="3C918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E9C037F">
            <w:pPr>
              <w:rPr>
                <w:i w:val="0"/>
                <w:iCs w:val="0"/>
                <w:color w:val="auto"/>
                <w:sz w:val="2"/>
                <w:szCs w:val="2"/>
              </w:rPr>
            </w:pPr>
          </w:p>
        </w:tc>
        <w:tc>
          <w:tcPr>
            <w:tcW w:w="1001" w:type="dxa"/>
            <w:vMerge w:val="continue"/>
            <w:tcBorders>
              <w:top w:val="nil"/>
            </w:tcBorders>
          </w:tcPr>
          <w:p w14:paraId="3B3B6B4F">
            <w:pPr>
              <w:rPr>
                <w:i w:val="0"/>
                <w:iCs w:val="0"/>
                <w:color w:val="auto"/>
                <w:sz w:val="2"/>
                <w:szCs w:val="2"/>
              </w:rPr>
            </w:pPr>
          </w:p>
        </w:tc>
        <w:tc>
          <w:tcPr>
            <w:tcW w:w="6153" w:type="dxa"/>
            <w:gridSpan w:val="2"/>
          </w:tcPr>
          <w:p w14:paraId="42FF190D">
            <w:pPr>
              <w:pStyle w:val="25"/>
              <w:spacing w:before="26"/>
              <w:ind w:left="2000" w:right="1994"/>
              <w:jc w:val="center"/>
              <w:rPr>
                <w:i w:val="0"/>
                <w:iCs w:val="0"/>
                <w:color w:val="auto"/>
                <w:sz w:val="18"/>
              </w:rPr>
            </w:pPr>
            <w:r>
              <w:rPr>
                <w:i w:val="0"/>
                <w:iCs w:val="0"/>
                <w:color w:val="auto"/>
                <w:spacing w:val="-2"/>
                <w:sz w:val="18"/>
              </w:rPr>
              <w:t>临床数据中心</w:t>
            </w:r>
          </w:p>
        </w:tc>
        <w:tc>
          <w:tcPr>
            <w:tcW w:w="456" w:type="dxa"/>
          </w:tcPr>
          <w:p w14:paraId="210CB894">
            <w:pPr>
              <w:pStyle w:val="25"/>
              <w:spacing w:line="265" w:lineRule="exact"/>
              <w:ind w:right="8"/>
              <w:jc w:val="center"/>
              <w:rPr>
                <w:i w:val="0"/>
                <w:iCs w:val="0"/>
                <w:color w:val="auto"/>
              </w:rPr>
            </w:pPr>
            <w:r>
              <w:rPr>
                <w:i w:val="0"/>
                <w:iCs w:val="0"/>
                <w:color w:val="auto"/>
              </w:rPr>
              <w:t>项</w:t>
            </w:r>
          </w:p>
        </w:tc>
        <w:tc>
          <w:tcPr>
            <w:tcW w:w="458" w:type="dxa"/>
          </w:tcPr>
          <w:p w14:paraId="4F6EFFED">
            <w:pPr>
              <w:pStyle w:val="25"/>
              <w:spacing w:line="265" w:lineRule="exact"/>
              <w:ind w:right="98"/>
              <w:jc w:val="right"/>
              <w:rPr>
                <w:i w:val="0"/>
                <w:iCs w:val="0"/>
                <w:color w:val="auto"/>
              </w:rPr>
            </w:pPr>
            <w:r>
              <w:rPr>
                <w:i w:val="0"/>
                <w:iCs w:val="0"/>
                <w:color w:val="auto"/>
              </w:rPr>
              <w:t>1</w:t>
            </w:r>
          </w:p>
        </w:tc>
      </w:tr>
      <w:tr w14:paraId="13B21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59F5650">
            <w:pPr>
              <w:rPr>
                <w:i w:val="0"/>
                <w:iCs w:val="0"/>
                <w:color w:val="auto"/>
                <w:sz w:val="2"/>
                <w:szCs w:val="2"/>
              </w:rPr>
            </w:pPr>
          </w:p>
        </w:tc>
        <w:tc>
          <w:tcPr>
            <w:tcW w:w="1001" w:type="dxa"/>
            <w:vMerge w:val="continue"/>
            <w:tcBorders>
              <w:top w:val="nil"/>
            </w:tcBorders>
          </w:tcPr>
          <w:p w14:paraId="38DCE016">
            <w:pPr>
              <w:rPr>
                <w:i w:val="0"/>
                <w:iCs w:val="0"/>
                <w:color w:val="auto"/>
                <w:sz w:val="2"/>
                <w:szCs w:val="2"/>
              </w:rPr>
            </w:pPr>
          </w:p>
        </w:tc>
        <w:tc>
          <w:tcPr>
            <w:tcW w:w="6153" w:type="dxa"/>
            <w:gridSpan w:val="2"/>
          </w:tcPr>
          <w:p w14:paraId="00175351">
            <w:pPr>
              <w:pStyle w:val="25"/>
              <w:spacing w:before="26"/>
              <w:ind w:left="2004" w:right="1993"/>
              <w:jc w:val="center"/>
              <w:rPr>
                <w:i w:val="0"/>
                <w:iCs w:val="0"/>
                <w:color w:val="auto"/>
                <w:sz w:val="18"/>
              </w:rPr>
            </w:pPr>
            <w:r>
              <w:rPr>
                <w:i w:val="0"/>
                <w:iCs w:val="0"/>
                <w:color w:val="auto"/>
                <w:sz w:val="18"/>
              </w:rPr>
              <w:t>运营管理数据中心</w:t>
            </w:r>
            <w:r>
              <w:rPr>
                <w:i w:val="0"/>
                <w:iCs w:val="0"/>
                <w:color w:val="auto"/>
                <w:spacing w:val="-4"/>
                <w:sz w:val="18"/>
              </w:rPr>
              <w:t>（MDR）</w:t>
            </w:r>
          </w:p>
        </w:tc>
        <w:tc>
          <w:tcPr>
            <w:tcW w:w="456" w:type="dxa"/>
          </w:tcPr>
          <w:p w14:paraId="25518247">
            <w:pPr>
              <w:pStyle w:val="25"/>
              <w:spacing w:line="265" w:lineRule="exact"/>
              <w:ind w:right="8"/>
              <w:jc w:val="center"/>
              <w:rPr>
                <w:i w:val="0"/>
                <w:iCs w:val="0"/>
                <w:color w:val="auto"/>
              </w:rPr>
            </w:pPr>
            <w:r>
              <w:rPr>
                <w:i w:val="0"/>
                <w:iCs w:val="0"/>
                <w:color w:val="auto"/>
              </w:rPr>
              <w:t>项</w:t>
            </w:r>
          </w:p>
        </w:tc>
        <w:tc>
          <w:tcPr>
            <w:tcW w:w="458" w:type="dxa"/>
          </w:tcPr>
          <w:p w14:paraId="1A0D2E59">
            <w:pPr>
              <w:pStyle w:val="25"/>
              <w:spacing w:line="265" w:lineRule="exact"/>
              <w:ind w:right="98"/>
              <w:jc w:val="right"/>
              <w:rPr>
                <w:i w:val="0"/>
                <w:iCs w:val="0"/>
                <w:color w:val="auto"/>
              </w:rPr>
            </w:pPr>
            <w:r>
              <w:rPr>
                <w:i w:val="0"/>
                <w:iCs w:val="0"/>
                <w:color w:val="auto"/>
              </w:rPr>
              <w:t>1</w:t>
            </w:r>
          </w:p>
        </w:tc>
      </w:tr>
      <w:tr w14:paraId="6F4F4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3F34F38F">
            <w:pPr>
              <w:pStyle w:val="25"/>
              <w:rPr>
                <w:b/>
                <w:i w:val="0"/>
                <w:iCs w:val="0"/>
                <w:color w:val="auto"/>
                <w:sz w:val="18"/>
              </w:rPr>
            </w:pPr>
          </w:p>
          <w:p w14:paraId="508277F7">
            <w:pPr>
              <w:pStyle w:val="25"/>
              <w:rPr>
                <w:b/>
                <w:i w:val="0"/>
                <w:iCs w:val="0"/>
                <w:color w:val="auto"/>
                <w:sz w:val="18"/>
              </w:rPr>
            </w:pPr>
          </w:p>
          <w:p w14:paraId="29CD384D">
            <w:pPr>
              <w:pStyle w:val="25"/>
              <w:rPr>
                <w:b/>
                <w:i w:val="0"/>
                <w:iCs w:val="0"/>
                <w:color w:val="auto"/>
                <w:sz w:val="18"/>
              </w:rPr>
            </w:pPr>
          </w:p>
          <w:p w14:paraId="7381E7DB">
            <w:pPr>
              <w:pStyle w:val="25"/>
              <w:rPr>
                <w:b/>
                <w:i w:val="0"/>
                <w:iCs w:val="0"/>
                <w:color w:val="auto"/>
                <w:sz w:val="18"/>
              </w:rPr>
            </w:pPr>
          </w:p>
          <w:p w14:paraId="10592C2D">
            <w:pPr>
              <w:pStyle w:val="25"/>
              <w:rPr>
                <w:b/>
                <w:i w:val="0"/>
                <w:iCs w:val="0"/>
                <w:color w:val="auto"/>
                <w:sz w:val="18"/>
              </w:rPr>
            </w:pPr>
          </w:p>
          <w:p w14:paraId="34951F30">
            <w:pPr>
              <w:pStyle w:val="25"/>
              <w:rPr>
                <w:b/>
                <w:i w:val="0"/>
                <w:iCs w:val="0"/>
                <w:color w:val="auto"/>
                <w:sz w:val="18"/>
              </w:rPr>
            </w:pPr>
          </w:p>
          <w:p w14:paraId="73408B07">
            <w:pPr>
              <w:pStyle w:val="25"/>
              <w:rPr>
                <w:b/>
                <w:i w:val="0"/>
                <w:iCs w:val="0"/>
                <w:color w:val="auto"/>
                <w:sz w:val="18"/>
              </w:rPr>
            </w:pPr>
          </w:p>
          <w:p w14:paraId="366ACB65">
            <w:pPr>
              <w:pStyle w:val="25"/>
              <w:rPr>
                <w:b/>
                <w:i w:val="0"/>
                <w:iCs w:val="0"/>
                <w:color w:val="auto"/>
                <w:sz w:val="18"/>
              </w:rPr>
            </w:pPr>
          </w:p>
          <w:p w14:paraId="50D20B11">
            <w:pPr>
              <w:pStyle w:val="25"/>
              <w:rPr>
                <w:b/>
                <w:i w:val="0"/>
                <w:iCs w:val="0"/>
                <w:color w:val="auto"/>
                <w:sz w:val="18"/>
              </w:rPr>
            </w:pPr>
          </w:p>
          <w:p w14:paraId="3D0EC7E3">
            <w:pPr>
              <w:pStyle w:val="25"/>
              <w:rPr>
                <w:b/>
                <w:i w:val="0"/>
                <w:iCs w:val="0"/>
                <w:color w:val="auto"/>
                <w:sz w:val="18"/>
              </w:rPr>
            </w:pPr>
          </w:p>
          <w:p w14:paraId="76007EE2">
            <w:pPr>
              <w:pStyle w:val="25"/>
              <w:rPr>
                <w:b/>
                <w:i w:val="0"/>
                <w:iCs w:val="0"/>
                <w:color w:val="auto"/>
                <w:sz w:val="18"/>
              </w:rPr>
            </w:pPr>
          </w:p>
          <w:p w14:paraId="5FEBE9A8">
            <w:pPr>
              <w:pStyle w:val="25"/>
              <w:rPr>
                <w:b/>
                <w:i w:val="0"/>
                <w:iCs w:val="0"/>
                <w:color w:val="auto"/>
                <w:sz w:val="18"/>
              </w:rPr>
            </w:pPr>
          </w:p>
          <w:p w14:paraId="73C6F9AA">
            <w:pPr>
              <w:pStyle w:val="25"/>
              <w:rPr>
                <w:b/>
                <w:i w:val="0"/>
                <w:iCs w:val="0"/>
                <w:color w:val="auto"/>
                <w:sz w:val="18"/>
              </w:rPr>
            </w:pPr>
          </w:p>
          <w:p w14:paraId="1EAB0D0F">
            <w:pPr>
              <w:pStyle w:val="25"/>
              <w:spacing w:before="129"/>
              <w:ind w:left="8"/>
              <w:jc w:val="center"/>
              <w:rPr>
                <w:i w:val="0"/>
                <w:iCs w:val="0"/>
                <w:color w:val="auto"/>
                <w:sz w:val="18"/>
              </w:rPr>
            </w:pPr>
            <w:r>
              <w:rPr>
                <w:i w:val="0"/>
                <w:iCs w:val="0"/>
                <w:color w:val="auto"/>
                <w:sz w:val="18"/>
              </w:rPr>
              <w:t>4</w:t>
            </w:r>
          </w:p>
        </w:tc>
        <w:tc>
          <w:tcPr>
            <w:tcW w:w="1001" w:type="dxa"/>
            <w:vMerge w:val="restart"/>
          </w:tcPr>
          <w:p w14:paraId="73355BA7">
            <w:pPr>
              <w:pStyle w:val="25"/>
              <w:rPr>
                <w:b/>
                <w:i w:val="0"/>
                <w:iCs w:val="0"/>
                <w:color w:val="auto"/>
                <w:sz w:val="18"/>
              </w:rPr>
            </w:pPr>
          </w:p>
          <w:p w14:paraId="5AADE01E">
            <w:pPr>
              <w:pStyle w:val="25"/>
              <w:rPr>
                <w:b/>
                <w:i w:val="0"/>
                <w:iCs w:val="0"/>
                <w:color w:val="auto"/>
                <w:sz w:val="18"/>
              </w:rPr>
            </w:pPr>
          </w:p>
          <w:p w14:paraId="0D761091">
            <w:pPr>
              <w:pStyle w:val="25"/>
              <w:rPr>
                <w:b/>
                <w:i w:val="0"/>
                <w:iCs w:val="0"/>
                <w:color w:val="auto"/>
                <w:sz w:val="18"/>
              </w:rPr>
            </w:pPr>
          </w:p>
          <w:p w14:paraId="55EEB3D5">
            <w:pPr>
              <w:pStyle w:val="25"/>
              <w:rPr>
                <w:b/>
                <w:i w:val="0"/>
                <w:iCs w:val="0"/>
                <w:color w:val="auto"/>
                <w:sz w:val="18"/>
              </w:rPr>
            </w:pPr>
          </w:p>
          <w:p w14:paraId="71CB7318">
            <w:pPr>
              <w:pStyle w:val="25"/>
              <w:rPr>
                <w:b/>
                <w:i w:val="0"/>
                <w:iCs w:val="0"/>
                <w:color w:val="auto"/>
                <w:sz w:val="18"/>
              </w:rPr>
            </w:pPr>
          </w:p>
          <w:p w14:paraId="68CB9814">
            <w:pPr>
              <w:pStyle w:val="25"/>
              <w:rPr>
                <w:b/>
                <w:i w:val="0"/>
                <w:iCs w:val="0"/>
                <w:color w:val="auto"/>
                <w:sz w:val="18"/>
              </w:rPr>
            </w:pPr>
          </w:p>
          <w:p w14:paraId="6EF1BDE7">
            <w:pPr>
              <w:pStyle w:val="25"/>
              <w:rPr>
                <w:b/>
                <w:i w:val="0"/>
                <w:iCs w:val="0"/>
                <w:color w:val="auto"/>
                <w:sz w:val="18"/>
              </w:rPr>
            </w:pPr>
          </w:p>
          <w:p w14:paraId="10DF0A79">
            <w:pPr>
              <w:pStyle w:val="25"/>
              <w:rPr>
                <w:b/>
                <w:i w:val="0"/>
                <w:iCs w:val="0"/>
                <w:color w:val="auto"/>
                <w:sz w:val="18"/>
              </w:rPr>
            </w:pPr>
          </w:p>
          <w:p w14:paraId="05AFB7D2">
            <w:pPr>
              <w:pStyle w:val="25"/>
              <w:rPr>
                <w:b/>
                <w:i w:val="0"/>
                <w:iCs w:val="0"/>
                <w:color w:val="auto"/>
                <w:sz w:val="18"/>
              </w:rPr>
            </w:pPr>
          </w:p>
          <w:p w14:paraId="17845938">
            <w:pPr>
              <w:pStyle w:val="25"/>
              <w:rPr>
                <w:b/>
                <w:i w:val="0"/>
                <w:iCs w:val="0"/>
                <w:color w:val="auto"/>
                <w:sz w:val="18"/>
              </w:rPr>
            </w:pPr>
          </w:p>
          <w:p w14:paraId="2BFBB307">
            <w:pPr>
              <w:pStyle w:val="25"/>
              <w:rPr>
                <w:b/>
                <w:i w:val="0"/>
                <w:iCs w:val="0"/>
                <w:color w:val="auto"/>
                <w:sz w:val="18"/>
              </w:rPr>
            </w:pPr>
          </w:p>
          <w:p w14:paraId="4AD879F8">
            <w:pPr>
              <w:pStyle w:val="25"/>
              <w:rPr>
                <w:b/>
                <w:i w:val="0"/>
                <w:iCs w:val="0"/>
                <w:color w:val="auto"/>
                <w:sz w:val="18"/>
              </w:rPr>
            </w:pPr>
          </w:p>
          <w:p w14:paraId="394A940F">
            <w:pPr>
              <w:pStyle w:val="25"/>
              <w:rPr>
                <w:b/>
                <w:i w:val="0"/>
                <w:iCs w:val="0"/>
                <w:color w:val="auto"/>
                <w:sz w:val="18"/>
              </w:rPr>
            </w:pPr>
          </w:p>
          <w:p w14:paraId="09B604B2">
            <w:pPr>
              <w:pStyle w:val="25"/>
              <w:spacing w:before="129"/>
              <w:ind w:left="138"/>
              <w:rPr>
                <w:i w:val="0"/>
                <w:iCs w:val="0"/>
                <w:color w:val="auto"/>
                <w:sz w:val="18"/>
              </w:rPr>
            </w:pPr>
            <w:r>
              <w:rPr>
                <w:i w:val="0"/>
                <w:iCs w:val="0"/>
                <w:color w:val="auto"/>
                <w:spacing w:val="-3"/>
                <w:sz w:val="18"/>
              </w:rPr>
              <w:t>医疗管理</w:t>
            </w:r>
          </w:p>
        </w:tc>
        <w:tc>
          <w:tcPr>
            <w:tcW w:w="1623" w:type="dxa"/>
            <w:vMerge w:val="restart"/>
          </w:tcPr>
          <w:p w14:paraId="78452CC8">
            <w:pPr>
              <w:pStyle w:val="25"/>
              <w:rPr>
                <w:b/>
                <w:i w:val="0"/>
                <w:iCs w:val="0"/>
                <w:color w:val="auto"/>
                <w:sz w:val="18"/>
              </w:rPr>
            </w:pPr>
          </w:p>
          <w:p w14:paraId="4E5C6B05">
            <w:pPr>
              <w:pStyle w:val="25"/>
              <w:spacing w:before="122" w:line="242" w:lineRule="auto"/>
              <w:ind w:left="722" w:right="169" w:hanging="541"/>
              <w:rPr>
                <w:i w:val="0"/>
                <w:iCs w:val="0"/>
                <w:color w:val="auto"/>
                <w:sz w:val="18"/>
              </w:rPr>
            </w:pPr>
            <w:r>
              <w:rPr>
                <w:i w:val="0"/>
                <w:iCs w:val="0"/>
                <w:color w:val="auto"/>
                <w:spacing w:val="-2"/>
                <w:sz w:val="18"/>
              </w:rPr>
              <w:t>数据上报管理系</w:t>
            </w:r>
            <w:r>
              <w:rPr>
                <w:i w:val="0"/>
                <w:iCs w:val="0"/>
                <w:color w:val="auto"/>
                <w:spacing w:val="-10"/>
                <w:sz w:val="18"/>
              </w:rPr>
              <w:t>统</w:t>
            </w:r>
          </w:p>
        </w:tc>
        <w:tc>
          <w:tcPr>
            <w:tcW w:w="4530" w:type="dxa"/>
          </w:tcPr>
          <w:p w14:paraId="2EF0332B">
            <w:pPr>
              <w:pStyle w:val="25"/>
              <w:spacing w:before="26"/>
              <w:ind w:left="193" w:right="183"/>
              <w:jc w:val="center"/>
              <w:rPr>
                <w:i w:val="0"/>
                <w:iCs w:val="0"/>
                <w:color w:val="auto"/>
                <w:sz w:val="18"/>
              </w:rPr>
            </w:pPr>
            <w:r>
              <w:rPr>
                <w:i w:val="0"/>
                <w:iCs w:val="0"/>
                <w:color w:val="auto"/>
                <w:spacing w:val="-1"/>
                <w:sz w:val="18"/>
              </w:rPr>
              <w:t>医疗安全(不良)事件上报</w:t>
            </w:r>
          </w:p>
        </w:tc>
        <w:tc>
          <w:tcPr>
            <w:tcW w:w="456" w:type="dxa"/>
          </w:tcPr>
          <w:p w14:paraId="6AF70265">
            <w:pPr>
              <w:pStyle w:val="25"/>
              <w:spacing w:line="265" w:lineRule="exact"/>
              <w:ind w:right="8"/>
              <w:jc w:val="center"/>
              <w:rPr>
                <w:i w:val="0"/>
                <w:iCs w:val="0"/>
                <w:color w:val="auto"/>
              </w:rPr>
            </w:pPr>
            <w:r>
              <w:rPr>
                <w:i w:val="0"/>
                <w:iCs w:val="0"/>
                <w:color w:val="auto"/>
              </w:rPr>
              <w:t>项</w:t>
            </w:r>
          </w:p>
        </w:tc>
        <w:tc>
          <w:tcPr>
            <w:tcW w:w="458" w:type="dxa"/>
          </w:tcPr>
          <w:p w14:paraId="4E4D37CD">
            <w:pPr>
              <w:pStyle w:val="25"/>
              <w:spacing w:line="265" w:lineRule="exact"/>
              <w:ind w:right="98"/>
              <w:jc w:val="right"/>
              <w:rPr>
                <w:i w:val="0"/>
                <w:iCs w:val="0"/>
                <w:color w:val="auto"/>
              </w:rPr>
            </w:pPr>
            <w:r>
              <w:rPr>
                <w:i w:val="0"/>
                <w:iCs w:val="0"/>
                <w:color w:val="auto"/>
              </w:rPr>
              <w:t>1</w:t>
            </w:r>
          </w:p>
        </w:tc>
      </w:tr>
      <w:tr w14:paraId="3534F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98D7515">
            <w:pPr>
              <w:rPr>
                <w:i w:val="0"/>
                <w:iCs w:val="0"/>
                <w:color w:val="auto"/>
                <w:sz w:val="2"/>
                <w:szCs w:val="2"/>
              </w:rPr>
            </w:pPr>
          </w:p>
        </w:tc>
        <w:tc>
          <w:tcPr>
            <w:tcW w:w="1001" w:type="dxa"/>
            <w:vMerge w:val="continue"/>
            <w:tcBorders>
              <w:top w:val="nil"/>
            </w:tcBorders>
          </w:tcPr>
          <w:p w14:paraId="1BFC2402">
            <w:pPr>
              <w:rPr>
                <w:i w:val="0"/>
                <w:iCs w:val="0"/>
                <w:color w:val="auto"/>
                <w:sz w:val="2"/>
                <w:szCs w:val="2"/>
              </w:rPr>
            </w:pPr>
          </w:p>
        </w:tc>
        <w:tc>
          <w:tcPr>
            <w:tcW w:w="1623" w:type="dxa"/>
            <w:vMerge w:val="continue"/>
            <w:tcBorders>
              <w:top w:val="nil"/>
            </w:tcBorders>
          </w:tcPr>
          <w:p w14:paraId="3E7DD7B1">
            <w:pPr>
              <w:rPr>
                <w:i w:val="0"/>
                <w:iCs w:val="0"/>
                <w:color w:val="auto"/>
                <w:sz w:val="2"/>
                <w:szCs w:val="2"/>
              </w:rPr>
            </w:pPr>
          </w:p>
        </w:tc>
        <w:tc>
          <w:tcPr>
            <w:tcW w:w="4530" w:type="dxa"/>
          </w:tcPr>
          <w:p w14:paraId="26DA35A3">
            <w:pPr>
              <w:pStyle w:val="25"/>
              <w:spacing w:before="26"/>
              <w:ind w:left="192" w:right="184"/>
              <w:jc w:val="center"/>
              <w:rPr>
                <w:i w:val="0"/>
                <w:iCs w:val="0"/>
                <w:color w:val="auto"/>
                <w:sz w:val="18"/>
              </w:rPr>
            </w:pPr>
            <w:r>
              <w:rPr>
                <w:i w:val="0"/>
                <w:iCs w:val="0"/>
                <w:color w:val="auto"/>
                <w:spacing w:val="-2"/>
                <w:sz w:val="18"/>
              </w:rPr>
              <w:t>传染病信息上报</w:t>
            </w:r>
          </w:p>
        </w:tc>
        <w:tc>
          <w:tcPr>
            <w:tcW w:w="456" w:type="dxa"/>
          </w:tcPr>
          <w:p w14:paraId="2DBB7EA1">
            <w:pPr>
              <w:pStyle w:val="25"/>
              <w:spacing w:line="265" w:lineRule="exact"/>
              <w:ind w:right="8"/>
              <w:jc w:val="center"/>
              <w:rPr>
                <w:i w:val="0"/>
                <w:iCs w:val="0"/>
                <w:color w:val="auto"/>
              </w:rPr>
            </w:pPr>
            <w:r>
              <w:rPr>
                <w:i w:val="0"/>
                <w:iCs w:val="0"/>
                <w:color w:val="auto"/>
              </w:rPr>
              <w:t>项</w:t>
            </w:r>
          </w:p>
        </w:tc>
        <w:tc>
          <w:tcPr>
            <w:tcW w:w="458" w:type="dxa"/>
          </w:tcPr>
          <w:p w14:paraId="78748901">
            <w:pPr>
              <w:pStyle w:val="25"/>
              <w:spacing w:line="265" w:lineRule="exact"/>
              <w:ind w:right="98"/>
              <w:jc w:val="right"/>
              <w:rPr>
                <w:i w:val="0"/>
                <w:iCs w:val="0"/>
                <w:color w:val="auto"/>
              </w:rPr>
            </w:pPr>
            <w:r>
              <w:rPr>
                <w:i w:val="0"/>
                <w:iCs w:val="0"/>
                <w:color w:val="auto"/>
              </w:rPr>
              <w:t>1</w:t>
            </w:r>
          </w:p>
        </w:tc>
      </w:tr>
      <w:tr w14:paraId="411B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D18508E">
            <w:pPr>
              <w:rPr>
                <w:i w:val="0"/>
                <w:iCs w:val="0"/>
                <w:color w:val="auto"/>
                <w:sz w:val="2"/>
                <w:szCs w:val="2"/>
              </w:rPr>
            </w:pPr>
          </w:p>
        </w:tc>
        <w:tc>
          <w:tcPr>
            <w:tcW w:w="1001" w:type="dxa"/>
            <w:vMerge w:val="continue"/>
            <w:tcBorders>
              <w:top w:val="nil"/>
            </w:tcBorders>
          </w:tcPr>
          <w:p w14:paraId="6299589C">
            <w:pPr>
              <w:rPr>
                <w:i w:val="0"/>
                <w:iCs w:val="0"/>
                <w:color w:val="auto"/>
                <w:sz w:val="2"/>
                <w:szCs w:val="2"/>
              </w:rPr>
            </w:pPr>
          </w:p>
        </w:tc>
        <w:tc>
          <w:tcPr>
            <w:tcW w:w="1623" w:type="dxa"/>
            <w:vMerge w:val="continue"/>
            <w:tcBorders>
              <w:top w:val="nil"/>
            </w:tcBorders>
          </w:tcPr>
          <w:p w14:paraId="094FB30E">
            <w:pPr>
              <w:rPr>
                <w:i w:val="0"/>
                <w:iCs w:val="0"/>
                <w:color w:val="auto"/>
                <w:sz w:val="2"/>
                <w:szCs w:val="2"/>
              </w:rPr>
            </w:pPr>
          </w:p>
        </w:tc>
        <w:tc>
          <w:tcPr>
            <w:tcW w:w="4530" w:type="dxa"/>
          </w:tcPr>
          <w:p w14:paraId="7D80C41F">
            <w:pPr>
              <w:pStyle w:val="25"/>
              <w:spacing w:before="26"/>
              <w:ind w:left="192" w:right="184"/>
              <w:jc w:val="center"/>
              <w:rPr>
                <w:i w:val="0"/>
                <w:iCs w:val="0"/>
                <w:color w:val="auto"/>
                <w:sz w:val="18"/>
              </w:rPr>
            </w:pPr>
            <w:r>
              <w:rPr>
                <w:i w:val="0"/>
                <w:iCs w:val="0"/>
                <w:color w:val="auto"/>
                <w:spacing w:val="-1"/>
                <w:sz w:val="18"/>
              </w:rPr>
              <w:t>重大非传染性疾病及死亡信息上报</w:t>
            </w:r>
          </w:p>
        </w:tc>
        <w:tc>
          <w:tcPr>
            <w:tcW w:w="456" w:type="dxa"/>
          </w:tcPr>
          <w:p w14:paraId="05540602">
            <w:pPr>
              <w:pStyle w:val="25"/>
              <w:spacing w:line="265" w:lineRule="exact"/>
              <w:ind w:right="8"/>
              <w:jc w:val="center"/>
              <w:rPr>
                <w:i w:val="0"/>
                <w:iCs w:val="0"/>
                <w:color w:val="auto"/>
              </w:rPr>
            </w:pPr>
            <w:r>
              <w:rPr>
                <w:i w:val="0"/>
                <w:iCs w:val="0"/>
                <w:color w:val="auto"/>
              </w:rPr>
              <w:t>项</w:t>
            </w:r>
          </w:p>
        </w:tc>
        <w:tc>
          <w:tcPr>
            <w:tcW w:w="458" w:type="dxa"/>
          </w:tcPr>
          <w:p w14:paraId="7E85CB0B">
            <w:pPr>
              <w:pStyle w:val="25"/>
              <w:spacing w:line="265" w:lineRule="exact"/>
              <w:ind w:right="98"/>
              <w:jc w:val="right"/>
              <w:rPr>
                <w:i w:val="0"/>
                <w:iCs w:val="0"/>
                <w:color w:val="auto"/>
              </w:rPr>
            </w:pPr>
            <w:r>
              <w:rPr>
                <w:i w:val="0"/>
                <w:iCs w:val="0"/>
                <w:color w:val="auto"/>
              </w:rPr>
              <w:t>1</w:t>
            </w:r>
          </w:p>
        </w:tc>
      </w:tr>
      <w:tr w14:paraId="4DC69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D2B1573">
            <w:pPr>
              <w:rPr>
                <w:i w:val="0"/>
                <w:iCs w:val="0"/>
                <w:color w:val="auto"/>
                <w:sz w:val="2"/>
                <w:szCs w:val="2"/>
              </w:rPr>
            </w:pPr>
          </w:p>
        </w:tc>
        <w:tc>
          <w:tcPr>
            <w:tcW w:w="1001" w:type="dxa"/>
            <w:vMerge w:val="continue"/>
            <w:tcBorders>
              <w:top w:val="nil"/>
            </w:tcBorders>
          </w:tcPr>
          <w:p w14:paraId="2496FD35">
            <w:pPr>
              <w:rPr>
                <w:i w:val="0"/>
                <w:iCs w:val="0"/>
                <w:color w:val="auto"/>
                <w:sz w:val="2"/>
                <w:szCs w:val="2"/>
              </w:rPr>
            </w:pPr>
          </w:p>
        </w:tc>
        <w:tc>
          <w:tcPr>
            <w:tcW w:w="1623" w:type="dxa"/>
            <w:vMerge w:val="continue"/>
            <w:tcBorders>
              <w:top w:val="nil"/>
            </w:tcBorders>
          </w:tcPr>
          <w:p w14:paraId="001DAB52">
            <w:pPr>
              <w:rPr>
                <w:i w:val="0"/>
                <w:iCs w:val="0"/>
                <w:color w:val="auto"/>
                <w:sz w:val="2"/>
                <w:szCs w:val="2"/>
              </w:rPr>
            </w:pPr>
          </w:p>
        </w:tc>
        <w:tc>
          <w:tcPr>
            <w:tcW w:w="4530" w:type="dxa"/>
          </w:tcPr>
          <w:p w14:paraId="15FADEF7">
            <w:pPr>
              <w:pStyle w:val="25"/>
              <w:spacing w:before="26"/>
              <w:ind w:left="191" w:right="184"/>
              <w:jc w:val="center"/>
              <w:rPr>
                <w:i w:val="0"/>
                <w:iCs w:val="0"/>
                <w:color w:val="auto"/>
                <w:sz w:val="18"/>
              </w:rPr>
            </w:pPr>
            <w:r>
              <w:rPr>
                <w:i w:val="0"/>
                <w:iCs w:val="0"/>
                <w:color w:val="auto"/>
                <w:spacing w:val="-2"/>
                <w:sz w:val="18"/>
              </w:rPr>
              <w:t>食源性疾病信息上报</w:t>
            </w:r>
          </w:p>
        </w:tc>
        <w:tc>
          <w:tcPr>
            <w:tcW w:w="456" w:type="dxa"/>
          </w:tcPr>
          <w:p w14:paraId="0C8400E5">
            <w:pPr>
              <w:pStyle w:val="25"/>
              <w:spacing w:line="265" w:lineRule="exact"/>
              <w:ind w:right="8"/>
              <w:jc w:val="center"/>
              <w:rPr>
                <w:i w:val="0"/>
                <w:iCs w:val="0"/>
                <w:color w:val="auto"/>
              </w:rPr>
            </w:pPr>
            <w:r>
              <w:rPr>
                <w:i w:val="0"/>
                <w:iCs w:val="0"/>
                <w:color w:val="auto"/>
              </w:rPr>
              <w:t>项</w:t>
            </w:r>
          </w:p>
        </w:tc>
        <w:tc>
          <w:tcPr>
            <w:tcW w:w="458" w:type="dxa"/>
          </w:tcPr>
          <w:p w14:paraId="714B3800">
            <w:pPr>
              <w:pStyle w:val="25"/>
              <w:spacing w:line="265" w:lineRule="exact"/>
              <w:ind w:right="98"/>
              <w:jc w:val="right"/>
              <w:rPr>
                <w:i w:val="0"/>
                <w:iCs w:val="0"/>
                <w:color w:val="auto"/>
              </w:rPr>
            </w:pPr>
            <w:r>
              <w:rPr>
                <w:i w:val="0"/>
                <w:iCs w:val="0"/>
                <w:color w:val="auto"/>
              </w:rPr>
              <w:t>1</w:t>
            </w:r>
          </w:p>
        </w:tc>
      </w:tr>
      <w:tr w14:paraId="46BE9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662753D9">
            <w:pPr>
              <w:rPr>
                <w:i w:val="0"/>
                <w:iCs w:val="0"/>
                <w:color w:val="auto"/>
                <w:sz w:val="2"/>
                <w:szCs w:val="2"/>
              </w:rPr>
            </w:pPr>
          </w:p>
        </w:tc>
        <w:tc>
          <w:tcPr>
            <w:tcW w:w="1001" w:type="dxa"/>
            <w:vMerge w:val="continue"/>
            <w:tcBorders>
              <w:top w:val="nil"/>
            </w:tcBorders>
          </w:tcPr>
          <w:p w14:paraId="4FE02957">
            <w:pPr>
              <w:rPr>
                <w:i w:val="0"/>
                <w:iCs w:val="0"/>
                <w:color w:val="auto"/>
                <w:sz w:val="2"/>
                <w:szCs w:val="2"/>
              </w:rPr>
            </w:pPr>
          </w:p>
        </w:tc>
        <w:tc>
          <w:tcPr>
            <w:tcW w:w="6153" w:type="dxa"/>
            <w:gridSpan w:val="2"/>
          </w:tcPr>
          <w:p w14:paraId="5AE88142">
            <w:pPr>
              <w:pStyle w:val="25"/>
              <w:spacing w:before="26"/>
              <w:ind w:left="2000" w:right="1994"/>
              <w:jc w:val="center"/>
              <w:rPr>
                <w:i w:val="0"/>
                <w:iCs w:val="0"/>
                <w:color w:val="auto"/>
                <w:sz w:val="18"/>
              </w:rPr>
            </w:pPr>
            <w:r>
              <w:rPr>
                <w:i w:val="0"/>
                <w:iCs w:val="0"/>
                <w:color w:val="auto"/>
                <w:spacing w:val="-2"/>
                <w:sz w:val="18"/>
              </w:rPr>
              <w:t>院感管理系统</w:t>
            </w:r>
          </w:p>
        </w:tc>
        <w:tc>
          <w:tcPr>
            <w:tcW w:w="456" w:type="dxa"/>
          </w:tcPr>
          <w:p w14:paraId="097F5FB1">
            <w:pPr>
              <w:pStyle w:val="25"/>
              <w:spacing w:line="267" w:lineRule="exact"/>
              <w:ind w:right="8"/>
              <w:jc w:val="center"/>
              <w:rPr>
                <w:i w:val="0"/>
                <w:iCs w:val="0"/>
                <w:color w:val="auto"/>
              </w:rPr>
            </w:pPr>
            <w:r>
              <w:rPr>
                <w:i w:val="0"/>
                <w:iCs w:val="0"/>
                <w:color w:val="auto"/>
              </w:rPr>
              <w:t>项</w:t>
            </w:r>
          </w:p>
        </w:tc>
        <w:tc>
          <w:tcPr>
            <w:tcW w:w="458" w:type="dxa"/>
          </w:tcPr>
          <w:p w14:paraId="2F74F938">
            <w:pPr>
              <w:pStyle w:val="25"/>
              <w:spacing w:line="267" w:lineRule="exact"/>
              <w:ind w:right="98"/>
              <w:jc w:val="right"/>
              <w:rPr>
                <w:i w:val="0"/>
                <w:iCs w:val="0"/>
                <w:color w:val="auto"/>
              </w:rPr>
            </w:pPr>
            <w:r>
              <w:rPr>
                <w:i w:val="0"/>
                <w:iCs w:val="0"/>
                <w:color w:val="auto"/>
              </w:rPr>
              <w:t>1</w:t>
            </w:r>
          </w:p>
        </w:tc>
      </w:tr>
      <w:tr w14:paraId="4F7D9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FC3286C">
            <w:pPr>
              <w:rPr>
                <w:i w:val="0"/>
                <w:iCs w:val="0"/>
                <w:color w:val="auto"/>
                <w:sz w:val="2"/>
                <w:szCs w:val="2"/>
              </w:rPr>
            </w:pPr>
          </w:p>
        </w:tc>
        <w:tc>
          <w:tcPr>
            <w:tcW w:w="1001" w:type="dxa"/>
            <w:vMerge w:val="continue"/>
            <w:tcBorders>
              <w:top w:val="nil"/>
            </w:tcBorders>
          </w:tcPr>
          <w:p w14:paraId="61151FBB">
            <w:pPr>
              <w:rPr>
                <w:i w:val="0"/>
                <w:iCs w:val="0"/>
                <w:color w:val="auto"/>
                <w:sz w:val="2"/>
                <w:szCs w:val="2"/>
              </w:rPr>
            </w:pPr>
          </w:p>
        </w:tc>
        <w:tc>
          <w:tcPr>
            <w:tcW w:w="6153" w:type="dxa"/>
            <w:gridSpan w:val="2"/>
          </w:tcPr>
          <w:p w14:paraId="0ECD392D">
            <w:pPr>
              <w:pStyle w:val="25"/>
              <w:spacing w:before="24"/>
              <w:ind w:left="2000" w:right="1994"/>
              <w:jc w:val="center"/>
              <w:rPr>
                <w:i w:val="0"/>
                <w:iCs w:val="0"/>
                <w:color w:val="auto"/>
                <w:sz w:val="18"/>
              </w:rPr>
            </w:pPr>
            <w:r>
              <w:rPr>
                <w:i w:val="0"/>
                <w:iCs w:val="0"/>
                <w:color w:val="auto"/>
                <w:spacing w:val="-2"/>
                <w:sz w:val="18"/>
              </w:rPr>
              <w:t>消毒供应追溯系统</w:t>
            </w:r>
          </w:p>
        </w:tc>
        <w:tc>
          <w:tcPr>
            <w:tcW w:w="456" w:type="dxa"/>
          </w:tcPr>
          <w:p w14:paraId="6E34352B">
            <w:pPr>
              <w:pStyle w:val="25"/>
              <w:spacing w:line="265" w:lineRule="exact"/>
              <w:ind w:right="8"/>
              <w:jc w:val="center"/>
              <w:rPr>
                <w:i w:val="0"/>
                <w:iCs w:val="0"/>
                <w:color w:val="auto"/>
              </w:rPr>
            </w:pPr>
            <w:r>
              <w:rPr>
                <w:i w:val="0"/>
                <w:iCs w:val="0"/>
                <w:color w:val="auto"/>
              </w:rPr>
              <w:t>项</w:t>
            </w:r>
          </w:p>
        </w:tc>
        <w:tc>
          <w:tcPr>
            <w:tcW w:w="458" w:type="dxa"/>
          </w:tcPr>
          <w:p w14:paraId="08E2BAD1">
            <w:pPr>
              <w:pStyle w:val="25"/>
              <w:spacing w:line="265" w:lineRule="exact"/>
              <w:ind w:right="98"/>
              <w:jc w:val="right"/>
              <w:rPr>
                <w:i w:val="0"/>
                <w:iCs w:val="0"/>
                <w:color w:val="auto"/>
              </w:rPr>
            </w:pPr>
            <w:r>
              <w:rPr>
                <w:i w:val="0"/>
                <w:iCs w:val="0"/>
                <w:color w:val="auto"/>
              </w:rPr>
              <w:t>1</w:t>
            </w:r>
          </w:p>
        </w:tc>
      </w:tr>
      <w:tr w14:paraId="6586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8646D79">
            <w:pPr>
              <w:rPr>
                <w:i w:val="0"/>
                <w:iCs w:val="0"/>
                <w:color w:val="auto"/>
                <w:sz w:val="2"/>
                <w:szCs w:val="2"/>
              </w:rPr>
            </w:pPr>
          </w:p>
        </w:tc>
        <w:tc>
          <w:tcPr>
            <w:tcW w:w="1001" w:type="dxa"/>
            <w:vMerge w:val="continue"/>
            <w:tcBorders>
              <w:top w:val="nil"/>
            </w:tcBorders>
          </w:tcPr>
          <w:p w14:paraId="0B9C384F">
            <w:pPr>
              <w:rPr>
                <w:i w:val="0"/>
                <w:iCs w:val="0"/>
                <w:color w:val="auto"/>
                <w:sz w:val="2"/>
                <w:szCs w:val="2"/>
              </w:rPr>
            </w:pPr>
          </w:p>
        </w:tc>
        <w:tc>
          <w:tcPr>
            <w:tcW w:w="1623" w:type="dxa"/>
            <w:vMerge w:val="restart"/>
          </w:tcPr>
          <w:p w14:paraId="7A87D615">
            <w:pPr>
              <w:pStyle w:val="25"/>
              <w:rPr>
                <w:b/>
                <w:i w:val="0"/>
                <w:iCs w:val="0"/>
                <w:color w:val="auto"/>
                <w:sz w:val="18"/>
              </w:rPr>
            </w:pPr>
          </w:p>
          <w:p w14:paraId="16F19490">
            <w:pPr>
              <w:pStyle w:val="25"/>
              <w:rPr>
                <w:b/>
                <w:i w:val="0"/>
                <w:iCs w:val="0"/>
                <w:color w:val="auto"/>
                <w:sz w:val="18"/>
              </w:rPr>
            </w:pPr>
          </w:p>
          <w:p w14:paraId="4A521939">
            <w:pPr>
              <w:pStyle w:val="25"/>
              <w:rPr>
                <w:b/>
                <w:i w:val="0"/>
                <w:iCs w:val="0"/>
                <w:color w:val="auto"/>
                <w:sz w:val="18"/>
              </w:rPr>
            </w:pPr>
          </w:p>
          <w:p w14:paraId="56651364">
            <w:pPr>
              <w:pStyle w:val="25"/>
              <w:rPr>
                <w:b/>
                <w:i w:val="0"/>
                <w:iCs w:val="0"/>
                <w:color w:val="auto"/>
                <w:sz w:val="18"/>
              </w:rPr>
            </w:pPr>
          </w:p>
          <w:p w14:paraId="6F022FDD">
            <w:pPr>
              <w:pStyle w:val="25"/>
              <w:spacing w:before="136"/>
              <w:ind w:left="270"/>
              <w:rPr>
                <w:i w:val="0"/>
                <w:iCs w:val="0"/>
                <w:color w:val="auto"/>
                <w:sz w:val="18"/>
              </w:rPr>
            </w:pPr>
            <w:r>
              <w:rPr>
                <w:i w:val="0"/>
                <w:iCs w:val="0"/>
                <w:color w:val="auto"/>
                <w:spacing w:val="-2"/>
                <w:sz w:val="18"/>
              </w:rPr>
              <w:t>药品管理系统</w:t>
            </w:r>
          </w:p>
        </w:tc>
        <w:tc>
          <w:tcPr>
            <w:tcW w:w="4530" w:type="dxa"/>
          </w:tcPr>
          <w:p w14:paraId="5A97EB55">
            <w:pPr>
              <w:pStyle w:val="25"/>
              <w:spacing w:before="26"/>
              <w:ind w:left="192" w:right="184"/>
              <w:jc w:val="center"/>
              <w:rPr>
                <w:i w:val="0"/>
                <w:iCs w:val="0"/>
                <w:color w:val="auto"/>
                <w:sz w:val="18"/>
              </w:rPr>
            </w:pPr>
            <w:r>
              <w:rPr>
                <w:i w:val="0"/>
                <w:iCs w:val="0"/>
                <w:color w:val="auto"/>
                <w:spacing w:val="-1"/>
                <w:sz w:val="18"/>
              </w:rPr>
              <w:t>门急诊中/西药房管理系统</w:t>
            </w:r>
          </w:p>
        </w:tc>
        <w:tc>
          <w:tcPr>
            <w:tcW w:w="456" w:type="dxa"/>
          </w:tcPr>
          <w:p w14:paraId="441921CC">
            <w:pPr>
              <w:pStyle w:val="25"/>
              <w:spacing w:line="265" w:lineRule="exact"/>
              <w:ind w:right="8"/>
              <w:jc w:val="center"/>
              <w:rPr>
                <w:i w:val="0"/>
                <w:iCs w:val="0"/>
                <w:color w:val="auto"/>
              </w:rPr>
            </w:pPr>
            <w:r>
              <w:rPr>
                <w:i w:val="0"/>
                <w:iCs w:val="0"/>
                <w:color w:val="auto"/>
              </w:rPr>
              <w:t>项</w:t>
            </w:r>
          </w:p>
        </w:tc>
        <w:tc>
          <w:tcPr>
            <w:tcW w:w="458" w:type="dxa"/>
          </w:tcPr>
          <w:p w14:paraId="42456D5A">
            <w:pPr>
              <w:pStyle w:val="25"/>
              <w:spacing w:line="265" w:lineRule="exact"/>
              <w:ind w:right="98"/>
              <w:jc w:val="right"/>
              <w:rPr>
                <w:i w:val="0"/>
                <w:iCs w:val="0"/>
                <w:color w:val="auto"/>
              </w:rPr>
            </w:pPr>
            <w:r>
              <w:rPr>
                <w:i w:val="0"/>
                <w:iCs w:val="0"/>
                <w:color w:val="auto"/>
              </w:rPr>
              <w:t>1</w:t>
            </w:r>
          </w:p>
        </w:tc>
      </w:tr>
      <w:tr w14:paraId="10B78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969BD3A">
            <w:pPr>
              <w:rPr>
                <w:i w:val="0"/>
                <w:iCs w:val="0"/>
                <w:color w:val="auto"/>
                <w:sz w:val="2"/>
                <w:szCs w:val="2"/>
              </w:rPr>
            </w:pPr>
          </w:p>
        </w:tc>
        <w:tc>
          <w:tcPr>
            <w:tcW w:w="1001" w:type="dxa"/>
            <w:vMerge w:val="continue"/>
            <w:tcBorders>
              <w:top w:val="nil"/>
            </w:tcBorders>
          </w:tcPr>
          <w:p w14:paraId="03CDF874">
            <w:pPr>
              <w:rPr>
                <w:i w:val="0"/>
                <w:iCs w:val="0"/>
                <w:color w:val="auto"/>
                <w:sz w:val="2"/>
                <w:szCs w:val="2"/>
              </w:rPr>
            </w:pPr>
          </w:p>
        </w:tc>
        <w:tc>
          <w:tcPr>
            <w:tcW w:w="1623" w:type="dxa"/>
            <w:vMerge w:val="continue"/>
            <w:tcBorders>
              <w:top w:val="nil"/>
            </w:tcBorders>
          </w:tcPr>
          <w:p w14:paraId="173307CE">
            <w:pPr>
              <w:rPr>
                <w:i w:val="0"/>
                <w:iCs w:val="0"/>
                <w:color w:val="auto"/>
                <w:sz w:val="2"/>
                <w:szCs w:val="2"/>
              </w:rPr>
            </w:pPr>
          </w:p>
        </w:tc>
        <w:tc>
          <w:tcPr>
            <w:tcW w:w="4530" w:type="dxa"/>
          </w:tcPr>
          <w:p w14:paraId="1179C894">
            <w:pPr>
              <w:pStyle w:val="25"/>
              <w:spacing w:before="26"/>
              <w:ind w:left="189" w:right="184"/>
              <w:jc w:val="center"/>
              <w:rPr>
                <w:i w:val="0"/>
                <w:iCs w:val="0"/>
                <w:color w:val="auto"/>
                <w:sz w:val="18"/>
              </w:rPr>
            </w:pPr>
            <w:r>
              <w:rPr>
                <w:i w:val="0"/>
                <w:iCs w:val="0"/>
                <w:color w:val="auto"/>
                <w:spacing w:val="-1"/>
                <w:sz w:val="18"/>
              </w:rPr>
              <w:t>病区中心药房管理系统</w:t>
            </w:r>
          </w:p>
        </w:tc>
        <w:tc>
          <w:tcPr>
            <w:tcW w:w="456" w:type="dxa"/>
          </w:tcPr>
          <w:p w14:paraId="4B5DA6FF">
            <w:pPr>
              <w:pStyle w:val="25"/>
              <w:spacing w:line="266" w:lineRule="exact"/>
              <w:ind w:right="8"/>
              <w:jc w:val="center"/>
              <w:rPr>
                <w:i w:val="0"/>
                <w:iCs w:val="0"/>
                <w:color w:val="auto"/>
              </w:rPr>
            </w:pPr>
            <w:r>
              <w:rPr>
                <w:i w:val="0"/>
                <w:iCs w:val="0"/>
                <w:color w:val="auto"/>
              </w:rPr>
              <w:t>项</w:t>
            </w:r>
          </w:p>
        </w:tc>
        <w:tc>
          <w:tcPr>
            <w:tcW w:w="458" w:type="dxa"/>
          </w:tcPr>
          <w:p w14:paraId="55C13F35">
            <w:pPr>
              <w:pStyle w:val="25"/>
              <w:spacing w:line="266" w:lineRule="exact"/>
              <w:ind w:right="98"/>
              <w:jc w:val="right"/>
              <w:rPr>
                <w:i w:val="0"/>
                <w:iCs w:val="0"/>
                <w:color w:val="auto"/>
              </w:rPr>
            </w:pPr>
            <w:r>
              <w:rPr>
                <w:i w:val="0"/>
                <w:iCs w:val="0"/>
                <w:color w:val="auto"/>
              </w:rPr>
              <w:t>1</w:t>
            </w:r>
          </w:p>
        </w:tc>
      </w:tr>
      <w:tr w14:paraId="61DD3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4CF4BF0">
            <w:pPr>
              <w:rPr>
                <w:i w:val="0"/>
                <w:iCs w:val="0"/>
                <w:color w:val="auto"/>
                <w:sz w:val="2"/>
                <w:szCs w:val="2"/>
              </w:rPr>
            </w:pPr>
          </w:p>
        </w:tc>
        <w:tc>
          <w:tcPr>
            <w:tcW w:w="1001" w:type="dxa"/>
            <w:vMerge w:val="continue"/>
            <w:tcBorders>
              <w:top w:val="nil"/>
            </w:tcBorders>
          </w:tcPr>
          <w:p w14:paraId="0110E24B">
            <w:pPr>
              <w:rPr>
                <w:i w:val="0"/>
                <w:iCs w:val="0"/>
                <w:color w:val="auto"/>
                <w:sz w:val="2"/>
                <w:szCs w:val="2"/>
              </w:rPr>
            </w:pPr>
          </w:p>
        </w:tc>
        <w:tc>
          <w:tcPr>
            <w:tcW w:w="1623" w:type="dxa"/>
            <w:vMerge w:val="continue"/>
            <w:tcBorders>
              <w:top w:val="nil"/>
            </w:tcBorders>
          </w:tcPr>
          <w:p w14:paraId="44DA154F">
            <w:pPr>
              <w:rPr>
                <w:i w:val="0"/>
                <w:iCs w:val="0"/>
                <w:color w:val="auto"/>
                <w:sz w:val="2"/>
                <w:szCs w:val="2"/>
              </w:rPr>
            </w:pPr>
          </w:p>
        </w:tc>
        <w:tc>
          <w:tcPr>
            <w:tcW w:w="4530" w:type="dxa"/>
          </w:tcPr>
          <w:p w14:paraId="6C64AADD">
            <w:pPr>
              <w:pStyle w:val="25"/>
              <w:spacing w:before="26"/>
              <w:ind w:left="189" w:right="184"/>
              <w:jc w:val="center"/>
              <w:rPr>
                <w:i w:val="0"/>
                <w:iCs w:val="0"/>
                <w:color w:val="auto"/>
                <w:sz w:val="18"/>
              </w:rPr>
            </w:pPr>
            <w:r>
              <w:rPr>
                <w:i w:val="0"/>
                <w:iCs w:val="0"/>
                <w:color w:val="auto"/>
                <w:spacing w:val="-2"/>
                <w:sz w:val="18"/>
              </w:rPr>
              <w:t>中西药库管理系统</w:t>
            </w:r>
          </w:p>
        </w:tc>
        <w:tc>
          <w:tcPr>
            <w:tcW w:w="456" w:type="dxa"/>
          </w:tcPr>
          <w:p w14:paraId="5A4ABC13">
            <w:pPr>
              <w:pStyle w:val="25"/>
              <w:spacing w:line="265" w:lineRule="exact"/>
              <w:ind w:right="8"/>
              <w:jc w:val="center"/>
              <w:rPr>
                <w:i w:val="0"/>
                <w:iCs w:val="0"/>
                <w:color w:val="auto"/>
              </w:rPr>
            </w:pPr>
            <w:r>
              <w:rPr>
                <w:i w:val="0"/>
                <w:iCs w:val="0"/>
                <w:color w:val="auto"/>
              </w:rPr>
              <w:t>项</w:t>
            </w:r>
          </w:p>
        </w:tc>
        <w:tc>
          <w:tcPr>
            <w:tcW w:w="458" w:type="dxa"/>
          </w:tcPr>
          <w:p w14:paraId="42A71628">
            <w:pPr>
              <w:pStyle w:val="25"/>
              <w:spacing w:line="265" w:lineRule="exact"/>
              <w:ind w:right="98"/>
              <w:jc w:val="right"/>
              <w:rPr>
                <w:i w:val="0"/>
                <w:iCs w:val="0"/>
                <w:color w:val="auto"/>
              </w:rPr>
            </w:pPr>
            <w:r>
              <w:rPr>
                <w:i w:val="0"/>
                <w:iCs w:val="0"/>
                <w:color w:val="auto"/>
              </w:rPr>
              <w:t>1</w:t>
            </w:r>
          </w:p>
        </w:tc>
      </w:tr>
      <w:tr w14:paraId="60232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138858B">
            <w:pPr>
              <w:rPr>
                <w:i w:val="0"/>
                <w:iCs w:val="0"/>
                <w:color w:val="auto"/>
                <w:sz w:val="2"/>
                <w:szCs w:val="2"/>
              </w:rPr>
            </w:pPr>
          </w:p>
        </w:tc>
        <w:tc>
          <w:tcPr>
            <w:tcW w:w="1001" w:type="dxa"/>
            <w:vMerge w:val="continue"/>
            <w:tcBorders>
              <w:top w:val="nil"/>
            </w:tcBorders>
          </w:tcPr>
          <w:p w14:paraId="2719E1AE">
            <w:pPr>
              <w:rPr>
                <w:i w:val="0"/>
                <w:iCs w:val="0"/>
                <w:color w:val="auto"/>
                <w:sz w:val="2"/>
                <w:szCs w:val="2"/>
              </w:rPr>
            </w:pPr>
          </w:p>
        </w:tc>
        <w:tc>
          <w:tcPr>
            <w:tcW w:w="1623" w:type="dxa"/>
            <w:vMerge w:val="continue"/>
            <w:tcBorders>
              <w:top w:val="nil"/>
            </w:tcBorders>
          </w:tcPr>
          <w:p w14:paraId="68FEA973">
            <w:pPr>
              <w:rPr>
                <w:i w:val="0"/>
                <w:iCs w:val="0"/>
                <w:color w:val="auto"/>
                <w:sz w:val="2"/>
                <w:szCs w:val="2"/>
              </w:rPr>
            </w:pPr>
          </w:p>
        </w:tc>
        <w:tc>
          <w:tcPr>
            <w:tcW w:w="4530" w:type="dxa"/>
          </w:tcPr>
          <w:p w14:paraId="0AF8AFA1">
            <w:pPr>
              <w:pStyle w:val="25"/>
              <w:spacing w:before="26"/>
              <w:ind w:left="189" w:right="184"/>
              <w:jc w:val="center"/>
              <w:rPr>
                <w:i w:val="0"/>
                <w:iCs w:val="0"/>
                <w:color w:val="auto"/>
                <w:sz w:val="18"/>
              </w:rPr>
            </w:pPr>
            <w:r>
              <w:rPr>
                <w:i w:val="0"/>
                <w:iCs w:val="0"/>
                <w:color w:val="auto"/>
                <w:spacing w:val="-2"/>
                <w:sz w:val="18"/>
              </w:rPr>
              <w:t>处方点评管理系统</w:t>
            </w:r>
          </w:p>
        </w:tc>
        <w:tc>
          <w:tcPr>
            <w:tcW w:w="456" w:type="dxa"/>
          </w:tcPr>
          <w:p w14:paraId="581AF3BA">
            <w:pPr>
              <w:pStyle w:val="25"/>
              <w:spacing w:line="265" w:lineRule="exact"/>
              <w:ind w:right="8"/>
              <w:jc w:val="center"/>
              <w:rPr>
                <w:i w:val="0"/>
                <w:iCs w:val="0"/>
                <w:color w:val="auto"/>
              </w:rPr>
            </w:pPr>
            <w:r>
              <w:rPr>
                <w:i w:val="0"/>
                <w:iCs w:val="0"/>
                <w:color w:val="auto"/>
              </w:rPr>
              <w:t>项</w:t>
            </w:r>
          </w:p>
        </w:tc>
        <w:tc>
          <w:tcPr>
            <w:tcW w:w="458" w:type="dxa"/>
          </w:tcPr>
          <w:p w14:paraId="26741B47">
            <w:pPr>
              <w:pStyle w:val="25"/>
              <w:spacing w:line="265" w:lineRule="exact"/>
              <w:ind w:right="98"/>
              <w:jc w:val="right"/>
              <w:rPr>
                <w:i w:val="0"/>
                <w:iCs w:val="0"/>
                <w:color w:val="auto"/>
              </w:rPr>
            </w:pPr>
            <w:r>
              <w:rPr>
                <w:i w:val="0"/>
                <w:iCs w:val="0"/>
                <w:color w:val="auto"/>
              </w:rPr>
              <w:t>1</w:t>
            </w:r>
          </w:p>
        </w:tc>
      </w:tr>
      <w:tr w14:paraId="11287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1E42B4E">
            <w:pPr>
              <w:rPr>
                <w:i w:val="0"/>
                <w:iCs w:val="0"/>
                <w:color w:val="auto"/>
                <w:sz w:val="2"/>
                <w:szCs w:val="2"/>
              </w:rPr>
            </w:pPr>
          </w:p>
        </w:tc>
        <w:tc>
          <w:tcPr>
            <w:tcW w:w="1001" w:type="dxa"/>
            <w:vMerge w:val="continue"/>
            <w:tcBorders>
              <w:top w:val="nil"/>
            </w:tcBorders>
          </w:tcPr>
          <w:p w14:paraId="1B6C9EAF">
            <w:pPr>
              <w:rPr>
                <w:i w:val="0"/>
                <w:iCs w:val="0"/>
                <w:color w:val="auto"/>
                <w:sz w:val="2"/>
                <w:szCs w:val="2"/>
              </w:rPr>
            </w:pPr>
          </w:p>
        </w:tc>
        <w:tc>
          <w:tcPr>
            <w:tcW w:w="1623" w:type="dxa"/>
            <w:vMerge w:val="continue"/>
            <w:tcBorders>
              <w:top w:val="nil"/>
            </w:tcBorders>
          </w:tcPr>
          <w:p w14:paraId="5E928464">
            <w:pPr>
              <w:rPr>
                <w:i w:val="0"/>
                <w:iCs w:val="0"/>
                <w:color w:val="auto"/>
                <w:sz w:val="2"/>
                <w:szCs w:val="2"/>
              </w:rPr>
            </w:pPr>
          </w:p>
        </w:tc>
        <w:tc>
          <w:tcPr>
            <w:tcW w:w="4530" w:type="dxa"/>
          </w:tcPr>
          <w:p w14:paraId="17B30339">
            <w:pPr>
              <w:pStyle w:val="25"/>
              <w:spacing w:before="26"/>
              <w:ind w:left="189" w:right="184"/>
              <w:jc w:val="center"/>
              <w:rPr>
                <w:i w:val="0"/>
                <w:iCs w:val="0"/>
                <w:color w:val="auto"/>
                <w:sz w:val="18"/>
              </w:rPr>
            </w:pPr>
            <w:r>
              <w:rPr>
                <w:i w:val="0"/>
                <w:iCs w:val="0"/>
                <w:color w:val="auto"/>
                <w:spacing w:val="-2"/>
                <w:sz w:val="18"/>
              </w:rPr>
              <w:t>抗菌药物管理系统</w:t>
            </w:r>
          </w:p>
        </w:tc>
        <w:tc>
          <w:tcPr>
            <w:tcW w:w="456" w:type="dxa"/>
          </w:tcPr>
          <w:p w14:paraId="0749CC6D">
            <w:pPr>
              <w:pStyle w:val="25"/>
              <w:spacing w:line="265" w:lineRule="exact"/>
              <w:ind w:right="8"/>
              <w:jc w:val="center"/>
              <w:rPr>
                <w:i w:val="0"/>
                <w:iCs w:val="0"/>
                <w:color w:val="auto"/>
              </w:rPr>
            </w:pPr>
            <w:r>
              <w:rPr>
                <w:i w:val="0"/>
                <w:iCs w:val="0"/>
                <w:color w:val="auto"/>
              </w:rPr>
              <w:t>项</w:t>
            </w:r>
          </w:p>
        </w:tc>
        <w:tc>
          <w:tcPr>
            <w:tcW w:w="458" w:type="dxa"/>
          </w:tcPr>
          <w:p w14:paraId="1E120D42">
            <w:pPr>
              <w:pStyle w:val="25"/>
              <w:spacing w:line="265" w:lineRule="exact"/>
              <w:ind w:right="98"/>
              <w:jc w:val="right"/>
              <w:rPr>
                <w:i w:val="0"/>
                <w:iCs w:val="0"/>
                <w:color w:val="auto"/>
              </w:rPr>
            </w:pPr>
            <w:r>
              <w:rPr>
                <w:i w:val="0"/>
                <w:iCs w:val="0"/>
                <w:color w:val="auto"/>
              </w:rPr>
              <w:t>1</w:t>
            </w:r>
          </w:p>
        </w:tc>
      </w:tr>
      <w:tr w14:paraId="01E87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3B84EB3">
            <w:pPr>
              <w:rPr>
                <w:i w:val="0"/>
                <w:iCs w:val="0"/>
                <w:color w:val="auto"/>
                <w:sz w:val="2"/>
                <w:szCs w:val="2"/>
              </w:rPr>
            </w:pPr>
          </w:p>
        </w:tc>
        <w:tc>
          <w:tcPr>
            <w:tcW w:w="1001" w:type="dxa"/>
            <w:vMerge w:val="continue"/>
            <w:tcBorders>
              <w:top w:val="nil"/>
            </w:tcBorders>
          </w:tcPr>
          <w:p w14:paraId="5D2B125B">
            <w:pPr>
              <w:rPr>
                <w:i w:val="0"/>
                <w:iCs w:val="0"/>
                <w:color w:val="auto"/>
                <w:sz w:val="2"/>
                <w:szCs w:val="2"/>
              </w:rPr>
            </w:pPr>
          </w:p>
        </w:tc>
        <w:tc>
          <w:tcPr>
            <w:tcW w:w="1623" w:type="dxa"/>
            <w:vMerge w:val="continue"/>
            <w:tcBorders>
              <w:top w:val="nil"/>
            </w:tcBorders>
          </w:tcPr>
          <w:p w14:paraId="1E75A6AC">
            <w:pPr>
              <w:rPr>
                <w:i w:val="0"/>
                <w:iCs w:val="0"/>
                <w:color w:val="auto"/>
                <w:sz w:val="2"/>
                <w:szCs w:val="2"/>
              </w:rPr>
            </w:pPr>
          </w:p>
        </w:tc>
        <w:tc>
          <w:tcPr>
            <w:tcW w:w="4530" w:type="dxa"/>
          </w:tcPr>
          <w:p w14:paraId="733A4E7B">
            <w:pPr>
              <w:pStyle w:val="25"/>
              <w:spacing w:before="26"/>
              <w:ind w:left="189" w:right="184"/>
              <w:jc w:val="center"/>
              <w:rPr>
                <w:i w:val="0"/>
                <w:iCs w:val="0"/>
                <w:color w:val="auto"/>
                <w:sz w:val="18"/>
              </w:rPr>
            </w:pPr>
            <w:r>
              <w:rPr>
                <w:i w:val="0"/>
                <w:iCs w:val="0"/>
                <w:color w:val="auto"/>
                <w:spacing w:val="-2"/>
                <w:sz w:val="18"/>
              </w:rPr>
              <w:t>合理用药管理系统</w:t>
            </w:r>
          </w:p>
        </w:tc>
        <w:tc>
          <w:tcPr>
            <w:tcW w:w="456" w:type="dxa"/>
          </w:tcPr>
          <w:p w14:paraId="33B05B08">
            <w:pPr>
              <w:pStyle w:val="25"/>
              <w:spacing w:line="265" w:lineRule="exact"/>
              <w:ind w:right="8"/>
              <w:jc w:val="center"/>
              <w:rPr>
                <w:i w:val="0"/>
                <w:iCs w:val="0"/>
                <w:color w:val="auto"/>
              </w:rPr>
            </w:pPr>
            <w:r>
              <w:rPr>
                <w:i w:val="0"/>
                <w:iCs w:val="0"/>
                <w:color w:val="auto"/>
              </w:rPr>
              <w:t>项</w:t>
            </w:r>
          </w:p>
        </w:tc>
        <w:tc>
          <w:tcPr>
            <w:tcW w:w="458" w:type="dxa"/>
          </w:tcPr>
          <w:p w14:paraId="64C1BC71">
            <w:pPr>
              <w:pStyle w:val="25"/>
              <w:spacing w:line="265" w:lineRule="exact"/>
              <w:ind w:right="98"/>
              <w:jc w:val="right"/>
              <w:rPr>
                <w:i w:val="0"/>
                <w:iCs w:val="0"/>
                <w:color w:val="auto"/>
              </w:rPr>
            </w:pPr>
            <w:r>
              <w:rPr>
                <w:i w:val="0"/>
                <w:iCs w:val="0"/>
                <w:color w:val="auto"/>
              </w:rPr>
              <w:t>1</w:t>
            </w:r>
          </w:p>
        </w:tc>
      </w:tr>
      <w:tr w14:paraId="40585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CD3A92E">
            <w:pPr>
              <w:rPr>
                <w:i w:val="0"/>
                <w:iCs w:val="0"/>
                <w:color w:val="auto"/>
                <w:sz w:val="2"/>
                <w:szCs w:val="2"/>
              </w:rPr>
            </w:pPr>
          </w:p>
        </w:tc>
        <w:tc>
          <w:tcPr>
            <w:tcW w:w="1001" w:type="dxa"/>
            <w:vMerge w:val="continue"/>
            <w:tcBorders>
              <w:top w:val="nil"/>
            </w:tcBorders>
          </w:tcPr>
          <w:p w14:paraId="2364696C">
            <w:pPr>
              <w:rPr>
                <w:i w:val="0"/>
                <w:iCs w:val="0"/>
                <w:color w:val="auto"/>
                <w:sz w:val="2"/>
                <w:szCs w:val="2"/>
              </w:rPr>
            </w:pPr>
          </w:p>
        </w:tc>
        <w:tc>
          <w:tcPr>
            <w:tcW w:w="1623" w:type="dxa"/>
            <w:vMerge w:val="continue"/>
            <w:tcBorders>
              <w:top w:val="nil"/>
            </w:tcBorders>
          </w:tcPr>
          <w:p w14:paraId="4050B1C6">
            <w:pPr>
              <w:rPr>
                <w:i w:val="0"/>
                <w:iCs w:val="0"/>
                <w:color w:val="auto"/>
                <w:sz w:val="2"/>
                <w:szCs w:val="2"/>
              </w:rPr>
            </w:pPr>
          </w:p>
        </w:tc>
        <w:tc>
          <w:tcPr>
            <w:tcW w:w="4530" w:type="dxa"/>
          </w:tcPr>
          <w:p w14:paraId="7DECEF96">
            <w:pPr>
              <w:pStyle w:val="25"/>
              <w:spacing w:before="26"/>
              <w:ind w:left="190" w:right="184"/>
              <w:jc w:val="center"/>
              <w:rPr>
                <w:i w:val="0"/>
                <w:iCs w:val="0"/>
                <w:color w:val="auto"/>
                <w:sz w:val="18"/>
              </w:rPr>
            </w:pPr>
            <w:r>
              <w:rPr>
                <w:i w:val="0"/>
                <w:iCs w:val="0"/>
                <w:color w:val="auto"/>
                <w:spacing w:val="-2"/>
                <w:sz w:val="18"/>
              </w:rPr>
              <w:t>前置审方系统</w:t>
            </w:r>
          </w:p>
        </w:tc>
        <w:tc>
          <w:tcPr>
            <w:tcW w:w="456" w:type="dxa"/>
          </w:tcPr>
          <w:p w14:paraId="7855C8CA">
            <w:pPr>
              <w:pStyle w:val="25"/>
              <w:spacing w:line="265" w:lineRule="exact"/>
              <w:ind w:right="8"/>
              <w:jc w:val="center"/>
              <w:rPr>
                <w:i w:val="0"/>
                <w:iCs w:val="0"/>
                <w:color w:val="auto"/>
              </w:rPr>
            </w:pPr>
            <w:r>
              <w:rPr>
                <w:i w:val="0"/>
                <w:iCs w:val="0"/>
                <w:color w:val="auto"/>
              </w:rPr>
              <w:t>项</w:t>
            </w:r>
          </w:p>
        </w:tc>
        <w:tc>
          <w:tcPr>
            <w:tcW w:w="458" w:type="dxa"/>
          </w:tcPr>
          <w:p w14:paraId="4AD067DA">
            <w:pPr>
              <w:pStyle w:val="25"/>
              <w:spacing w:line="265" w:lineRule="exact"/>
              <w:ind w:right="98"/>
              <w:jc w:val="right"/>
              <w:rPr>
                <w:i w:val="0"/>
                <w:iCs w:val="0"/>
                <w:color w:val="auto"/>
              </w:rPr>
            </w:pPr>
            <w:r>
              <w:rPr>
                <w:i w:val="0"/>
                <w:iCs w:val="0"/>
                <w:color w:val="auto"/>
              </w:rPr>
              <w:t>1</w:t>
            </w:r>
          </w:p>
        </w:tc>
      </w:tr>
      <w:tr w14:paraId="7C9CD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7E1904E">
            <w:pPr>
              <w:rPr>
                <w:i w:val="0"/>
                <w:iCs w:val="0"/>
                <w:color w:val="auto"/>
                <w:sz w:val="2"/>
                <w:szCs w:val="2"/>
              </w:rPr>
            </w:pPr>
          </w:p>
        </w:tc>
        <w:tc>
          <w:tcPr>
            <w:tcW w:w="1001" w:type="dxa"/>
            <w:vMerge w:val="continue"/>
            <w:tcBorders>
              <w:top w:val="nil"/>
            </w:tcBorders>
          </w:tcPr>
          <w:p w14:paraId="32CFAB15">
            <w:pPr>
              <w:rPr>
                <w:i w:val="0"/>
                <w:iCs w:val="0"/>
                <w:color w:val="auto"/>
                <w:sz w:val="2"/>
                <w:szCs w:val="2"/>
              </w:rPr>
            </w:pPr>
          </w:p>
        </w:tc>
        <w:tc>
          <w:tcPr>
            <w:tcW w:w="1623" w:type="dxa"/>
            <w:vMerge w:val="continue"/>
            <w:tcBorders>
              <w:top w:val="nil"/>
            </w:tcBorders>
          </w:tcPr>
          <w:p w14:paraId="384EB9BE">
            <w:pPr>
              <w:rPr>
                <w:i w:val="0"/>
                <w:iCs w:val="0"/>
                <w:color w:val="auto"/>
                <w:sz w:val="2"/>
                <w:szCs w:val="2"/>
              </w:rPr>
            </w:pPr>
          </w:p>
        </w:tc>
        <w:tc>
          <w:tcPr>
            <w:tcW w:w="4530" w:type="dxa"/>
          </w:tcPr>
          <w:p w14:paraId="6D405972">
            <w:pPr>
              <w:pStyle w:val="25"/>
              <w:spacing w:before="26"/>
              <w:ind w:left="189" w:right="184"/>
              <w:jc w:val="center"/>
              <w:rPr>
                <w:i w:val="0"/>
                <w:iCs w:val="0"/>
                <w:color w:val="auto"/>
                <w:sz w:val="18"/>
              </w:rPr>
            </w:pPr>
            <w:r>
              <w:rPr>
                <w:i w:val="0"/>
                <w:iCs w:val="0"/>
                <w:color w:val="auto"/>
                <w:spacing w:val="-1"/>
                <w:sz w:val="18"/>
              </w:rPr>
              <w:t>制剂室信息管理及流转系统</w:t>
            </w:r>
          </w:p>
        </w:tc>
        <w:tc>
          <w:tcPr>
            <w:tcW w:w="456" w:type="dxa"/>
          </w:tcPr>
          <w:p w14:paraId="4F517B3A">
            <w:pPr>
              <w:pStyle w:val="25"/>
              <w:spacing w:line="265" w:lineRule="exact"/>
              <w:ind w:right="8"/>
              <w:jc w:val="center"/>
              <w:rPr>
                <w:i w:val="0"/>
                <w:iCs w:val="0"/>
                <w:color w:val="auto"/>
              </w:rPr>
            </w:pPr>
            <w:r>
              <w:rPr>
                <w:i w:val="0"/>
                <w:iCs w:val="0"/>
                <w:color w:val="auto"/>
              </w:rPr>
              <w:t>项</w:t>
            </w:r>
          </w:p>
        </w:tc>
        <w:tc>
          <w:tcPr>
            <w:tcW w:w="458" w:type="dxa"/>
          </w:tcPr>
          <w:p w14:paraId="0DC0AF36">
            <w:pPr>
              <w:pStyle w:val="25"/>
              <w:spacing w:line="265" w:lineRule="exact"/>
              <w:ind w:right="98"/>
              <w:jc w:val="right"/>
              <w:rPr>
                <w:i w:val="0"/>
                <w:iCs w:val="0"/>
                <w:color w:val="auto"/>
              </w:rPr>
            </w:pPr>
            <w:r>
              <w:rPr>
                <w:i w:val="0"/>
                <w:iCs w:val="0"/>
                <w:color w:val="auto"/>
              </w:rPr>
              <w:t>1</w:t>
            </w:r>
          </w:p>
        </w:tc>
      </w:tr>
      <w:tr w14:paraId="0F1F6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CFF827D">
            <w:pPr>
              <w:rPr>
                <w:i w:val="0"/>
                <w:iCs w:val="0"/>
                <w:color w:val="auto"/>
                <w:sz w:val="2"/>
                <w:szCs w:val="2"/>
              </w:rPr>
            </w:pPr>
          </w:p>
        </w:tc>
        <w:tc>
          <w:tcPr>
            <w:tcW w:w="1001" w:type="dxa"/>
            <w:vMerge w:val="continue"/>
            <w:tcBorders>
              <w:top w:val="nil"/>
            </w:tcBorders>
          </w:tcPr>
          <w:p w14:paraId="213B750B">
            <w:pPr>
              <w:rPr>
                <w:i w:val="0"/>
                <w:iCs w:val="0"/>
                <w:color w:val="auto"/>
                <w:sz w:val="2"/>
                <w:szCs w:val="2"/>
              </w:rPr>
            </w:pPr>
          </w:p>
        </w:tc>
        <w:tc>
          <w:tcPr>
            <w:tcW w:w="6153" w:type="dxa"/>
            <w:gridSpan w:val="2"/>
          </w:tcPr>
          <w:p w14:paraId="6DFB0AE5">
            <w:pPr>
              <w:pStyle w:val="25"/>
              <w:spacing w:before="26"/>
              <w:ind w:left="2000" w:right="1994"/>
              <w:jc w:val="center"/>
              <w:rPr>
                <w:i w:val="0"/>
                <w:iCs w:val="0"/>
                <w:color w:val="auto"/>
                <w:sz w:val="18"/>
              </w:rPr>
            </w:pPr>
            <w:r>
              <w:rPr>
                <w:i w:val="0"/>
                <w:iCs w:val="0"/>
                <w:color w:val="auto"/>
                <w:spacing w:val="-2"/>
                <w:sz w:val="18"/>
              </w:rPr>
              <w:t>护理管理系统</w:t>
            </w:r>
          </w:p>
        </w:tc>
        <w:tc>
          <w:tcPr>
            <w:tcW w:w="456" w:type="dxa"/>
          </w:tcPr>
          <w:p w14:paraId="60CF233F">
            <w:pPr>
              <w:pStyle w:val="25"/>
              <w:spacing w:line="265" w:lineRule="exact"/>
              <w:ind w:right="8"/>
              <w:jc w:val="center"/>
              <w:rPr>
                <w:i w:val="0"/>
                <w:iCs w:val="0"/>
                <w:color w:val="auto"/>
              </w:rPr>
            </w:pPr>
            <w:r>
              <w:rPr>
                <w:i w:val="0"/>
                <w:iCs w:val="0"/>
                <w:color w:val="auto"/>
              </w:rPr>
              <w:t>项</w:t>
            </w:r>
          </w:p>
        </w:tc>
        <w:tc>
          <w:tcPr>
            <w:tcW w:w="458" w:type="dxa"/>
          </w:tcPr>
          <w:p w14:paraId="226C3E48">
            <w:pPr>
              <w:pStyle w:val="25"/>
              <w:spacing w:line="265" w:lineRule="exact"/>
              <w:ind w:right="98"/>
              <w:jc w:val="right"/>
              <w:rPr>
                <w:i w:val="0"/>
                <w:iCs w:val="0"/>
                <w:color w:val="auto"/>
              </w:rPr>
            </w:pPr>
            <w:r>
              <w:rPr>
                <w:i w:val="0"/>
                <w:iCs w:val="0"/>
                <w:color w:val="auto"/>
              </w:rPr>
              <w:t>1</w:t>
            </w:r>
          </w:p>
        </w:tc>
      </w:tr>
      <w:tr w14:paraId="15EE3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45D1936">
            <w:pPr>
              <w:rPr>
                <w:i w:val="0"/>
                <w:iCs w:val="0"/>
                <w:color w:val="auto"/>
                <w:sz w:val="2"/>
                <w:szCs w:val="2"/>
              </w:rPr>
            </w:pPr>
          </w:p>
        </w:tc>
        <w:tc>
          <w:tcPr>
            <w:tcW w:w="1001" w:type="dxa"/>
            <w:vMerge w:val="continue"/>
            <w:tcBorders>
              <w:top w:val="nil"/>
            </w:tcBorders>
          </w:tcPr>
          <w:p w14:paraId="1FB41A68">
            <w:pPr>
              <w:rPr>
                <w:i w:val="0"/>
                <w:iCs w:val="0"/>
                <w:color w:val="auto"/>
                <w:sz w:val="2"/>
                <w:szCs w:val="2"/>
              </w:rPr>
            </w:pPr>
          </w:p>
        </w:tc>
        <w:tc>
          <w:tcPr>
            <w:tcW w:w="1623" w:type="dxa"/>
            <w:vMerge w:val="restart"/>
          </w:tcPr>
          <w:p w14:paraId="47D9A328">
            <w:pPr>
              <w:pStyle w:val="25"/>
              <w:rPr>
                <w:b/>
                <w:i w:val="0"/>
                <w:iCs w:val="0"/>
                <w:color w:val="auto"/>
                <w:sz w:val="18"/>
              </w:rPr>
            </w:pPr>
          </w:p>
          <w:p w14:paraId="6F671327">
            <w:pPr>
              <w:pStyle w:val="25"/>
              <w:rPr>
                <w:b/>
                <w:i w:val="0"/>
                <w:iCs w:val="0"/>
                <w:color w:val="auto"/>
                <w:sz w:val="18"/>
              </w:rPr>
            </w:pPr>
          </w:p>
          <w:p w14:paraId="590F2A7C">
            <w:pPr>
              <w:pStyle w:val="25"/>
              <w:spacing w:before="9"/>
              <w:rPr>
                <w:b/>
                <w:i w:val="0"/>
                <w:iCs w:val="0"/>
                <w:color w:val="auto"/>
                <w:sz w:val="23"/>
              </w:rPr>
            </w:pPr>
          </w:p>
          <w:p w14:paraId="2ECF4F50">
            <w:pPr>
              <w:pStyle w:val="25"/>
              <w:ind w:left="450"/>
              <w:rPr>
                <w:i w:val="0"/>
                <w:iCs w:val="0"/>
                <w:color w:val="auto"/>
                <w:sz w:val="18"/>
              </w:rPr>
            </w:pPr>
            <w:r>
              <w:rPr>
                <w:i w:val="0"/>
                <w:iCs w:val="0"/>
                <w:color w:val="auto"/>
                <w:spacing w:val="-3"/>
                <w:sz w:val="18"/>
              </w:rPr>
              <w:t>医务管理</w:t>
            </w:r>
          </w:p>
        </w:tc>
        <w:tc>
          <w:tcPr>
            <w:tcW w:w="4530" w:type="dxa"/>
          </w:tcPr>
          <w:p w14:paraId="4F18272E">
            <w:pPr>
              <w:pStyle w:val="25"/>
              <w:spacing w:before="26"/>
              <w:ind w:left="190" w:right="184"/>
              <w:jc w:val="center"/>
              <w:rPr>
                <w:i w:val="0"/>
                <w:iCs w:val="0"/>
                <w:color w:val="auto"/>
                <w:sz w:val="18"/>
              </w:rPr>
            </w:pPr>
            <w:r>
              <w:rPr>
                <w:i w:val="0"/>
                <w:iCs w:val="0"/>
                <w:color w:val="auto"/>
                <w:spacing w:val="-2"/>
                <w:sz w:val="18"/>
              </w:rPr>
              <w:t>病历质控系统</w:t>
            </w:r>
          </w:p>
        </w:tc>
        <w:tc>
          <w:tcPr>
            <w:tcW w:w="456" w:type="dxa"/>
          </w:tcPr>
          <w:p w14:paraId="17030943">
            <w:pPr>
              <w:pStyle w:val="25"/>
              <w:spacing w:line="265" w:lineRule="exact"/>
              <w:ind w:right="8"/>
              <w:jc w:val="center"/>
              <w:rPr>
                <w:i w:val="0"/>
                <w:iCs w:val="0"/>
                <w:color w:val="auto"/>
              </w:rPr>
            </w:pPr>
            <w:r>
              <w:rPr>
                <w:i w:val="0"/>
                <w:iCs w:val="0"/>
                <w:color w:val="auto"/>
              </w:rPr>
              <w:t>项</w:t>
            </w:r>
          </w:p>
        </w:tc>
        <w:tc>
          <w:tcPr>
            <w:tcW w:w="458" w:type="dxa"/>
          </w:tcPr>
          <w:p w14:paraId="35107E2B">
            <w:pPr>
              <w:pStyle w:val="25"/>
              <w:spacing w:line="265" w:lineRule="exact"/>
              <w:ind w:right="98"/>
              <w:jc w:val="right"/>
              <w:rPr>
                <w:i w:val="0"/>
                <w:iCs w:val="0"/>
                <w:color w:val="auto"/>
              </w:rPr>
            </w:pPr>
            <w:r>
              <w:rPr>
                <w:i w:val="0"/>
                <w:iCs w:val="0"/>
                <w:color w:val="auto"/>
              </w:rPr>
              <w:t>1</w:t>
            </w:r>
          </w:p>
        </w:tc>
      </w:tr>
      <w:tr w14:paraId="333D0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0DD793B">
            <w:pPr>
              <w:rPr>
                <w:i w:val="0"/>
                <w:iCs w:val="0"/>
                <w:color w:val="auto"/>
                <w:sz w:val="2"/>
                <w:szCs w:val="2"/>
              </w:rPr>
            </w:pPr>
          </w:p>
        </w:tc>
        <w:tc>
          <w:tcPr>
            <w:tcW w:w="1001" w:type="dxa"/>
            <w:vMerge w:val="continue"/>
            <w:tcBorders>
              <w:top w:val="nil"/>
            </w:tcBorders>
          </w:tcPr>
          <w:p w14:paraId="0159402F">
            <w:pPr>
              <w:rPr>
                <w:i w:val="0"/>
                <w:iCs w:val="0"/>
                <w:color w:val="auto"/>
                <w:sz w:val="2"/>
                <w:szCs w:val="2"/>
              </w:rPr>
            </w:pPr>
          </w:p>
        </w:tc>
        <w:tc>
          <w:tcPr>
            <w:tcW w:w="1623" w:type="dxa"/>
            <w:vMerge w:val="continue"/>
            <w:tcBorders>
              <w:top w:val="nil"/>
            </w:tcBorders>
          </w:tcPr>
          <w:p w14:paraId="0C09D9A3">
            <w:pPr>
              <w:rPr>
                <w:i w:val="0"/>
                <w:iCs w:val="0"/>
                <w:color w:val="auto"/>
                <w:sz w:val="2"/>
                <w:szCs w:val="2"/>
              </w:rPr>
            </w:pPr>
          </w:p>
        </w:tc>
        <w:tc>
          <w:tcPr>
            <w:tcW w:w="4530" w:type="dxa"/>
          </w:tcPr>
          <w:p w14:paraId="3E98BBEF">
            <w:pPr>
              <w:pStyle w:val="25"/>
              <w:spacing w:before="26"/>
              <w:ind w:left="189" w:right="184"/>
              <w:jc w:val="center"/>
              <w:rPr>
                <w:i w:val="0"/>
                <w:iCs w:val="0"/>
                <w:color w:val="auto"/>
                <w:sz w:val="18"/>
              </w:rPr>
            </w:pPr>
            <w:r>
              <w:rPr>
                <w:i w:val="0"/>
                <w:iCs w:val="0"/>
                <w:color w:val="auto"/>
                <w:spacing w:val="-2"/>
                <w:sz w:val="18"/>
              </w:rPr>
              <w:t>病案管理信息系统</w:t>
            </w:r>
          </w:p>
        </w:tc>
        <w:tc>
          <w:tcPr>
            <w:tcW w:w="456" w:type="dxa"/>
          </w:tcPr>
          <w:p w14:paraId="123AAF95">
            <w:pPr>
              <w:pStyle w:val="25"/>
              <w:spacing w:line="265" w:lineRule="exact"/>
              <w:ind w:right="8"/>
              <w:jc w:val="center"/>
              <w:rPr>
                <w:i w:val="0"/>
                <w:iCs w:val="0"/>
                <w:color w:val="auto"/>
              </w:rPr>
            </w:pPr>
            <w:r>
              <w:rPr>
                <w:i w:val="0"/>
                <w:iCs w:val="0"/>
                <w:color w:val="auto"/>
              </w:rPr>
              <w:t>项</w:t>
            </w:r>
          </w:p>
        </w:tc>
        <w:tc>
          <w:tcPr>
            <w:tcW w:w="458" w:type="dxa"/>
          </w:tcPr>
          <w:p w14:paraId="2E658A1D">
            <w:pPr>
              <w:pStyle w:val="25"/>
              <w:spacing w:line="265" w:lineRule="exact"/>
              <w:ind w:right="98"/>
              <w:jc w:val="right"/>
              <w:rPr>
                <w:i w:val="0"/>
                <w:iCs w:val="0"/>
                <w:color w:val="auto"/>
              </w:rPr>
            </w:pPr>
            <w:r>
              <w:rPr>
                <w:i w:val="0"/>
                <w:iCs w:val="0"/>
                <w:color w:val="auto"/>
              </w:rPr>
              <w:t>1</w:t>
            </w:r>
          </w:p>
        </w:tc>
      </w:tr>
      <w:tr w14:paraId="0E3F3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7ED9F9C">
            <w:pPr>
              <w:rPr>
                <w:i w:val="0"/>
                <w:iCs w:val="0"/>
                <w:color w:val="auto"/>
                <w:sz w:val="2"/>
                <w:szCs w:val="2"/>
              </w:rPr>
            </w:pPr>
          </w:p>
        </w:tc>
        <w:tc>
          <w:tcPr>
            <w:tcW w:w="1001" w:type="dxa"/>
            <w:vMerge w:val="continue"/>
            <w:tcBorders>
              <w:top w:val="nil"/>
            </w:tcBorders>
          </w:tcPr>
          <w:p w14:paraId="7E0D179B">
            <w:pPr>
              <w:rPr>
                <w:i w:val="0"/>
                <w:iCs w:val="0"/>
                <w:color w:val="auto"/>
                <w:sz w:val="2"/>
                <w:szCs w:val="2"/>
              </w:rPr>
            </w:pPr>
          </w:p>
        </w:tc>
        <w:tc>
          <w:tcPr>
            <w:tcW w:w="1623" w:type="dxa"/>
            <w:vMerge w:val="continue"/>
            <w:tcBorders>
              <w:top w:val="nil"/>
            </w:tcBorders>
          </w:tcPr>
          <w:p w14:paraId="73ED864A">
            <w:pPr>
              <w:rPr>
                <w:i w:val="0"/>
                <w:iCs w:val="0"/>
                <w:color w:val="auto"/>
                <w:sz w:val="2"/>
                <w:szCs w:val="2"/>
              </w:rPr>
            </w:pPr>
          </w:p>
        </w:tc>
        <w:tc>
          <w:tcPr>
            <w:tcW w:w="4530" w:type="dxa"/>
          </w:tcPr>
          <w:p w14:paraId="6494357B">
            <w:pPr>
              <w:pStyle w:val="25"/>
              <w:spacing w:before="26"/>
              <w:ind w:left="189" w:right="184"/>
              <w:jc w:val="center"/>
              <w:rPr>
                <w:i w:val="0"/>
                <w:iCs w:val="0"/>
                <w:color w:val="auto"/>
                <w:sz w:val="18"/>
              </w:rPr>
            </w:pPr>
            <w:r>
              <w:rPr>
                <w:i w:val="0"/>
                <w:iCs w:val="0"/>
                <w:color w:val="auto"/>
                <w:spacing w:val="-1"/>
                <w:sz w:val="18"/>
              </w:rPr>
              <w:t>病案首页数据质量管理</w:t>
            </w:r>
          </w:p>
        </w:tc>
        <w:tc>
          <w:tcPr>
            <w:tcW w:w="456" w:type="dxa"/>
          </w:tcPr>
          <w:p w14:paraId="20A25640">
            <w:pPr>
              <w:pStyle w:val="25"/>
              <w:spacing w:line="265" w:lineRule="exact"/>
              <w:ind w:right="8"/>
              <w:jc w:val="center"/>
              <w:rPr>
                <w:i w:val="0"/>
                <w:iCs w:val="0"/>
                <w:color w:val="auto"/>
              </w:rPr>
            </w:pPr>
            <w:r>
              <w:rPr>
                <w:i w:val="0"/>
                <w:iCs w:val="0"/>
                <w:color w:val="auto"/>
              </w:rPr>
              <w:t>项</w:t>
            </w:r>
          </w:p>
        </w:tc>
        <w:tc>
          <w:tcPr>
            <w:tcW w:w="458" w:type="dxa"/>
          </w:tcPr>
          <w:p w14:paraId="0751DA17">
            <w:pPr>
              <w:pStyle w:val="25"/>
              <w:spacing w:line="265" w:lineRule="exact"/>
              <w:ind w:right="98"/>
              <w:jc w:val="right"/>
              <w:rPr>
                <w:i w:val="0"/>
                <w:iCs w:val="0"/>
                <w:color w:val="auto"/>
              </w:rPr>
            </w:pPr>
            <w:r>
              <w:rPr>
                <w:i w:val="0"/>
                <w:iCs w:val="0"/>
                <w:color w:val="auto"/>
              </w:rPr>
              <w:t>1</w:t>
            </w:r>
          </w:p>
        </w:tc>
      </w:tr>
      <w:tr w14:paraId="30DF8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081F791">
            <w:pPr>
              <w:rPr>
                <w:i w:val="0"/>
                <w:iCs w:val="0"/>
                <w:color w:val="auto"/>
                <w:sz w:val="2"/>
                <w:szCs w:val="2"/>
              </w:rPr>
            </w:pPr>
          </w:p>
        </w:tc>
        <w:tc>
          <w:tcPr>
            <w:tcW w:w="1001" w:type="dxa"/>
            <w:vMerge w:val="continue"/>
            <w:tcBorders>
              <w:top w:val="nil"/>
            </w:tcBorders>
          </w:tcPr>
          <w:p w14:paraId="1FE6B87A">
            <w:pPr>
              <w:rPr>
                <w:i w:val="0"/>
                <w:iCs w:val="0"/>
                <w:color w:val="auto"/>
                <w:sz w:val="2"/>
                <w:szCs w:val="2"/>
              </w:rPr>
            </w:pPr>
          </w:p>
        </w:tc>
        <w:tc>
          <w:tcPr>
            <w:tcW w:w="1623" w:type="dxa"/>
            <w:vMerge w:val="continue"/>
            <w:tcBorders>
              <w:top w:val="nil"/>
            </w:tcBorders>
          </w:tcPr>
          <w:p w14:paraId="0B1F3A74">
            <w:pPr>
              <w:rPr>
                <w:i w:val="0"/>
                <w:iCs w:val="0"/>
                <w:color w:val="auto"/>
                <w:sz w:val="2"/>
                <w:szCs w:val="2"/>
              </w:rPr>
            </w:pPr>
          </w:p>
        </w:tc>
        <w:tc>
          <w:tcPr>
            <w:tcW w:w="4530" w:type="dxa"/>
          </w:tcPr>
          <w:p w14:paraId="689E88ED">
            <w:pPr>
              <w:pStyle w:val="25"/>
              <w:spacing w:before="26"/>
              <w:ind w:left="193" w:right="182"/>
              <w:jc w:val="center"/>
              <w:rPr>
                <w:i w:val="0"/>
                <w:iCs w:val="0"/>
                <w:color w:val="auto"/>
                <w:sz w:val="18"/>
              </w:rPr>
            </w:pPr>
            <w:r>
              <w:rPr>
                <w:i w:val="0"/>
                <w:iCs w:val="0"/>
                <w:color w:val="auto"/>
                <w:spacing w:val="-2"/>
                <w:sz w:val="18"/>
              </w:rPr>
              <w:t>HQMS\DRG</w:t>
            </w:r>
            <w:r>
              <w:rPr>
                <w:i w:val="0"/>
                <w:iCs w:val="0"/>
                <w:color w:val="auto"/>
                <w:spacing w:val="-14"/>
                <w:sz w:val="18"/>
              </w:rPr>
              <w:t xml:space="preserve"> 上报</w:t>
            </w:r>
          </w:p>
        </w:tc>
        <w:tc>
          <w:tcPr>
            <w:tcW w:w="456" w:type="dxa"/>
          </w:tcPr>
          <w:p w14:paraId="7247C926">
            <w:pPr>
              <w:pStyle w:val="25"/>
              <w:spacing w:line="265" w:lineRule="exact"/>
              <w:ind w:right="8"/>
              <w:jc w:val="center"/>
              <w:rPr>
                <w:i w:val="0"/>
                <w:iCs w:val="0"/>
                <w:color w:val="auto"/>
              </w:rPr>
            </w:pPr>
            <w:r>
              <w:rPr>
                <w:i w:val="0"/>
                <w:iCs w:val="0"/>
                <w:color w:val="auto"/>
              </w:rPr>
              <w:t>项</w:t>
            </w:r>
          </w:p>
        </w:tc>
        <w:tc>
          <w:tcPr>
            <w:tcW w:w="458" w:type="dxa"/>
          </w:tcPr>
          <w:p w14:paraId="3CD4BA56">
            <w:pPr>
              <w:pStyle w:val="25"/>
              <w:spacing w:line="265" w:lineRule="exact"/>
              <w:ind w:right="98"/>
              <w:jc w:val="right"/>
              <w:rPr>
                <w:i w:val="0"/>
                <w:iCs w:val="0"/>
                <w:color w:val="auto"/>
              </w:rPr>
            </w:pPr>
            <w:r>
              <w:rPr>
                <w:i w:val="0"/>
                <w:iCs w:val="0"/>
                <w:color w:val="auto"/>
              </w:rPr>
              <w:t>1</w:t>
            </w:r>
          </w:p>
        </w:tc>
      </w:tr>
      <w:tr w14:paraId="61F2D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0D57F42">
            <w:pPr>
              <w:rPr>
                <w:i w:val="0"/>
                <w:iCs w:val="0"/>
                <w:color w:val="auto"/>
                <w:sz w:val="2"/>
                <w:szCs w:val="2"/>
              </w:rPr>
            </w:pPr>
          </w:p>
        </w:tc>
        <w:tc>
          <w:tcPr>
            <w:tcW w:w="1001" w:type="dxa"/>
            <w:vMerge w:val="continue"/>
            <w:tcBorders>
              <w:top w:val="nil"/>
            </w:tcBorders>
          </w:tcPr>
          <w:p w14:paraId="0E6ACEDB">
            <w:pPr>
              <w:rPr>
                <w:i w:val="0"/>
                <w:iCs w:val="0"/>
                <w:color w:val="auto"/>
                <w:sz w:val="2"/>
                <w:szCs w:val="2"/>
              </w:rPr>
            </w:pPr>
          </w:p>
        </w:tc>
        <w:tc>
          <w:tcPr>
            <w:tcW w:w="1623" w:type="dxa"/>
            <w:vMerge w:val="continue"/>
            <w:tcBorders>
              <w:top w:val="nil"/>
            </w:tcBorders>
          </w:tcPr>
          <w:p w14:paraId="679E5EE2">
            <w:pPr>
              <w:rPr>
                <w:i w:val="0"/>
                <w:iCs w:val="0"/>
                <w:color w:val="auto"/>
                <w:sz w:val="2"/>
                <w:szCs w:val="2"/>
              </w:rPr>
            </w:pPr>
          </w:p>
        </w:tc>
        <w:tc>
          <w:tcPr>
            <w:tcW w:w="4530" w:type="dxa"/>
          </w:tcPr>
          <w:p w14:paraId="5297ABDD">
            <w:pPr>
              <w:pStyle w:val="25"/>
              <w:spacing w:before="26"/>
              <w:ind w:left="192" w:right="184"/>
              <w:jc w:val="center"/>
              <w:rPr>
                <w:i w:val="0"/>
                <w:iCs w:val="0"/>
                <w:color w:val="auto"/>
                <w:sz w:val="18"/>
              </w:rPr>
            </w:pPr>
            <w:r>
              <w:rPr>
                <w:i w:val="0"/>
                <w:iCs w:val="0"/>
                <w:color w:val="auto"/>
                <w:spacing w:val="-2"/>
                <w:sz w:val="18"/>
              </w:rPr>
              <w:t>危急值管理系统</w:t>
            </w:r>
          </w:p>
        </w:tc>
        <w:tc>
          <w:tcPr>
            <w:tcW w:w="456" w:type="dxa"/>
          </w:tcPr>
          <w:p w14:paraId="562E3A1E">
            <w:pPr>
              <w:pStyle w:val="25"/>
              <w:spacing w:line="266" w:lineRule="exact"/>
              <w:ind w:right="8"/>
              <w:jc w:val="center"/>
              <w:rPr>
                <w:i w:val="0"/>
                <w:iCs w:val="0"/>
                <w:color w:val="auto"/>
              </w:rPr>
            </w:pPr>
            <w:r>
              <w:rPr>
                <w:i w:val="0"/>
                <w:iCs w:val="0"/>
                <w:color w:val="auto"/>
              </w:rPr>
              <w:t>项</w:t>
            </w:r>
          </w:p>
        </w:tc>
        <w:tc>
          <w:tcPr>
            <w:tcW w:w="458" w:type="dxa"/>
          </w:tcPr>
          <w:p w14:paraId="7C61E8F9">
            <w:pPr>
              <w:pStyle w:val="25"/>
              <w:spacing w:line="266" w:lineRule="exact"/>
              <w:ind w:right="98"/>
              <w:jc w:val="right"/>
              <w:rPr>
                <w:i w:val="0"/>
                <w:iCs w:val="0"/>
                <w:color w:val="auto"/>
              </w:rPr>
            </w:pPr>
            <w:r>
              <w:rPr>
                <w:i w:val="0"/>
                <w:iCs w:val="0"/>
                <w:color w:val="auto"/>
              </w:rPr>
              <w:t>1</w:t>
            </w:r>
          </w:p>
        </w:tc>
      </w:tr>
      <w:tr w14:paraId="07B17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1AA8198">
            <w:pPr>
              <w:rPr>
                <w:i w:val="0"/>
                <w:iCs w:val="0"/>
                <w:color w:val="auto"/>
                <w:sz w:val="2"/>
                <w:szCs w:val="2"/>
              </w:rPr>
            </w:pPr>
          </w:p>
        </w:tc>
        <w:tc>
          <w:tcPr>
            <w:tcW w:w="1001" w:type="dxa"/>
            <w:vMerge w:val="continue"/>
            <w:tcBorders>
              <w:top w:val="nil"/>
            </w:tcBorders>
          </w:tcPr>
          <w:p w14:paraId="73A3C761">
            <w:pPr>
              <w:rPr>
                <w:i w:val="0"/>
                <w:iCs w:val="0"/>
                <w:color w:val="auto"/>
                <w:sz w:val="2"/>
                <w:szCs w:val="2"/>
              </w:rPr>
            </w:pPr>
          </w:p>
        </w:tc>
        <w:tc>
          <w:tcPr>
            <w:tcW w:w="1623" w:type="dxa"/>
            <w:vMerge w:val="continue"/>
            <w:tcBorders>
              <w:top w:val="nil"/>
            </w:tcBorders>
          </w:tcPr>
          <w:p w14:paraId="19EA5699">
            <w:pPr>
              <w:rPr>
                <w:i w:val="0"/>
                <w:iCs w:val="0"/>
                <w:color w:val="auto"/>
                <w:sz w:val="2"/>
                <w:szCs w:val="2"/>
              </w:rPr>
            </w:pPr>
          </w:p>
        </w:tc>
        <w:tc>
          <w:tcPr>
            <w:tcW w:w="4530" w:type="dxa"/>
          </w:tcPr>
          <w:p w14:paraId="656B0392">
            <w:pPr>
              <w:pStyle w:val="25"/>
              <w:spacing w:before="26"/>
              <w:ind w:left="190" w:right="184"/>
              <w:jc w:val="center"/>
              <w:rPr>
                <w:i w:val="0"/>
                <w:iCs w:val="0"/>
                <w:color w:val="auto"/>
                <w:sz w:val="18"/>
              </w:rPr>
            </w:pPr>
            <w:r>
              <w:rPr>
                <w:i w:val="0"/>
                <w:iCs w:val="0"/>
                <w:color w:val="auto"/>
                <w:spacing w:val="-2"/>
                <w:sz w:val="18"/>
              </w:rPr>
              <w:t>手术分级管理</w:t>
            </w:r>
          </w:p>
        </w:tc>
        <w:tc>
          <w:tcPr>
            <w:tcW w:w="456" w:type="dxa"/>
          </w:tcPr>
          <w:p w14:paraId="069B8132">
            <w:pPr>
              <w:pStyle w:val="25"/>
              <w:spacing w:line="265" w:lineRule="exact"/>
              <w:ind w:right="8"/>
              <w:jc w:val="center"/>
              <w:rPr>
                <w:i w:val="0"/>
                <w:iCs w:val="0"/>
                <w:color w:val="auto"/>
              </w:rPr>
            </w:pPr>
            <w:r>
              <w:rPr>
                <w:i w:val="0"/>
                <w:iCs w:val="0"/>
                <w:color w:val="auto"/>
              </w:rPr>
              <w:t>项</w:t>
            </w:r>
          </w:p>
        </w:tc>
        <w:tc>
          <w:tcPr>
            <w:tcW w:w="458" w:type="dxa"/>
          </w:tcPr>
          <w:p w14:paraId="2FB16E14">
            <w:pPr>
              <w:pStyle w:val="25"/>
              <w:spacing w:line="265" w:lineRule="exact"/>
              <w:ind w:right="98"/>
              <w:jc w:val="right"/>
              <w:rPr>
                <w:i w:val="0"/>
                <w:iCs w:val="0"/>
                <w:color w:val="auto"/>
              </w:rPr>
            </w:pPr>
            <w:r>
              <w:rPr>
                <w:i w:val="0"/>
                <w:iCs w:val="0"/>
                <w:color w:val="auto"/>
              </w:rPr>
              <w:t>1</w:t>
            </w:r>
          </w:p>
        </w:tc>
      </w:tr>
      <w:tr w14:paraId="2F9AE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85BE152">
            <w:pPr>
              <w:rPr>
                <w:i w:val="0"/>
                <w:iCs w:val="0"/>
                <w:color w:val="auto"/>
                <w:sz w:val="2"/>
                <w:szCs w:val="2"/>
              </w:rPr>
            </w:pPr>
          </w:p>
        </w:tc>
        <w:tc>
          <w:tcPr>
            <w:tcW w:w="1001" w:type="dxa"/>
            <w:vMerge w:val="continue"/>
            <w:tcBorders>
              <w:top w:val="nil"/>
            </w:tcBorders>
          </w:tcPr>
          <w:p w14:paraId="2AD25ECF">
            <w:pPr>
              <w:rPr>
                <w:i w:val="0"/>
                <w:iCs w:val="0"/>
                <w:color w:val="auto"/>
                <w:sz w:val="2"/>
                <w:szCs w:val="2"/>
              </w:rPr>
            </w:pPr>
          </w:p>
        </w:tc>
        <w:tc>
          <w:tcPr>
            <w:tcW w:w="1623" w:type="dxa"/>
          </w:tcPr>
          <w:p w14:paraId="6FC57862">
            <w:pPr>
              <w:pStyle w:val="25"/>
              <w:spacing w:before="26"/>
              <w:ind w:left="450"/>
              <w:rPr>
                <w:i w:val="0"/>
                <w:iCs w:val="0"/>
                <w:color w:val="auto"/>
                <w:sz w:val="18"/>
              </w:rPr>
            </w:pPr>
            <w:r>
              <w:rPr>
                <w:i w:val="0"/>
                <w:iCs w:val="0"/>
                <w:color w:val="auto"/>
                <w:spacing w:val="-3"/>
                <w:sz w:val="18"/>
              </w:rPr>
              <w:t>医保管理</w:t>
            </w:r>
          </w:p>
        </w:tc>
        <w:tc>
          <w:tcPr>
            <w:tcW w:w="4530" w:type="dxa"/>
          </w:tcPr>
          <w:p w14:paraId="54D63840">
            <w:pPr>
              <w:pStyle w:val="25"/>
              <w:spacing w:before="26"/>
              <w:ind w:left="193" w:right="182"/>
              <w:jc w:val="center"/>
              <w:rPr>
                <w:i w:val="0"/>
                <w:iCs w:val="0"/>
                <w:color w:val="auto"/>
                <w:sz w:val="18"/>
              </w:rPr>
            </w:pPr>
            <w:r>
              <w:rPr>
                <w:i w:val="0"/>
                <w:iCs w:val="0"/>
                <w:color w:val="auto"/>
                <w:spacing w:val="-2"/>
                <w:sz w:val="18"/>
              </w:rPr>
              <w:t>DRG</w:t>
            </w:r>
            <w:r>
              <w:rPr>
                <w:i w:val="0"/>
                <w:iCs w:val="0"/>
                <w:color w:val="auto"/>
                <w:spacing w:val="-17"/>
                <w:sz w:val="18"/>
              </w:rPr>
              <w:t xml:space="preserve"> 系统</w:t>
            </w:r>
          </w:p>
        </w:tc>
        <w:tc>
          <w:tcPr>
            <w:tcW w:w="456" w:type="dxa"/>
          </w:tcPr>
          <w:p w14:paraId="5F7A5632">
            <w:pPr>
              <w:pStyle w:val="25"/>
              <w:spacing w:line="265" w:lineRule="exact"/>
              <w:ind w:right="8"/>
              <w:jc w:val="center"/>
              <w:rPr>
                <w:i w:val="0"/>
                <w:iCs w:val="0"/>
                <w:color w:val="auto"/>
              </w:rPr>
            </w:pPr>
            <w:r>
              <w:rPr>
                <w:i w:val="0"/>
                <w:iCs w:val="0"/>
                <w:color w:val="auto"/>
              </w:rPr>
              <w:t>项</w:t>
            </w:r>
          </w:p>
        </w:tc>
        <w:tc>
          <w:tcPr>
            <w:tcW w:w="458" w:type="dxa"/>
          </w:tcPr>
          <w:p w14:paraId="57F0207F">
            <w:pPr>
              <w:pStyle w:val="25"/>
              <w:spacing w:line="265" w:lineRule="exact"/>
              <w:ind w:right="98"/>
              <w:jc w:val="right"/>
              <w:rPr>
                <w:i w:val="0"/>
                <w:iCs w:val="0"/>
                <w:color w:val="auto"/>
              </w:rPr>
            </w:pPr>
            <w:r>
              <w:rPr>
                <w:i w:val="0"/>
                <w:iCs w:val="0"/>
                <w:color w:val="auto"/>
              </w:rPr>
              <w:t>1</w:t>
            </w:r>
          </w:p>
        </w:tc>
      </w:tr>
      <w:tr w14:paraId="6375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2640CA0A">
            <w:pPr>
              <w:pStyle w:val="25"/>
              <w:rPr>
                <w:b/>
                <w:i w:val="0"/>
                <w:iCs w:val="0"/>
                <w:color w:val="auto"/>
                <w:sz w:val="18"/>
              </w:rPr>
            </w:pPr>
          </w:p>
          <w:p w14:paraId="70FD8B4B">
            <w:pPr>
              <w:pStyle w:val="25"/>
              <w:rPr>
                <w:b/>
                <w:i w:val="0"/>
                <w:iCs w:val="0"/>
                <w:color w:val="auto"/>
                <w:sz w:val="18"/>
              </w:rPr>
            </w:pPr>
          </w:p>
          <w:p w14:paraId="143D7967">
            <w:pPr>
              <w:pStyle w:val="25"/>
              <w:rPr>
                <w:b/>
                <w:i w:val="0"/>
                <w:iCs w:val="0"/>
                <w:color w:val="auto"/>
                <w:sz w:val="18"/>
              </w:rPr>
            </w:pPr>
          </w:p>
          <w:p w14:paraId="1EECE95C">
            <w:pPr>
              <w:pStyle w:val="25"/>
              <w:rPr>
                <w:b/>
                <w:i w:val="0"/>
                <w:iCs w:val="0"/>
                <w:color w:val="auto"/>
                <w:sz w:val="18"/>
              </w:rPr>
            </w:pPr>
          </w:p>
          <w:p w14:paraId="2290D5CC">
            <w:pPr>
              <w:pStyle w:val="25"/>
              <w:rPr>
                <w:b/>
                <w:i w:val="0"/>
                <w:iCs w:val="0"/>
                <w:color w:val="auto"/>
                <w:sz w:val="18"/>
              </w:rPr>
            </w:pPr>
          </w:p>
          <w:p w14:paraId="4D722433">
            <w:pPr>
              <w:pStyle w:val="25"/>
              <w:rPr>
                <w:b/>
                <w:i w:val="0"/>
                <w:iCs w:val="0"/>
                <w:color w:val="auto"/>
                <w:sz w:val="18"/>
              </w:rPr>
            </w:pPr>
          </w:p>
          <w:p w14:paraId="7FF520C2">
            <w:pPr>
              <w:pStyle w:val="25"/>
              <w:rPr>
                <w:b/>
                <w:i w:val="0"/>
                <w:iCs w:val="0"/>
                <w:color w:val="auto"/>
                <w:sz w:val="18"/>
              </w:rPr>
            </w:pPr>
          </w:p>
          <w:p w14:paraId="2C12F784">
            <w:pPr>
              <w:pStyle w:val="25"/>
              <w:rPr>
                <w:b/>
                <w:i w:val="0"/>
                <w:iCs w:val="0"/>
                <w:color w:val="auto"/>
                <w:sz w:val="18"/>
              </w:rPr>
            </w:pPr>
          </w:p>
          <w:p w14:paraId="01D4E85D">
            <w:pPr>
              <w:pStyle w:val="25"/>
              <w:rPr>
                <w:b/>
                <w:i w:val="0"/>
                <w:iCs w:val="0"/>
                <w:color w:val="auto"/>
                <w:sz w:val="18"/>
              </w:rPr>
            </w:pPr>
          </w:p>
          <w:p w14:paraId="67239967">
            <w:pPr>
              <w:pStyle w:val="25"/>
              <w:spacing w:before="7"/>
              <w:rPr>
                <w:b/>
                <w:i w:val="0"/>
                <w:iCs w:val="0"/>
                <w:color w:val="auto"/>
                <w:sz w:val="24"/>
              </w:rPr>
            </w:pPr>
          </w:p>
          <w:p w14:paraId="7124B930">
            <w:pPr>
              <w:pStyle w:val="25"/>
              <w:ind w:left="8"/>
              <w:jc w:val="center"/>
              <w:rPr>
                <w:i w:val="0"/>
                <w:iCs w:val="0"/>
                <w:color w:val="auto"/>
                <w:sz w:val="18"/>
              </w:rPr>
            </w:pPr>
            <w:r>
              <w:rPr>
                <w:i w:val="0"/>
                <w:iCs w:val="0"/>
                <w:color w:val="auto"/>
                <w:sz w:val="18"/>
              </w:rPr>
              <w:t>5</w:t>
            </w:r>
          </w:p>
        </w:tc>
        <w:tc>
          <w:tcPr>
            <w:tcW w:w="1001" w:type="dxa"/>
            <w:vMerge w:val="restart"/>
          </w:tcPr>
          <w:p w14:paraId="086F8295">
            <w:pPr>
              <w:pStyle w:val="25"/>
              <w:rPr>
                <w:b/>
                <w:i w:val="0"/>
                <w:iCs w:val="0"/>
                <w:color w:val="auto"/>
                <w:sz w:val="18"/>
              </w:rPr>
            </w:pPr>
          </w:p>
          <w:p w14:paraId="3D76565A">
            <w:pPr>
              <w:pStyle w:val="25"/>
              <w:rPr>
                <w:b/>
                <w:i w:val="0"/>
                <w:iCs w:val="0"/>
                <w:color w:val="auto"/>
                <w:sz w:val="18"/>
              </w:rPr>
            </w:pPr>
          </w:p>
          <w:p w14:paraId="380E9EF4">
            <w:pPr>
              <w:pStyle w:val="25"/>
              <w:rPr>
                <w:b/>
                <w:i w:val="0"/>
                <w:iCs w:val="0"/>
                <w:color w:val="auto"/>
                <w:sz w:val="18"/>
              </w:rPr>
            </w:pPr>
          </w:p>
          <w:p w14:paraId="3023D9DB">
            <w:pPr>
              <w:pStyle w:val="25"/>
              <w:rPr>
                <w:b/>
                <w:i w:val="0"/>
                <w:iCs w:val="0"/>
                <w:color w:val="auto"/>
                <w:sz w:val="18"/>
              </w:rPr>
            </w:pPr>
          </w:p>
          <w:p w14:paraId="19039950">
            <w:pPr>
              <w:pStyle w:val="25"/>
              <w:rPr>
                <w:b/>
                <w:i w:val="0"/>
                <w:iCs w:val="0"/>
                <w:color w:val="auto"/>
                <w:sz w:val="18"/>
              </w:rPr>
            </w:pPr>
          </w:p>
          <w:p w14:paraId="75AF3AB9">
            <w:pPr>
              <w:pStyle w:val="25"/>
              <w:rPr>
                <w:b/>
                <w:i w:val="0"/>
                <w:iCs w:val="0"/>
                <w:color w:val="auto"/>
                <w:sz w:val="18"/>
              </w:rPr>
            </w:pPr>
          </w:p>
          <w:p w14:paraId="5121D39E">
            <w:pPr>
              <w:pStyle w:val="25"/>
              <w:rPr>
                <w:b/>
                <w:i w:val="0"/>
                <w:iCs w:val="0"/>
                <w:color w:val="auto"/>
                <w:sz w:val="18"/>
              </w:rPr>
            </w:pPr>
          </w:p>
          <w:p w14:paraId="54B3593B">
            <w:pPr>
              <w:pStyle w:val="25"/>
              <w:rPr>
                <w:b/>
                <w:i w:val="0"/>
                <w:iCs w:val="0"/>
                <w:color w:val="auto"/>
                <w:sz w:val="18"/>
              </w:rPr>
            </w:pPr>
          </w:p>
          <w:p w14:paraId="3F6A05ED">
            <w:pPr>
              <w:pStyle w:val="25"/>
              <w:rPr>
                <w:b/>
                <w:i w:val="0"/>
                <w:iCs w:val="0"/>
                <w:color w:val="auto"/>
                <w:sz w:val="18"/>
              </w:rPr>
            </w:pPr>
          </w:p>
          <w:p w14:paraId="5FC26379">
            <w:pPr>
              <w:pStyle w:val="25"/>
              <w:spacing w:before="7"/>
              <w:rPr>
                <w:b/>
                <w:i w:val="0"/>
                <w:iCs w:val="0"/>
                <w:color w:val="auto"/>
                <w:sz w:val="24"/>
              </w:rPr>
            </w:pPr>
          </w:p>
          <w:p w14:paraId="60FD407D">
            <w:pPr>
              <w:pStyle w:val="25"/>
              <w:ind w:left="138"/>
              <w:rPr>
                <w:i w:val="0"/>
                <w:iCs w:val="0"/>
                <w:color w:val="auto"/>
                <w:sz w:val="18"/>
              </w:rPr>
            </w:pPr>
            <w:r>
              <w:rPr>
                <w:i w:val="0"/>
                <w:iCs w:val="0"/>
                <w:color w:val="auto"/>
                <w:spacing w:val="-3"/>
                <w:sz w:val="18"/>
              </w:rPr>
              <w:t>医疗服务</w:t>
            </w:r>
          </w:p>
        </w:tc>
        <w:tc>
          <w:tcPr>
            <w:tcW w:w="1623" w:type="dxa"/>
            <w:vMerge w:val="restart"/>
          </w:tcPr>
          <w:p w14:paraId="112B086F">
            <w:pPr>
              <w:pStyle w:val="25"/>
              <w:rPr>
                <w:b/>
                <w:i w:val="0"/>
                <w:iCs w:val="0"/>
                <w:color w:val="auto"/>
                <w:sz w:val="18"/>
              </w:rPr>
            </w:pPr>
          </w:p>
          <w:p w14:paraId="4ADCE667">
            <w:pPr>
              <w:pStyle w:val="25"/>
              <w:rPr>
                <w:b/>
                <w:i w:val="0"/>
                <w:iCs w:val="0"/>
                <w:color w:val="auto"/>
                <w:sz w:val="18"/>
              </w:rPr>
            </w:pPr>
          </w:p>
          <w:p w14:paraId="060F0D54">
            <w:pPr>
              <w:pStyle w:val="25"/>
              <w:rPr>
                <w:b/>
                <w:i w:val="0"/>
                <w:iCs w:val="0"/>
                <w:color w:val="auto"/>
                <w:sz w:val="18"/>
              </w:rPr>
            </w:pPr>
          </w:p>
          <w:p w14:paraId="7B9B0EF6">
            <w:pPr>
              <w:pStyle w:val="25"/>
              <w:rPr>
                <w:b/>
                <w:i w:val="0"/>
                <w:iCs w:val="0"/>
                <w:color w:val="auto"/>
                <w:sz w:val="18"/>
              </w:rPr>
            </w:pPr>
          </w:p>
          <w:p w14:paraId="75BB3D3F">
            <w:pPr>
              <w:pStyle w:val="25"/>
              <w:rPr>
                <w:b/>
                <w:i w:val="0"/>
                <w:iCs w:val="0"/>
                <w:color w:val="auto"/>
                <w:sz w:val="18"/>
              </w:rPr>
            </w:pPr>
          </w:p>
          <w:p w14:paraId="20FFC48B">
            <w:pPr>
              <w:pStyle w:val="25"/>
              <w:rPr>
                <w:b/>
                <w:i w:val="0"/>
                <w:iCs w:val="0"/>
                <w:color w:val="auto"/>
                <w:sz w:val="18"/>
              </w:rPr>
            </w:pPr>
          </w:p>
          <w:p w14:paraId="5076BF7C">
            <w:pPr>
              <w:pStyle w:val="25"/>
              <w:spacing w:before="11"/>
              <w:rPr>
                <w:b/>
                <w:i w:val="0"/>
                <w:iCs w:val="0"/>
                <w:color w:val="auto"/>
                <w:sz w:val="20"/>
              </w:rPr>
            </w:pPr>
          </w:p>
          <w:p w14:paraId="10440E3A">
            <w:pPr>
              <w:pStyle w:val="25"/>
              <w:ind w:left="450"/>
              <w:rPr>
                <w:i w:val="0"/>
                <w:iCs w:val="0"/>
                <w:color w:val="auto"/>
                <w:sz w:val="18"/>
              </w:rPr>
            </w:pPr>
            <w:r>
              <w:rPr>
                <w:i w:val="0"/>
                <w:iCs w:val="0"/>
                <w:color w:val="auto"/>
                <w:spacing w:val="-3"/>
                <w:sz w:val="18"/>
              </w:rPr>
              <w:t>临床医生</w:t>
            </w:r>
          </w:p>
        </w:tc>
        <w:tc>
          <w:tcPr>
            <w:tcW w:w="4530" w:type="dxa"/>
          </w:tcPr>
          <w:p w14:paraId="0120B60D">
            <w:pPr>
              <w:pStyle w:val="25"/>
              <w:spacing w:before="26"/>
              <w:ind w:left="192" w:right="184"/>
              <w:jc w:val="center"/>
              <w:rPr>
                <w:i w:val="0"/>
                <w:iCs w:val="0"/>
                <w:color w:val="auto"/>
                <w:sz w:val="18"/>
              </w:rPr>
            </w:pPr>
            <w:r>
              <w:rPr>
                <w:i w:val="0"/>
                <w:iCs w:val="0"/>
                <w:color w:val="auto"/>
                <w:spacing w:val="-2"/>
                <w:sz w:val="18"/>
              </w:rPr>
              <w:t>门诊医生工作站</w:t>
            </w:r>
          </w:p>
        </w:tc>
        <w:tc>
          <w:tcPr>
            <w:tcW w:w="456" w:type="dxa"/>
          </w:tcPr>
          <w:p w14:paraId="7AA05B4F">
            <w:pPr>
              <w:pStyle w:val="25"/>
              <w:spacing w:line="265" w:lineRule="exact"/>
              <w:ind w:right="8"/>
              <w:jc w:val="center"/>
              <w:rPr>
                <w:i w:val="0"/>
                <w:iCs w:val="0"/>
                <w:color w:val="auto"/>
              </w:rPr>
            </w:pPr>
            <w:r>
              <w:rPr>
                <w:i w:val="0"/>
                <w:iCs w:val="0"/>
                <w:color w:val="auto"/>
              </w:rPr>
              <w:t>项</w:t>
            </w:r>
          </w:p>
        </w:tc>
        <w:tc>
          <w:tcPr>
            <w:tcW w:w="458" w:type="dxa"/>
          </w:tcPr>
          <w:p w14:paraId="727B3ADB">
            <w:pPr>
              <w:pStyle w:val="25"/>
              <w:spacing w:line="265" w:lineRule="exact"/>
              <w:ind w:right="98"/>
              <w:jc w:val="right"/>
              <w:rPr>
                <w:i w:val="0"/>
                <w:iCs w:val="0"/>
                <w:color w:val="auto"/>
              </w:rPr>
            </w:pPr>
            <w:r>
              <w:rPr>
                <w:i w:val="0"/>
                <w:iCs w:val="0"/>
                <w:color w:val="auto"/>
              </w:rPr>
              <w:t>1</w:t>
            </w:r>
          </w:p>
        </w:tc>
      </w:tr>
      <w:tr w14:paraId="220AC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08214E8">
            <w:pPr>
              <w:rPr>
                <w:i w:val="0"/>
                <w:iCs w:val="0"/>
                <w:color w:val="auto"/>
                <w:sz w:val="2"/>
                <w:szCs w:val="2"/>
              </w:rPr>
            </w:pPr>
          </w:p>
        </w:tc>
        <w:tc>
          <w:tcPr>
            <w:tcW w:w="1001" w:type="dxa"/>
            <w:vMerge w:val="continue"/>
            <w:tcBorders>
              <w:top w:val="nil"/>
            </w:tcBorders>
          </w:tcPr>
          <w:p w14:paraId="4D4C9C9E">
            <w:pPr>
              <w:rPr>
                <w:i w:val="0"/>
                <w:iCs w:val="0"/>
                <w:color w:val="auto"/>
                <w:sz w:val="2"/>
                <w:szCs w:val="2"/>
              </w:rPr>
            </w:pPr>
          </w:p>
        </w:tc>
        <w:tc>
          <w:tcPr>
            <w:tcW w:w="1623" w:type="dxa"/>
            <w:vMerge w:val="continue"/>
            <w:tcBorders>
              <w:top w:val="nil"/>
            </w:tcBorders>
          </w:tcPr>
          <w:p w14:paraId="77920E41">
            <w:pPr>
              <w:rPr>
                <w:i w:val="0"/>
                <w:iCs w:val="0"/>
                <w:color w:val="auto"/>
                <w:sz w:val="2"/>
                <w:szCs w:val="2"/>
              </w:rPr>
            </w:pPr>
          </w:p>
        </w:tc>
        <w:tc>
          <w:tcPr>
            <w:tcW w:w="4530" w:type="dxa"/>
          </w:tcPr>
          <w:p w14:paraId="4610DA6D">
            <w:pPr>
              <w:pStyle w:val="25"/>
              <w:spacing w:before="26"/>
              <w:ind w:left="190" w:right="184"/>
              <w:jc w:val="center"/>
              <w:rPr>
                <w:i w:val="0"/>
                <w:iCs w:val="0"/>
                <w:color w:val="auto"/>
                <w:sz w:val="18"/>
              </w:rPr>
            </w:pPr>
            <w:r>
              <w:rPr>
                <w:i w:val="0"/>
                <w:iCs w:val="0"/>
                <w:color w:val="auto"/>
                <w:spacing w:val="-2"/>
                <w:sz w:val="18"/>
              </w:rPr>
              <w:t>门诊电子病历</w:t>
            </w:r>
          </w:p>
        </w:tc>
        <w:tc>
          <w:tcPr>
            <w:tcW w:w="456" w:type="dxa"/>
          </w:tcPr>
          <w:p w14:paraId="3E13D839">
            <w:pPr>
              <w:pStyle w:val="25"/>
              <w:spacing w:line="265" w:lineRule="exact"/>
              <w:ind w:right="8"/>
              <w:jc w:val="center"/>
              <w:rPr>
                <w:i w:val="0"/>
                <w:iCs w:val="0"/>
                <w:color w:val="auto"/>
              </w:rPr>
            </w:pPr>
            <w:r>
              <w:rPr>
                <w:i w:val="0"/>
                <w:iCs w:val="0"/>
                <w:color w:val="auto"/>
              </w:rPr>
              <w:t>项</w:t>
            </w:r>
          </w:p>
        </w:tc>
        <w:tc>
          <w:tcPr>
            <w:tcW w:w="458" w:type="dxa"/>
          </w:tcPr>
          <w:p w14:paraId="76074CDF">
            <w:pPr>
              <w:pStyle w:val="25"/>
              <w:spacing w:line="265" w:lineRule="exact"/>
              <w:ind w:right="98"/>
              <w:jc w:val="right"/>
              <w:rPr>
                <w:i w:val="0"/>
                <w:iCs w:val="0"/>
                <w:color w:val="auto"/>
              </w:rPr>
            </w:pPr>
            <w:r>
              <w:rPr>
                <w:i w:val="0"/>
                <w:iCs w:val="0"/>
                <w:color w:val="auto"/>
              </w:rPr>
              <w:t>1</w:t>
            </w:r>
          </w:p>
        </w:tc>
      </w:tr>
      <w:tr w14:paraId="276C1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2E21453">
            <w:pPr>
              <w:rPr>
                <w:i w:val="0"/>
                <w:iCs w:val="0"/>
                <w:color w:val="auto"/>
                <w:sz w:val="2"/>
                <w:szCs w:val="2"/>
              </w:rPr>
            </w:pPr>
          </w:p>
        </w:tc>
        <w:tc>
          <w:tcPr>
            <w:tcW w:w="1001" w:type="dxa"/>
            <w:vMerge w:val="continue"/>
            <w:tcBorders>
              <w:top w:val="nil"/>
            </w:tcBorders>
          </w:tcPr>
          <w:p w14:paraId="27DE4C33">
            <w:pPr>
              <w:rPr>
                <w:i w:val="0"/>
                <w:iCs w:val="0"/>
                <w:color w:val="auto"/>
                <w:sz w:val="2"/>
                <w:szCs w:val="2"/>
              </w:rPr>
            </w:pPr>
          </w:p>
        </w:tc>
        <w:tc>
          <w:tcPr>
            <w:tcW w:w="1623" w:type="dxa"/>
            <w:vMerge w:val="continue"/>
            <w:tcBorders>
              <w:top w:val="nil"/>
            </w:tcBorders>
          </w:tcPr>
          <w:p w14:paraId="4CEE6EF0">
            <w:pPr>
              <w:rPr>
                <w:i w:val="0"/>
                <w:iCs w:val="0"/>
                <w:color w:val="auto"/>
                <w:sz w:val="2"/>
                <w:szCs w:val="2"/>
              </w:rPr>
            </w:pPr>
          </w:p>
        </w:tc>
        <w:tc>
          <w:tcPr>
            <w:tcW w:w="4530" w:type="dxa"/>
          </w:tcPr>
          <w:p w14:paraId="690935A1">
            <w:pPr>
              <w:pStyle w:val="25"/>
              <w:spacing w:before="26"/>
              <w:ind w:left="192" w:right="184"/>
              <w:jc w:val="center"/>
              <w:rPr>
                <w:i w:val="0"/>
                <w:iCs w:val="0"/>
                <w:color w:val="auto"/>
                <w:sz w:val="18"/>
              </w:rPr>
            </w:pPr>
            <w:r>
              <w:rPr>
                <w:i w:val="0"/>
                <w:iCs w:val="0"/>
                <w:color w:val="auto"/>
                <w:spacing w:val="-2"/>
                <w:sz w:val="18"/>
              </w:rPr>
              <w:t>急诊医生工作站</w:t>
            </w:r>
          </w:p>
        </w:tc>
        <w:tc>
          <w:tcPr>
            <w:tcW w:w="456" w:type="dxa"/>
          </w:tcPr>
          <w:p w14:paraId="0D207119">
            <w:pPr>
              <w:pStyle w:val="25"/>
              <w:spacing w:line="265" w:lineRule="exact"/>
              <w:ind w:right="8"/>
              <w:jc w:val="center"/>
              <w:rPr>
                <w:i w:val="0"/>
                <w:iCs w:val="0"/>
                <w:color w:val="auto"/>
              </w:rPr>
            </w:pPr>
            <w:r>
              <w:rPr>
                <w:i w:val="0"/>
                <w:iCs w:val="0"/>
                <w:color w:val="auto"/>
              </w:rPr>
              <w:t>项</w:t>
            </w:r>
          </w:p>
        </w:tc>
        <w:tc>
          <w:tcPr>
            <w:tcW w:w="458" w:type="dxa"/>
          </w:tcPr>
          <w:p w14:paraId="084679D7">
            <w:pPr>
              <w:pStyle w:val="25"/>
              <w:spacing w:line="265" w:lineRule="exact"/>
              <w:ind w:right="98"/>
              <w:jc w:val="right"/>
              <w:rPr>
                <w:i w:val="0"/>
                <w:iCs w:val="0"/>
                <w:color w:val="auto"/>
              </w:rPr>
            </w:pPr>
            <w:r>
              <w:rPr>
                <w:i w:val="0"/>
                <w:iCs w:val="0"/>
                <w:color w:val="auto"/>
              </w:rPr>
              <w:t>1</w:t>
            </w:r>
          </w:p>
        </w:tc>
      </w:tr>
      <w:tr w14:paraId="04BAE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355A5327">
            <w:pPr>
              <w:rPr>
                <w:i w:val="0"/>
                <w:iCs w:val="0"/>
                <w:color w:val="auto"/>
                <w:sz w:val="2"/>
                <w:szCs w:val="2"/>
              </w:rPr>
            </w:pPr>
          </w:p>
        </w:tc>
        <w:tc>
          <w:tcPr>
            <w:tcW w:w="1001" w:type="dxa"/>
            <w:vMerge w:val="continue"/>
            <w:tcBorders>
              <w:top w:val="nil"/>
            </w:tcBorders>
          </w:tcPr>
          <w:p w14:paraId="5137BE0A">
            <w:pPr>
              <w:rPr>
                <w:i w:val="0"/>
                <w:iCs w:val="0"/>
                <w:color w:val="auto"/>
                <w:sz w:val="2"/>
                <w:szCs w:val="2"/>
              </w:rPr>
            </w:pPr>
          </w:p>
        </w:tc>
        <w:tc>
          <w:tcPr>
            <w:tcW w:w="1623" w:type="dxa"/>
            <w:vMerge w:val="continue"/>
            <w:tcBorders>
              <w:top w:val="nil"/>
            </w:tcBorders>
          </w:tcPr>
          <w:p w14:paraId="490ABB74">
            <w:pPr>
              <w:rPr>
                <w:i w:val="0"/>
                <w:iCs w:val="0"/>
                <w:color w:val="auto"/>
                <w:sz w:val="2"/>
                <w:szCs w:val="2"/>
              </w:rPr>
            </w:pPr>
          </w:p>
        </w:tc>
        <w:tc>
          <w:tcPr>
            <w:tcW w:w="4530" w:type="dxa"/>
          </w:tcPr>
          <w:p w14:paraId="25534364">
            <w:pPr>
              <w:pStyle w:val="25"/>
              <w:spacing w:before="26"/>
              <w:ind w:left="190" w:right="184"/>
              <w:jc w:val="center"/>
              <w:rPr>
                <w:i w:val="0"/>
                <w:iCs w:val="0"/>
                <w:color w:val="auto"/>
                <w:sz w:val="18"/>
              </w:rPr>
            </w:pPr>
            <w:r>
              <w:rPr>
                <w:i w:val="0"/>
                <w:iCs w:val="0"/>
                <w:color w:val="auto"/>
                <w:spacing w:val="-2"/>
                <w:sz w:val="18"/>
              </w:rPr>
              <w:t>急诊电子病历</w:t>
            </w:r>
          </w:p>
        </w:tc>
        <w:tc>
          <w:tcPr>
            <w:tcW w:w="456" w:type="dxa"/>
          </w:tcPr>
          <w:p w14:paraId="2896E128">
            <w:pPr>
              <w:pStyle w:val="25"/>
              <w:spacing w:line="267" w:lineRule="exact"/>
              <w:ind w:right="8"/>
              <w:jc w:val="center"/>
              <w:rPr>
                <w:i w:val="0"/>
                <w:iCs w:val="0"/>
                <w:color w:val="auto"/>
              </w:rPr>
            </w:pPr>
            <w:r>
              <w:rPr>
                <w:i w:val="0"/>
                <w:iCs w:val="0"/>
                <w:color w:val="auto"/>
              </w:rPr>
              <w:t>项</w:t>
            </w:r>
          </w:p>
        </w:tc>
        <w:tc>
          <w:tcPr>
            <w:tcW w:w="458" w:type="dxa"/>
          </w:tcPr>
          <w:p w14:paraId="73677ECD">
            <w:pPr>
              <w:pStyle w:val="25"/>
              <w:spacing w:line="267" w:lineRule="exact"/>
              <w:ind w:right="98"/>
              <w:jc w:val="right"/>
              <w:rPr>
                <w:i w:val="0"/>
                <w:iCs w:val="0"/>
                <w:color w:val="auto"/>
              </w:rPr>
            </w:pPr>
            <w:r>
              <w:rPr>
                <w:i w:val="0"/>
                <w:iCs w:val="0"/>
                <w:color w:val="auto"/>
              </w:rPr>
              <w:t>1</w:t>
            </w:r>
          </w:p>
        </w:tc>
      </w:tr>
      <w:tr w14:paraId="6572C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7862984">
            <w:pPr>
              <w:rPr>
                <w:i w:val="0"/>
                <w:iCs w:val="0"/>
                <w:color w:val="auto"/>
                <w:sz w:val="2"/>
                <w:szCs w:val="2"/>
              </w:rPr>
            </w:pPr>
          </w:p>
        </w:tc>
        <w:tc>
          <w:tcPr>
            <w:tcW w:w="1001" w:type="dxa"/>
            <w:vMerge w:val="continue"/>
            <w:tcBorders>
              <w:top w:val="nil"/>
            </w:tcBorders>
          </w:tcPr>
          <w:p w14:paraId="7D5B5473">
            <w:pPr>
              <w:rPr>
                <w:i w:val="0"/>
                <w:iCs w:val="0"/>
                <w:color w:val="auto"/>
                <w:sz w:val="2"/>
                <w:szCs w:val="2"/>
              </w:rPr>
            </w:pPr>
          </w:p>
        </w:tc>
        <w:tc>
          <w:tcPr>
            <w:tcW w:w="1623" w:type="dxa"/>
            <w:vMerge w:val="continue"/>
            <w:tcBorders>
              <w:top w:val="nil"/>
            </w:tcBorders>
          </w:tcPr>
          <w:p w14:paraId="73ED6404">
            <w:pPr>
              <w:rPr>
                <w:i w:val="0"/>
                <w:iCs w:val="0"/>
                <w:color w:val="auto"/>
                <w:sz w:val="2"/>
                <w:szCs w:val="2"/>
              </w:rPr>
            </w:pPr>
          </w:p>
        </w:tc>
        <w:tc>
          <w:tcPr>
            <w:tcW w:w="4530" w:type="dxa"/>
          </w:tcPr>
          <w:p w14:paraId="1E4AA8AB">
            <w:pPr>
              <w:pStyle w:val="25"/>
              <w:spacing w:before="24"/>
              <w:ind w:left="189" w:right="184"/>
              <w:jc w:val="center"/>
              <w:rPr>
                <w:i w:val="0"/>
                <w:iCs w:val="0"/>
                <w:color w:val="auto"/>
                <w:sz w:val="18"/>
              </w:rPr>
            </w:pPr>
            <w:r>
              <w:rPr>
                <w:i w:val="0"/>
                <w:iCs w:val="0"/>
                <w:color w:val="auto"/>
                <w:spacing w:val="-2"/>
                <w:sz w:val="18"/>
              </w:rPr>
              <w:t>急诊预检分诊系统</w:t>
            </w:r>
          </w:p>
        </w:tc>
        <w:tc>
          <w:tcPr>
            <w:tcW w:w="456" w:type="dxa"/>
          </w:tcPr>
          <w:p w14:paraId="6D9231A5">
            <w:pPr>
              <w:pStyle w:val="25"/>
              <w:spacing w:line="265" w:lineRule="exact"/>
              <w:ind w:right="8"/>
              <w:jc w:val="center"/>
              <w:rPr>
                <w:i w:val="0"/>
                <w:iCs w:val="0"/>
                <w:color w:val="auto"/>
              </w:rPr>
            </w:pPr>
            <w:r>
              <w:rPr>
                <w:i w:val="0"/>
                <w:iCs w:val="0"/>
                <w:color w:val="auto"/>
              </w:rPr>
              <w:t>项</w:t>
            </w:r>
          </w:p>
        </w:tc>
        <w:tc>
          <w:tcPr>
            <w:tcW w:w="458" w:type="dxa"/>
          </w:tcPr>
          <w:p w14:paraId="409D6604">
            <w:pPr>
              <w:pStyle w:val="25"/>
              <w:spacing w:line="265" w:lineRule="exact"/>
              <w:ind w:right="98"/>
              <w:jc w:val="right"/>
              <w:rPr>
                <w:i w:val="0"/>
                <w:iCs w:val="0"/>
                <w:color w:val="auto"/>
              </w:rPr>
            </w:pPr>
            <w:r>
              <w:rPr>
                <w:i w:val="0"/>
                <w:iCs w:val="0"/>
                <w:color w:val="auto"/>
              </w:rPr>
              <w:t>1</w:t>
            </w:r>
          </w:p>
        </w:tc>
      </w:tr>
      <w:tr w14:paraId="4C701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8C57CC4">
            <w:pPr>
              <w:rPr>
                <w:i w:val="0"/>
                <w:iCs w:val="0"/>
                <w:color w:val="auto"/>
                <w:sz w:val="2"/>
                <w:szCs w:val="2"/>
              </w:rPr>
            </w:pPr>
          </w:p>
        </w:tc>
        <w:tc>
          <w:tcPr>
            <w:tcW w:w="1001" w:type="dxa"/>
            <w:vMerge w:val="continue"/>
            <w:tcBorders>
              <w:top w:val="nil"/>
            </w:tcBorders>
          </w:tcPr>
          <w:p w14:paraId="3E1ADA1C">
            <w:pPr>
              <w:rPr>
                <w:i w:val="0"/>
                <w:iCs w:val="0"/>
                <w:color w:val="auto"/>
                <w:sz w:val="2"/>
                <w:szCs w:val="2"/>
              </w:rPr>
            </w:pPr>
          </w:p>
        </w:tc>
        <w:tc>
          <w:tcPr>
            <w:tcW w:w="1623" w:type="dxa"/>
            <w:vMerge w:val="continue"/>
            <w:tcBorders>
              <w:top w:val="nil"/>
            </w:tcBorders>
          </w:tcPr>
          <w:p w14:paraId="2282CA76">
            <w:pPr>
              <w:rPr>
                <w:i w:val="0"/>
                <w:iCs w:val="0"/>
                <w:color w:val="auto"/>
                <w:sz w:val="2"/>
                <w:szCs w:val="2"/>
              </w:rPr>
            </w:pPr>
          </w:p>
        </w:tc>
        <w:tc>
          <w:tcPr>
            <w:tcW w:w="4530" w:type="dxa"/>
          </w:tcPr>
          <w:p w14:paraId="0A1D7F7D">
            <w:pPr>
              <w:pStyle w:val="25"/>
              <w:spacing w:before="26"/>
              <w:ind w:left="192" w:right="184"/>
              <w:jc w:val="center"/>
              <w:rPr>
                <w:i w:val="0"/>
                <w:iCs w:val="0"/>
                <w:color w:val="auto"/>
                <w:sz w:val="18"/>
              </w:rPr>
            </w:pPr>
            <w:r>
              <w:rPr>
                <w:i w:val="0"/>
                <w:iCs w:val="0"/>
                <w:color w:val="auto"/>
                <w:spacing w:val="-2"/>
                <w:sz w:val="18"/>
              </w:rPr>
              <w:t>急诊护理工作站</w:t>
            </w:r>
          </w:p>
        </w:tc>
        <w:tc>
          <w:tcPr>
            <w:tcW w:w="456" w:type="dxa"/>
          </w:tcPr>
          <w:p w14:paraId="191146F9">
            <w:pPr>
              <w:pStyle w:val="25"/>
              <w:spacing w:line="265" w:lineRule="exact"/>
              <w:ind w:right="8"/>
              <w:jc w:val="center"/>
              <w:rPr>
                <w:i w:val="0"/>
                <w:iCs w:val="0"/>
                <w:color w:val="auto"/>
              </w:rPr>
            </w:pPr>
            <w:r>
              <w:rPr>
                <w:i w:val="0"/>
                <w:iCs w:val="0"/>
                <w:color w:val="auto"/>
              </w:rPr>
              <w:t>项</w:t>
            </w:r>
          </w:p>
        </w:tc>
        <w:tc>
          <w:tcPr>
            <w:tcW w:w="458" w:type="dxa"/>
          </w:tcPr>
          <w:p w14:paraId="521FB355">
            <w:pPr>
              <w:pStyle w:val="25"/>
              <w:spacing w:line="265" w:lineRule="exact"/>
              <w:ind w:right="98"/>
              <w:jc w:val="right"/>
              <w:rPr>
                <w:i w:val="0"/>
                <w:iCs w:val="0"/>
                <w:color w:val="auto"/>
              </w:rPr>
            </w:pPr>
            <w:r>
              <w:rPr>
                <w:i w:val="0"/>
                <w:iCs w:val="0"/>
                <w:color w:val="auto"/>
              </w:rPr>
              <w:t>1</w:t>
            </w:r>
          </w:p>
        </w:tc>
      </w:tr>
      <w:tr w14:paraId="43118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BFDE9DA">
            <w:pPr>
              <w:rPr>
                <w:i w:val="0"/>
                <w:iCs w:val="0"/>
                <w:color w:val="auto"/>
                <w:sz w:val="2"/>
                <w:szCs w:val="2"/>
              </w:rPr>
            </w:pPr>
          </w:p>
        </w:tc>
        <w:tc>
          <w:tcPr>
            <w:tcW w:w="1001" w:type="dxa"/>
            <w:vMerge w:val="continue"/>
            <w:tcBorders>
              <w:top w:val="nil"/>
            </w:tcBorders>
          </w:tcPr>
          <w:p w14:paraId="21262511">
            <w:pPr>
              <w:rPr>
                <w:i w:val="0"/>
                <w:iCs w:val="0"/>
                <w:color w:val="auto"/>
                <w:sz w:val="2"/>
                <w:szCs w:val="2"/>
              </w:rPr>
            </w:pPr>
          </w:p>
        </w:tc>
        <w:tc>
          <w:tcPr>
            <w:tcW w:w="1623" w:type="dxa"/>
            <w:vMerge w:val="continue"/>
            <w:tcBorders>
              <w:top w:val="nil"/>
            </w:tcBorders>
          </w:tcPr>
          <w:p w14:paraId="5C1C9357">
            <w:pPr>
              <w:rPr>
                <w:i w:val="0"/>
                <w:iCs w:val="0"/>
                <w:color w:val="auto"/>
                <w:sz w:val="2"/>
                <w:szCs w:val="2"/>
              </w:rPr>
            </w:pPr>
          </w:p>
        </w:tc>
        <w:tc>
          <w:tcPr>
            <w:tcW w:w="4530" w:type="dxa"/>
          </w:tcPr>
          <w:p w14:paraId="392D2A30">
            <w:pPr>
              <w:pStyle w:val="25"/>
              <w:spacing w:before="26"/>
              <w:ind w:left="192" w:right="184"/>
              <w:jc w:val="center"/>
              <w:rPr>
                <w:i w:val="0"/>
                <w:iCs w:val="0"/>
                <w:color w:val="auto"/>
                <w:sz w:val="18"/>
              </w:rPr>
            </w:pPr>
            <w:r>
              <w:rPr>
                <w:i w:val="0"/>
                <w:iCs w:val="0"/>
                <w:color w:val="auto"/>
                <w:spacing w:val="-2"/>
                <w:sz w:val="18"/>
              </w:rPr>
              <w:t>留观医护工作站</w:t>
            </w:r>
          </w:p>
        </w:tc>
        <w:tc>
          <w:tcPr>
            <w:tcW w:w="456" w:type="dxa"/>
          </w:tcPr>
          <w:p w14:paraId="58AB57BC">
            <w:pPr>
              <w:pStyle w:val="25"/>
              <w:spacing w:line="265" w:lineRule="exact"/>
              <w:ind w:right="8"/>
              <w:jc w:val="center"/>
              <w:rPr>
                <w:i w:val="0"/>
                <w:iCs w:val="0"/>
                <w:color w:val="auto"/>
              </w:rPr>
            </w:pPr>
            <w:r>
              <w:rPr>
                <w:i w:val="0"/>
                <w:iCs w:val="0"/>
                <w:color w:val="auto"/>
              </w:rPr>
              <w:t>项</w:t>
            </w:r>
          </w:p>
        </w:tc>
        <w:tc>
          <w:tcPr>
            <w:tcW w:w="458" w:type="dxa"/>
          </w:tcPr>
          <w:p w14:paraId="4496DFDD">
            <w:pPr>
              <w:pStyle w:val="25"/>
              <w:spacing w:line="265" w:lineRule="exact"/>
              <w:ind w:right="98"/>
              <w:jc w:val="right"/>
              <w:rPr>
                <w:i w:val="0"/>
                <w:iCs w:val="0"/>
                <w:color w:val="auto"/>
              </w:rPr>
            </w:pPr>
            <w:r>
              <w:rPr>
                <w:i w:val="0"/>
                <w:iCs w:val="0"/>
                <w:color w:val="auto"/>
              </w:rPr>
              <w:t>1</w:t>
            </w:r>
          </w:p>
        </w:tc>
      </w:tr>
      <w:tr w14:paraId="332D9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44E489F">
            <w:pPr>
              <w:rPr>
                <w:i w:val="0"/>
                <w:iCs w:val="0"/>
                <w:color w:val="auto"/>
                <w:sz w:val="2"/>
                <w:szCs w:val="2"/>
              </w:rPr>
            </w:pPr>
          </w:p>
        </w:tc>
        <w:tc>
          <w:tcPr>
            <w:tcW w:w="1001" w:type="dxa"/>
            <w:vMerge w:val="continue"/>
            <w:tcBorders>
              <w:top w:val="nil"/>
            </w:tcBorders>
          </w:tcPr>
          <w:p w14:paraId="3E2B6C40">
            <w:pPr>
              <w:rPr>
                <w:i w:val="0"/>
                <w:iCs w:val="0"/>
                <w:color w:val="auto"/>
                <w:sz w:val="2"/>
                <w:szCs w:val="2"/>
              </w:rPr>
            </w:pPr>
          </w:p>
        </w:tc>
        <w:tc>
          <w:tcPr>
            <w:tcW w:w="1623" w:type="dxa"/>
            <w:vMerge w:val="continue"/>
            <w:tcBorders>
              <w:top w:val="nil"/>
            </w:tcBorders>
          </w:tcPr>
          <w:p w14:paraId="20A12AAE">
            <w:pPr>
              <w:rPr>
                <w:i w:val="0"/>
                <w:iCs w:val="0"/>
                <w:color w:val="auto"/>
                <w:sz w:val="2"/>
                <w:szCs w:val="2"/>
              </w:rPr>
            </w:pPr>
          </w:p>
        </w:tc>
        <w:tc>
          <w:tcPr>
            <w:tcW w:w="4530" w:type="dxa"/>
          </w:tcPr>
          <w:p w14:paraId="23A8866C">
            <w:pPr>
              <w:pStyle w:val="25"/>
              <w:spacing w:before="26"/>
              <w:ind w:left="192" w:right="184"/>
              <w:jc w:val="center"/>
              <w:rPr>
                <w:i w:val="0"/>
                <w:iCs w:val="0"/>
                <w:color w:val="auto"/>
                <w:sz w:val="18"/>
              </w:rPr>
            </w:pPr>
            <w:r>
              <w:rPr>
                <w:i w:val="0"/>
                <w:iCs w:val="0"/>
                <w:color w:val="auto"/>
                <w:spacing w:val="-2"/>
                <w:sz w:val="18"/>
              </w:rPr>
              <w:t>住院医生工作站</w:t>
            </w:r>
          </w:p>
        </w:tc>
        <w:tc>
          <w:tcPr>
            <w:tcW w:w="456" w:type="dxa"/>
          </w:tcPr>
          <w:p w14:paraId="58FF2DB3">
            <w:pPr>
              <w:pStyle w:val="25"/>
              <w:spacing w:line="265" w:lineRule="exact"/>
              <w:ind w:right="8"/>
              <w:jc w:val="center"/>
              <w:rPr>
                <w:i w:val="0"/>
                <w:iCs w:val="0"/>
                <w:color w:val="auto"/>
              </w:rPr>
            </w:pPr>
            <w:r>
              <w:rPr>
                <w:i w:val="0"/>
                <w:iCs w:val="0"/>
                <w:color w:val="auto"/>
              </w:rPr>
              <w:t>项</w:t>
            </w:r>
          </w:p>
        </w:tc>
        <w:tc>
          <w:tcPr>
            <w:tcW w:w="458" w:type="dxa"/>
          </w:tcPr>
          <w:p w14:paraId="7AEA93A0">
            <w:pPr>
              <w:pStyle w:val="25"/>
              <w:spacing w:line="265" w:lineRule="exact"/>
              <w:ind w:right="98"/>
              <w:jc w:val="right"/>
              <w:rPr>
                <w:i w:val="0"/>
                <w:iCs w:val="0"/>
                <w:color w:val="auto"/>
              </w:rPr>
            </w:pPr>
            <w:r>
              <w:rPr>
                <w:i w:val="0"/>
                <w:iCs w:val="0"/>
                <w:color w:val="auto"/>
              </w:rPr>
              <w:t>1</w:t>
            </w:r>
          </w:p>
        </w:tc>
      </w:tr>
      <w:tr w14:paraId="78684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8E92C7E">
            <w:pPr>
              <w:rPr>
                <w:i w:val="0"/>
                <w:iCs w:val="0"/>
                <w:color w:val="auto"/>
                <w:sz w:val="2"/>
                <w:szCs w:val="2"/>
              </w:rPr>
            </w:pPr>
          </w:p>
        </w:tc>
        <w:tc>
          <w:tcPr>
            <w:tcW w:w="1001" w:type="dxa"/>
            <w:vMerge w:val="continue"/>
            <w:tcBorders>
              <w:top w:val="nil"/>
            </w:tcBorders>
          </w:tcPr>
          <w:p w14:paraId="6B0AF463">
            <w:pPr>
              <w:rPr>
                <w:i w:val="0"/>
                <w:iCs w:val="0"/>
                <w:color w:val="auto"/>
                <w:sz w:val="2"/>
                <w:szCs w:val="2"/>
              </w:rPr>
            </w:pPr>
          </w:p>
        </w:tc>
        <w:tc>
          <w:tcPr>
            <w:tcW w:w="1623" w:type="dxa"/>
            <w:vMerge w:val="continue"/>
            <w:tcBorders>
              <w:top w:val="nil"/>
            </w:tcBorders>
          </w:tcPr>
          <w:p w14:paraId="0D079C71">
            <w:pPr>
              <w:rPr>
                <w:i w:val="0"/>
                <w:iCs w:val="0"/>
                <w:color w:val="auto"/>
                <w:sz w:val="2"/>
                <w:szCs w:val="2"/>
              </w:rPr>
            </w:pPr>
          </w:p>
        </w:tc>
        <w:tc>
          <w:tcPr>
            <w:tcW w:w="4530" w:type="dxa"/>
          </w:tcPr>
          <w:p w14:paraId="769E9D35">
            <w:pPr>
              <w:pStyle w:val="25"/>
              <w:spacing w:before="26"/>
              <w:ind w:left="190" w:right="184"/>
              <w:jc w:val="center"/>
              <w:rPr>
                <w:i w:val="0"/>
                <w:iCs w:val="0"/>
                <w:color w:val="auto"/>
                <w:sz w:val="18"/>
              </w:rPr>
            </w:pPr>
            <w:r>
              <w:rPr>
                <w:i w:val="0"/>
                <w:iCs w:val="0"/>
                <w:color w:val="auto"/>
                <w:spacing w:val="-2"/>
                <w:sz w:val="18"/>
              </w:rPr>
              <w:t>住院电子病历</w:t>
            </w:r>
          </w:p>
        </w:tc>
        <w:tc>
          <w:tcPr>
            <w:tcW w:w="456" w:type="dxa"/>
          </w:tcPr>
          <w:p w14:paraId="014B2EB3">
            <w:pPr>
              <w:pStyle w:val="25"/>
              <w:spacing w:line="265" w:lineRule="exact"/>
              <w:ind w:right="8"/>
              <w:jc w:val="center"/>
              <w:rPr>
                <w:i w:val="0"/>
                <w:iCs w:val="0"/>
                <w:color w:val="auto"/>
              </w:rPr>
            </w:pPr>
            <w:r>
              <w:rPr>
                <w:i w:val="0"/>
                <w:iCs w:val="0"/>
                <w:color w:val="auto"/>
              </w:rPr>
              <w:t>项</w:t>
            </w:r>
          </w:p>
        </w:tc>
        <w:tc>
          <w:tcPr>
            <w:tcW w:w="458" w:type="dxa"/>
          </w:tcPr>
          <w:p w14:paraId="0BA985CB">
            <w:pPr>
              <w:pStyle w:val="25"/>
              <w:spacing w:line="265" w:lineRule="exact"/>
              <w:ind w:right="98"/>
              <w:jc w:val="right"/>
              <w:rPr>
                <w:i w:val="0"/>
                <w:iCs w:val="0"/>
                <w:color w:val="auto"/>
              </w:rPr>
            </w:pPr>
            <w:r>
              <w:rPr>
                <w:i w:val="0"/>
                <w:iCs w:val="0"/>
                <w:color w:val="auto"/>
              </w:rPr>
              <w:t>1</w:t>
            </w:r>
          </w:p>
        </w:tc>
      </w:tr>
      <w:tr w14:paraId="54D55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Borders>
              <w:top w:val="nil"/>
            </w:tcBorders>
          </w:tcPr>
          <w:p w14:paraId="2E939042">
            <w:pPr>
              <w:rPr>
                <w:i w:val="0"/>
                <w:iCs w:val="0"/>
                <w:color w:val="auto"/>
                <w:sz w:val="2"/>
                <w:szCs w:val="2"/>
              </w:rPr>
            </w:pPr>
          </w:p>
        </w:tc>
        <w:tc>
          <w:tcPr>
            <w:tcW w:w="1001" w:type="dxa"/>
            <w:vMerge w:val="continue"/>
            <w:tcBorders>
              <w:top w:val="nil"/>
            </w:tcBorders>
          </w:tcPr>
          <w:p w14:paraId="1A44C43D">
            <w:pPr>
              <w:rPr>
                <w:i w:val="0"/>
                <w:iCs w:val="0"/>
                <w:color w:val="auto"/>
                <w:sz w:val="2"/>
                <w:szCs w:val="2"/>
              </w:rPr>
            </w:pPr>
          </w:p>
        </w:tc>
        <w:tc>
          <w:tcPr>
            <w:tcW w:w="1623" w:type="dxa"/>
            <w:vMerge w:val="continue"/>
            <w:tcBorders>
              <w:top w:val="nil"/>
            </w:tcBorders>
          </w:tcPr>
          <w:p w14:paraId="193F6FEB">
            <w:pPr>
              <w:rPr>
                <w:i w:val="0"/>
                <w:iCs w:val="0"/>
                <w:color w:val="auto"/>
                <w:sz w:val="2"/>
                <w:szCs w:val="2"/>
              </w:rPr>
            </w:pPr>
          </w:p>
        </w:tc>
        <w:tc>
          <w:tcPr>
            <w:tcW w:w="4530" w:type="dxa"/>
          </w:tcPr>
          <w:p w14:paraId="5637E8AE">
            <w:pPr>
              <w:pStyle w:val="25"/>
              <w:spacing w:before="26"/>
              <w:ind w:left="190" w:right="184"/>
              <w:jc w:val="center"/>
              <w:rPr>
                <w:i w:val="0"/>
                <w:iCs w:val="0"/>
                <w:color w:val="auto"/>
                <w:spacing w:val="-2"/>
                <w:sz w:val="18"/>
              </w:rPr>
            </w:pPr>
            <w:r>
              <w:rPr>
                <w:rFonts w:hint="eastAsia" w:ascii="宋体" w:hAnsi="宋体" w:eastAsia="宋体" w:cs="宋体"/>
                <w:b w:val="0"/>
                <w:bCs w:val="0"/>
                <w:i w:val="0"/>
                <w:iCs w:val="0"/>
                <w:color w:val="auto"/>
                <w:kern w:val="0"/>
                <w:sz w:val="20"/>
                <w:szCs w:val="20"/>
                <w:u w:val="none"/>
                <w:lang w:val="en-US" w:eastAsia="zh-CN" w:bidi="ar"/>
                <w14:ligatures w14:val="none"/>
              </w:rPr>
              <w:t>院内会诊管理</w:t>
            </w:r>
          </w:p>
        </w:tc>
        <w:tc>
          <w:tcPr>
            <w:tcW w:w="456" w:type="dxa"/>
            <w:shd w:val="clear" w:color="auto" w:fill="auto"/>
            <w:vAlign w:val="top"/>
          </w:tcPr>
          <w:p w14:paraId="3438DA5F">
            <w:pPr>
              <w:pStyle w:val="25"/>
              <w:spacing w:line="265" w:lineRule="exact"/>
              <w:ind w:right="8" w:rightChars="0"/>
              <w:jc w:val="center"/>
              <w:rPr>
                <w:rFonts w:ascii="宋体" w:hAnsi="宋体" w:eastAsia="宋体" w:cs="宋体"/>
                <w:i w:val="0"/>
                <w:iCs w:val="0"/>
                <w:color w:val="auto"/>
                <w:sz w:val="22"/>
                <w:szCs w:val="22"/>
                <w:lang w:val="en-US" w:eastAsia="zh-CN" w:bidi="ar-SA"/>
              </w:rPr>
            </w:pPr>
            <w:r>
              <w:rPr>
                <w:i w:val="0"/>
                <w:iCs w:val="0"/>
                <w:color w:val="auto"/>
              </w:rPr>
              <w:t>项</w:t>
            </w:r>
          </w:p>
        </w:tc>
        <w:tc>
          <w:tcPr>
            <w:tcW w:w="458" w:type="dxa"/>
            <w:shd w:val="clear" w:color="auto" w:fill="auto"/>
            <w:vAlign w:val="top"/>
          </w:tcPr>
          <w:p w14:paraId="5F04DE07">
            <w:pPr>
              <w:pStyle w:val="25"/>
              <w:spacing w:line="265" w:lineRule="exact"/>
              <w:ind w:right="98" w:rightChars="0"/>
              <w:jc w:val="right"/>
              <w:rPr>
                <w:rFonts w:ascii="宋体" w:hAnsi="宋体" w:eastAsia="宋体" w:cs="宋体"/>
                <w:i w:val="0"/>
                <w:iCs w:val="0"/>
                <w:color w:val="auto"/>
                <w:sz w:val="22"/>
                <w:szCs w:val="22"/>
                <w:lang w:val="en-US" w:eastAsia="zh-CN" w:bidi="ar-SA"/>
              </w:rPr>
            </w:pPr>
            <w:r>
              <w:rPr>
                <w:i w:val="0"/>
                <w:iCs w:val="0"/>
                <w:color w:val="auto"/>
              </w:rPr>
              <w:t>1</w:t>
            </w:r>
          </w:p>
        </w:tc>
      </w:tr>
      <w:tr w14:paraId="6E562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470B71D">
            <w:pPr>
              <w:rPr>
                <w:i w:val="0"/>
                <w:iCs w:val="0"/>
                <w:color w:val="auto"/>
                <w:sz w:val="2"/>
                <w:szCs w:val="2"/>
              </w:rPr>
            </w:pPr>
          </w:p>
        </w:tc>
        <w:tc>
          <w:tcPr>
            <w:tcW w:w="1001" w:type="dxa"/>
            <w:vMerge w:val="continue"/>
            <w:tcBorders>
              <w:top w:val="nil"/>
            </w:tcBorders>
          </w:tcPr>
          <w:p w14:paraId="48BD985A">
            <w:pPr>
              <w:rPr>
                <w:i w:val="0"/>
                <w:iCs w:val="0"/>
                <w:color w:val="auto"/>
                <w:sz w:val="2"/>
                <w:szCs w:val="2"/>
              </w:rPr>
            </w:pPr>
          </w:p>
        </w:tc>
        <w:tc>
          <w:tcPr>
            <w:tcW w:w="1623" w:type="dxa"/>
            <w:vMerge w:val="continue"/>
            <w:tcBorders>
              <w:top w:val="nil"/>
            </w:tcBorders>
          </w:tcPr>
          <w:p w14:paraId="27D3FA06">
            <w:pPr>
              <w:rPr>
                <w:i w:val="0"/>
                <w:iCs w:val="0"/>
                <w:color w:val="auto"/>
                <w:sz w:val="2"/>
                <w:szCs w:val="2"/>
              </w:rPr>
            </w:pPr>
          </w:p>
        </w:tc>
        <w:tc>
          <w:tcPr>
            <w:tcW w:w="4530" w:type="dxa"/>
          </w:tcPr>
          <w:p w14:paraId="186A063D">
            <w:pPr>
              <w:pStyle w:val="25"/>
              <w:spacing w:before="26"/>
              <w:ind w:left="190" w:right="184"/>
              <w:jc w:val="center"/>
              <w:rPr>
                <w:i w:val="0"/>
                <w:iCs w:val="0"/>
                <w:color w:val="auto"/>
                <w:sz w:val="18"/>
              </w:rPr>
            </w:pPr>
            <w:r>
              <w:rPr>
                <w:i w:val="0"/>
                <w:iCs w:val="0"/>
                <w:color w:val="auto"/>
                <w:spacing w:val="-2"/>
                <w:sz w:val="18"/>
              </w:rPr>
              <w:t>临床路径管理</w:t>
            </w:r>
          </w:p>
        </w:tc>
        <w:tc>
          <w:tcPr>
            <w:tcW w:w="456" w:type="dxa"/>
          </w:tcPr>
          <w:p w14:paraId="75D9EB1D">
            <w:pPr>
              <w:pStyle w:val="25"/>
              <w:spacing w:line="266" w:lineRule="exact"/>
              <w:ind w:right="8"/>
              <w:jc w:val="center"/>
              <w:rPr>
                <w:i w:val="0"/>
                <w:iCs w:val="0"/>
                <w:color w:val="auto"/>
              </w:rPr>
            </w:pPr>
            <w:r>
              <w:rPr>
                <w:i w:val="0"/>
                <w:iCs w:val="0"/>
                <w:color w:val="auto"/>
              </w:rPr>
              <w:t>项</w:t>
            </w:r>
          </w:p>
        </w:tc>
        <w:tc>
          <w:tcPr>
            <w:tcW w:w="458" w:type="dxa"/>
          </w:tcPr>
          <w:p w14:paraId="205FDD7C">
            <w:pPr>
              <w:pStyle w:val="25"/>
              <w:spacing w:line="266" w:lineRule="exact"/>
              <w:ind w:right="98"/>
              <w:jc w:val="right"/>
              <w:rPr>
                <w:i w:val="0"/>
                <w:iCs w:val="0"/>
                <w:color w:val="auto"/>
              </w:rPr>
            </w:pPr>
            <w:r>
              <w:rPr>
                <w:i w:val="0"/>
                <w:iCs w:val="0"/>
                <w:color w:val="auto"/>
              </w:rPr>
              <w:t>1</w:t>
            </w:r>
          </w:p>
        </w:tc>
      </w:tr>
      <w:tr w14:paraId="24165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1FEEF8A">
            <w:pPr>
              <w:rPr>
                <w:i w:val="0"/>
                <w:iCs w:val="0"/>
                <w:color w:val="auto"/>
                <w:sz w:val="2"/>
                <w:szCs w:val="2"/>
              </w:rPr>
            </w:pPr>
          </w:p>
        </w:tc>
        <w:tc>
          <w:tcPr>
            <w:tcW w:w="1001" w:type="dxa"/>
            <w:vMerge w:val="continue"/>
            <w:tcBorders>
              <w:top w:val="nil"/>
            </w:tcBorders>
          </w:tcPr>
          <w:p w14:paraId="25194D4A">
            <w:pPr>
              <w:rPr>
                <w:i w:val="0"/>
                <w:iCs w:val="0"/>
                <w:color w:val="auto"/>
                <w:sz w:val="2"/>
                <w:szCs w:val="2"/>
              </w:rPr>
            </w:pPr>
          </w:p>
        </w:tc>
        <w:tc>
          <w:tcPr>
            <w:tcW w:w="1623" w:type="dxa"/>
            <w:vMerge w:val="continue"/>
            <w:tcBorders>
              <w:top w:val="nil"/>
            </w:tcBorders>
          </w:tcPr>
          <w:p w14:paraId="35EA26E3">
            <w:pPr>
              <w:rPr>
                <w:i w:val="0"/>
                <w:iCs w:val="0"/>
                <w:color w:val="auto"/>
                <w:sz w:val="2"/>
                <w:szCs w:val="2"/>
              </w:rPr>
            </w:pPr>
          </w:p>
        </w:tc>
        <w:tc>
          <w:tcPr>
            <w:tcW w:w="4530" w:type="dxa"/>
          </w:tcPr>
          <w:p w14:paraId="4183948F">
            <w:pPr>
              <w:pStyle w:val="25"/>
              <w:spacing w:before="26"/>
              <w:ind w:left="189" w:right="184"/>
              <w:jc w:val="center"/>
              <w:rPr>
                <w:i w:val="0"/>
                <w:iCs w:val="0"/>
                <w:color w:val="auto"/>
                <w:sz w:val="18"/>
              </w:rPr>
            </w:pPr>
            <w:r>
              <w:rPr>
                <w:i w:val="0"/>
                <w:iCs w:val="0"/>
                <w:color w:val="auto"/>
                <w:spacing w:val="-2"/>
                <w:sz w:val="18"/>
              </w:rPr>
              <w:t>临床辅助决策系统</w:t>
            </w:r>
          </w:p>
        </w:tc>
        <w:tc>
          <w:tcPr>
            <w:tcW w:w="456" w:type="dxa"/>
          </w:tcPr>
          <w:p w14:paraId="2B3DF855">
            <w:pPr>
              <w:pStyle w:val="25"/>
              <w:spacing w:line="265" w:lineRule="exact"/>
              <w:ind w:right="8"/>
              <w:jc w:val="center"/>
              <w:rPr>
                <w:i w:val="0"/>
                <w:iCs w:val="0"/>
                <w:color w:val="auto"/>
              </w:rPr>
            </w:pPr>
            <w:r>
              <w:rPr>
                <w:i w:val="0"/>
                <w:iCs w:val="0"/>
                <w:color w:val="auto"/>
              </w:rPr>
              <w:t>项</w:t>
            </w:r>
          </w:p>
        </w:tc>
        <w:tc>
          <w:tcPr>
            <w:tcW w:w="458" w:type="dxa"/>
          </w:tcPr>
          <w:p w14:paraId="63C18203">
            <w:pPr>
              <w:pStyle w:val="25"/>
              <w:spacing w:line="265" w:lineRule="exact"/>
              <w:ind w:right="98"/>
              <w:jc w:val="right"/>
              <w:rPr>
                <w:i w:val="0"/>
                <w:iCs w:val="0"/>
                <w:color w:val="auto"/>
              </w:rPr>
            </w:pPr>
            <w:r>
              <w:rPr>
                <w:i w:val="0"/>
                <w:iCs w:val="0"/>
                <w:color w:val="auto"/>
              </w:rPr>
              <w:t>1</w:t>
            </w:r>
          </w:p>
        </w:tc>
      </w:tr>
      <w:tr w14:paraId="27AC5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830F019">
            <w:pPr>
              <w:rPr>
                <w:i w:val="0"/>
                <w:iCs w:val="0"/>
                <w:color w:val="auto"/>
                <w:sz w:val="2"/>
                <w:szCs w:val="2"/>
              </w:rPr>
            </w:pPr>
          </w:p>
        </w:tc>
        <w:tc>
          <w:tcPr>
            <w:tcW w:w="1001" w:type="dxa"/>
            <w:vMerge w:val="continue"/>
            <w:tcBorders>
              <w:top w:val="nil"/>
            </w:tcBorders>
          </w:tcPr>
          <w:p w14:paraId="4A52CFB2">
            <w:pPr>
              <w:rPr>
                <w:i w:val="0"/>
                <w:iCs w:val="0"/>
                <w:color w:val="auto"/>
                <w:sz w:val="2"/>
                <w:szCs w:val="2"/>
              </w:rPr>
            </w:pPr>
          </w:p>
        </w:tc>
        <w:tc>
          <w:tcPr>
            <w:tcW w:w="1623" w:type="dxa"/>
            <w:vMerge w:val="continue"/>
            <w:tcBorders>
              <w:top w:val="nil"/>
            </w:tcBorders>
          </w:tcPr>
          <w:p w14:paraId="019B182C">
            <w:pPr>
              <w:rPr>
                <w:i w:val="0"/>
                <w:iCs w:val="0"/>
                <w:color w:val="auto"/>
                <w:sz w:val="2"/>
                <w:szCs w:val="2"/>
              </w:rPr>
            </w:pPr>
          </w:p>
        </w:tc>
        <w:tc>
          <w:tcPr>
            <w:tcW w:w="4530" w:type="dxa"/>
          </w:tcPr>
          <w:p w14:paraId="34C397BF">
            <w:pPr>
              <w:pStyle w:val="25"/>
              <w:spacing w:before="26"/>
              <w:ind w:left="192" w:right="184"/>
              <w:jc w:val="center"/>
              <w:rPr>
                <w:i w:val="0"/>
                <w:iCs w:val="0"/>
                <w:color w:val="auto"/>
                <w:sz w:val="18"/>
              </w:rPr>
            </w:pPr>
            <w:r>
              <w:rPr>
                <w:i w:val="0"/>
                <w:iCs w:val="0"/>
                <w:color w:val="auto"/>
                <w:spacing w:val="-2"/>
                <w:sz w:val="18"/>
              </w:rPr>
              <w:t>临床知识库系统</w:t>
            </w:r>
          </w:p>
        </w:tc>
        <w:tc>
          <w:tcPr>
            <w:tcW w:w="456" w:type="dxa"/>
          </w:tcPr>
          <w:p w14:paraId="5CE5DEDE">
            <w:pPr>
              <w:pStyle w:val="25"/>
              <w:spacing w:line="265" w:lineRule="exact"/>
              <w:ind w:right="8"/>
              <w:jc w:val="center"/>
              <w:rPr>
                <w:i w:val="0"/>
                <w:iCs w:val="0"/>
                <w:color w:val="auto"/>
              </w:rPr>
            </w:pPr>
            <w:r>
              <w:rPr>
                <w:i w:val="0"/>
                <w:iCs w:val="0"/>
                <w:color w:val="auto"/>
              </w:rPr>
              <w:t>项</w:t>
            </w:r>
          </w:p>
        </w:tc>
        <w:tc>
          <w:tcPr>
            <w:tcW w:w="458" w:type="dxa"/>
          </w:tcPr>
          <w:p w14:paraId="0AF6B5AB">
            <w:pPr>
              <w:pStyle w:val="25"/>
              <w:spacing w:line="265" w:lineRule="exact"/>
              <w:ind w:right="98"/>
              <w:jc w:val="right"/>
              <w:rPr>
                <w:i w:val="0"/>
                <w:iCs w:val="0"/>
                <w:color w:val="auto"/>
              </w:rPr>
            </w:pPr>
            <w:r>
              <w:rPr>
                <w:i w:val="0"/>
                <w:iCs w:val="0"/>
                <w:color w:val="auto"/>
              </w:rPr>
              <w:t>1</w:t>
            </w:r>
          </w:p>
        </w:tc>
      </w:tr>
      <w:tr w14:paraId="0B57D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899D381">
            <w:pPr>
              <w:rPr>
                <w:i w:val="0"/>
                <w:iCs w:val="0"/>
                <w:color w:val="auto"/>
                <w:sz w:val="2"/>
                <w:szCs w:val="2"/>
              </w:rPr>
            </w:pPr>
          </w:p>
        </w:tc>
        <w:tc>
          <w:tcPr>
            <w:tcW w:w="1001" w:type="dxa"/>
            <w:vMerge w:val="continue"/>
            <w:tcBorders>
              <w:top w:val="nil"/>
            </w:tcBorders>
          </w:tcPr>
          <w:p w14:paraId="02C8024E">
            <w:pPr>
              <w:rPr>
                <w:i w:val="0"/>
                <w:iCs w:val="0"/>
                <w:color w:val="auto"/>
                <w:sz w:val="2"/>
                <w:szCs w:val="2"/>
              </w:rPr>
            </w:pPr>
          </w:p>
        </w:tc>
        <w:tc>
          <w:tcPr>
            <w:tcW w:w="1623" w:type="dxa"/>
            <w:vMerge w:val="restart"/>
          </w:tcPr>
          <w:p w14:paraId="5DB0118B">
            <w:pPr>
              <w:pStyle w:val="25"/>
              <w:rPr>
                <w:b/>
                <w:i w:val="0"/>
                <w:iCs w:val="0"/>
                <w:color w:val="auto"/>
                <w:sz w:val="18"/>
              </w:rPr>
            </w:pPr>
          </w:p>
          <w:p w14:paraId="0A9D7994">
            <w:pPr>
              <w:pStyle w:val="25"/>
              <w:rPr>
                <w:b/>
                <w:i w:val="0"/>
                <w:iCs w:val="0"/>
                <w:color w:val="auto"/>
                <w:sz w:val="18"/>
              </w:rPr>
            </w:pPr>
          </w:p>
          <w:p w14:paraId="66531FAC">
            <w:pPr>
              <w:pStyle w:val="25"/>
              <w:spacing w:before="155"/>
              <w:ind w:left="450"/>
              <w:rPr>
                <w:i w:val="0"/>
                <w:iCs w:val="0"/>
                <w:color w:val="auto"/>
                <w:sz w:val="18"/>
              </w:rPr>
            </w:pPr>
            <w:r>
              <w:rPr>
                <w:i w:val="0"/>
                <w:iCs w:val="0"/>
                <w:color w:val="auto"/>
                <w:spacing w:val="-3"/>
                <w:sz w:val="18"/>
              </w:rPr>
              <w:t>临床护理</w:t>
            </w:r>
          </w:p>
        </w:tc>
        <w:tc>
          <w:tcPr>
            <w:tcW w:w="4530" w:type="dxa"/>
          </w:tcPr>
          <w:p w14:paraId="38447B41">
            <w:pPr>
              <w:pStyle w:val="25"/>
              <w:spacing w:before="26"/>
              <w:ind w:left="192" w:right="184"/>
              <w:jc w:val="center"/>
              <w:rPr>
                <w:i w:val="0"/>
                <w:iCs w:val="0"/>
                <w:color w:val="auto"/>
                <w:sz w:val="18"/>
              </w:rPr>
            </w:pPr>
            <w:r>
              <w:rPr>
                <w:i w:val="0"/>
                <w:iCs w:val="0"/>
                <w:color w:val="auto"/>
                <w:spacing w:val="-2"/>
                <w:sz w:val="18"/>
              </w:rPr>
              <w:t>住院护士工作站</w:t>
            </w:r>
          </w:p>
        </w:tc>
        <w:tc>
          <w:tcPr>
            <w:tcW w:w="456" w:type="dxa"/>
          </w:tcPr>
          <w:p w14:paraId="4694EDA3">
            <w:pPr>
              <w:pStyle w:val="25"/>
              <w:spacing w:line="265" w:lineRule="exact"/>
              <w:ind w:right="8"/>
              <w:jc w:val="center"/>
              <w:rPr>
                <w:i w:val="0"/>
                <w:iCs w:val="0"/>
                <w:color w:val="auto"/>
              </w:rPr>
            </w:pPr>
            <w:r>
              <w:rPr>
                <w:i w:val="0"/>
                <w:iCs w:val="0"/>
                <w:color w:val="auto"/>
              </w:rPr>
              <w:t>项</w:t>
            </w:r>
          </w:p>
        </w:tc>
        <w:tc>
          <w:tcPr>
            <w:tcW w:w="458" w:type="dxa"/>
          </w:tcPr>
          <w:p w14:paraId="5739B58A">
            <w:pPr>
              <w:pStyle w:val="25"/>
              <w:spacing w:line="265" w:lineRule="exact"/>
              <w:ind w:right="98"/>
              <w:jc w:val="right"/>
              <w:rPr>
                <w:i w:val="0"/>
                <w:iCs w:val="0"/>
                <w:color w:val="auto"/>
              </w:rPr>
            </w:pPr>
            <w:r>
              <w:rPr>
                <w:i w:val="0"/>
                <w:iCs w:val="0"/>
                <w:color w:val="auto"/>
              </w:rPr>
              <w:t>1</w:t>
            </w:r>
          </w:p>
        </w:tc>
      </w:tr>
      <w:tr w14:paraId="5CFE7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F5125EF">
            <w:pPr>
              <w:rPr>
                <w:i w:val="0"/>
                <w:iCs w:val="0"/>
                <w:color w:val="auto"/>
                <w:sz w:val="2"/>
                <w:szCs w:val="2"/>
              </w:rPr>
            </w:pPr>
          </w:p>
        </w:tc>
        <w:tc>
          <w:tcPr>
            <w:tcW w:w="1001" w:type="dxa"/>
            <w:vMerge w:val="continue"/>
            <w:tcBorders>
              <w:top w:val="nil"/>
            </w:tcBorders>
          </w:tcPr>
          <w:p w14:paraId="213161ED">
            <w:pPr>
              <w:rPr>
                <w:i w:val="0"/>
                <w:iCs w:val="0"/>
                <w:color w:val="auto"/>
                <w:sz w:val="2"/>
                <w:szCs w:val="2"/>
              </w:rPr>
            </w:pPr>
          </w:p>
        </w:tc>
        <w:tc>
          <w:tcPr>
            <w:tcW w:w="1623" w:type="dxa"/>
            <w:vMerge w:val="continue"/>
            <w:tcBorders>
              <w:top w:val="nil"/>
            </w:tcBorders>
          </w:tcPr>
          <w:p w14:paraId="495D34F6">
            <w:pPr>
              <w:rPr>
                <w:i w:val="0"/>
                <w:iCs w:val="0"/>
                <w:color w:val="auto"/>
                <w:sz w:val="2"/>
                <w:szCs w:val="2"/>
              </w:rPr>
            </w:pPr>
          </w:p>
        </w:tc>
        <w:tc>
          <w:tcPr>
            <w:tcW w:w="4530" w:type="dxa"/>
          </w:tcPr>
          <w:p w14:paraId="0E5E2549">
            <w:pPr>
              <w:pStyle w:val="25"/>
              <w:spacing w:before="26"/>
              <w:ind w:left="190" w:right="184"/>
              <w:jc w:val="center"/>
              <w:rPr>
                <w:i w:val="0"/>
                <w:iCs w:val="0"/>
                <w:color w:val="auto"/>
                <w:sz w:val="18"/>
              </w:rPr>
            </w:pPr>
            <w:r>
              <w:rPr>
                <w:i w:val="0"/>
                <w:iCs w:val="0"/>
                <w:color w:val="auto"/>
                <w:spacing w:val="-3"/>
                <w:sz w:val="18"/>
              </w:rPr>
              <w:t>护理记录</w:t>
            </w:r>
          </w:p>
        </w:tc>
        <w:tc>
          <w:tcPr>
            <w:tcW w:w="456" w:type="dxa"/>
          </w:tcPr>
          <w:p w14:paraId="22F3D6DF">
            <w:pPr>
              <w:pStyle w:val="25"/>
              <w:spacing w:line="265" w:lineRule="exact"/>
              <w:ind w:right="8"/>
              <w:jc w:val="center"/>
              <w:rPr>
                <w:i w:val="0"/>
                <w:iCs w:val="0"/>
                <w:color w:val="auto"/>
              </w:rPr>
            </w:pPr>
            <w:r>
              <w:rPr>
                <w:i w:val="0"/>
                <w:iCs w:val="0"/>
                <w:color w:val="auto"/>
              </w:rPr>
              <w:t>项</w:t>
            </w:r>
          </w:p>
        </w:tc>
        <w:tc>
          <w:tcPr>
            <w:tcW w:w="458" w:type="dxa"/>
          </w:tcPr>
          <w:p w14:paraId="5C056CA3">
            <w:pPr>
              <w:pStyle w:val="25"/>
              <w:spacing w:line="265" w:lineRule="exact"/>
              <w:ind w:right="98"/>
              <w:jc w:val="right"/>
              <w:rPr>
                <w:i w:val="0"/>
                <w:iCs w:val="0"/>
                <w:color w:val="auto"/>
              </w:rPr>
            </w:pPr>
            <w:r>
              <w:rPr>
                <w:i w:val="0"/>
                <w:iCs w:val="0"/>
                <w:color w:val="auto"/>
              </w:rPr>
              <w:t>1</w:t>
            </w:r>
          </w:p>
        </w:tc>
      </w:tr>
      <w:tr w14:paraId="159BE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F0D24DD">
            <w:pPr>
              <w:rPr>
                <w:i w:val="0"/>
                <w:iCs w:val="0"/>
                <w:color w:val="auto"/>
                <w:sz w:val="2"/>
                <w:szCs w:val="2"/>
              </w:rPr>
            </w:pPr>
          </w:p>
        </w:tc>
        <w:tc>
          <w:tcPr>
            <w:tcW w:w="1001" w:type="dxa"/>
            <w:vMerge w:val="continue"/>
            <w:tcBorders>
              <w:top w:val="nil"/>
            </w:tcBorders>
          </w:tcPr>
          <w:p w14:paraId="554376D8">
            <w:pPr>
              <w:rPr>
                <w:i w:val="0"/>
                <w:iCs w:val="0"/>
                <w:color w:val="auto"/>
                <w:sz w:val="2"/>
                <w:szCs w:val="2"/>
              </w:rPr>
            </w:pPr>
          </w:p>
        </w:tc>
        <w:tc>
          <w:tcPr>
            <w:tcW w:w="1623" w:type="dxa"/>
            <w:vMerge w:val="continue"/>
            <w:tcBorders>
              <w:top w:val="nil"/>
            </w:tcBorders>
          </w:tcPr>
          <w:p w14:paraId="29C4ADB8">
            <w:pPr>
              <w:rPr>
                <w:i w:val="0"/>
                <w:iCs w:val="0"/>
                <w:color w:val="auto"/>
                <w:sz w:val="2"/>
                <w:szCs w:val="2"/>
              </w:rPr>
            </w:pPr>
          </w:p>
        </w:tc>
        <w:tc>
          <w:tcPr>
            <w:tcW w:w="4530" w:type="dxa"/>
          </w:tcPr>
          <w:p w14:paraId="144F86A9">
            <w:pPr>
              <w:pStyle w:val="25"/>
              <w:spacing w:before="26"/>
              <w:ind w:left="189" w:right="184"/>
              <w:jc w:val="center"/>
              <w:rPr>
                <w:i w:val="0"/>
                <w:iCs w:val="0"/>
                <w:color w:val="auto"/>
                <w:sz w:val="18"/>
              </w:rPr>
            </w:pPr>
            <w:r>
              <w:rPr>
                <w:i w:val="0"/>
                <w:iCs w:val="0"/>
                <w:color w:val="auto"/>
                <w:spacing w:val="-2"/>
                <w:sz w:val="18"/>
              </w:rPr>
              <w:t>病区电子白板系统</w:t>
            </w:r>
          </w:p>
        </w:tc>
        <w:tc>
          <w:tcPr>
            <w:tcW w:w="456" w:type="dxa"/>
          </w:tcPr>
          <w:p w14:paraId="2A89B784">
            <w:pPr>
              <w:pStyle w:val="25"/>
              <w:spacing w:line="265" w:lineRule="exact"/>
              <w:ind w:right="8"/>
              <w:jc w:val="center"/>
              <w:rPr>
                <w:i w:val="0"/>
                <w:iCs w:val="0"/>
                <w:color w:val="auto"/>
              </w:rPr>
            </w:pPr>
            <w:r>
              <w:rPr>
                <w:i w:val="0"/>
                <w:iCs w:val="0"/>
                <w:color w:val="auto"/>
              </w:rPr>
              <w:t>项</w:t>
            </w:r>
          </w:p>
        </w:tc>
        <w:tc>
          <w:tcPr>
            <w:tcW w:w="458" w:type="dxa"/>
          </w:tcPr>
          <w:p w14:paraId="73AE66BB">
            <w:pPr>
              <w:pStyle w:val="25"/>
              <w:spacing w:line="265" w:lineRule="exact"/>
              <w:ind w:right="98"/>
              <w:jc w:val="right"/>
              <w:rPr>
                <w:i w:val="0"/>
                <w:iCs w:val="0"/>
                <w:color w:val="auto"/>
              </w:rPr>
            </w:pPr>
            <w:r>
              <w:rPr>
                <w:i w:val="0"/>
                <w:iCs w:val="0"/>
                <w:color w:val="auto"/>
              </w:rPr>
              <w:t>1</w:t>
            </w:r>
          </w:p>
        </w:tc>
      </w:tr>
      <w:tr w14:paraId="1E08F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C1EEFAC">
            <w:pPr>
              <w:rPr>
                <w:i w:val="0"/>
                <w:iCs w:val="0"/>
                <w:color w:val="auto"/>
                <w:sz w:val="2"/>
                <w:szCs w:val="2"/>
              </w:rPr>
            </w:pPr>
          </w:p>
        </w:tc>
        <w:tc>
          <w:tcPr>
            <w:tcW w:w="1001" w:type="dxa"/>
            <w:vMerge w:val="continue"/>
            <w:tcBorders>
              <w:top w:val="nil"/>
            </w:tcBorders>
          </w:tcPr>
          <w:p w14:paraId="55628146">
            <w:pPr>
              <w:rPr>
                <w:i w:val="0"/>
                <w:iCs w:val="0"/>
                <w:color w:val="auto"/>
                <w:sz w:val="2"/>
                <w:szCs w:val="2"/>
              </w:rPr>
            </w:pPr>
          </w:p>
        </w:tc>
        <w:tc>
          <w:tcPr>
            <w:tcW w:w="1623" w:type="dxa"/>
            <w:vMerge w:val="continue"/>
            <w:tcBorders>
              <w:top w:val="nil"/>
            </w:tcBorders>
          </w:tcPr>
          <w:p w14:paraId="461E2695">
            <w:pPr>
              <w:rPr>
                <w:i w:val="0"/>
                <w:iCs w:val="0"/>
                <w:color w:val="auto"/>
                <w:sz w:val="2"/>
                <w:szCs w:val="2"/>
              </w:rPr>
            </w:pPr>
          </w:p>
        </w:tc>
        <w:tc>
          <w:tcPr>
            <w:tcW w:w="4530" w:type="dxa"/>
          </w:tcPr>
          <w:p w14:paraId="72004472">
            <w:pPr>
              <w:pStyle w:val="25"/>
              <w:spacing w:before="26"/>
              <w:ind w:left="190" w:right="184"/>
              <w:jc w:val="center"/>
              <w:rPr>
                <w:i w:val="0"/>
                <w:iCs w:val="0"/>
                <w:color w:val="auto"/>
                <w:sz w:val="18"/>
              </w:rPr>
            </w:pPr>
            <w:r>
              <w:rPr>
                <w:i w:val="0"/>
                <w:iCs w:val="0"/>
                <w:color w:val="auto"/>
                <w:spacing w:val="-3"/>
                <w:sz w:val="18"/>
              </w:rPr>
              <w:t>移动护理</w:t>
            </w:r>
          </w:p>
        </w:tc>
        <w:tc>
          <w:tcPr>
            <w:tcW w:w="456" w:type="dxa"/>
          </w:tcPr>
          <w:p w14:paraId="4908FDE0">
            <w:pPr>
              <w:pStyle w:val="25"/>
              <w:spacing w:line="265" w:lineRule="exact"/>
              <w:ind w:right="8"/>
              <w:jc w:val="center"/>
              <w:rPr>
                <w:i w:val="0"/>
                <w:iCs w:val="0"/>
                <w:color w:val="auto"/>
              </w:rPr>
            </w:pPr>
            <w:r>
              <w:rPr>
                <w:i w:val="0"/>
                <w:iCs w:val="0"/>
                <w:color w:val="auto"/>
              </w:rPr>
              <w:t>项</w:t>
            </w:r>
          </w:p>
        </w:tc>
        <w:tc>
          <w:tcPr>
            <w:tcW w:w="458" w:type="dxa"/>
          </w:tcPr>
          <w:p w14:paraId="22A8E997">
            <w:pPr>
              <w:pStyle w:val="25"/>
              <w:spacing w:line="265" w:lineRule="exact"/>
              <w:ind w:right="98"/>
              <w:jc w:val="right"/>
              <w:rPr>
                <w:i w:val="0"/>
                <w:iCs w:val="0"/>
                <w:color w:val="auto"/>
              </w:rPr>
            </w:pPr>
            <w:r>
              <w:rPr>
                <w:i w:val="0"/>
                <w:iCs w:val="0"/>
                <w:color w:val="auto"/>
              </w:rPr>
              <w:t>1</w:t>
            </w:r>
          </w:p>
        </w:tc>
      </w:tr>
      <w:tr w14:paraId="5DDA1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AD79A94">
            <w:pPr>
              <w:rPr>
                <w:i w:val="0"/>
                <w:iCs w:val="0"/>
                <w:color w:val="auto"/>
                <w:sz w:val="2"/>
                <w:szCs w:val="2"/>
              </w:rPr>
            </w:pPr>
          </w:p>
        </w:tc>
        <w:tc>
          <w:tcPr>
            <w:tcW w:w="1001" w:type="dxa"/>
            <w:vMerge w:val="continue"/>
            <w:tcBorders>
              <w:top w:val="nil"/>
            </w:tcBorders>
          </w:tcPr>
          <w:p w14:paraId="11A2268C">
            <w:pPr>
              <w:rPr>
                <w:i w:val="0"/>
                <w:iCs w:val="0"/>
                <w:color w:val="auto"/>
                <w:sz w:val="2"/>
                <w:szCs w:val="2"/>
              </w:rPr>
            </w:pPr>
          </w:p>
        </w:tc>
        <w:tc>
          <w:tcPr>
            <w:tcW w:w="1623" w:type="dxa"/>
            <w:vMerge w:val="continue"/>
            <w:tcBorders>
              <w:top w:val="nil"/>
            </w:tcBorders>
          </w:tcPr>
          <w:p w14:paraId="755C97F9">
            <w:pPr>
              <w:rPr>
                <w:i w:val="0"/>
                <w:iCs w:val="0"/>
                <w:color w:val="auto"/>
                <w:sz w:val="2"/>
                <w:szCs w:val="2"/>
              </w:rPr>
            </w:pPr>
          </w:p>
        </w:tc>
        <w:tc>
          <w:tcPr>
            <w:tcW w:w="4530" w:type="dxa"/>
          </w:tcPr>
          <w:p w14:paraId="6017F634">
            <w:pPr>
              <w:pStyle w:val="25"/>
              <w:spacing w:before="26"/>
              <w:ind w:left="192" w:right="184"/>
              <w:jc w:val="center"/>
              <w:rPr>
                <w:i w:val="0"/>
                <w:iCs w:val="0"/>
                <w:color w:val="auto"/>
                <w:sz w:val="18"/>
              </w:rPr>
            </w:pPr>
            <w:r>
              <w:rPr>
                <w:i w:val="0"/>
                <w:iCs w:val="0"/>
                <w:color w:val="auto"/>
                <w:spacing w:val="-2"/>
                <w:sz w:val="18"/>
              </w:rPr>
              <w:t>门急诊输液管理</w:t>
            </w:r>
          </w:p>
        </w:tc>
        <w:tc>
          <w:tcPr>
            <w:tcW w:w="456" w:type="dxa"/>
          </w:tcPr>
          <w:p w14:paraId="1ADF5DA1">
            <w:pPr>
              <w:pStyle w:val="25"/>
              <w:spacing w:line="265" w:lineRule="exact"/>
              <w:ind w:right="8"/>
              <w:jc w:val="center"/>
              <w:rPr>
                <w:i w:val="0"/>
                <w:iCs w:val="0"/>
                <w:color w:val="auto"/>
              </w:rPr>
            </w:pPr>
            <w:r>
              <w:rPr>
                <w:i w:val="0"/>
                <w:iCs w:val="0"/>
                <w:color w:val="auto"/>
              </w:rPr>
              <w:t>项</w:t>
            </w:r>
          </w:p>
        </w:tc>
        <w:tc>
          <w:tcPr>
            <w:tcW w:w="458" w:type="dxa"/>
          </w:tcPr>
          <w:p w14:paraId="3DEF6986">
            <w:pPr>
              <w:pStyle w:val="25"/>
              <w:spacing w:line="265" w:lineRule="exact"/>
              <w:ind w:right="98"/>
              <w:jc w:val="right"/>
              <w:rPr>
                <w:i w:val="0"/>
                <w:iCs w:val="0"/>
                <w:color w:val="auto"/>
              </w:rPr>
            </w:pPr>
            <w:r>
              <w:rPr>
                <w:i w:val="0"/>
                <w:iCs w:val="0"/>
                <w:color w:val="auto"/>
              </w:rPr>
              <w:t>1</w:t>
            </w:r>
          </w:p>
        </w:tc>
      </w:tr>
    </w:tbl>
    <w:p w14:paraId="15CCA44A">
      <w:pPr>
        <w:spacing w:line="265" w:lineRule="exact"/>
        <w:jc w:val="right"/>
        <w:rPr>
          <w:i w:val="0"/>
          <w:iCs w:val="0"/>
          <w:color w:val="auto"/>
        </w:rPr>
        <w:sectPr>
          <w:type w:val="continuous"/>
          <w:pgSz w:w="11910" w:h="16840"/>
          <w:pgMar w:top="1400" w:right="1440" w:bottom="2008" w:left="1580" w:header="0" w:footer="1492" w:gutter="0"/>
          <w:cols w:space="708" w:num="1"/>
        </w:sectPr>
      </w:pPr>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1623"/>
        <w:gridCol w:w="4636"/>
        <w:gridCol w:w="350"/>
        <w:gridCol w:w="458"/>
      </w:tblGrid>
      <w:tr w14:paraId="5F20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Borders>
              <w:top w:val="nil"/>
            </w:tcBorders>
          </w:tcPr>
          <w:p w14:paraId="7C63B49B">
            <w:pPr>
              <w:pStyle w:val="25"/>
              <w:rPr>
                <w:rFonts w:ascii="Times New Roman"/>
                <w:i w:val="0"/>
                <w:iCs w:val="0"/>
                <w:color w:val="auto"/>
                <w:sz w:val="18"/>
              </w:rPr>
            </w:pPr>
          </w:p>
        </w:tc>
        <w:tc>
          <w:tcPr>
            <w:tcW w:w="1001" w:type="dxa"/>
            <w:vMerge w:val="restart"/>
            <w:tcBorders>
              <w:top w:val="nil"/>
            </w:tcBorders>
          </w:tcPr>
          <w:p w14:paraId="1C8C22F0">
            <w:pPr>
              <w:pStyle w:val="25"/>
              <w:rPr>
                <w:rFonts w:ascii="Times New Roman"/>
                <w:i w:val="0"/>
                <w:iCs w:val="0"/>
                <w:color w:val="auto"/>
                <w:sz w:val="18"/>
              </w:rPr>
            </w:pPr>
          </w:p>
        </w:tc>
        <w:tc>
          <w:tcPr>
            <w:tcW w:w="1623" w:type="dxa"/>
            <w:vMerge w:val="restart"/>
            <w:tcBorders>
              <w:top w:val="nil"/>
            </w:tcBorders>
          </w:tcPr>
          <w:p w14:paraId="45E2371B">
            <w:pPr>
              <w:pStyle w:val="25"/>
              <w:spacing w:before="6"/>
              <w:rPr>
                <w:b/>
                <w:i w:val="0"/>
                <w:iCs w:val="0"/>
                <w:color w:val="auto"/>
                <w:sz w:val="13"/>
              </w:rPr>
            </w:pPr>
          </w:p>
          <w:p w14:paraId="551F0488">
            <w:pPr>
              <w:pStyle w:val="25"/>
              <w:ind w:left="270"/>
              <w:rPr>
                <w:i w:val="0"/>
                <w:iCs w:val="0"/>
                <w:color w:val="auto"/>
                <w:sz w:val="18"/>
              </w:rPr>
            </w:pPr>
            <w:r>
              <w:rPr>
                <w:i w:val="0"/>
                <w:iCs w:val="0"/>
                <w:color w:val="auto"/>
                <w:spacing w:val="-2"/>
                <w:sz w:val="18"/>
              </w:rPr>
              <w:t>手术危急重症</w:t>
            </w:r>
          </w:p>
        </w:tc>
        <w:tc>
          <w:tcPr>
            <w:tcW w:w="4636" w:type="dxa"/>
            <w:tcBorders>
              <w:top w:val="nil"/>
            </w:tcBorders>
          </w:tcPr>
          <w:p w14:paraId="1CCFBED3">
            <w:pPr>
              <w:pStyle w:val="25"/>
              <w:spacing w:before="26"/>
              <w:ind w:left="193" w:right="183"/>
              <w:jc w:val="center"/>
              <w:rPr>
                <w:i w:val="0"/>
                <w:iCs w:val="0"/>
                <w:color w:val="auto"/>
                <w:sz w:val="18"/>
              </w:rPr>
            </w:pPr>
            <w:r>
              <w:rPr>
                <w:i w:val="0"/>
                <w:iCs w:val="0"/>
                <w:color w:val="auto"/>
                <w:spacing w:val="-2"/>
                <w:sz w:val="18"/>
              </w:rPr>
              <w:t>重症监护管理系统（ICU）（10</w:t>
            </w:r>
            <w:r>
              <w:rPr>
                <w:i w:val="0"/>
                <w:iCs w:val="0"/>
                <w:color w:val="auto"/>
                <w:spacing w:val="-8"/>
                <w:sz w:val="18"/>
              </w:rPr>
              <w:t xml:space="preserve"> 床</w:t>
            </w:r>
            <w:r>
              <w:rPr>
                <w:i w:val="0"/>
                <w:iCs w:val="0"/>
                <w:color w:val="auto"/>
                <w:spacing w:val="-10"/>
                <w:sz w:val="18"/>
              </w:rPr>
              <w:t>）</w:t>
            </w:r>
          </w:p>
        </w:tc>
        <w:tc>
          <w:tcPr>
            <w:tcW w:w="350" w:type="dxa"/>
            <w:tcBorders>
              <w:top w:val="nil"/>
            </w:tcBorders>
          </w:tcPr>
          <w:p w14:paraId="501171B6">
            <w:pPr>
              <w:pStyle w:val="25"/>
              <w:spacing w:line="265" w:lineRule="exact"/>
              <w:ind w:right="8"/>
              <w:jc w:val="center"/>
              <w:rPr>
                <w:i w:val="0"/>
                <w:iCs w:val="0"/>
                <w:color w:val="auto"/>
              </w:rPr>
            </w:pPr>
            <w:r>
              <w:rPr>
                <w:i w:val="0"/>
                <w:iCs w:val="0"/>
                <w:color w:val="auto"/>
              </w:rPr>
              <w:t>项</w:t>
            </w:r>
          </w:p>
        </w:tc>
        <w:tc>
          <w:tcPr>
            <w:tcW w:w="458" w:type="dxa"/>
            <w:tcBorders>
              <w:top w:val="nil"/>
            </w:tcBorders>
          </w:tcPr>
          <w:p w14:paraId="3FEFFE11">
            <w:pPr>
              <w:pStyle w:val="25"/>
              <w:spacing w:line="265" w:lineRule="exact"/>
              <w:ind w:right="98"/>
              <w:jc w:val="right"/>
              <w:rPr>
                <w:i w:val="0"/>
                <w:iCs w:val="0"/>
                <w:color w:val="auto"/>
              </w:rPr>
            </w:pPr>
            <w:r>
              <w:rPr>
                <w:i w:val="0"/>
                <w:iCs w:val="0"/>
                <w:color w:val="auto"/>
              </w:rPr>
              <w:t>1</w:t>
            </w:r>
          </w:p>
        </w:tc>
      </w:tr>
      <w:tr w14:paraId="1E869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92E75E9">
            <w:pPr>
              <w:rPr>
                <w:i w:val="0"/>
                <w:iCs w:val="0"/>
                <w:color w:val="auto"/>
                <w:sz w:val="2"/>
                <w:szCs w:val="2"/>
              </w:rPr>
            </w:pPr>
          </w:p>
        </w:tc>
        <w:tc>
          <w:tcPr>
            <w:tcW w:w="1001" w:type="dxa"/>
            <w:vMerge w:val="continue"/>
            <w:tcBorders>
              <w:top w:val="nil"/>
            </w:tcBorders>
          </w:tcPr>
          <w:p w14:paraId="7BC39BBF">
            <w:pPr>
              <w:rPr>
                <w:i w:val="0"/>
                <w:iCs w:val="0"/>
                <w:color w:val="auto"/>
                <w:sz w:val="2"/>
                <w:szCs w:val="2"/>
              </w:rPr>
            </w:pPr>
          </w:p>
        </w:tc>
        <w:tc>
          <w:tcPr>
            <w:tcW w:w="1623" w:type="dxa"/>
            <w:vMerge w:val="continue"/>
            <w:tcBorders>
              <w:top w:val="nil"/>
            </w:tcBorders>
          </w:tcPr>
          <w:p w14:paraId="0269FB1D">
            <w:pPr>
              <w:rPr>
                <w:i w:val="0"/>
                <w:iCs w:val="0"/>
                <w:color w:val="auto"/>
                <w:sz w:val="2"/>
                <w:szCs w:val="2"/>
              </w:rPr>
            </w:pPr>
          </w:p>
        </w:tc>
        <w:tc>
          <w:tcPr>
            <w:tcW w:w="4636" w:type="dxa"/>
          </w:tcPr>
          <w:p w14:paraId="584E6B7B">
            <w:pPr>
              <w:pStyle w:val="25"/>
              <w:spacing w:before="26"/>
              <w:ind w:left="189" w:right="184"/>
              <w:jc w:val="center"/>
              <w:rPr>
                <w:i w:val="0"/>
                <w:iCs w:val="0"/>
                <w:color w:val="auto"/>
                <w:sz w:val="18"/>
              </w:rPr>
            </w:pPr>
            <w:r>
              <w:rPr>
                <w:i w:val="0"/>
                <w:iCs w:val="0"/>
                <w:color w:val="auto"/>
                <w:spacing w:val="-2"/>
                <w:sz w:val="18"/>
              </w:rPr>
              <w:t>手术麻醉管理系统（12</w:t>
            </w:r>
            <w:r>
              <w:rPr>
                <w:i w:val="0"/>
                <w:iCs w:val="0"/>
                <w:color w:val="auto"/>
                <w:spacing w:val="-5"/>
                <w:sz w:val="18"/>
              </w:rPr>
              <w:t xml:space="preserve"> 间含采集硬件</w:t>
            </w:r>
            <w:r>
              <w:rPr>
                <w:i w:val="0"/>
                <w:iCs w:val="0"/>
                <w:color w:val="auto"/>
                <w:spacing w:val="-10"/>
                <w:sz w:val="18"/>
              </w:rPr>
              <w:t>）</w:t>
            </w:r>
          </w:p>
        </w:tc>
        <w:tc>
          <w:tcPr>
            <w:tcW w:w="350" w:type="dxa"/>
          </w:tcPr>
          <w:p w14:paraId="35320002">
            <w:pPr>
              <w:pStyle w:val="25"/>
              <w:spacing w:line="266" w:lineRule="exact"/>
              <w:ind w:right="8"/>
              <w:jc w:val="center"/>
              <w:rPr>
                <w:i w:val="0"/>
                <w:iCs w:val="0"/>
                <w:color w:val="auto"/>
              </w:rPr>
            </w:pPr>
            <w:r>
              <w:rPr>
                <w:i w:val="0"/>
                <w:iCs w:val="0"/>
                <w:color w:val="auto"/>
              </w:rPr>
              <w:t>项</w:t>
            </w:r>
          </w:p>
        </w:tc>
        <w:tc>
          <w:tcPr>
            <w:tcW w:w="458" w:type="dxa"/>
          </w:tcPr>
          <w:p w14:paraId="1A34F324">
            <w:pPr>
              <w:pStyle w:val="25"/>
              <w:spacing w:line="266" w:lineRule="exact"/>
              <w:ind w:right="98"/>
              <w:jc w:val="right"/>
              <w:rPr>
                <w:i w:val="0"/>
                <w:iCs w:val="0"/>
                <w:color w:val="auto"/>
              </w:rPr>
            </w:pPr>
            <w:r>
              <w:rPr>
                <w:i w:val="0"/>
                <w:iCs w:val="0"/>
                <w:color w:val="auto"/>
              </w:rPr>
              <w:t>1</w:t>
            </w:r>
          </w:p>
        </w:tc>
      </w:tr>
      <w:tr w14:paraId="3C1FF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7D98A4A">
            <w:pPr>
              <w:rPr>
                <w:i w:val="0"/>
                <w:iCs w:val="0"/>
                <w:color w:val="auto"/>
                <w:sz w:val="2"/>
                <w:szCs w:val="2"/>
              </w:rPr>
            </w:pPr>
          </w:p>
        </w:tc>
        <w:tc>
          <w:tcPr>
            <w:tcW w:w="1001" w:type="dxa"/>
            <w:vMerge w:val="continue"/>
            <w:tcBorders>
              <w:top w:val="nil"/>
            </w:tcBorders>
          </w:tcPr>
          <w:p w14:paraId="164FFFBB">
            <w:pPr>
              <w:rPr>
                <w:i w:val="0"/>
                <w:iCs w:val="0"/>
                <w:color w:val="auto"/>
                <w:sz w:val="2"/>
                <w:szCs w:val="2"/>
              </w:rPr>
            </w:pPr>
          </w:p>
        </w:tc>
        <w:tc>
          <w:tcPr>
            <w:tcW w:w="1623" w:type="dxa"/>
            <w:vMerge w:val="restart"/>
          </w:tcPr>
          <w:p w14:paraId="3D8CB26C">
            <w:pPr>
              <w:pStyle w:val="25"/>
              <w:rPr>
                <w:b/>
                <w:i w:val="0"/>
                <w:iCs w:val="0"/>
                <w:color w:val="auto"/>
                <w:sz w:val="18"/>
              </w:rPr>
            </w:pPr>
          </w:p>
          <w:p w14:paraId="13A68344">
            <w:pPr>
              <w:pStyle w:val="25"/>
              <w:rPr>
                <w:b/>
                <w:i w:val="0"/>
                <w:iCs w:val="0"/>
                <w:color w:val="auto"/>
                <w:sz w:val="18"/>
              </w:rPr>
            </w:pPr>
          </w:p>
          <w:p w14:paraId="1FD7A1FA">
            <w:pPr>
              <w:pStyle w:val="25"/>
              <w:rPr>
                <w:b/>
                <w:i w:val="0"/>
                <w:iCs w:val="0"/>
                <w:color w:val="auto"/>
                <w:sz w:val="18"/>
              </w:rPr>
            </w:pPr>
          </w:p>
          <w:p w14:paraId="005E17B6">
            <w:pPr>
              <w:pStyle w:val="25"/>
              <w:rPr>
                <w:b/>
                <w:i w:val="0"/>
                <w:iCs w:val="0"/>
                <w:color w:val="auto"/>
                <w:sz w:val="18"/>
              </w:rPr>
            </w:pPr>
          </w:p>
          <w:p w14:paraId="356C5163">
            <w:pPr>
              <w:pStyle w:val="25"/>
              <w:rPr>
                <w:b/>
                <w:i w:val="0"/>
                <w:iCs w:val="0"/>
                <w:color w:val="auto"/>
                <w:sz w:val="18"/>
              </w:rPr>
            </w:pPr>
          </w:p>
          <w:p w14:paraId="203E4972">
            <w:pPr>
              <w:pStyle w:val="25"/>
              <w:rPr>
                <w:b/>
                <w:i w:val="0"/>
                <w:iCs w:val="0"/>
                <w:color w:val="auto"/>
                <w:sz w:val="18"/>
              </w:rPr>
            </w:pPr>
          </w:p>
          <w:p w14:paraId="09012185">
            <w:pPr>
              <w:pStyle w:val="25"/>
              <w:spacing w:before="118"/>
              <w:ind w:left="450"/>
              <w:rPr>
                <w:i w:val="0"/>
                <w:iCs w:val="0"/>
                <w:color w:val="auto"/>
                <w:sz w:val="18"/>
              </w:rPr>
            </w:pPr>
            <w:r>
              <w:rPr>
                <w:i w:val="0"/>
                <w:iCs w:val="0"/>
                <w:color w:val="auto"/>
                <w:spacing w:val="-3"/>
                <w:sz w:val="18"/>
              </w:rPr>
              <w:t>医技业务</w:t>
            </w:r>
          </w:p>
        </w:tc>
        <w:tc>
          <w:tcPr>
            <w:tcW w:w="4636" w:type="dxa"/>
          </w:tcPr>
          <w:p w14:paraId="18EB5348">
            <w:pPr>
              <w:pStyle w:val="25"/>
              <w:spacing w:before="26"/>
              <w:ind w:left="193" w:right="183"/>
              <w:jc w:val="center"/>
              <w:rPr>
                <w:i w:val="0"/>
                <w:iCs w:val="0"/>
                <w:color w:val="auto"/>
                <w:sz w:val="18"/>
              </w:rPr>
            </w:pPr>
            <w:r>
              <w:rPr>
                <w:i w:val="0"/>
                <w:iCs w:val="0"/>
                <w:color w:val="auto"/>
                <w:sz w:val="18"/>
              </w:rPr>
              <w:t>临床检验信息管理系统</w:t>
            </w:r>
            <w:r>
              <w:rPr>
                <w:i w:val="0"/>
                <w:iCs w:val="0"/>
                <w:color w:val="auto"/>
                <w:spacing w:val="-4"/>
                <w:sz w:val="18"/>
              </w:rPr>
              <w:t>（LIS）</w:t>
            </w:r>
          </w:p>
        </w:tc>
        <w:tc>
          <w:tcPr>
            <w:tcW w:w="350" w:type="dxa"/>
          </w:tcPr>
          <w:p w14:paraId="17600175">
            <w:pPr>
              <w:pStyle w:val="25"/>
              <w:spacing w:line="265" w:lineRule="exact"/>
              <w:ind w:right="8"/>
              <w:jc w:val="center"/>
              <w:rPr>
                <w:i w:val="0"/>
                <w:iCs w:val="0"/>
                <w:color w:val="auto"/>
              </w:rPr>
            </w:pPr>
            <w:r>
              <w:rPr>
                <w:i w:val="0"/>
                <w:iCs w:val="0"/>
                <w:color w:val="auto"/>
              </w:rPr>
              <w:t>项</w:t>
            </w:r>
          </w:p>
        </w:tc>
        <w:tc>
          <w:tcPr>
            <w:tcW w:w="458" w:type="dxa"/>
          </w:tcPr>
          <w:p w14:paraId="222DFED2">
            <w:pPr>
              <w:pStyle w:val="25"/>
              <w:spacing w:line="265" w:lineRule="exact"/>
              <w:ind w:right="98"/>
              <w:jc w:val="right"/>
              <w:rPr>
                <w:i w:val="0"/>
                <w:iCs w:val="0"/>
                <w:color w:val="auto"/>
              </w:rPr>
            </w:pPr>
            <w:r>
              <w:rPr>
                <w:i w:val="0"/>
                <w:iCs w:val="0"/>
                <w:color w:val="auto"/>
              </w:rPr>
              <w:t>1</w:t>
            </w:r>
          </w:p>
        </w:tc>
      </w:tr>
      <w:tr w14:paraId="67EE0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2E5EB83">
            <w:pPr>
              <w:rPr>
                <w:i w:val="0"/>
                <w:iCs w:val="0"/>
                <w:color w:val="auto"/>
                <w:sz w:val="2"/>
                <w:szCs w:val="2"/>
              </w:rPr>
            </w:pPr>
          </w:p>
        </w:tc>
        <w:tc>
          <w:tcPr>
            <w:tcW w:w="1001" w:type="dxa"/>
            <w:vMerge w:val="continue"/>
            <w:tcBorders>
              <w:top w:val="nil"/>
            </w:tcBorders>
          </w:tcPr>
          <w:p w14:paraId="5A561BE0">
            <w:pPr>
              <w:rPr>
                <w:i w:val="0"/>
                <w:iCs w:val="0"/>
                <w:color w:val="auto"/>
                <w:sz w:val="2"/>
                <w:szCs w:val="2"/>
              </w:rPr>
            </w:pPr>
          </w:p>
        </w:tc>
        <w:tc>
          <w:tcPr>
            <w:tcW w:w="1623" w:type="dxa"/>
            <w:vMerge w:val="continue"/>
            <w:tcBorders>
              <w:top w:val="nil"/>
            </w:tcBorders>
          </w:tcPr>
          <w:p w14:paraId="0C0A135C">
            <w:pPr>
              <w:rPr>
                <w:i w:val="0"/>
                <w:iCs w:val="0"/>
                <w:color w:val="auto"/>
                <w:sz w:val="2"/>
                <w:szCs w:val="2"/>
              </w:rPr>
            </w:pPr>
          </w:p>
        </w:tc>
        <w:tc>
          <w:tcPr>
            <w:tcW w:w="4636" w:type="dxa"/>
          </w:tcPr>
          <w:p w14:paraId="2930A9A7">
            <w:pPr>
              <w:pStyle w:val="25"/>
              <w:spacing w:before="26"/>
              <w:ind w:left="190" w:right="184"/>
              <w:jc w:val="center"/>
              <w:rPr>
                <w:i w:val="0"/>
                <w:iCs w:val="0"/>
                <w:color w:val="auto"/>
                <w:sz w:val="18"/>
              </w:rPr>
            </w:pPr>
            <w:r>
              <w:rPr>
                <w:i w:val="0"/>
                <w:iCs w:val="0"/>
                <w:color w:val="auto"/>
                <w:spacing w:val="-2"/>
                <w:sz w:val="18"/>
              </w:rPr>
              <w:t>合理用血系统</w:t>
            </w:r>
          </w:p>
        </w:tc>
        <w:tc>
          <w:tcPr>
            <w:tcW w:w="350" w:type="dxa"/>
          </w:tcPr>
          <w:p w14:paraId="126B426A">
            <w:pPr>
              <w:pStyle w:val="25"/>
              <w:spacing w:line="265" w:lineRule="exact"/>
              <w:ind w:right="8"/>
              <w:jc w:val="center"/>
              <w:rPr>
                <w:i w:val="0"/>
                <w:iCs w:val="0"/>
                <w:color w:val="auto"/>
              </w:rPr>
            </w:pPr>
            <w:r>
              <w:rPr>
                <w:i w:val="0"/>
                <w:iCs w:val="0"/>
                <w:color w:val="auto"/>
              </w:rPr>
              <w:t>项</w:t>
            </w:r>
          </w:p>
        </w:tc>
        <w:tc>
          <w:tcPr>
            <w:tcW w:w="458" w:type="dxa"/>
          </w:tcPr>
          <w:p w14:paraId="2858AD18">
            <w:pPr>
              <w:pStyle w:val="25"/>
              <w:spacing w:line="265" w:lineRule="exact"/>
              <w:ind w:right="98"/>
              <w:jc w:val="right"/>
              <w:rPr>
                <w:i w:val="0"/>
                <w:iCs w:val="0"/>
                <w:color w:val="auto"/>
              </w:rPr>
            </w:pPr>
            <w:r>
              <w:rPr>
                <w:i w:val="0"/>
                <w:iCs w:val="0"/>
                <w:color w:val="auto"/>
              </w:rPr>
              <w:t>1</w:t>
            </w:r>
          </w:p>
        </w:tc>
      </w:tr>
      <w:tr w14:paraId="1D2C8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E867778">
            <w:pPr>
              <w:rPr>
                <w:i w:val="0"/>
                <w:iCs w:val="0"/>
                <w:color w:val="auto"/>
                <w:sz w:val="2"/>
                <w:szCs w:val="2"/>
              </w:rPr>
            </w:pPr>
          </w:p>
        </w:tc>
        <w:tc>
          <w:tcPr>
            <w:tcW w:w="1001" w:type="dxa"/>
            <w:vMerge w:val="continue"/>
            <w:tcBorders>
              <w:top w:val="nil"/>
            </w:tcBorders>
          </w:tcPr>
          <w:p w14:paraId="773C7FEC">
            <w:pPr>
              <w:rPr>
                <w:i w:val="0"/>
                <w:iCs w:val="0"/>
                <w:color w:val="auto"/>
                <w:sz w:val="2"/>
                <w:szCs w:val="2"/>
              </w:rPr>
            </w:pPr>
          </w:p>
        </w:tc>
        <w:tc>
          <w:tcPr>
            <w:tcW w:w="1623" w:type="dxa"/>
            <w:vMerge w:val="continue"/>
            <w:tcBorders>
              <w:top w:val="nil"/>
            </w:tcBorders>
          </w:tcPr>
          <w:p w14:paraId="2DB0D14D">
            <w:pPr>
              <w:rPr>
                <w:i w:val="0"/>
                <w:iCs w:val="0"/>
                <w:color w:val="auto"/>
                <w:sz w:val="2"/>
                <w:szCs w:val="2"/>
              </w:rPr>
            </w:pPr>
          </w:p>
        </w:tc>
        <w:tc>
          <w:tcPr>
            <w:tcW w:w="4636" w:type="dxa"/>
          </w:tcPr>
          <w:p w14:paraId="7E4971F4">
            <w:pPr>
              <w:pStyle w:val="25"/>
              <w:spacing w:before="26"/>
              <w:ind w:left="191" w:right="184"/>
              <w:jc w:val="center"/>
              <w:rPr>
                <w:i w:val="0"/>
                <w:iCs w:val="0"/>
                <w:color w:val="auto"/>
                <w:sz w:val="18"/>
              </w:rPr>
            </w:pPr>
            <w:r>
              <w:rPr>
                <w:i w:val="0"/>
                <w:iCs w:val="0"/>
                <w:color w:val="auto"/>
                <w:spacing w:val="-2"/>
                <w:sz w:val="18"/>
              </w:rPr>
              <w:t>实验室质量管理系统</w:t>
            </w:r>
          </w:p>
        </w:tc>
        <w:tc>
          <w:tcPr>
            <w:tcW w:w="350" w:type="dxa"/>
          </w:tcPr>
          <w:p w14:paraId="49DBC995">
            <w:pPr>
              <w:pStyle w:val="25"/>
              <w:spacing w:line="265" w:lineRule="exact"/>
              <w:ind w:right="8"/>
              <w:jc w:val="center"/>
              <w:rPr>
                <w:i w:val="0"/>
                <w:iCs w:val="0"/>
                <w:color w:val="auto"/>
              </w:rPr>
            </w:pPr>
            <w:r>
              <w:rPr>
                <w:i w:val="0"/>
                <w:iCs w:val="0"/>
                <w:color w:val="auto"/>
              </w:rPr>
              <w:t>项</w:t>
            </w:r>
          </w:p>
        </w:tc>
        <w:tc>
          <w:tcPr>
            <w:tcW w:w="458" w:type="dxa"/>
          </w:tcPr>
          <w:p w14:paraId="1F4F196E">
            <w:pPr>
              <w:pStyle w:val="25"/>
              <w:spacing w:line="265" w:lineRule="exact"/>
              <w:ind w:right="98"/>
              <w:jc w:val="right"/>
              <w:rPr>
                <w:i w:val="0"/>
                <w:iCs w:val="0"/>
                <w:color w:val="auto"/>
              </w:rPr>
            </w:pPr>
            <w:r>
              <w:rPr>
                <w:i w:val="0"/>
                <w:iCs w:val="0"/>
                <w:color w:val="auto"/>
              </w:rPr>
              <w:t>1</w:t>
            </w:r>
          </w:p>
        </w:tc>
      </w:tr>
      <w:tr w14:paraId="461AB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45B9D76">
            <w:pPr>
              <w:rPr>
                <w:i w:val="0"/>
                <w:iCs w:val="0"/>
                <w:color w:val="auto"/>
                <w:sz w:val="2"/>
                <w:szCs w:val="2"/>
              </w:rPr>
            </w:pPr>
          </w:p>
        </w:tc>
        <w:tc>
          <w:tcPr>
            <w:tcW w:w="1001" w:type="dxa"/>
            <w:vMerge w:val="continue"/>
            <w:tcBorders>
              <w:top w:val="nil"/>
            </w:tcBorders>
          </w:tcPr>
          <w:p w14:paraId="6EA2EF11">
            <w:pPr>
              <w:rPr>
                <w:i w:val="0"/>
                <w:iCs w:val="0"/>
                <w:color w:val="auto"/>
                <w:sz w:val="2"/>
                <w:szCs w:val="2"/>
              </w:rPr>
            </w:pPr>
          </w:p>
        </w:tc>
        <w:tc>
          <w:tcPr>
            <w:tcW w:w="1623" w:type="dxa"/>
            <w:vMerge w:val="continue"/>
            <w:tcBorders>
              <w:top w:val="nil"/>
            </w:tcBorders>
          </w:tcPr>
          <w:p w14:paraId="11CE4187">
            <w:pPr>
              <w:rPr>
                <w:i w:val="0"/>
                <w:iCs w:val="0"/>
                <w:color w:val="auto"/>
                <w:sz w:val="2"/>
                <w:szCs w:val="2"/>
              </w:rPr>
            </w:pPr>
          </w:p>
        </w:tc>
        <w:tc>
          <w:tcPr>
            <w:tcW w:w="4636" w:type="dxa"/>
          </w:tcPr>
          <w:p w14:paraId="6350914F">
            <w:pPr>
              <w:pStyle w:val="25"/>
              <w:spacing w:before="26"/>
              <w:ind w:left="189" w:right="184"/>
              <w:jc w:val="center"/>
              <w:rPr>
                <w:i w:val="0"/>
                <w:iCs w:val="0"/>
                <w:color w:val="auto"/>
                <w:sz w:val="18"/>
              </w:rPr>
            </w:pPr>
            <w:r>
              <w:rPr>
                <w:i w:val="0"/>
                <w:iCs w:val="0"/>
                <w:color w:val="auto"/>
                <w:sz w:val="18"/>
              </w:rPr>
              <w:t>医学影像信息管理系统</w:t>
            </w:r>
            <w:r>
              <w:rPr>
                <w:i w:val="0"/>
                <w:iCs w:val="0"/>
                <w:color w:val="auto"/>
                <w:spacing w:val="-2"/>
                <w:sz w:val="18"/>
              </w:rPr>
              <w:t>（PACS）</w:t>
            </w:r>
          </w:p>
        </w:tc>
        <w:tc>
          <w:tcPr>
            <w:tcW w:w="350" w:type="dxa"/>
          </w:tcPr>
          <w:p w14:paraId="0EDBBEF3">
            <w:pPr>
              <w:pStyle w:val="25"/>
              <w:spacing w:line="265" w:lineRule="exact"/>
              <w:ind w:right="8"/>
              <w:jc w:val="center"/>
              <w:rPr>
                <w:i w:val="0"/>
                <w:iCs w:val="0"/>
                <w:color w:val="auto"/>
              </w:rPr>
            </w:pPr>
            <w:r>
              <w:rPr>
                <w:i w:val="0"/>
                <w:iCs w:val="0"/>
                <w:color w:val="auto"/>
              </w:rPr>
              <w:t>项</w:t>
            </w:r>
          </w:p>
        </w:tc>
        <w:tc>
          <w:tcPr>
            <w:tcW w:w="458" w:type="dxa"/>
          </w:tcPr>
          <w:p w14:paraId="5EE8B255">
            <w:pPr>
              <w:pStyle w:val="25"/>
              <w:spacing w:line="265" w:lineRule="exact"/>
              <w:ind w:right="98"/>
              <w:jc w:val="right"/>
              <w:rPr>
                <w:i w:val="0"/>
                <w:iCs w:val="0"/>
                <w:color w:val="auto"/>
              </w:rPr>
            </w:pPr>
            <w:r>
              <w:rPr>
                <w:i w:val="0"/>
                <w:iCs w:val="0"/>
                <w:color w:val="auto"/>
              </w:rPr>
              <w:t>1</w:t>
            </w:r>
          </w:p>
        </w:tc>
      </w:tr>
      <w:tr w14:paraId="71D8C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B761106">
            <w:pPr>
              <w:rPr>
                <w:i w:val="0"/>
                <w:iCs w:val="0"/>
                <w:color w:val="auto"/>
                <w:sz w:val="2"/>
                <w:szCs w:val="2"/>
              </w:rPr>
            </w:pPr>
          </w:p>
        </w:tc>
        <w:tc>
          <w:tcPr>
            <w:tcW w:w="1001" w:type="dxa"/>
            <w:vMerge w:val="continue"/>
            <w:tcBorders>
              <w:top w:val="nil"/>
            </w:tcBorders>
          </w:tcPr>
          <w:p w14:paraId="29E26135">
            <w:pPr>
              <w:rPr>
                <w:i w:val="0"/>
                <w:iCs w:val="0"/>
                <w:color w:val="auto"/>
                <w:sz w:val="2"/>
                <w:szCs w:val="2"/>
              </w:rPr>
            </w:pPr>
          </w:p>
        </w:tc>
        <w:tc>
          <w:tcPr>
            <w:tcW w:w="1623" w:type="dxa"/>
            <w:vMerge w:val="continue"/>
            <w:tcBorders>
              <w:top w:val="nil"/>
            </w:tcBorders>
          </w:tcPr>
          <w:p w14:paraId="2C6BD106">
            <w:pPr>
              <w:rPr>
                <w:i w:val="0"/>
                <w:iCs w:val="0"/>
                <w:color w:val="auto"/>
                <w:sz w:val="2"/>
                <w:szCs w:val="2"/>
              </w:rPr>
            </w:pPr>
          </w:p>
        </w:tc>
        <w:tc>
          <w:tcPr>
            <w:tcW w:w="4636" w:type="dxa"/>
          </w:tcPr>
          <w:p w14:paraId="2512444A">
            <w:pPr>
              <w:pStyle w:val="25"/>
              <w:spacing w:before="26"/>
              <w:ind w:left="192" w:right="184"/>
              <w:jc w:val="center"/>
              <w:rPr>
                <w:i w:val="0"/>
                <w:iCs w:val="0"/>
                <w:color w:val="auto"/>
                <w:sz w:val="18"/>
              </w:rPr>
            </w:pPr>
            <w:r>
              <w:rPr>
                <w:i w:val="0"/>
                <w:iCs w:val="0"/>
                <w:color w:val="auto"/>
                <w:sz w:val="18"/>
              </w:rPr>
              <w:t>AI</w:t>
            </w:r>
            <w:r>
              <w:rPr>
                <w:i w:val="0"/>
                <w:iCs w:val="0"/>
                <w:color w:val="auto"/>
                <w:spacing w:val="-10"/>
                <w:sz w:val="18"/>
              </w:rPr>
              <w:t xml:space="preserve"> 影像辅助软件</w:t>
            </w:r>
          </w:p>
        </w:tc>
        <w:tc>
          <w:tcPr>
            <w:tcW w:w="350" w:type="dxa"/>
          </w:tcPr>
          <w:p w14:paraId="26882113">
            <w:pPr>
              <w:pStyle w:val="25"/>
              <w:spacing w:line="265" w:lineRule="exact"/>
              <w:ind w:right="8"/>
              <w:jc w:val="center"/>
              <w:rPr>
                <w:i w:val="0"/>
                <w:iCs w:val="0"/>
                <w:color w:val="auto"/>
              </w:rPr>
            </w:pPr>
            <w:r>
              <w:rPr>
                <w:i w:val="0"/>
                <w:iCs w:val="0"/>
                <w:color w:val="auto"/>
              </w:rPr>
              <w:t>项</w:t>
            </w:r>
          </w:p>
        </w:tc>
        <w:tc>
          <w:tcPr>
            <w:tcW w:w="458" w:type="dxa"/>
          </w:tcPr>
          <w:p w14:paraId="3B500EC2">
            <w:pPr>
              <w:pStyle w:val="25"/>
              <w:spacing w:line="265" w:lineRule="exact"/>
              <w:ind w:right="98"/>
              <w:jc w:val="right"/>
              <w:rPr>
                <w:i w:val="0"/>
                <w:iCs w:val="0"/>
                <w:color w:val="auto"/>
              </w:rPr>
            </w:pPr>
            <w:r>
              <w:rPr>
                <w:i w:val="0"/>
                <w:iCs w:val="0"/>
                <w:color w:val="auto"/>
              </w:rPr>
              <w:t>1</w:t>
            </w:r>
          </w:p>
        </w:tc>
      </w:tr>
      <w:tr w14:paraId="14E71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4EF92C5">
            <w:pPr>
              <w:rPr>
                <w:i w:val="0"/>
                <w:iCs w:val="0"/>
                <w:color w:val="auto"/>
                <w:sz w:val="2"/>
                <w:szCs w:val="2"/>
              </w:rPr>
            </w:pPr>
          </w:p>
        </w:tc>
        <w:tc>
          <w:tcPr>
            <w:tcW w:w="1001" w:type="dxa"/>
            <w:vMerge w:val="continue"/>
            <w:tcBorders>
              <w:top w:val="nil"/>
            </w:tcBorders>
          </w:tcPr>
          <w:p w14:paraId="18C54DE4">
            <w:pPr>
              <w:rPr>
                <w:i w:val="0"/>
                <w:iCs w:val="0"/>
                <w:color w:val="auto"/>
                <w:sz w:val="2"/>
                <w:szCs w:val="2"/>
              </w:rPr>
            </w:pPr>
          </w:p>
        </w:tc>
        <w:tc>
          <w:tcPr>
            <w:tcW w:w="1623" w:type="dxa"/>
            <w:vMerge w:val="continue"/>
            <w:tcBorders>
              <w:top w:val="nil"/>
            </w:tcBorders>
          </w:tcPr>
          <w:p w14:paraId="12443121">
            <w:pPr>
              <w:rPr>
                <w:i w:val="0"/>
                <w:iCs w:val="0"/>
                <w:color w:val="auto"/>
                <w:sz w:val="2"/>
                <w:szCs w:val="2"/>
              </w:rPr>
            </w:pPr>
          </w:p>
        </w:tc>
        <w:tc>
          <w:tcPr>
            <w:tcW w:w="4636" w:type="dxa"/>
          </w:tcPr>
          <w:p w14:paraId="411A2E5C">
            <w:pPr>
              <w:pStyle w:val="25"/>
              <w:spacing w:before="26"/>
              <w:ind w:left="189" w:right="184"/>
              <w:jc w:val="center"/>
              <w:rPr>
                <w:i w:val="0"/>
                <w:iCs w:val="0"/>
                <w:color w:val="auto"/>
                <w:sz w:val="18"/>
              </w:rPr>
            </w:pPr>
            <w:r>
              <w:rPr>
                <w:i w:val="0"/>
                <w:iCs w:val="0"/>
                <w:color w:val="auto"/>
                <w:spacing w:val="-2"/>
                <w:sz w:val="18"/>
              </w:rPr>
              <w:t>病理信息管理系统</w:t>
            </w:r>
          </w:p>
        </w:tc>
        <w:tc>
          <w:tcPr>
            <w:tcW w:w="350" w:type="dxa"/>
          </w:tcPr>
          <w:p w14:paraId="6D3EEB50">
            <w:pPr>
              <w:pStyle w:val="25"/>
              <w:spacing w:line="265" w:lineRule="exact"/>
              <w:ind w:right="8"/>
              <w:jc w:val="center"/>
              <w:rPr>
                <w:i w:val="0"/>
                <w:iCs w:val="0"/>
                <w:color w:val="auto"/>
              </w:rPr>
            </w:pPr>
            <w:r>
              <w:rPr>
                <w:i w:val="0"/>
                <w:iCs w:val="0"/>
                <w:color w:val="auto"/>
              </w:rPr>
              <w:t>项</w:t>
            </w:r>
          </w:p>
        </w:tc>
        <w:tc>
          <w:tcPr>
            <w:tcW w:w="458" w:type="dxa"/>
          </w:tcPr>
          <w:p w14:paraId="668CC700">
            <w:pPr>
              <w:pStyle w:val="25"/>
              <w:spacing w:line="265" w:lineRule="exact"/>
              <w:ind w:right="98"/>
              <w:jc w:val="right"/>
              <w:rPr>
                <w:i w:val="0"/>
                <w:iCs w:val="0"/>
                <w:color w:val="auto"/>
              </w:rPr>
            </w:pPr>
            <w:r>
              <w:rPr>
                <w:i w:val="0"/>
                <w:iCs w:val="0"/>
                <w:color w:val="auto"/>
              </w:rPr>
              <w:t>1</w:t>
            </w:r>
          </w:p>
        </w:tc>
      </w:tr>
      <w:tr w14:paraId="781CC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3D4688E">
            <w:pPr>
              <w:rPr>
                <w:i w:val="0"/>
                <w:iCs w:val="0"/>
                <w:color w:val="auto"/>
                <w:sz w:val="2"/>
                <w:szCs w:val="2"/>
              </w:rPr>
            </w:pPr>
          </w:p>
        </w:tc>
        <w:tc>
          <w:tcPr>
            <w:tcW w:w="1001" w:type="dxa"/>
            <w:vMerge w:val="continue"/>
            <w:tcBorders>
              <w:top w:val="nil"/>
            </w:tcBorders>
          </w:tcPr>
          <w:p w14:paraId="56287736">
            <w:pPr>
              <w:rPr>
                <w:i w:val="0"/>
                <w:iCs w:val="0"/>
                <w:color w:val="auto"/>
                <w:sz w:val="2"/>
                <w:szCs w:val="2"/>
              </w:rPr>
            </w:pPr>
          </w:p>
        </w:tc>
        <w:tc>
          <w:tcPr>
            <w:tcW w:w="1623" w:type="dxa"/>
            <w:vMerge w:val="continue"/>
            <w:tcBorders>
              <w:top w:val="nil"/>
            </w:tcBorders>
          </w:tcPr>
          <w:p w14:paraId="3A553BE2">
            <w:pPr>
              <w:rPr>
                <w:i w:val="0"/>
                <w:iCs w:val="0"/>
                <w:color w:val="auto"/>
                <w:sz w:val="2"/>
                <w:szCs w:val="2"/>
              </w:rPr>
            </w:pPr>
          </w:p>
        </w:tc>
        <w:tc>
          <w:tcPr>
            <w:tcW w:w="4636" w:type="dxa"/>
          </w:tcPr>
          <w:p w14:paraId="516C8E71">
            <w:pPr>
              <w:pStyle w:val="25"/>
              <w:spacing w:before="26"/>
              <w:ind w:left="191" w:right="184"/>
              <w:jc w:val="center"/>
              <w:rPr>
                <w:i w:val="0"/>
                <w:iCs w:val="0"/>
                <w:color w:val="auto"/>
                <w:sz w:val="18"/>
              </w:rPr>
            </w:pPr>
            <w:r>
              <w:rPr>
                <w:i w:val="0"/>
                <w:iCs w:val="0"/>
                <w:color w:val="auto"/>
                <w:spacing w:val="-2"/>
                <w:sz w:val="18"/>
              </w:rPr>
              <w:t>电生理信息管理系统</w:t>
            </w:r>
          </w:p>
        </w:tc>
        <w:tc>
          <w:tcPr>
            <w:tcW w:w="350" w:type="dxa"/>
          </w:tcPr>
          <w:p w14:paraId="4E2F8596">
            <w:pPr>
              <w:pStyle w:val="25"/>
              <w:spacing w:line="265" w:lineRule="exact"/>
              <w:ind w:right="8"/>
              <w:jc w:val="center"/>
              <w:rPr>
                <w:i w:val="0"/>
                <w:iCs w:val="0"/>
                <w:color w:val="auto"/>
              </w:rPr>
            </w:pPr>
            <w:r>
              <w:rPr>
                <w:i w:val="0"/>
                <w:iCs w:val="0"/>
                <w:color w:val="auto"/>
              </w:rPr>
              <w:t>项</w:t>
            </w:r>
          </w:p>
        </w:tc>
        <w:tc>
          <w:tcPr>
            <w:tcW w:w="458" w:type="dxa"/>
          </w:tcPr>
          <w:p w14:paraId="7C8265D3">
            <w:pPr>
              <w:pStyle w:val="25"/>
              <w:spacing w:line="265" w:lineRule="exact"/>
              <w:ind w:right="98"/>
              <w:jc w:val="right"/>
              <w:rPr>
                <w:i w:val="0"/>
                <w:iCs w:val="0"/>
                <w:color w:val="auto"/>
              </w:rPr>
            </w:pPr>
            <w:r>
              <w:rPr>
                <w:i w:val="0"/>
                <w:iCs w:val="0"/>
                <w:color w:val="auto"/>
              </w:rPr>
              <w:t>1</w:t>
            </w:r>
          </w:p>
        </w:tc>
      </w:tr>
      <w:tr w14:paraId="1542D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2CF2AFD">
            <w:pPr>
              <w:rPr>
                <w:i w:val="0"/>
                <w:iCs w:val="0"/>
                <w:color w:val="auto"/>
                <w:sz w:val="2"/>
                <w:szCs w:val="2"/>
              </w:rPr>
            </w:pPr>
          </w:p>
        </w:tc>
        <w:tc>
          <w:tcPr>
            <w:tcW w:w="1001" w:type="dxa"/>
            <w:vMerge w:val="continue"/>
            <w:tcBorders>
              <w:top w:val="nil"/>
            </w:tcBorders>
          </w:tcPr>
          <w:p w14:paraId="2BFC9C20">
            <w:pPr>
              <w:rPr>
                <w:i w:val="0"/>
                <w:iCs w:val="0"/>
                <w:color w:val="auto"/>
                <w:sz w:val="2"/>
                <w:szCs w:val="2"/>
              </w:rPr>
            </w:pPr>
          </w:p>
        </w:tc>
        <w:tc>
          <w:tcPr>
            <w:tcW w:w="1623" w:type="dxa"/>
            <w:vMerge w:val="continue"/>
            <w:tcBorders>
              <w:top w:val="nil"/>
            </w:tcBorders>
          </w:tcPr>
          <w:p w14:paraId="13FD66F5">
            <w:pPr>
              <w:rPr>
                <w:i w:val="0"/>
                <w:iCs w:val="0"/>
                <w:color w:val="auto"/>
                <w:sz w:val="2"/>
                <w:szCs w:val="2"/>
              </w:rPr>
            </w:pPr>
          </w:p>
        </w:tc>
        <w:tc>
          <w:tcPr>
            <w:tcW w:w="4636" w:type="dxa"/>
          </w:tcPr>
          <w:p w14:paraId="3C72DA26">
            <w:pPr>
              <w:pStyle w:val="25"/>
              <w:spacing w:before="26"/>
              <w:ind w:left="192" w:right="184"/>
              <w:jc w:val="center"/>
              <w:rPr>
                <w:i w:val="0"/>
                <w:iCs w:val="0"/>
                <w:color w:val="auto"/>
                <w:sz w:val="18"/>
              </w:rPr>
            </w:pPr>
            <w:r>
              <w:rPr>
                <w:i w:val="0"/>
                <w:iCs w:val="0"/>
                <w:color w:val="auto"/>
                <w:sz w:val="18"/>
              </w:rPr>
              <w:t>血液透析管理（</w:t>
            </w:r>
            <w:r>
              <w:rPr>
                <w:rFonts w:hint="eastAsia"/>
                <w:i w:val="0"/>
                <w:iCs w:val="0"/>
                <w:color w:val="auto"/>
                <w:sz w:val="18"/>
              </w:rPr>
              <w:t>含35套床位配套设施</w:t>
            </w:r>
            <w:r>
              <w:rPr>
                <w:i w:val="0"/>
                <w:iCs w:val="0"/>
                <w:color w:val="auto"/>
                <w:spacing w:val="-10"/>
                <w:sz w:val="18"/>
              </w:rPr>
              <w:t>）</w:t>
            </w:r>
          </w:p>
        </w:tc>
        <w:tc>
          <w:tcPr>
            <w:tcW w:w="350" w:type="dxa"/>
          </w:tcPr>
          <w:p w14:paraId="31310EBD">
            <w:pPr>
              <w:pStyle w:val="25"/>
              <w:spacing w:line="265" w:lineRule="exact"/>
              <w:ind w:right="8"/>
              <w:jc w:val="center"/>
              <w:rPr>
                <w:i w:val="0"/>
                <w:iCs w:val="0"/>
                <w:color w:val="auto"/>
              </w:rPr>
            </w:pPr>
            <w:r>
              <w:rPr>
                <w:i w:val="0"/>
                <w:iCs w:val="0"/>
                <w:color w:val="auto"/>
              </w:rPr>
              <w:t>项</w:t>
            </w:r>
          </w:p>
        </w:tc>
        <w:tc>
          <w:tcPr>
            <w:tcW w:w="458" w:type="dxa"/>
          </w:tcPr>
          <w:p w14:paraId="02676041">
            <w:pPr>
              <w:pStyle w:val="25"/>
              <w:spacing w:line="265" w:lineRule="exact"/>
              <w:ind w:right="98"/>
              <w:jc w:val="right"/>
              <w:rPr>
                <w:i w:val="0"/>
                <w:iCs w:val="0"/>
                <w:color w:val="auto"/>
              </w:rPr>
            </w:pPr>
            <w:r>
              <w:rPr>
                <w:i w:val="0"/>
                <w:iCs w:val="0"/>
                <w:color w:val="auto"/>
              </w:rPr>
              <w:t>1</w:t>
            </w:r>
          </w:p>
        </w:tc>
      </w:tr>
      <w:tr w14:paraId="722AC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CEF9496">
            <w:pPr>
              <w:rPr>
                <w:i w:val="0"/>
                <w:iCs w:val="0"/>
                <w:color w:val="auto"/>
                <w:sz w:val="2"/>
                <w:szCs w:val="2"/>
              </w:rPr>
            </w:pPr>
          </w:p>
        </w:tc>
        <w:tc>
          <w:tcPr>
            <w:tcW w:w="1001" w:type="dxa"/>
            <w:vMerge w:val="continue"/>
            <w:tcBorders>
              <w:top w:val="nil"/>
            </w:tcBorders>
          </w:tcPr>
          <w:p w14:paraId="11E68311">
            <w:pPr>
              <w:rPr>
                <w:i w:val="0"/>
                <w:iCs w:val="0"/>
                <w:color w:val="auto"/>
                <w:sz w:val="2"/>
                <w:szCs w:val="2"/>
              </w:rPr>
            </w:pPr>
          </w:p>
        </w:tc>
        <w:tc>
          <w:tcPr>
            <w:tcW w:w="1623" w:type="dxa"/>
            <w:vMerge w:val="continue"/>
            <w:tcBorders>
              <w:top w:val="nil"/>
            </w:tcBorders>
          </w:tcPr>
          <w:p w14:paraId="58283CA3">
            <w:pPr>
              <w:rPr>
                <w:i w:val="0"/>
                <w:iCs w:val="0"/>
                <w:color w:val="auto"/>
                <w:sz w:val="2"/>
                <w:szCs w:val="2"/>
              </w:rPr>
            </w:pPr>
          </w:p>
        </w:tc>
        <w:tc>
          <w:tcPr>
            <w:tcW w:w="4636" w:type="dxa"/>
          </w:tcPr>
          <w:p w14:paraId="16FEDF24">
            <w:pPr>
              <w:pStyle w:val="25"/>
              <w:spacing w:before="26"/>
              <w:ind w:left="190" w:right="184"/>
              <w:jc w:val="center"/>
              <w:rPr>
                <w:i w:val="0"/>
                <w:iCs w:val="0"/>
                <w:color w:val="auto"/>
                <w:sz w:val="18"/>
              </w:rPr>
            </w:pPr>
            <w:r>
              <w:rPr>
                <w:i w:val="0"/>
                <w:iCs w:val="0"/>
                <w:color w:val="auto"/>
                <w:spacing w:val="-2"/>
                <w:sz w:val="18"/>
              </w:rPr>
              <w:t>治疗信息管理</w:t>
            </w:r>
          </w:p>
        </w:tc>
        <w:tc>
          <w:tcPr>
            <w:tcW w:w="350" w:type="dxa"/>
          </w:tcPr>
          <w:p w14:paraId="1B845B1D">
            <w:pPr>
              <w:pStyle w:val="25"/>
              <w:spacing w:line="265" w:lineRule="exact"/>
              <w:ind w:right="8"/>
              <w:jc w:val="center"/>
              <w:rPr>
                <w:i w:val="0"/>
                <w:iCs w:val="0"/>
                <w:color w:val="auto"/>
              </w:rPr>
            </w:pPr>
            <w:r>
              <w:rPr>
                <w:i w:val="0"/>
                <w:iCs w:val="0"/>
                <w:color w:val="auto"/>
              </w:rPr>
              <w:t>项</w:t>
            </w:r>
          </w:p>
        </w:tc>
        <w:tc>
          <w:tcPr>
            <w:tcW w:w="458" w:type="dxa"/>
          </w:tcPr>
          <w:p w14:paraId="4E0C8FFC">
            <w:pPr>
              <w:pStyle w:val="25"/>
              <w:spacing w:line="265" w:lineRule="exact"/>
              <w:ind w:right="98"/>
              <w:jc w:val="right"/>
              <w:rPr>
                <w:i w:val="0"/>
                <w:iCs w:val="0"/>
                <w:color w:val="auto"/>
              </w:rPr>
            </w:pPr>
            <w:r>
              <w:rPr>
                <w:i w:val="0"/>
                <w:iCs w:val="0"/>
                <w:color w:val="auto"/>
              </w:rPr>
              <w:t>1</w:t>
            </w:r>
          </w:p>
        </w:tc>
      </w:tr>
      <w:tr w14:paraId="1FF04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3F6476C">
            <w:pPr>
              <w:rPr>
                <w:i w:val="0"/>
                <w:iCs w:val="0"/>
                <w:color w:val="auto"/>
                <w:sz w:val="2"/>
                <w:szCs w:val="2"/>
              </w:rPr>
            </w:pPr>
          </w:p>
        </w:tc>
        <w:tc>
          <w:tcPr>
            <w:tcW w:w="1001" w:type="dxa"/>
            <w:vMerge w:val="continue"/>
            <w:tcBorders>
              <w:top w:val="nil"/>
            </w:tcBorders>
          </w:tcPr>
          <w:p w14:paraId="59D3C595">
            <w:pPr>
              <w:rPr>
                <w:i w:val="0"/>
                <w:iCs w:val="0"/>
                <w:color w:val="auto"/>
                <w:sz w:val="2"/>
                <w:szCs w:val="2"/>
              </w:rPr>
            </w:pPr>
          </w:p>
        </w:tc>
        <w:tc>
          <w:tcPr>
            <w:tcW w:w="1623" w:type="dxa"/>
            <w:vMerge w:val="continue"/>
            <w:tcBorders>
              <w:top w:val="nil"/>
            </w:tcBorders>
          </w:tcPr>
          <w:p w14:paraId="6967EB35">
            <w:pPr>
              <w:rPr>
                <w:i w:val="0"/>
                <w:iCs w:val="0"/>
                <w:color w:val="auto"/>
                <w:sz w:val="2"/>
                <w:szCs w:val="2"/>
              </w:rPr>
            </w:pPr>
          </w:p>
        </w:tc>
        <w:tc>
          <w:tcPr>
            <w:tcW w:w="4636" w:type="dxa"/>
          </w:tcPr>
          <w:p w14:paraId="64CE0E54">
            <w:pPr>
              <w:pStyle w:val="25"/>
              <w:spacing w:before="26"/>
              <w:ind w:left="190" w:right="184"/>
              <w:jc w:val="center"/>
              <w:rPr>
                <w:i w:val="0"/>
                <w:iCs w:val="0"/>
                <w:color w:val="auto"/>
                <w:sz w:val="18"/>
              </w:rPr>
            </w:pPr>
            <w:r>
              <w:rPr>
                <w:i w:val="0"/>
                <w:iCs w:val="0"/>
                <w:color w:val="auto"/>
                <w:spacing w:val="-2"/>
                <w:sz w:val="18"/>
              </w:rPr>
              <w:t>中医特色系统</w:t>
            </w:r>
          </w:p>
        </w:tc>
        <w:tc>
          <w:tcPr>
            <w:tcW w:w="350" w:type="dxa"/>
          </w:tcPr>
          <w:p w14:paraId="64567D5F">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5BFA0C9">
            <w:pPr>
              <w:pStyle w:val="25"/>
              <w:spacing w:line="265" w:lineRule="exact"/>
              <w:ind w:right="98"/>
              <w:jc w:val="right"/>
              <w:rPr>
                <w:i w:val="0"/>
                <w:iCs w:val="0"/>
                <w:color w:val="auto"/>
                <w:sz w:val="18"/>
                <w:szCs w:val="18"/>
              </w:rPr>
            </w:pPr>
            <w:r>
              <w:rPr>
                <w:i w:val="0"/>
                <w:iCs w:val="0"/>
                <w:color w:val="auto"/>
                <w:sz w:val="18"/>
                <w:szCs w:val="18"/>
              </w:rPr>
              <w:t>1</w:t>
            </w:r>
          </w:p>
        </w:tc>
      </w:tr>
      <w:tr w14:paraId="4ADC2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31190F8">
            <w:pPr>
              <w:rPr>
                <w:i w:val="0"/>
                <w:iCs w:val="0"/>
                <w:color w:val="auto"/>
                <w:sz w:val="2"/>
                <w:szCs w:val="2"/>
              </w:rPr>
            </w:pPr>
          </w:p>
        </w:tc>
        <w:tc>
          <w:tcPr>
            <w:tcW w:w="1001" w:type="dxa"/>
            <w:vMerge w:val="continue"/>
            <w:tcBorders>
              <w:top w:val="nil"/>
            </w:tcBorders>
          </w:tcPr>
          <w:p w14:paraId="7829B5E3">
            <w:pPr>
              <w:rPr>
                <w:i w:val="0"/>
                <w:iCs w:val="0"/>
                <w:color w:val="auto"/>
                <w:sz w:val="2"/>
                <w:szCs w:val="2"/>
              </w:rPr>
            </w:pPr>
          </w:p>
        </w:tc>
        <w:tc>
          <w:tcPr>
            <w:tcW w:w="1623" w:type="dxa"/>
            <w:vMerge w:val="continue"/>
            <w:tcBorders>
              <w:top w:val="nil"/>
            </w:tcBorders>
          </w:tcPr>
          <w:p w14:paraId="54C3A732">
            <w:pPr>
              <w:rPr>
                <w:i w:val="0"/>
                <w:iCs w:val="0"/>
                <w:color w:val="auto"/>
                <w:sz w:val="2"/>
                <w:szCs w:val="2"/>
              </w:rPr>
            </w:pPr>
          </w:p>
        </w:tc>
        <w:tc>
          <w:tcPr>
            <w:tcW w:w="4636" w:type="dxa"/>
          </w:tcPr>
          <w:p w14:paraId="63F57C66">
            <w:pPr>
              <w:pStyle w:val="25"/>
              <w:spacing w:before="26"/>
              <w:ind w:left="190" w:right="184"/>
              <w:jc w:val="center"/>
              <w:rPr>
                <w:i w:val="0"/>
                <w:iCs w:val="0"/>
                <w:color w:val="auto"/>
                <w:sz w:val="18"/>
              </w:rPr>
            </w:pPr>
            <w:r>
              <w:rPr>
                <w:i w:val="0"/>
                <w:iCs w:val="0"/>
                <w:color w:val="auto"/>
                <w:spacing w:val="-3"/>
                <w:sz w:val="18"/>
              </w:rPr>
              <w:t>体检系统</w:t>
            </w:r>
          </w:p>
        </w:tc>
        <w:tc>
          <w:tcPr>
            <w:tcW w:w="350" w:type="dxa"/>
          </w:tcPr>
          <w:p w14:paraId="36525F86">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AD55C8B">
            <w:pPr>
              <w:pStyle w:val="25"/>
              <w:spacing w:line="265" w:lineRule="exact"/>
              <w:ind w:right="98"/>
              <w:jc w:val="right"/>
              <w:rPr>
                <w:i w:val="0"/>
                <w:iCs w:val="0"/>
                <w:color w:val="auto"/>
                <w:sz w:val="18"/>
                <w:szCs w:val="18"/>
              </w:rPr>
            </w:pPr>
            <w:r>
              <w:rPr>
                <w:i w:val="0"/>
                <w:iCs w:val="0"/>
                <w:color w:val="auto"/>
                <w:sz w:val="18"/>
                <w:szCs w:val="18"/>
              </w:rPr>
              <w:t>1</w:t>
            </w:r>
          </w:p>
        </w:tc>
      </w:tr>
      <w:tr w14:paraId="2B03A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456" w:type="dxa"/>
            <w:vMerge w:val="restart"/>
          </w:tcPr>
          <w:p w14:paraId="6A41602B">
            <w:pPr>
              <w:pStyle w:val="25"/>
              <w:rPr>
                <w:b/>
                <w:i w:val="0"/>
                <w:iCs w:val="0"/>
                <w:color w:val="auto"/>
                <w:sz w:val="18"/>
              </w:rPr>
            </w:pPr>
          </w:p>
          <w:p w14:paraId="30462366">
            <w:pPr>
              <w:pStyle w:val="25"/>
              <w:rPr>
                <w:b/>
                <w:i w:val="0"/>
                <w:iCs w:val="0"/>
                <w:color w:val="auto"/>
                <w:sz w:val="18"/>
              </w:rPr>
            </w:pPr>
          </w:p>
          <w:p w14:paraId="560173BE">
            <w:pPr>
              <w:pStyle w:val="25"/>
              <w:rPr>
                <w:b/>
                <w:i w:val="0"/>
                <w:iCs w:val="0"/>
                <w:color w:val="auto"/>
                <w:sz w:val="18"/>
              </w:rPr>
            </w:pPr>
          </w:p>
          <w:p w14:paraId="3094C5CC">
            <w:pPr>
              <w:pStyle w:val="25"/>
              <w:rPr>
                <w:b/>
                <w:i w:val="0"/>
                <w:iCs w:val="0"/>
                <w:color w:val="auto"/>
                <w:sz w:val="18"/>
              </w:rPr>
            </w:pPr>
          </w:p>
          <w:p w14:paraId="7B28B8A3">
            <w:pPr>
              <w:pStyle w:val="25"/>
              <w:rPr>
                <w:b/>
                <w:i w:val="0"/>
                <w:iCs w:val="0"/>
                <w:color w:val="auto"/>
                <w:sz w:val="18"/>
              </w:rPr>
            </w:pPr>
          </w:p>
          <w:p w14:paraId="47A87552">
            <w:pPr>
              <w:pStyle w:val="25"/>
              <w:rPr>
                <w:b/>
                <w:i w:val="0"/>
                <w:iCs w:val="0"/>
                <w:color w:val="auto"/>
                <w:sz w:val="18"/>
              </w:rPr>
            </w:pPr>
          </w:p>
          <w:p w14:paraId="22858F50">
            <w:pPr>
              <w:pStyle w:val="25"/>
              <w:rPr>
                <w:b/>
                <w:i w:val="0"/>
                <w:iCs w:val="0"/>
                <w:color w:val="auto"/>
                <w:sz w:val="18"/>
              </w:rPr>
            </w:pPr>
          </w:p>
          <w:p w14:paraId="1C901CE0">
            <w:pPr>
              <w:pStyle w:val="25"/>
              <w:rPr>
                <w:b/>
                <w:i w:val="0"/>
                <w:iCs w:val="0"/>
                <w:color w:val="auto"/>
                <w:sz w:val="18"/>
              </w:rPr>
            </w:pPr>
          </w:p>
          <w:p w14:paraId="47244E3C">
            <w:pPr>
              <w:pStyle w:val="25"/>
              <w:rPr>
                <w:b/>
                <w:i w:val="0"/>
                <w:iCs w:val="0"/>
                <w:color w:val="auto"/>
                <w:sz w:val="18"/>
              </w:rPr>
            </w:pPr>
          </w:p>
          <w:p w14:paraId="2CF0BDC9">
            <w:pPr>
              <w:pStyle w:val="25"/>
              <w:spacing w:before="7"/>
              <w:rPr>
                <w:b/>
                <w:i w:val="0"/>
                <w:iCs w:val="0"/>
                <w:color w:val="auto"/>
                <w:sz w:val="13"/>
              </w:rPr>
            </w:pPr>
          </w:p>
          <w:p w14:paraId="3BEEC07E">
            <w:pPr>
              <w:pStyle w:val="25"/>
              <w:ind w:left="8"/>
              <w:jc w:val="center"/>
              <w:rPr>
                <w:i w:val="0"/>
                <w:iCs w:val="0"/>
                <w:color w:val="auto"/>
                <w:sz w:val="18"/>
              </w:rPr>
            </w:pPr>
            <w:r>
              <w:rPr>
                <w:i w:val="0"/>
                <w:iCs w:val="0"/>
                <w:color w:val="auto"/>
                <w:sz w:val="18"/>
              </w:rPr>
              <w:t>6</w:t>
            </w:r>
          </w:p>
        </w:tc>
        <w:tc>
          <w:tcPr>
            <w:tcW w:w="1001" w:type="dxa"/>
            <w:vMerge w:val="restart"/>
          </w:tcPr>
          <w:p w14:paraId="14EF9710">
            <w:pPr>
              <w:pStyle w:val="25"/>
              <w:rPr>
                <w:b/>
                <w:i w:val="0"/>
                <w:iCs w:val="0"/>
                <w:color w:val="auto"/>
                <w:sz w:val="18"/>
              </w:rPr>
            </w:pPr>
          </w:p>
          <w:p w14:paraId="799295A3">
            <w:pPr>
              <w:pStyle w:val="25"/>
              <w:rPr>
                <w:b/>
                <w:i w:val="0"/>
                <w:iCs w:val="0"/>
                <w:color w:val="auto"/>
                <w:sz w:val="18"/>
              </w:rPr>
            </w:pPr>
          </w:p>
          <w:p w14:paraId="74FB1A85">
            <w:pPr>
              <w:pStyle w:val="25"/>
              <w:rPr>
                <w:b/>
                <w:i w:val="0"/>
                <w:iCs w:val="0"/>
                <w:color w:val="auto"/>
                <w:sz w:val="18"/>
              </w:rPr>
            </w:pPr>
          </w:p>
          <w:p w14:paraId="3A5B2CE0">
            <w:pPr>
              <w:pStyle w:val="25"/>
              <w:rPr>
                <w:b/>
                <w:i w:val="0"/>
                <w:iCs w:val="0"/>
                <w:color w:val="auto"/>
                <w:sz w:val="18"/>
              </w:rPr>
            </w:pPr>
          </w:p>
          <w:p w14:paraId="1CB5C88E">
            <w:pPr>
              <w:pStyle w:val="25"/>
              <w:rPr>
                <w:b/>
                <w:i w:val="0"/>
                <w:iCs w:val="0"/>
                <w:color w:val="auto"/>
                <w:sz w:val="18"/>
              </w:rPr>
            </w:pPr>
          </w:p>
          <w:p w14:paraId="57D096E4">
            <w:pPr>
              <w:pStyle w:val="25"/>
              <w:rPr>
                <w:b/>
                <w:i w:val="0"/>
                <w:iCs w:val="0"/>
                <w:color w:val="auto"/>
                <w:sz w:val="18"/>
              </w:rPr>
            </w:pPr>
          </w:p>
          <w:p w14:paraId="71624470">
            <w:pPr>
              <w:pStyle w:val="25"/>
              <w:rPr>
                <w:b/>
                <w:i w:val="0"/>
                <w:iCs w:val="0"/>
                <w:color w:val="auto"/>
                <w:sz w:val="18"/>
              </w:rPr>
            </w:pPr>
          </w:p>
          <w:p w14:paraId="2F11218C">
            <w:pPr>
              <w:pStyle w:val="25"/>
              <w:rPr>
                <w:b/>
                <w:i w:val="0"/>
                <w:iCs w:val="0"/>
                <w:color w:val="auto"/>
                <w:sz w:val="18"/>
              </w:rPr>
            </w:pPr>
          </w:p>
          <w:p w14:paraId="17F44F56">
            <w:pPr>
              <w:pStyle w:val="25"/>
              <w:spacing w:before="2"/>
              <w:rPr>
                <w:b/>
                <w:i w:val="0"/>
                <w:iCs w:val="0"/>
                <w:color w:val="auto"/>
                <w:sz w:val="13"/>
              </w:rPr>
            </w:pPr>
          </w:p>
          <w:p w14:paraId="3AF8D9AD">
            <w:pPr>
              <w:pStyle w:val="25"/>
              <w:ind w:left="138"/>
              <w:rPr>
                <w:i w:val="0"/>
                <w:iCs w:val="0"/>
                <w:color w:val="auto"/>
                <w:sz w:val="18"/>
              </w:rPr>
            </w:pPr>
            <w:r>
              <w:rPr>
                <w:i w:val="0"/>
                <w:iCs w:val="0"/>
                <w:color w:val="auto"/>
                <w:spacing w:val="-3"/>
                <w:sz w:val="18"/>
              </w:rPr>
              <w:t>患者服务</w:t>
            </w:r>
          </w:p>
          <w:p w14:paraId="59EB8973">
            <w:pPr>
              <w:pStyle w:val="25"/>
              <w:spacing w:before="5" w:line="242" w:lineRule="auto"/>
              <w:ind w:left="318" w:right="130" w:hanging="180"/>
              <w:rPr>
                <w:i w:val="0"/>
                <w:iCs w:val="0"/>
                <w:color w:val="auto"/>
                <w:sz w:val="18"/>
              </w:rPr>
            </w:pPr>
            <w:r>
              <w:rPr>
                <w:i w:val="0"/>
                <w:iCs w:val="0"/>
                <w:color w:val="auto"/>
                <w:spacing w:val="-4"/>
                <w:sz w:val="18"/>
              </w:rPr>
              <w:t>（便民服</w:t>
            </w:r>
            <w:r>
              <w:rPr>
                <w:i w:val="0"/>
                <w:iCs w:val="0"/>
                <w:color w:val="auto"/>
                <w:spacing w:val="-6"/>
                <w:sz w:val="18"/>
              </w:rPr>
              <w:t>务）</w:t>
            </w:r>
          </w:p>
        </w:tc>
        <w:tc>
          <w:tcPr>
            <w:tcW w:w="1623" w:type="dxa"/>
            <w:vMerge w:val="restart"/>
          </w:tcPr>
          <w:p w14:paraId="4660A877">
            <w:pPr>
              <w:pStyle w:val="25"/>
              <w:rPr>
                <w:b/>
                <w:i w:val="0"/>
                <w:iCs w:val="0"/>
                <w:color w:val="auto"/>
                <w:sz w:val="18"/>
              </w:rPr>
            </w:pPr>
          </w:p>
          <w:p w14:paraId="606F7218">
            <w:pPr>
              <w:pStyle w:val="25"/>
              <w:spacing w:before="7"/>
              <w:rPr>
                <w:b/>
                <w:i w:val="0"/>
                <w:iCs w:val="0"/>
                <w:color w:val="auto"/>
                <w:sz w:val="21"/>
              </w:rPr>
            </w:pPr>
          </w:p>
          <w:p w14:paraId="764F06B3">
            <w:pPr>
              <w:pStyle w:val="25"/>
              <w:spacing w:line="242" w:lineRule="auto"/>
              <w:ind w:left="361" w:right="169" w:hanging="180"/>
              <w:rPr>
                <w:i w:val="0"/>
                <w:iCs w:val="0"/>
                <w:color w:val="auto"/>
                <w:sz w:val="18"/>
              </w:rPr>
            </w:pPr>
            <w:r>
              <w:rPr>
                <w:i w:val="0"/>
                <w:iCs w:val="0"/>
                <w:color w:val="auto"/>
                <w:spacing w:val="-2"/>
                <w:sz w:val="18"/>
              </w:rPr>
              <w:t>互联网应用（需拿到牌照）</w:t>
            </w:r>
          </w:p>
        </w:tc>
        <w:tc>
          <w:tcPr>
            <w:tcW w:w="4636" w:type="dxa"/>
          </w:tcPr>
          <w:p w14:paraId="5EEFB944">
            <w:pPr>
              <w:pStyle w:val="25"/>
              <w:spacing w:before="10" w:line="242" w:lineRule="auto"/>
              <w:ind w:left="193" w:right="184"/>
              <w:jc w:val="center"/>
              <w:rPr>
                <w:i w:val="0"/>
                <w:iCs w:val="0"/>
                <w:color w:val="auto"/>
                <w:sz w:val="18"/>
              </w:rPr>
            </w:pPr>
            <w:r>
              <w:rPr>
                <w:i w:val="0"/>
                <w:iCs w:val="0"/>
                <w:color w:val="auto"/>
                <w:spacing w:val="-2"/>
                <w:sz w:val="18"/>
              </w:rPr>
              <w:t>微信小程序（互联网医疗延伸服务，基于互联网为患者提供分时段预约诊疗、智能导医分诊、候诊提醒、检验检查结果查询、诊间结算、移动支付、移动查</w:t>
            </w:r>
            <w:r>
              <w:rPr>
                <w:i w:val="0"/>
                <w:iCs w:val="0"/>
                <w:color w:val="auto"/>
                <w:sz w:val="18"/>
              </w:rPr>
              <w:t xml:space="preserve"> </w:t>
            </w:r>
            <w:r>
              <w:rPr>
                <w:i w:val="0"/>
                <w:iCs w:val="0"/>
                <w:color w:val="auto"/>
                <w:spacing w:val="-2"/>
                <w:sz w:val="18"/>
              </w:rPr>
              <w:t>房、移动护理、家庭检测等便民服务、开展远程中医</w:t>
            </w:r>
          </w:p>
          <w:p w14:paraId="228B7DE0">
            <w:pPr>
              <w:pStyle w:val="25"/>
              <w:spacing w:before="2" w:line="220" w:lineRule="exact"/>
              <w:ind w:left="192" w:right="184"/>
              <w:jc w:val="center"/>
              <w:rPr>
                <w:i w:val="0"/>
                <w:iCs w:val="0"/>
                <w:color w:val="auto"/>
                <w:sz w:val="18"/>
              </w:rPr>
            </w:pPr>
            <w:r>
              <w:rPr>
                <w:i w:val="0"/>
                <w:iCs w:val="0"/>
                <w:color w:val="auto"/>
                <w:spacing w:val="-5"/>
                <w:sz w:val="18"/>
              </w:rPr>
              <w:t xml:space="preserve">医疗服务，至少达到 </w:t>
            </w:r>
            <w:r>
              <w:rPr>
                <w:i w:val="0"/>
                <w:iCs w:val="0"/>
                <w:color w:val="auto"/>
                <w:sz w:val="18"/>
              </w:rPr>
              <w:t>7</w:t>
            </w:r>
            <w:r>
              <w:rPr>
                <w:i w:val="0"/>
                <w:iCs w:val="0"/>
                <w:color w:val="auto"/>
                <w:spacing w:val="-22"/>
                <w:sz w:val="18"/>
              </w:rPr>
              <w:t xml:space="preserve"> 项</w:t>
            </w:r>
            <w:r>
              <w:rPr>
                <w:i w:val="0"/>
                <w:iCs w:val="0"/>
                <w:color w:val="auto"/>
                <w:spacing w:val="-10"/>
                <w:sz w:val="18"/>
              </w:rPr>
              <w:t>）</w:t>
            </w:r>
          </w:p>
        </w:tc>
        <w:tc>
          <w:tcPr>
            <w:tcW w:w="350" w:type="dxa"/>
          </w:tcPr>
          <w:p w14:paraId="699CF9DB">
            <w:pPr>
              <w:pStyle w:val="25"/>
              <w:rPr>
                <w:b/>
                <w:i w:val="0"/>
                <w:iCs w:val="0"/>
                <w:color w:val="auto"/>
                <w:sz w:val="18"/>
                <w:szCs w:val="18"/>
              </w:rPr>
            </w:pPr>
          </w:p>
          <w:p w14:paraId="2101FB09">
            <w:pPr>
              <w:pStyle w:val="25"/>
              <w:rPr>
                <w:b/>
                <w:i w:val="0"/>
                <w:iCs w:val="0"/>
                <w:color w:val="auto"/>
                <w:sz w:val="18"/>
                <w:szCs w:val="18"/>
              </w:rPr>
            </w:pPr>
          </w:p>
          <w:p w14:paraId="323E80FE">
            <w:pPr>
              <w:pStyle w:val="25"/>
              <w:spacing w:before="12"/>
              <w:rPr>
                <w:b/>
                <w:i w:val="0"/>
                <w:iCs w:val="0"/>
                <w:color w:val="auto"/>
                <w:sz w:val="18"/>
                <w:szCs w:val="18"/>
              </w:rPr>
            </w:pPr>
          </w:p>
          <w:p w14:paraId="4EEBD7B7">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3B5A4AD4">
            <w:pPr>
              <w:pStyle w:val="25"/>
              <w:rPr>
                <w:b/>
                <w:i w:val="0"/>
                <w:iCs w:val="0"/>
                <w:color w:val="auto"/>
                <w:sz w:val="18"/>
                <w:szCs w:val="18"/>
              </w:rPr>
            </w:pPr>
          </w:p>
          <w:p w14:paraId="39BE3862">
            <w:pPr>
              <w:pStyle w:val="25"/>
              <w:rPr>
                <w:b/>
                <w:i w:val="0"/>
                <w:iCs w:val="0"/>
                <w:color w:val="auto"/>
                <w:sz w:val="18"/>
                <w:szCs w:val="18"/>
              </w:rPr>
            </w:pPr>
          </w:p>
          <w:p w14:paraId="773AECAC">
            <w:pPr>
              <w:pStyle w:val="25"/>
              <w:spacing w:before="12"/>
              <w:rPr>
                <w:b/>
                <w:i w:val="0"/>
                <w:iCs w:val="0"/>
                <w:color w:val="auto"/>
                <w:sz w:val="18"/>
                <w:szCs w:val="18"/>
              </w:rPr>
            </w:pPr>
          </w:p>
          <w:p w14:paraId="2F6248C6">
            <w:pPr>
              <w:pStyle w:val="25"/>
              <w:spacing w:line="267" w:lineRule="exact"/>
              <w:ind w:right="98"/>
              <w:jc w:val="right"/>
              <w:rPr>
                <w:i w:val="0"/>
                <w:iCs w:val="0"/>
                <w:color w:val="auto"/>
                <w:sz w:val="18"/>
                <w:szCs w:val="18"/>
              </w:rPr>
            </w:pPr>
            <w:r>
              <w:rPr>
                <w:i w:val="0"/>
                <w:iCs w:val="0"/>
                <w:color w:val="auto"/>
                <w:sz w:val="18"/>
                <w:szCs w:val="18"/>
              </w:rPr>
              <w:t>1</w:t>
            </w:r>
          </w:p>
        </w:tc>
      </w:tr>
      <w:tr w14:paraId="3F644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448A046">
            <w:pPr>
              <w:rPr>
                <w:i w:val="0"/>
                <w:iCs w:val="0"/>
                <w:color w:val="auto"/>
                <w:sz w:val="2"/>
                <w:szCs w:val="2"/>
              </w:rPr>
            </w:pPr>
          </w:p>
        </w:tc>
        <w:tc>
          <w:tcPr>
            <w:tcW w:w="1001" w:type="dxa"/>
            <w:vMerge w:val="continue"/>
            <w:tcBorders>
              <w:top w:val="nil"/>
            </w:tcBorders>
          </w:tcPr>
          <w:p w14:paraId="3C2A6F24">
            <w:pPr>
              <w:rPr>
                <w:i w:val="0"/>
                <w:iCs w:val="0"/>
                <w:color w:val="auto"/>
                <w:sz w:val="2"/>
                <w:szCs w:val="2"/>
              </w:rPr>
            </w:pPr>
          </w:p>
        </w:tc>
        <w:tc>
          <w:tcPr>
            <w:tcW w:w="1623" w:type="dxa"/>
            <w:vMerge w:val="continue"/>
            <w:tcBorders>
              <w:top w:val="nil"/>
            </w:tcBorders>
          </w:tcPr>
          <w:p w14:paraId="381133FC">
            <w:pPr>
              <w:rPr>
                <w:i w:val="0"/>
                <w:iCs w:val="0"/>
                <w:color w:val="auto"/>
                <w:sz w:val="2"/>
                <w:szCs w:val="2"/>
              </w:rPr>
            </w:pPr>
          </w:p>
        </w:tc>
        <w:tc>
          <w:tcPr>
            <w:tcW w:w="4636" w:type="dxa"/>
          </w:tcPr>
          <w:p w14:paraId="58835DE1">
            <w:pPr>
              <w:pStyle w:val="25"/>
              <w:spacing w:before="26"/>
              <w:ind w:left="190" w:right="184"/>
              <w:jc w:val="center"/>
              <w:rPr>
                <w:i w:val="0"/>
                <w:iCs w:val="0"/>
                <w:color w:val="auto"/>
                <w:sz w:val="18"/>
              </w:rPr>
            </w:pPr>
            <w:r>
              <w:rPr>
                <w:i w:val="0"/>
                <w:iCs w:val="0"/>
                <w:color w:val="auto"/>
                <w:spacing w:val="-2"/>
                <w:sz w:val="18"/>
              </w:rPr>
              <w:t>统一支付平台</w:t>
            </w:r>
          </w:p>
        </w:tc>
        <w:tc>
          <w:tcPr>
            <w:tcW w:w="350" w:type="dxa"/>
          </w:tcPr>
          <w:p w14:paraId="44E42254">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D35C88F">
            <w:pPr>
              <w:pStyle w:val="25"/>
              <w:spacing w:line="265" w:lineRule="exact"/>
              <w:ind w:right="98"/>
              <w:jc w:val="right"/>
              <w:rPr>
                <w:i w:val="0"/>
                <w:iCs w:val="0"/>
                <w:color w:val="auto"/>
                <w:sz w:val="18"/>
                <w:szCs w:val="18"/>
              </w:rPr>
            </w:pPr>
            <w:r>
              <w:rPr>
                <w:i w:val="0"/>
                <w:iCs w:val="0"/>
                <w:color w:val="auto"/>
                <w:sz w:val="18"/>
                <w:szCs w:val="18"/>
              </w:rPr>
              <w:t>1</w:t>
            </w:r>
          </w:p>
        </w:tc>
      </w:tr>
      <w:tr w14:paraId="05059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53DE07C">
            <w:pPr>
              <w:rPr>
                <w:i w:val="0"/>
                <w:iCs w:val="0"/>
                <w:color w:val="auto"/>
                <w:sz w:val="2"/>
                <w:szCs w:val="2"/>
              </w:rPr>
            </w:pPr>
          </w:p>
        </w:tc>
        <w:tc>
          <w:tcPr>
            <w:tcW w:w="1001" w:type="dxa"/>
            <w:vMerge w:val="continue"/>
            <w:tcBorders>
              <w:top w:val="nil"/>
            </w:tcBorders>
          </w:tcPr>
          <w:p w14:paraId="5816145B">
            <w:pPr>
              <w:rPr>
                <w:i w:val="0"/>
                <w:iCs w:val="0"/>
                <w:color w:val="auto"/>
                <w:sz w:val="2"/>
                <w:szCs w:val="2"/>
              </w:rPr>
            </w:pPr>
          </w:p>
        </w:tc>
        <w:tc>
          <w:tcPr>
            <w:tcW w:w="1623" w:type="dxa"/>
          </w:tcPr>
          <w:p w14:paraId="6A71363C">
            <w:pPr>
              <w:pStyle w:val="25"/>
              <w:spacing w:before="26"/>
              <w:ind w:left="177" w:right="169"/>
              <w:jc w:val="center"/>
              <w:rPr>
                <w:i w:val="0"/>
                <w:iCs w:val="0"/>
                <w:color w:val="auto"/>
                <w:sz w:val="18"/>
              </w:rPr>
            </w:pPr>
            <w:r>
              <w:rPr>
                <w:i w:val="0"/>
                <w:iCs w:val="0"/>
                <w:color w:val="auto"/>
                <w:spacing w:val="-3"/>
                <w:sz w:val="18"/>
              </w:rPr>
              <w:t>预约管理</w:t>
            </w:r>
          </w:p>
        </w:tc>
        <w:tc>
          <w:tcPr>
            <w:tcW w:w="4636" w:type="dxa"/>
          </w:tcPr>
          <w:p w14:paraId="53ED1346">
            <w:pPr>
              <w:pStyle w:val="25"/>
              <w:spacing w:before="26"/>
              <w:ind w:left="191" w:right="184"/>
              <w:jc w:val="center"/>
              <w:rPr>
                <w:i w:val="0"/>
                <w:iCs w:val="0"/>
                <w:color w:val="auto"/>
                <w:sz w:val="18"/>
              </w:rPr>
            </w:pPr>
            <w:r>
              <w:rPr>
                <w:i w:val="0"/>
                <w:iCs w:val="0"/>
                <w:color w:val="auto"/>
                <w:spacing w:val="-2"/>
                <w:sz w:val="18"/>
              </w:rPr>
              <w:t>分时段挂号预约中心</w:t>
            </w:r>
          </w:p>
        </w:tc>
        <w:tc>
          <w:tcPr>
            <w:tcW w:w="350" w:type="dxa"/>
          </w:tcPr>
          <w:p w14:paraId="673B19D4">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61020762">
            <w:pPr>
              <w:pStyle w:val="25"/>
              <w:spacing w:line="265" w:lineRule="exact"/>
              <w:ind w:right="98"/>
              <w:jc w:val="right"/>
              <w:rPr>
                <w:i w:val="0"/>
                <w:iCs w:val="0"/>
                <w:color w:val="auto"/>
                <w:sz w:val="18"/>
                <w:szCs w:val="18"/>
              </w:rPr>
            </w:pPr>
            <w:r>
              <w:rPr>
                <w:i w:val="0"/>
                <w:iCs w:val="0"/>
                <w:color w:val="auto"/>
                <w:sz w:val="18"/>
                <w:szCs w:val="18"/>
              </w:rPr>
              <w:t>1</w:t>
            </w:r>
          </w:p>
        </w:tc>
      </w:tr>
      <w:tr w14:paraId="5BF20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D6A2A86">
            <w:pPr>
              <w:rPr>
                <w:i w:val="0"/>
                <w:iCs w:val="0"/>
                <w:color w:val="auto"/>
                <w:sz w:val="2"/>
                <w:szCs w:val="2"/>
              </w:rPr>
            </w:pPr>
          </w:p>
        </w:tc>
        <w:tc>
          <w:tcPr>
            <w:tcW w:w="1001" w:type="dxa"/>
            <w:vMerge w:val="continue"/>
            <w:tcBorders>
              <w:top w:val="nil"/>
            </w:tcBorders>
          </w:tcPr>
          <w:p w14:paraId="227BEFAE">
            <w:pPr>
              <w:rPr>
                <w:i w:val="0"/>
                <w:iCs w:val="0"/>
                <w:color w:val="auto"/>
                <w:sz w:val="2"/>
                <w:szCs w:val="2"/>
              </w:rPr>
            </w:pPr>
          </w:p>
        </w:tc>
        <w:tc>
          <w:tcPr>
            <w:tcW w:w="1623" w:type="dxa"/>
            <w:vMerge w:val="restart"/>
          </w:tcPr>
          <w:p w14:paraId="275F1ADF">
            <w:pPr>
              <w:pStyle w:val="25"/>
              <w:rPr>
                <w:b/>
                <w:i w:val="0"/>
                <w:iCs w:val="0"/>
                <w:color w:val="auto"/>
                <w:sz w:val="18"/>
              </w:rPr>
            </w:pPr>
          </w:p>
          <w:p w14:paraId="0FEA08AC">
            <w:pPr>
              <w:pStyle w:val="25"/>
              <w:spacing w:before="8"/>
              <w:rPr>
                <w:b/>
                <w:i w:val="0"/>
                <w:iCs w:val="0"/>
                <w:color w:val="auto"/>
                <w:sz w:val="18"/>
              </w:rPr>
            </w:pPr>
          </w:p>
          <w:p w14:paraId="05CDD35C">
            <w:pPr>
              <w:pStyle w:val="25"/>
              <w:spacing w:before="1"/>
              <w:ind w:left="450"/>
              <w:rPr>
                <w:i w:val="0"/>
                <w:iCs w:val="0"/>
                <w:color w:val="auto"/>
                <w:sz w:val="18"/>
              </w:rPr>
            </w:pPr>
            <w:r>
              <w:rPr>
                <w:i w:val="0"/>
                <w:iCs w:val="0"/>
                <w:color w:val="auto"/>
                <w:spacing w:val="-3"/>
                <w:sz w:val="18"/>
              </w:rPr>
              <w:t>就诊管理</w:t>
            </w:r>
          </w:p>
        </w:tc>
        <w:tc>
          <w:tcPr>
            <w:tcW w:w="4636" w:type="dxa"/>
          </w:tcPr>
          <w:p w14:paraId="7026FD2C">
            <w:pPr>
              <w:pStyle w:val="25"/>
              <w:spacing w:before="26"/>
              <w:ind w:left="189" w:right="184"/>
              <w:jc w:val="center"/>
              <w:rPr>
                <w:i w:val="0"/>
                <w:iCs w:val="0"/>
                <w:color w:val="auto"/>
                <w:sz w:val="18"/>
              </w:rPr>
            </w:pPr>
            <w:r>
              <w:rPr>
                <w:i w:val="0"/>
                <w:iCs w:val="0"/>
                <w:color w:val="auto"/>
                <w:spacing w:val="-1"/>
                <w:sz w:val="18"/>
              </w:rPr>
              <w:t>自助服务管理系统对接</w:t>
            </w:r>
          </w:p>
        </w:tc>
        <w:tc>
          <w:tcPr>
            <w:tcW w:w="350" w:type="dxa"/>
          </w:tcPr>
          <w:p w14:paraId="2731AB65">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E2C1B7F">
            <w:pPr>
              <w:pStyle w:val="25"/>
              <w:spacing w:line="265" w:lineRule="exact"/>
              <w:ind w:right="98"/>
              <w:jc w:val="right"/>
              <w:rPr>
                <w:i w:val="0"/>
                <w:iCs w:val="0"/>
                <w:color w:val="auto"/>
                <w:sz w:val="18"/>
                <w:szCs w:val="18"/>
              </w:rPr>
            </w:pPr>
            <w:r>
              <w:rPr>
                <w:i w:val="0"/>
                <w:iCs w:val="0"/>
                <w:color w:val="auto"/>
                <w:sz w:val="18"/>
                <w:szCs w:val="18"/>
              </w:rPr>
              <w:t>1</w:t>
            </w:r>
          </w:p>
        </w:tc>
      </w:tr>
      <w:tr w14:paraId="5E251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6C2CAFF">
            <w:pPr>
              <w:rPr>
                <w:i w:val="0"/>
                <w:iCs w:val="0"/>
                <w:color w:val="auto"/>
                <w:sz w:val="2"/>
                <w:szCs w:val="2"/>
              </w:rPr>
            </w:pPr>
          </w:p>
        </w:tc>
        <w:tc>
          <w:tcPr>
            <w:tcW w:w="1001" w:type="dxa"/>
            <w:vMerge w:val="continue"/>
            <w:tcBorders>
              <w:top w:val="nil"/>
            </w:tcBorders>
          </w:tcPr>
          <w:p w14:paraId="0AD570F5">
            <w:pPr>
              <w:rPr>
                <w:i w:val="0"/>
                <w:iCs w:val="0"/>
                <w:color w:val="auto"/>
                <w:sz w:val="2"/>
                <w:szCs w:val="2"/>
              </w:rPr>
            </w:pPr>
          </w:p>
        </w:tc>
        <w:tc>
          <w:tcPr>
            <w:tcW w:w="1623" w:type="dxa"/>
            <w:vMerge w:val="continue"/>
            <w:tcBorders>
              <w:top w:val="nil"/>
            </w:tcBorders>
          </w:tcPr>
          <w:p w14:paraId="05AA3A41">
            <w:pPr>
              <w:rPr>
                <w:i w:val="0"/>
                <w:iCs w:val="0"/>
                <w:color w:val="auto"/>
                <w:sz w:val="2"/>
                <w:szCs w:val="2"/>
              </w:rPr>
            </w:pPr>
          </w:p>
        </w:tc>
        <w:tc>
          <w:tcPr>
            <w:tcW w:w="4636" w:type="dxa"/>
          </w:tcPr>
          <w:p w14:paraId="13CD1419">
            <w:pPr>
              <w:pStyle w:val="25"/>
              <w:spacing w:before="26"/>
              <w:ind w:left="189" w:right="184"/>
              <w:jc w:val="center"/>
              <w:rPr>
                <w:i w:val="0"/>
                <w:iCs w:val="0"/>
                <w:color w:val="auto"/>
                <w:sz w:val="18"/>
              </w:rPr>
            </w:pPr>
            <w:r>
              <w:rPr>
                <w:i w:val="0"/>
                <w:iCs w:val="0"/>
                <w:color w:val="auto"/>
                <w:spacing w:val="-2"/>
                <w:sz w:val="18"/>
              </w:rPr>
              <w:t>排队叫号系统对接</w:t>
            </w:r>
          </w:p>
        </w:tc>
        <w:tc>
          <w:tcPr>
            <w:tcW w:w="350" w:type="dxa"/>
          </w:tcPr>
          <w:p w14:paraId="35D7A831">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A168E19">
            <w:pPr>
              <w:pStyle w:val="25"/>
              <w:spacing w:line="265" w:lineRule="exact"/>
              <w:ind w:right="98"/>
              <w:jc w:val="right"/>
              <w:rPr>
                <w:i w:val="0"/>
                <w:iCs w:val="0"/>
                <w:color w:val="auto"/>
                <w:sz w:val="18"/>
                <w:szCs w:val="18"/>
              </w:rPr>
            </w:pPr>
            <w:r>
              <w:rPr>
                <w:i w:val="0"/>
                <w:iCs w:val="0"/>
                <w:color w:val="auto"/>
                <w:sz w:val="18"/>
                <w:szCs w:val="18"/>
              </w:rPr>
              <w:t>1</w:t>
            </w:r>
          </w:p>
        </w:tc>
      </w:tr>
      <w:tr w14:paraId="3E1A2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44F4461">
            <w:pPr>
              <w:rPr>
                <w:i w:val="0"/>
                <w:iCs w:val="0"/>
                <w:color w:val="auto"/>
                <w:sz w:val="2"/>
                <w:szCs w:val="2"/>
              </w:rPr>
            </w:pPr>
          </w:p>
        </w:tc>
        <w:tc>
          <w:tcPr>
            <w:tcW w:w="1001" w:type="dxa"/>
            <w:vMerge w:val="continue"/>
            <w:tcBorders>
              <w:top w:val="nil"/>
            </w:tcBorders>
          </w:tcPr>
          <w:p w14:paraId="58A5449A">
            <w:pPr>
              <w:rPr>
                <w:i w:val="0"/>
                <w:iCs w:val="0"/>
                <w:color w:val="auto"/>
                <w:sz w:val="2"/>
                <w:szCs w:val="2"/>
              </w:rPr>
            </w:pPr>
          </w:p>
        </w:tc>
        <w:tc>
          <w:tcPr>
            <w:tcW w:w="1623" w:type="dxa"/>
            <w:vMerge w:val="continue"/>
            <w:tcBorders>
              <w:top w:val="nil"/>
            </w:tcBorders>
          </w:tcPr>
          <w:p w14:paraId="076A66D8">
            <w:pPr>
              <w:rPr>
                <w:i w:val="0"/>
                <w:iCs w:val="0"/>
                <w:color w:val="auto"/>
                <w:sz w:val="2"/>
                <w:szCs w:val="2"/>
              </w:rPr>
            </w:pPr>
          </w:p>
        </w:tc>
        <w:tc>
          <w:tcPr>
            <w:tcW w:w="4636" w:type="dxa"/>
          </w:tcPr>
          <w:p w14:paraId="66597FEA">
            <w:pPr>
              <w:pStyle w:val="25"/>
              <w:spacing w:before="26"/>
              <w:ind w:left="189" w:right="184"/>
              <w:jc w:val="center"/>
              <w:rPr>
                <w:i w:val="0"/>
                <w:iCs w:val="0"/>
                <w:color w:val="auto"/>
                <w:sz w:val="18"/>
              </w:rPr>
            </w:pPr>
            <w:r>
              <w:rPr>
                <w:i w:val="0"/>
                <w:iCs w:val="0"/>
                <w:color w:val="auto"/>
                <w:spacing w:val="-2"/>
                <w:sz w:val="18"/>
              </w:rPr>
              <w:t>医技计费管理系统</w:t>
            </w:r>
          </w:p>
        </w:tc>
        <w:tc>
          <w:tcPr>
            <w:tcW w:w="350" w:type="dxa"/>
          </w:tcPr>
          <w:p w14:paraId="25035D7F">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636F7ACE">
            <w:pPr>
              <w:pStyle w:val="25"/>
              <w:spacing w:line="265" w:lineRule="exact"/>
              <w:ind w:right="98"/>
              <w:jc w:val="right"/>
              <w:rPr>
                <w:i w:val="0"/>
                <w:iCs w:val="0"/>
                <w:color w:val="auto"/>
                <w:sz w:val="18"/>
                <w:szCs w:val="18"/>
              </w:rPr>
            </w:pPr>
            <w:r>
              <w:rPr>
                <w:i w:val="0"/>
                <w:iCs w:val="0"/>
                <w:color w:val="auto"/>
                <w:sz w:val="18"/>
                <w:szCs w:val="18"/>
              </w:rPr>
              <w:t>1</w:t>
            </w:r>
          </w:p>
        </w:tc>
      </w:tr>
      <w:tr w14:paraId="197D0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E2243D4">
            <w:pPr>
              <w:rPr>
                <w:i w:val="0"/>
                <w:iCs w:val="0"/>
                <w:color w:val="auto"/>
                <w:sz w:val="2"/>
                <w:szCs w:val="2"/>
              </w:rPr>
            </w:pPr>
          </w:p>
        </w:tc>
        <w:tc>
          <w:tcPr>
            <w:tcW w:w="1001" w:type="dxa"/>
            <w:vMerge w:val="continue"/>
            <w:tcBorders>
              <w:top w:val="nil"/>
            </w:tcBorders>
          </w:tcPr>
          <w:p w14:paraId="4FF0ED1E">
            <w:pPr>
              <w:rPr>
                <w:i w:val="0"/>
                <w:iCs w:val="0"/>
                <w:color w:val="auto"/>
                <w:sz w:val="2"/>
                <w:szCs w:val="2"/>
              </w:rPr>
            </w:pPr>
          </w:p>
        </w:tc>
        <w:tc>
          <w:tcPr>
            <w:tcW w:w="1623" w:type="dxa"/>
            <w:vMerge w:val="continue"/>
            <w:tcBorders>
              <w:top w:val="nil"/>
            </w:tcBorders>
          </w:tcPr>
          <w:p w14:paraId="310D940E">
            <w:pPr>
              <w:rPr>
                <w:i w:val="0"/>
                <w:iCs w:val="0"/>
                <w:color w:val="auto"/>
                <w:sz w:val="2"/>
                <w:szCs w:val="2"/>
              </w:rPr>
            </w:pPr>
          </w:p>
        </w:tc>
        <w:tc>
          <w:tcPr>
            <w:tcW w:w="4636" w:type="dxa"/>
          </w:tcPr>
          <w:p w14:paraId="73512634">
            <w:pPr>
              <w:pStyle w:val="25"/>
              <w:spacing w:before="26"/>
              <w:ind w:left="192" w:right="184"/>
              <w:jc w:val="center"/>
              <w:rPr>
                <w:i w:val="0"/>
                <w:iCs w:val="0"/>
                <w:color w:val="auto"/>
                <w:sz w:val="18"/>
              </w:rPr>
            </w:pPr>
            <w:r>
              <w:rPr>
                <w:i w:val="0"/>
                <w:iCs w:val="0"/>
                <w:color w:val="auto"/>
                <w:spacing w:val="-2"/>
                <w:sz w:val="18"/>
              </w:rPr>
              <w:t>门诊护士站</w:t>
            </w:r>
          </w:p>
        </w:tc>
        <w:tc>
          <w:tcPr>
            <w:tcW w:w="350" w:type="dxa"/>
          </w:tcPr>
          <w:p w14:paraId="06FE2741">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4E0DAB0">
            <w:pPr>
              <w:pStyle w:val="25"/>
              <w:spacing w:line="265" w:lineRule="exact"/>
              <w:ind w:right="98"/>
              <w:jc w:val="right"/>
              <w:rPr>
                <w:i w:val="0"/>
                <w:iCs w:val="0"/>
                <w:color w:val="auto"/>
                <w:sz w:val="18"/>
                <w:szCs w:val="18"/>
              </w:rPr>
            </w:pPr>
            <w:r>
              <w:rPr>
                <w:i w:val="0"/>
                <w:iCs w:val="0"/>
                <w:color w:val="auto"/>
                <w:sz w:val="18"/>
                <w:szCs w:val="18"/>
              </w:rPr>
              <w:t>1</w:t>
            </w:r>
          </w:p>
        </w:tc>
      </w:tr>
      <w:tr w14:paraId="60D33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673A28A">
            <w:pPr>
              <w:rPr>
                <w:i w:val="0"/>
                <w:iCs w:val="0"/>
                <w:color w:val="auto"/>
                <w:sz w:val="2"/>
                <w:szCs w:val="2"/>
              </w:rPr>
            </w:pPr>
          </w:p>
        </w:tc>
        <w:tc>
          <w:tcPr>
            <w:tcW w:w="1001" w:type="dxa"/>
            <w:vMerge w:val="continue"/>
            <w:tcBorders>
              <w:top w:val="nil"/>
            </w:tcBorders>
          </w:tcPr>
          <w:p w14:paraId="6DF377A5">
            <w:pPr>
              <w:rPr>
                <w:i w:val="0"/>
                <w:iCs w:val="0"/>
                <w:color w:val="auto"/>
                <w:sz w:val="2"/>
                <w:szCs w:val="2"/>
              </w:rPr>
            </w:pPr>
          </w:p>
        </w:tc>
        <w:tc>
          <w:tcPr>
            <w:tcW w:w="1623" w:type="dxa"/>
            <w:vMerge w:val="restart"/>
          </w:tcPr>
          <w:p w14:paraId="44F72961">
            <w:pPr>
              <w:pStyle w:val="25"/>
              <w:spacing w:before="1"/>
              <w:rPr>
                <w:b/>
                <w:i w:val="0"/>
                <w:iCs w:val="0"/>
                <w:color w:val="auto"/>
                <w:sz w:val="25"/>
              </w:rPr>
            </w:pPr>
          </w:p>
          <w:p w14:paraId="26115138">
            <w:pPr>
              <w:pStyle w:val="25"/>
              <w:ind w:left="450"/>
              <w:rPr>
                <w:i w:val="0"/>
                <w:iCs w:val="0"/>
                <w:color w:val="auto"/>
                <w:sz w:val="18"/>
              </w:rPr>
            </w:pPr>
            <w:r>
              <w:rPr>
                <w:i w:val="0"/>
                <w:iCs w:val="0"/>
                <w:color w:val="auto"/>
                <w:spacing w:val="-3"/>
                <w:sz w:val="18"/>
              </w:rPr>
              <w:t>结算管理</w:t>
            </w:r>
          </w:p>
        </w:tc>
        <w:tc>
          <w:tcPr>
            <w:tcW w:w="4636" w:type="dxa"/>
          </w:tcPr>
          <w:p w14:paraId="5D1DB848">
            <w:pPr>
              <w:pStyle w:val="25"/>
              <w:spacing w:before="26"/>
              <w:ind w:left="189" w:right="184"/>
              <w:jc w:val="center"/>
              <w:rPr>
                <w:i w:val="0"/>
                <w:iCs w:val="0"/>
                <w:color w:val="auto"/>
                <w:sz w:val="18"/>
              </w:rPr>
            </w:pPr>
            <w:r>
              <w:rPr>
                <w:i w:val="0"/>
                <w:iCs w:val="0"/>
                <w:color w:val="auto"/>
                <w:spacing w:val="-1"/>
                <w:sz w:val="18"/>
              </w:rPr>
              <w:t>门诊挂号划价收费管理系统</w:t>
            </w:r>
          </w:p>
        </w:tc>
        <w:tc>
          <w:tcPr>
            <w:tcW w:w="350" w:type="dxa"/>
          </w:tcPr>
          <w:p w14:paraId="316EA11B">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5FE93DCB">
            <w:pPr>
              <w:pStyle w:val="25"/>
              <w:spacing w:line="265" w:lineRule="exact"/>
              <w:ind w:right="98"/>
              <w:jc w:val="right"/>
              <w:rPr>
                <w:i w:val="0"/>
                <w:iCs w:val="0"/>
                <w:color w:val="auto"/>
                <w:sz w:val="18"/>
                <w:szCs w:val="18"/>
              </w:rPr>
            </w:pPr>
            <w:r>
              <w:rPr>
                <w:i w:val="0"/>
                <w:iCs w:val="0"/>
                <w:color w:val="auto"/>
                <w:sz w:val="18"/>
                <w:szCs w:val="18"/>
              </w:rPr>
              <w:t>1</w:t>
            </w:r>
          </w:p>
        </w:tc>
      </w:tr>
      <w:tr w14:paraId="11738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8882693">
            <w:pPr>
              <w:rPr>
                <w:i w:val="0"/>
                <w:iCs w:val="0"/>
                <w:color w:val="auto"/>
                <w:sz w:val="2"/>
                <w:szCs w:val="2"/>
              </w:rPr>
            </w:pPr>
          </w:p>
        </w:tc>
        <w:tc>
          <w:tcPr>
            <w:tcW w:w="1001" w:type="dxa"/>
            <w:vMerge w:val="continue"/>
            <w:tcBorders>
              <w:top w:val="nil"/>
            </w:tcBorders>
          </w:tcPr>
          <w:p w14:paraId="584BE1A1">
            <w:pPr>
              <w:rPr>
                <w:i w:val="0"/>
                <w:iCs w:val="0"/>
                <w:color w:val="auto"/>
                <w:sz w:val="2"/>
                <w:szCs w:val="2"/>
              </w:rPr>
            </w:pPr>
          </w:p>
        </w:tc>
        <w:tc>
          <w:tcPr>
            <w:tcW w:w="1623" w:type="dxa"/>
            <w:vMerge w:val="continue"/>
            <w:tcBorders>
              <w:top w:val="nil"/>
            </w:tcBorders>
          </w:tcPr>
          <w:p w14:paraId="77BD1312">
            <w:pPr>
              <w:rPr>
                <w:i w:val="0"/>
                <w:iCs w:val="0"/>
                <w:color w:val="auto"/>
                <w:sz w:val="2"/>
                <w:szCs w:val="2"/>
              </w:rPr>
            </w:pPr>
          </w:p>
        </w:tc>
        <w:tc>
          <w:tcPr>
            <w:tcW w:w="4636" w:type="dxa"/>
          </w:tcPr>
          <w:p w14:paraId="1CFDBB7A">
            <w:pPr>
              <w:pStyle w:val="25"/>
              <w:spacing w:before="26"/>
              <w:ind w:left="192" w:right="184"/>
              <w:jc w:val="center"/>
              <w:rPr>
                <w:i w:val="0"/>
                <w:iCs w:val="0"/>
                <w:color w:val="auto"/>
                <w:sz w:val="18"/>
              </w:rPr>
            </w:pPr>
            <w:r>
              <w:rPr>
                <w:i w:val="0"/>
                <w:iCs w:val="0"/>
                <w:color w:val="auto"/>
                <w:spacing w:val="-2"/>
                <w:sz w:val="18"/>
              </w:rPr>
              <w:t>出入院管理</w:t>
            </w:r>
          </w:p>
        </w:tc>
        <w:tc>
          <w:tcPr>
            <w:tcW w:w="350" w:type="dxa"/>
          </w:tcPr>
          <w:p w14:paraId="355D6F51">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2BA3597">
            <w:pPr>
              <w:pStyle w:val="25"/>
              <w:spacing w:line="265" w:lineRule="exact"/>
              <w:ind w:right="98"/>
              <w:jc w:val="right"/>
              <w:rPr>
                <w:i w:val="0"/>
                <w:iCs w:val="0"/>
                <w:color w:val="auto"/>
                <w:sz w:val="18"/>
                <w:szCs w:val="18"/>
              </w:rPr>
            </w:pPr>
            <w:r>
              <w:rPr>
                <w:i w:val="0"/>
                <w:iCs w:val="0"/>
                <w:color w:val="auto"/>
                <w:sz w:val="18"/>
                <w:szCs w:val="18"/>
              </w:rPr>
              <w:t>1</w:t>
            </w:r>
          </w:p>
        </w:tc>
      </w:tr>
      <w:tr w14:paraId="5CA6D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3833FB05">
            <w:pPr>
              <w:rPr>
                <w:i w:val="0"/>
                <w:iCs w:val="0"/>
                <w:color w:val="auto"/>
                <w:sz w:val="2"/>
                <w:szCs w:val="2"/>
              </w:rPr>
            </w:pPr>
          </w:p>
        </w:tc>
        <w:tc>
          <w:tcPr>
            <w:tcW w:w="1001" w:type="dxa"/>
            <w:vMerge w:val="continue"/>
            <w:tcBorders>
              <w:top w:val="nil"/>
            </w:tcBorders>
          </w:tcPr>
          <w:p w14:paraId="40665764">
            <w:pPr>
              <w:rPr>
                <w:i w:val="0"/>
                <w:iCs w:val="0"/>
                <w:color w:val="auto"/>
                <w:sz w:val="2"/>
                <w:szCs w:val="2"/>
              </w:rPr>
            </w:pPr>
          </w:p>
        </w:tc>
        <w:tc>
          <w:tcPr>
            <w:tcW w:w="1623" w:type="dxa"/>
            <w:vMerge w:val="continue"/>
            <w:tcBorders>
              <w:top w:val="nil"/>
            </w:tcBorders>
          </w:tcPr>
          <w:p w14:paraId="6FDCECFE">
            <w:pPr>
              <w:rPr>
                <w:i w:val="0"/>
                <w:iCs w:val="0"/>
                <w:color w:val="auto"/>
                <w:sz w:val="2"/>
                <w:szCs w:val="2"/>
              </w:rPr>
            </w:pPr>
          </w:p>
        </w:tc>
        <w:tc>
          <w:tcPr>
            <w:tcW w:w="4636" w:type="dxa"/>
          </w:tcPr>
          <w:p w14:paraId="23581421">
            <w:pPr>
              <w:pStyle w:val="25"/>
              <w:spacing w:before="26"/>
              <w:ind w:left="190" w:right="184"/>
              <w:jc w:val="center"/>
              <w:rPr>
                <w:i w:val="0"/>
                <w:iCs w:val="0"/>
                <w:color w:val="auto"/>
                <w:sz w:val="18"/>
              </w:rPr>
            </w:pPr>
            <w:r>
              <w:rPr>
                <w:i w:val="0"/>
                <w:iCs w:val="0"/>
                <w:color w:val="auto"/>
                <w:spacing w:val="-3"/>
                <w:sz w:val="18"/>
              </w:rPr>
              <w:t>诊间结算</w:t>
            </w:r>
          </w:p>
        </w:tc>
        <w:tc>
          <w:tcPr>
            <w:tcW w:w="350" w:type="dxa"/>
          </w:tcPr>
          <w:p w14:paraId="5CAE3531">
            <w:pPr>
              <w:pStyle w:val="25"/>
              <w:spacing w:before="1" w:line="267" w:lineRule="exact"/>
              <w:ind w:right="8"/>
              <w:jc w:val="center"/>
              <w:rPr>
                <w:i w:val="0"/>
                <w:iCs w:val="0"/>
                <w:color w:val="auto"/>
                <w:sz w:val="18"/>
                <w:szCs w:val="18"/>
              </w:rPr>
            </w:pPr>
            <w:r>
              <w:rPr>
                <w:i w:val="0"/>
                <w:iCs w:val="0"/>
                <w:color w:val="auto"/>
                <w:sz w:val="18"/>
                <w:szCs w:val="18"/>
              </w:rPr>
              <w:t>项</w:t>
            </w:r>
          </w:p>
        </w:tc>
        <w:tc>
          <w:tcPr>
            <w:tcW w:w="458" w:type="dxa"/>
          </w:tcPr>
          <w:p w14:paraId="0268C36B">
            <w:pPr>
              <w:pStyle w:val="25"/>
              <w:spacing w:before="1" w:line="267" w:lineRule="exact"/>
              <w:ind w:right="98"/>
              <w:jc w:val="right"/>
              <w:rPr>
                <w:i w:val="0"/>
                <w:iCs w:val="0"/>
                <w:color w:val="auto"/>
                <w:sz w:val="18"/>
                <w:szCs w:val="18"/>
              </w:rPr>
            </w:pPr>
            <w:r>
              <w:rPr>
                <w:i w:val="0"/>
                <w:iCs w:val="0"/>
                <w:color w:val="auto"/>
                <w:sz w:val="18"/>
                <w:szCs w:val="18"/>
              </w:rPr>
              <w:t>1</w:t>
            </w:r>
          </w:p>
        </w:tc>
      </w:tr>
      <w:tr w14:paraId="3C4B7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Borders>
              <w:top w:val="nil"/>
            </w:tcBorders>
          </w:tcPr>
          <w:p w14:paraId="3DFB3E89">
            <w:pPr>
              <w:rPr>
                <w:i w:val="0"/>
                <w:iCs w:val="0"/>
                <w:color w:val="auto"/>
                <w:sz w:val="2"/>
                <w:szCs w:val="2"/>
              </w:rPr>
            </w:pPr>
          </w:p>
        </w:tc>
        <w:tc>
          <w:tcPr>
            <w:tcW w:w="1001" w:type="dxa"/>
            <w:vMerge w:val="continue"/>
            <w:tcBorders>
              <w:top w:val="nil"/>
            </w:tcBorders>
          </w:tcPr>
          <w:p w14:paraId="06F7EF34">
            <w:pPr>
              <w:rPr>
                <w:i w:val="0"/>
                <w:iCs w:val="0"/>
                <w:color w:val="auto"/>
                <w:sz w:val="2"/>
                <w:szCs w:val="2"/>
              </w:rPr>
            </w:pPr>
          </w:p>
        </w:tc>
        <w:tc>
          <w:tcPr>
            <w:tcW w:w="1623" w:type="dxa"/>
            <w:vAlign w:val="center"/>
          </w:tcPr>
          <w:p w14:paraId="17FA4D01">
            <w:pPr>
              <w:pStyle w:val="25"/>
              <w:spacing w:before="6"/>
              <w:jc w:val="center"/>
              <w:rPr>
                <w:b/>
                <w:i w:val="0"/>
                <w:iCs w:val="0"/>
                <w:color w:val="auto"/>
                <w:sz w:val="13"/>
              </w:rPr>
            </w:pPr>
          </w:p>
          <w:p w14:paraId="0570176F">
            <w:pPr>
              <w:pStyle w:val="25"/>
              <w:ind w:left="450"/>
              <w:jc w:val="both"/>
              <w:rPr>
                <w:i w:val="0"/>
                <w:iCs w:val="0"/>
                <w:color w:val="auto"/>
                <w:sz w:val="18"/>
              </w:rPr>
            </w:pPr>
            <w:r>
              <w:rPr>
                <w:i w:val="0"/>
                <w:iCs w:val="0"/>
                <w:color w:val="auto"/>
                <w:spacing w:val="-3"/>
                <w:sz w:val="18"/>
              </w:rPr>
              <w:t>导诊管理</w:t>
            </w:r>
          </w:p>
        </w:tc>
        <w:tc>
          <w:tcPr>
            <w:tcW w:w="4636" w:type="dxa"/>
            <w:vAlign w:val="center"/>
          </w:tcPr>
          <w:p w14:paraId="108732D1">
            <w:pPr>
              <w:pStyle w:val="25"/>
              <w:spacing w:before="26"/>
              <w:ind w:left="190" w:right="184"/>
              <w:jc w:val="center"/>
              <w:rPr>
                <w:i w:val="0"/>
                <w:iCs w:val="0"/>
                <w:color w:val="auto"/>
                <w:sz w:val="18"/>
              </w:rPr>
            </w:pPr>
            <w:r>
              <w:rPr>
                <w:i w:val="0"/>
                <w:iCs w:val="0"/>
                <w:color w:val="auto"/>
                <w:spacing w:val="-2"/>
                <w:sz w:val="18"/>
              </w:rPr>
              <w:t>门诊导诊系统</w:t>
            </w:r>
          </w:p>
        </w:tc>
        <w:tc>
          <w:tcPr>
            <w:tcW w:w="350" w:type="dxa"/>
          </w:tcPr>
          <w:p w14:paraId="58E4887C">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140F2DE">
            <w:pPr>
              <w:pStyle w:val="25"/>
              <w:spacing w:line="265" w:lineRule="exact"/>
              <w:ind w:right="98"/>
              <w:jc w:val="right"/>
              <w:rPr>
                <w:i w:val="0"/>
                <w:iCs w:val="0"/>
                <w:color w:val="auto"/>
                <w:sz w:val="18"/>
                <w:szCs w:val="18"/>
              </w:rPr>
            </w:pPr>
            <w:r>
              <w:rPr>
                <w:i w:val="0"/>
                <w:iCs w:val="0"/>
                <w:color w:val="auto"/>
                <w:sz w:val="18"/>
                <w:szCs w:val="18"/>
              </w:rPr>
              <w:t>1</w:t>
            </w:r>
          </w:p>
        </w:tc>
      </w:tr>
      <w:tr w14:paraId="586D5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DD325CB">
            <w:pPr>
              <w:rPr>
                <w:i w:val="0"/>
                <w:iCs w:val="0"/>
                <w:color w:val="auto"/>
                <w:sz w:val="2"/>
                <w:szCs w:val="2"/>
              </w:rPr>
            </w:pPr>
          </w:p>
        </w:tc>
        <w:tc>
          <w:tcPr>
            <w:tcW w:w="1001" w:type="dxa"/>
            <w:vMerge w:val="continue"/>
            <w:tcBorders>
              <w:top w:val="nil"/>
            </w:tcBorders>
          </w:tcPr>
          <w:p w14:paraId="25064C3C">
            <w:pPr>
              <w:rPr>
                <w:i w:val="0"/>
                <w:iCs w:val="0"/>
                <w:color w:val="auto"/>
                <w:sz w:val="2"/>
                <w:szCs w:val="2"/>
              </w:rPr>
            </w:pPr>
          </w:p>
        </w:tc>
        <w:tc>
          <w:tcPr>
            <w:tcW w:w="1623" w:type="dxa"/>
          </w:tcPr>
          <w:p w14:paraId="42B7D6B8">
            <w:pPr>
              <w:pStyle w:val="25"/>
              <w:spacing w:before="26"/>
              <w:ind w:left="177" w:right="169"/>
              <w:jc w:val="center"/>
              <w:rPr>
                <w:i w:val="0"/>
                <w:iCs w:val="0"/>
                <w:color w:val="auto"/>
                <w:sz w:val="18"/>
              </w:rPr>
            </w:pPr>
            <w:r>
              <w:rPr>
                <w:i w:val="0"/>
                <w:iCs w:val="0"/>
                <w:color w:val="auto"/>
                <w:spacing w:val="-3"/>
                <w:sz w:val="18"/>
              </w:rPr>
              <w:t>信息推送</w:t>
            </w:r>
          </w:p>
        </w:tc>
        <w:tc>
          <w:tcPr>
            <w:tcW w:w="4636" w:type="dxa"/>
          </w:tcPr>
          <w:p w14:paraId="60A63EE0">
            <w:pPr>
              <w:pStyle w:val="25"/>
              <w:spacing w:before="26"/>
              <w:ind w:left="189" w:right="184"/>
              <w:jc w:val="center"/>
              <w:rPr>
                <w:i w:val="0"/>
                <w:iCs w:val="0"/>
                <w:color w:val="auto"/>
                <w:sz w:val="18"/>
              </w:rPr>
            </w:pPr>
            <w:r>
              <w:rPr>
                <w:i w:val="0"/>
                <w:iCs w:val="0"/>
                <w:color w:val="auto"/>
                <w:spacing w:val="-1"/>
                <w:sz w:val="18"/>
              </w:rPr>
              <w:t>消息推送服务平台对接</w:t>
            </w:r>
          </w:p>
        </w:tc>
        <w:tc>
          <w:tcPr>
            <w:tcW w:w="350" w:type="dxa"/>
          </w:tcPr>
          <w:p w14:paraId="0A5A21D4">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5D9B828">
            <w:pPr>
              <w:pStyle w:val="25"/>
              <w:spacing w:line="265" w:lineRule="exact"/>
              <w:ind w:right="98"/>
              <w:jc w:val="right"/>
              <w:rPr>
                <w:i w:val="0"/>
                <w:iCs w:val="0"/>
                <w:color w:val="auto"/>
                <w:sz w:val="18"/>
                <w:szCs w:val="18"/>
              </w:rPr>
            </w:pPr>
            <w:r>
              <w:rPr>
                <w:i w:val="0"/>
                <w:iCs w:val="0"/>
                <w:color w:val="auto"/>
                <w:sz w:val="18"/>
                <w:szCs w:val="18"/>
              </w:rPr>
              <w:t>1</w:t>
            </w:r>
          </w:p>
        </w:tc>
      </w:tr>
      <w:tr w14:paraId="34059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3FB35BD5">
            <w:pPr>
              <w:pStyle w:val="25"/>
              <w:rPr>
                <w:b/>
                <w:i w:val="0"/>
                <w:iCs w:val="0"/>
                <w:color w:val="auto"/>
                <w:sz w:val="18"/>
              </w:rPr>
            </w:pPr>
          </w:p>
          <w:p w14:paraId="05247A14">
            <w:pPr>
              <w:pStyle w:val="25"/>
              <w:rPr>
                <w:b/>
                <w:i w:val="0"/>
                <w:iCs w:val="0"/>
                <w:color w:val="auto"/>
                <w:sz w:val="18"/>
              </w:rPr>
            </w:pPr>
          </w:p>
          <w:p w14:paraId="42789766">
            <w:pPr>
              <w:pStyle w:val="25"/>
              <w:spacing w:before="7"/>
              <w:rPr>
                <w:b/>
                <w:i w:val="0"/>
                <w:iCs w:val="0"/>
                <w:color w:val="auto"/>
                <w:sz w:val="23"/>
              </w:rPr>
            </w:pPr>
          </w:p>
          <w:p w14:paraId="074C66AD">
            <w:pPr>
              <w:pStyle w:val="25"/>
              <w:ind w:left="8"/>
              <w:jc w:val="center"/>
              <w:rPr>
                <w:i w:val="0"/>
                <w:iCs w:val="0"/>
                <w:color w:val="auto"/>
                <w:sz w:val="18"/>
              </w:rPr>
            </w:pPr>
            <w:r>
              <w:rPr>
                <w:i w:val="0"/>
                <w:iCs w:val="0"/>
                <w:color w:val="auto"/>
                <w:sz w:val="18"/>
              </w:rPr>
              <w:t>7</w:t>
            </w:r>
          </w:p>
        </w:tc>
        <w:tc>
          <w:tcPr>
            <w:tcW w:w="1001" w:type="dxa"/>
            <w:vMerge w:val="restart"/>
          </w:tcPr>
          <w:p w14:paraId="5F9685CF">
            <w:pPr>
              <w:pStyle w:val="25"/>
              <w:rPr>
                <w:b/>
                <w:i w:val="0"/>
                <w:iCs w:val="0"/>
                <w:color w:val="auto"/>
                <w:sz w:val="18"/>
              </w:rPr>
            </w:pPr>
          </w:p>
          <w:p w14:paraId="5EBF8C7F">
            <w:pPr>
              <w:pStyle w:val="25"/>
              <w:rPr>
                <w:b/>
                <w:i w:val="0"/>
                <w:iCs w:val="0"/>
                <w:color w:val="auto"/>
                <w:sz w:val="18"/>
              </w:rPr>
            </w:pPr>
          </w:p>
          <w:p w14:paraId="619B6276">
            <w:pPr>
              <w:pStyle w:val="25"/>
              <w:spacing w:before="7"/>
              <w:rPr>
                <w:b/>
                <w:i w:val="0"/>
                <w:iCs w:val="0"/>
                <w:color w:val="auto"/>
                <w:sz w:val="23"/>
              </w:rPr>
            </w:pPr>
          </w:p>
          <w:p w14:paraId="6293657E">
            <w:pPr>
              <w:pStyle w:val="25"/>
              <w:ind w:left="138"/>
              <w:rPr>
                <w:i w:val="0"/>
                <w:iCs w:val="0"/>
                <w:color w:val="auto"/>
                <w:sz w:val="18"/>
              </w:rPr>
            </w:pPr>
            <w:r>
              <w:rPr>
                <w:i w:val="0"/>
                <w:iCs w:val="0"/>
                <w:color w:val="auto"/>
                <w:spacing w:val="-3"/>
                <w:sz w:val="18"/>
              </w:rPr>
              <w:t>运管管理</w:t>
            </w:r>
          </w:p>
        </w:tc>
        <w:tc>
          <w:tcPr>
            <w:tcW w:w="6259" w:type="dxa"/>
            <w:gridSpan w:val="2"/>
          </w:tcPr>
          <w:p w14:paraId="010B952C">
            <w:pPr>
              <w:pStyle w:val="25"/>
              <w:spacing w:before="26"/>
              <w:ind w:left="2000" w:right="1994"/>
              <w:jc w:val="center"/>
              <w:rPr>
                <w:i w:val="0"/>
                <w:iCs w:val="0"/>
                <w:color w:val="auto"/>
                <w:sz w:val="18"/>
              </w:rPr>
            </w:pPr>
            <w:r>
              <w:rPr>
                <w:i w:val="0"/>
                <w:iCs w:val="0"/>
                <w:color w:val="auto"/>
                <w:spacing w:val="-3"/>
                <w:sz w:val="18"/>
              </w:rPr>
              <w:t>物资管理</w:t>
            </w:r>
          </w:p>
        </w:tc>
        <w:tc>
          <w:tcPr>
            <w:tcW w:w="350" w:type="dxa"/>
          </w:tcPr>
          <w:p w14:paraId="33AE2C4D">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341F30B">
            <w:pPr>
              <w:pStyle w:val="25"/>
              <w:spacing w:line="265" w:lineRule="exact"/>
              <w:ind w:right="98"/>
              <w:jc w:val="right"/>
              <w:rPr>
                <w:i w:val="0"/>
                <w:iCs w:val="0"/>
                <w:color w:val="auto"/>
                <w:sz w:val="18"/>
                <w:szCs w:val="18"/>
              </w:rPr>
            </w:pPr>
            <w:r>
              <w:rPr>
                <w:i w:val="0"/>
                <w:iCs w:val="0"/>
                <w:color w:val="auto"/>
                <w:sz w:val="18"/>
                <w:szCs w:val="18"/>
              </w:rPr>
              <w:t>1</w:t>
            </w:r>
          </w:p>
        </w:tc>
      </w:tr>
      <w:tr w14:paraId="5F45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E667D1F">
            <w:pPr>
              <w:rPr>
                <w:i w:val="0"/>
                <w:iCs w:val="0"/>
                <w:color w:val="auto"/>
                <w:sz w:val="2"/>
                <w:szCs w:val="2"/>
              </w:rPr>
            </w:pPr>
          </w:p>
        </w:tc>
        <w:tc>
          <w:tcPr>
            <w:tcW w:w="1001" w:type="dxa"/>
            <w:vMerge w:val="continue"/>
            <w:tcBorders>
              <w:top w:val="nil"/>
            </w:tcBorders>
          </w:tcPr>
          <w:p w14:paraId="5D049E6F">
            <w:pPr>
              <w:rPr>
                <w:i w:val="0"/>
                <w:iCs w:val="0"/>
                <w:color w:val="auto"/>
                <w:sz w:val="2"/>
                <w:szCs w:val="2"/>
              </w:rPr>
            </w:pPr>
          </w:p>
        </w:tc>
        <w:tc>
          <w:tcPr>
            <w:tcW w:w="6259" w:type="dxa"/>
            <w:gridSpan w:val="2"/>
          </w:tcPr>
          <w:p w14:paraId="183CDB51">
            <w:pPr>
              <w:pStyle w:val="25"/>
              <w:spacing w:before="26"/>
              <w:ind w:left="2000" w:right="1994"/>
              <w:jc w:val="center"/>
              <w:rPr>
                <w:i w:val="0"/>
                <w:iCs w:val="0"/>
                <w:color w:val="auto"/>
                <w:sz w:val="18"/>
              </w:rPr>
            </w:pPr>
            <w:r>
              <w:rPr>
                <w:i w:val="0"/>
                <w:iCs w:val="0"/>
                <w:color w:val="auto"/>
                <w:spacing w:val="-2"/>
                <w:sz w:val="18"/>
              </w:rPr>
              <w:t>高值耗材管理</w:t>
            </w:r>
          </w:p>
        </w:tc>
        <w:tc>
          <w:tcPr>
            <w:tcW w:w="350" w:type="dxa"/>
          </w:tcPr>
          <w:p w14:paraId="49724B64">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6754AD7E">
            <w:pPr>
              <w:pStyle w:val="25"/>
              <w:spacing w:line="265" w:lineRule="exact"/>
              <w:ind w:right="98"/>
              <w:jc w:val="right"/>
              <w:rPr>
                <w:i w:val="0"/>
                <w:iCs w:val="0"/>
                <w:color w:val="auto"/>
                <w:sz w:val="18"/>
                <w:szCs w:val="18"/>
              </w:rPr>
            </w:pPr>
            <w:r>
              <w:rPr>
                <w:i w:val="0"/>
                <w:iCs w:val="0"/>
                <w:color w:val="auto"/>
                <w:sz w:val="18"/>
                <w:szCs w:val="18"/>
              </w:rPr>
              <w:t>1</w:t>
            </w:r>
          </w:p>
        </w:tc>
      </w:tr>
      <w:tr w14:paraId="02A99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3B86657">
            <w:pPr>
              <w:rPr>
                <w:i w:val="0"/>
                <w:iCs w:val="0"/>
                <w:color w:val="auto"/>
                <w:sz w:val="2"/>
                <w:szCs w:val="2"/>
              </w:rPr>
            </w:pPr>
          </w:p>
        </w:tc>
        <w:tc>
          <w:tcPr>
            <w:tcW w:w="1001" w:type="dxa"/>
            <w:vMerge w:val="continue"/>
            <w:tcBorders>
              <w:top w:val="nil"/>
            </w:tcBorders>
          </w:tcPr>
          <w:p w14:paraId="58CD7272">
            <w:pPr>
              <w:rPr>
                <w:i w:val="0"/>
                <w:iCs w:val="0"/>
                <w:color w:val="auto"/>
                <w:sz w:val="2"/>
                <w:szCs w:val="2"/>
              </w:rPr>
            </w:pPr>
          </w:p>
        </w:tc>
        <w:tc>
          <w:tcPr>
            <w:tcW w:w="6259" w:type="dxa"/>
            <w:gridSpan w:val="2"/>
          </w:tcPr>
          <w:p w14:paraId="225D3025">
            <w:pPr>
              <w:pStyle w:val="25"/>
              <w:spacing w:before="26"/>
              <w:ind w:left="2000" w:right="1994"/>
              <w:jc w:val="center"/>
              <w:rPr>
                <w:i w:val="0"/>
                <w:iCs w:val="0"/>
                <w:color w:val="auto"/>
                <w:sz w:val="18"/>
              </w:rPr>
            </w:pPr>
            <w:r>
              <w:rPr>
                <w:i w:val="0"/>
                <w:iCs w:val="0"/>
                <w:color w:val="auto"/>
                <w:spacing w:val="-3"/>
                <w:sz w:val="18"/>
              </w:rPr>
              <w:t>资产管理</w:t>
            </w:r>
          </w:p>
        </w:tc>
        <w:tc>
          <w:tcPr>
            <w:tcW w:w="350" w:type="dxa"/>
          </w:tcPr>
          <w:p w14:paraId="4CFB7489">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45B1A4A7">
            <w:pPr>
              <w:pStyle w:val="25"/>
              <w:spacing w:line="265" w:lineRule="exact"/>
              <w:ind w:right="98"/>
              <w:jc w:val="right"/>
              <w:rPr>
                <w:i w:val="0"/>
                <w:iCs w:val="0"/>
                <w:color w:val="auto"/>
                <w:sz w:val="18"/>
                <w:szCs w:val="18"/>
              </w:rPr>
            </w:pPr>
            <w:r>
              <w:rPr>
                <w:i w:val="0"/>
                <w:iCs w:val="0"/>
                <w:color w:val="auto"/>
                <w:sz w:val="18"/>
                <w:szCs w:val="18"/>
              </w:rPr>
              <w:t>1</w:t>
            </w:r>
          </w:p>
        </w:tc>
      </w:tr>
      <w:tr w14:paraId="0251B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CD5F80B">
            <w:pPr>
              <w:rPr>
                <w:i w:val="0"/>
                <w:iCs w:val="0"/>
                <w:color w:val="auto"/>
                <w:sz w:val="2"/>
                <w:szCs w:val="2"/>
              </w:rPr>
            </w:pPr>
          </w:p>
        </w:tc>
        <w:tc>
          <w:tcPr>
            <w:tcW w:w="1001" w:type="dxa"/>
            <w:vMerge w:val="continue"/>
            <w:tcBorders>
              <w:top w:val="nil"/>
            </w:tcBorders>
          </w:tcPr>
          <w:p w14:paraId="4B529923">
            <w:pPr>
              <w:rPr>
                <w:i w:val="0"/>
                <w:iCs w:val="0"/>
                <w:color w:val="auto"/>
                <w:sz w:val="2"/>
                <w:szCs w:val="2"/>
              </w:rPr>
            </w:pPr>
          </w:p>
        </w:tc>
        <w:tc>
          <w:tcPr>
            <w:tcW w:w="1623" w:type="dxa"/>
            <w:vMerge w:val="restart"/>
          </w:tcPr>
          <w:p w14:paraId="4FAE9B30">
            <w:pPr>
              <w:pStyle w:val="25"/>
              <w:spacing w:before="6"/>
              <w:rPr>
                <w:b/>
                <w:i w:val="0"/>
                <w:iCs w:val="0"/>
                <w:color w:val="auto"/>
                <w:sz w:val="13"/>
              </w:rPr>
            </w:pPr>
          </w:p>
          <w:p w14:paraId="239ECC81">
            <w:pPr>
              <w:pStyle w:val="25"/>
              <w:ind w:left="270"/>
              <w:rPr>
                <w:i w:val="0"/>
                <w:iCs w:val="0"/>
                <w:color w:val="auto"/>
                <w:sz w:val="18"/>
              </w:rPr>
            </w:pPr>
            <w:r>
              <w:rPr>
                <w:i w:val="0"/>
                <w:iCs w:val="0"/>
                <w:color w:val="auto"/>
                <w:spacing w:val="-2"/>
                <w:sz w:val="18"/>
              </w:rPr>
              <w:t>财务管理系统</w:t>
            </w:r>
          </w:p>
        </w:tc>
        <w:tc>
          <w:tcPr>
            <w:tcW w:w="4636" w:type="dxa"/>
          </w:tcPr>
          <w:p w14:paraId="3F9BCEC3">
            <w:pPr>
              <w:pStyle w:val="25"/>
              <w:spacing w:before="26"/>
              <w:ind w:left="189" w:right="184"/>
              <w:jc w:val="center"/>
              <w:rPr>
                <w:i w:val="0"/>
                <w:iCs w:val="0"/>
                <w:color w:val="auto"/>
                <w:sz w:val="18"/>
              </w:rPr>
            </w:pPr>
            <w:r>
              <w:rPr>
                <w:i w:val="0"/>
                <w:iCs w:val="0"/>
                <w:color w:val="auto"/>
                <w:spacing w:val="-2"/>
                <w:sz w:val="18"/>
              </w:rPr>
              <w:t>财务管理系统对接</w:t>
            </w:r>
          </w:p>
        </w:tc>
        <w:tc>
          <w:tcPr>
            <w:tcW w:w="350" w:type="dxa"/>
          </w:tcPr>
          <w:p w14:paraId="7D0C65B1">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E92863B">
            <w:pPr>
              <w:pStyle w:val="25"/>
              <w:spacing w:line="265" w:lineRule="exact"/>
              <w:ind w:right="98"/>
              <w:jc w:val="right"/>
              <w:rPr>
                <w:i w:val="0"/>
                <w:iCs w:val="0"/>
                <w:color w:val="auto"/>
                <w:sz w:val="18"/>
                <w:szCs w:val="18"/>
              </w:rPr>
            </w:pPr>
            <w:r>
              <w:rPr>
                <w:i w:val="0"/>
                <w:iCs w:val="0"/>
                <w:color w:val="auto"/>
                <w:sz w:val="18"/>
                <w:szCs w:val="18"/>
              </w:rPr>
              <w:t>1</w:t>
            </w:r>
          </w:p>
        </w:tc>
      </w:tr>
      <w:tr w14:paraId="0816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E348564">
            <w:pPr>
              <w:rPr>
                <w:i w:val="0"/>
                <w:iCs w:val="0"/>
                <w:color w:val="auto"/>
                <w:sz w:val="2"/>
                <w:szCs w:val="2"/>
              </w:rPr>
            </w:pPr>
          </w:p>
        </w:tc>
        <w:tc>
          <w:tcPr>
            <w:tcW w:w="1001" w:type="dxa"/>
            <w:vMerge w:val="continue"/>
            <w:tcBorders>
              <w:top w:val="nil"/>
            </w:tcBorders>
          </w:tcPr>
          <w:p w14:paraId="3E56DAC1">
            <w:pPr>
              <w:rPr>
                <w:i w:val="0"/>
                <w:iCs w:val="0"/>
                <w:color w:val="auto"/>
                <w:sz w:val="2"/>
                <w:szCs w:val="2"/>
              </w:rPr>
            </w:pPr>
          </w:p>
        </w:tc>
        <w:tc>
          <w:tcPr>
            <w:tcW w:w="1623" w:type="dxa"/>
            <w:vMerge w:val="continue"/>
            <w:tcBorders>
              <w:top w:val="nil"/>
            </w:tcBorders>
          </w:tcPr>
          <w:p w14:paraId="2805235B">
            <w:pPr>
              <w:rPr>
                <w:i w:val="0"/>
                <w:iCs w:val="0"/>
                <w:color w:val="auto"/>
                <w:sz w:val="2"/>
                <w:szCs w:val="2"/>
              </w:rPr>
            </w:pPr>
          </w:p>
        </w:tc>
        <w:tc>
          <w:tcPr>
            <w:tcW w:w="4636" w:type="dxa"/>
          </w:tcPr>
          <w:p w14:paraId="273A47AC">
            <w:pPr>
              <w:pStyle w:val="25"/>
              <w:spacing w:before="26"/>
              <w:ind w:left="189" w:right="184"/>
              <w:jc w:val="center"/>
              <w:rPr>
                <w:i w:val="0"/>
                <w:iCs w:val="0"/>
                <w:color w:val="auto"/>
                <w:sz w:val="18"/>
              </w:rPr>
            </w:pPr>
            <w:r>
              <w:rPr>
                <w:i w:val="0"/>
                <w:iCs w:val="0"/>
                <w:color w:val="auto"/>
                <w:spacing w:val="-1"/>
                <w:sz w:val="18"/>
              </w:rPr>
              <w:t>全成本核算、预算系统</w:t>
            </w:r>
          </w:p>
        </w:tc>
        <w:tc>
          <w:tcPr>
            <w:tcW w:w="350" w:type="dxa"/>
          </w:tcPr>
          <w:p w14:paraId="3379EB3D">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044F458">
            <w:pPr>
              <w:pStyle w:val="25"/>
              <w:spacing w:line="265" w:lineRule="exact"/>
              <w:ind w:right="98"/>
              <w:jc w:val="right"/>
              <w:rPr>
                <w:i w:val="0"/>
                <w:iCs w:val="0"/>
                <w:color w:val="auto"/>
                <w:sz w:val="18"/>
                <w:szCs w:val="18"/>
              </w:rPr>
            </w:pPr>
            <w:r>
              <w:rPr>
                <w:i w:val="0"/>
                <w:iCs w:val="0"/>
                <w:color w:val="auto"/>
                <w:sz w:val="18"/>
                <w:szCs w:val="18"/>
              </w:rPr>
              <w:t>1</w:t>
            </w:r>
          </w:p>
        </w:tc>
      </w:tr>
      <w:tr w14:paraId="6DDB4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3FB39C8">
            <w:pPr>
              <w:rPr>
                <w:i w:val="0"/>
                <w:iCs w:val="0"/>
                <w:color w:val="auto"/>
                <w:sz w:val="2"/>
                <w:szCs w:val="2"/>
              </w:rPr>
            </w:pPr>
          </w:p>
        </w:tc>
        <w:tc>
          <w:tcPr>
            <w:tcW w:w="1001" w:type="dxa"/>
            <w:vMerge w:val="continue"/>
            <w:tcBorders>
              <w:top w:val="nil"/>
            </w:tcBorders>
          </w:tcPr>
          <w:p w14:paraId="7B803F75">
            <w:pPr>
              <w:rPr>
                <w:i w:val="0"/>
                <w:iCs w:val="0"/>
                <w:color w:val="auto"/>
                <w:sz w:val="2"/>
                <w:szCs w:val="2"/>
              </w:rPr>
            </w:pPr>
          </w:p>
        </w:tc>
        <w:tc>
          <w:tcPr>
            <w:tcW w:w="6259" w:type="dxa"/>
            <w:gridSpan w:val="2"/>
          </w:tcPr>
          <w:p w14:paraId="323E9A4B">
            <w:pPr>
              <w:pStyle w:val="25"/>
              <w:spacing w:before="26"/>
              <w:ind w:left="2002" w:right="1994"/>
              <w:jc w:val="center"/>
              <w:rPr>
                <w:i w:val="0"/>
                <w:iCs w:val="0"/>
                <w:color w:val="auto"/>
                <w:sz w:val="18"/>
              </w:rPr>
            </w:pPr>
            <w:r>
              <w:rPr>
                <w:i w:val="0"/>
                <w:iCs w:val="0"/>
                <w:color w:val="auto"/>
                <w:spacing w:val="-15"/>
                <w:sz w:val="18"/>
              </w:rPr>
              <w:t xml:space="preserve">办公 </w:t>
            </w:r>
            <w:r>
              <w:rPr>
                <w:i w:val="0"/>
                <w:iCs w:val="0"/>
                <w:color w:val="auto"/>
                <w:spacing w:val="-5"/>
                <w:sz w:val="18"/>
              </w:rPr>
              <w:t>OA</w:t>
            </w:r>
          </w:p>
        </w:tc>
        <w:tc>
          <w:tcPr>
            <w:tcW w:w="350" w:type="dxa"/>
          </w:tcPr>
          <w:p w14:paraId="0F573DAB">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99A876D">
            <w:pPr>
              <w:pStyle w:val="25"/>
              <w:spacing w:line="265" w:lineRule="exact"/>
              <w:ind w:right="98"/>
              <w:jc w:val="right"/>
              <w:rPr>
                <w:i w:val="0"/>
                <w:iCs w:val="0"/>
                <w:color w:val="auto"/>
                <w:sz w:val="18"/>
                <w:szCs w:val="18"/>
              </w:rPr>
            </w:pPr>
            <w:r>
              <w:rPr>
                <w:i w:val="0"/>
                <w:iCs w:val="0"/>
                <w:color w:val="auto"/>
                <w:sz w:val="18"/>
                <w:szCs w:val="18"/>
              </w:rPr>
              <w:t>1</w:t>
            </w:r>
          </w:p>
        </w:tc>
      </w:tr>
      <w:tr w14:paraId="141A5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456" w:type="dxa"/>
            <w:vMerge w:val="restart"/>
          </w:tcPr>
          <w:p w14:paraId="628F6D85">
            <w:pPr>
              <w:pStyle w:val="25"/>
              <w:rPr>
                <w:b/>
                <w:i w:val="0"/>
                <w:iCs w:val="0"/>
                <w:color w:val="auto"/>
                <w:sz w:val="18"/>
              </w:rPr>
            </w:pPr>
          </w:p>
          <w:p w14:paraId="57527F36">
            <w:pPr>
              <w:pStyle w:val="25"/>
              <w:rPr>
                <w:b/>
                <w:i w:val="0"/>
                <w:iCs w:val="0"/>
                <w:color w:val="auto"/>
                <w:sz w:val="18"/>
              </w:rPr>
            </w:pPr>
          </w:p>
          <w:p w14:paraId="37E14615">
            <w:pPr>
              <w:pStyle w:val="25"/>
              <w:rPr>
                <w:b/>
                <w:i w:val="0"/>
                <w:iCs w:val="0"/>
                <w:color w:val="auto"/>
                <w:sz w:val="18"/>
              </w:rPr>
            </w:pPr>
          </w:p>
          <w:p w14:paraId="79D99C9B">
            <w:pPr>
              <w:pStyle w:val="25"/>
              <w:rPr>
                <w:b/>
                <w:i w:val="0"/>
                <w:iCs w:val="0"/>
                <w:color w:val="auto"/>
                <w:sz w:val="18"/>
              </w:rPr>
            </w:pPr>
          </w:p>
          <w:p w14:paraId="3BBF6318">
            <w:pPr>
              <w:pStyle w:val="25"/>
              <w:rPr>
                <w:b/>
                <w:i w:val="0"/>
                <w:iCs w:val="0"/>
                <w:color w:val="auto"/>
                <w:sz w:val="18"/>
              </w:rPr>
            </w:pPr>
          </w:p>
          <w:p w14:paraId="63954409">
            <w:pPr>
              <w:pStyle w:val="25"/>
              <w:rPr>
                <w:b/>
                <w:i w:val="0"/>
                <w:iCs w:val="0"/>
                <w:color w:val="auto"/>
              </w:rPr>
            </w:pPr>
          </w:p>
          <w:p w14:paraId="22F20579">
            <w:pPr>
              <w:pStyle w:val="25"/>
              <w:ind w:left="8"/>
              <w:jc w:val="center"/>
              <w:rPr>
                <w:i w:val="0"/>
                <w:iCs w:val="0"/>
                <w:color w:val="auto"/>
                <w:sz w:val="18"/>
              </w:rPr>
            </w:pPr>
            <w:r>
              <w:rPr>
                <w:i w:val="0"/>
                <w:iCs w:val="0"/>
                <w:color w:val="auto"/>
                <w:sz w:val="18"/>
              </w:rPr>
              <w:t>8</w:t>
            </w:r>
          </w:p>
        </w:tc>
        <w:tc>
          <w:tcPr>
            <w:tcW w:w="1001" w:type="dxa"/>
            <w:vMerge w:val="restart"/>
          </w:tcPr>
          <w:p w14:paraId="6066F08C">
            <w:pPr>
              <w:pStyle w:val="25"/>
              <w:rPr>
                <w:b/>
                <w:i w:val="0"/>
                <w:iCs w:val="0"/>
                <w:color w:val="auto"/>
                <w:sz w:val="18"/>
              </w:rPr>
            </w:pPr>
          </w:p>
          <w:p w14:paraId="65F0D347">
            <w:pPr>
              <w:pStyle w:val="25"/>
              <w:rPr>
                <w:b/>
                <w:i w:val="0"/>
                <w:iCs w:val="0"/>
                <w:color w:val="auto"/>
                <w:sz w:val="18"/>
              </w:rPr>
            </w:pPr>
          </w:p>
          <w:p w14:paraId="3545EE1A">
            <w:pPr>
              <w:pStyle w:val="25"/>
              <w:rPr>
                <w:b/>
                <w:i w:val="0"/>
                <w:iCs w:val="0"/>
                <w:color w:val="auto"/>
                <w:sz w:val="18"/>
              </w:rPr>
            </w:pPr>
          </w:p>
          <w:p w14:paraId="14514000">
            <w:pPr>
              <w:pStyle w:val="25"/>
              <w:rPr>
                <w:b/>
                <w:i w:val="0"/>
                <w:iCs w:val="0"/>
                <w:color w:val="auto"/>
                <w:sz w:val="18"/>
              </w:rPr>
            </w:pPr>
          </w:p>
          <w:p w14:paraId="73EE9E96">
            <w:pPr>
              <w:pStyle w:val="25"/>
              <w:rPr>
                <w:b/>
                <w:i w:val="0"/>
                <w:iCs w:val="0"/>
                <w:color w:val="auto"/>
                <w:sz w:val="18"/>
              </w:rPr>
            </w:pPr>
          </w:p>
          <w:p w14:paraId="54A29EF6">
            <w:pPr>
              <w:pStyle w:val="25"/>
              <w:rPr>
                <w:b/>
                <w:i w:val="0"/>
                <w:iCs w:val="0"/>
                <w:color w:val="auto"/>
              </w:rPr>
            </w:pPr>
          </w:p>
          <w:p w14:paraId="1F2869D2">
            <w:pPr>
              <w:pStyle w:val="25"/>
              <w:ind w:left="138"/>
              <w:rPr>
                <w:i w:val="0"/>
                <w:iCs w:val="0"/>
                <w:color w:val="auto"/>
                <w:sz w:val="18"/>
              </w:rPr>
            </w:pPr>
            <w:r>
              <w:rPr>
                <w:i w:val="0"/>
                <w:iCs w:val="0"/>
                <w:color w:val="auto"/>
                <w:spacing w:val="-3"/>
                <w:sz w:val="18"/>
              </w:rPr>
              <w:t>统一接口</w:t>
            </w:r>
          </w:p>
        </w:tc>
        <w:tc>
          <w:tcPr>
            <w:tcW w:w="1623" w:type="dxa"/>
          </w:tcPr>
          <w:p w14:paraId="52C0FE1A">
            <w:pPr>
              <w:pStyle w:val="25"/>
              <w:rPr>
                <w:b/>
                <w:i w:val="0"/>
                <w:iCs w:val="0"/>
                <w:color w:val="auto"/>
                <w:sz w:val="18"/>
              </w:rPr>
            </w:pPr>
          </w:p>
          <w:p w14:paraId="124F9C89">
            <w:pPr>
              <w:pStyle w:val="25"/>
              <w:spacing w:before="119" w:line="244" w:lineRule="auto"/>
              <w:ind w:left="181" w:right="169"/>
              <w:jc w:val="center"/>
              <w:rPr>
                <w:i w:val="0"/>
                <w:iCs w:val="0"/>
                <w:color w:val="auto"/>
                <w:sz w:val="18"/>
              </w:rPr>
            </w:pPr>
            <w:r>
              <w:rPr>
                <w:i w:val="0"/>
                <w:iCs w:val="0"/>
                <w:color w:val="auto"/>
                <w:spacing w:val="-2"/>
                <w:sz w:val="18"/>
              </w:rPr>
              <w:t>医疗协同（中医院中心对接卫健委医网通）</w:t>
            </w:r>
          </w:p>
        </w:tc>
        <w:tc>
          <w:tcPr>
            <w:tcW w:w="4636" w:type="dxa"/>
            <w:vAlign w:val="center"/>
          </w:tcPr>
          <w:p w14:paraId="257FE27F">
            <w:pPr>
              <w:pStyle w:val="25"/>
              <w:spacing w:line="242" w:lineRule="auto"/>
              <w:ind w:left="193" w:right="184"/>
              <w:jc w:val="both"/>
              <w:rPr>
                <w:i w:val="0"/>
                <w:iCs w:val="0"/>
                <w:color w:val="auto"/>
                <w:sz w:val="18"/>
              </w:rPr>
            </w:pPr>
            <w:r>
              <w:rPr>
                <w:i w:val="0"/>
                <w:iCs w:val="0"/>
                <w:color w:val="auto"/>
                <w:spacing w:val="-2"/>
                <w:sz w:val="18"/>
              </w:rPr>
              <w:t>双向转诊对接、分级诊疗对接、远程影像对接、远程会诊对接（含远程会诊中心硬件）、集中审方对接、健康随访对接、临床检验对接、网络心电对接、消毒供应对接、药物配供对接、医护调度对接、区域共享</w:t>
            </w:r>
            <w:r>
              <w:rPr>
                <w:i w:val="0"/>
                <w:iCs w:val="0"/>
                <w:color w:val="auto"/>
                <w:sz w:val="18"/>
              </w:rPr>
              <w:t>中药房、其他对接等接口接入区域医共体平台（</w:t>
            </w:r>
            <w:r>
              <w:rPr>
                <w:i w:val="0"/>
                <w:iCs w:val="0"/>
                <w:color w:val="auto"/>
                <w:spacing w:val="-5"/>
                <w:sz w:val="18"/>
              </w:rPr>
              <w:t>符合</w:t>
            </w:r>
          </w:p>
          <w:p w14:paraId="3FC4AC62">
            <w:pPr>
              <w:pStyle w:val="25"/>
              <w:spacing w:before="2" w:line="215" w:lineRule="exact"/>
              <w:ind w:left="1362"/>
              <w:jc w:val="both"/>
              <w:rPr>
                <w:i w:val="0"/>
                <w:iCs w:val="0"/>
                <w:color w:val="auto"/>
                <w:sz w:val="18"/>
              </w:rPr>
            </w:pPr>
            <w:r>
              <w:rPr>
                <w:i w:val="0"/>
                <w:iCs w:val="0"/>
                <w:color w:val="auto"/>
                <w:sz w:val="18"/>
              </w:rPr>
              <w:t>“医网通”建设需求</w:t>
            </w:r>
            <w:r>
              <w:rPr>
                <w:i w:val="0"/>
                <w:iCs w:val="0"/>
                <w:color w:val="auto"/>
                <w:spacing w:val="-10"/>
                <w:sz w:val="18"/>
              </w:rPr>
              <w:t>）</w:t>
            </w:r>
          </w:p>
        </w:tc>
        <w:tc>
          <w:tcPr>
            <w:tcW w:w="350" w:type="dxa"/>
            <w:vAlign w:val="center"/>
          </w:tcPr>
          <w:p w14:paraId="5688C7CA">
            <w:pPr>
              <w:pStyle w:val="25"/>
              <w:jc w:val="center"/>
              <w:rPr>
                <w:b/>
                <w:i w:val="0"/>
                <w:iCs w:val="0"/>
                <w:color w:val="auto"/>
                <w:sz w:val="18"/>
                <w:szCs w:val="18"/>
              </w:rPr>
            </w:pPr>
          </w:p>
          <w:p w14:paraId="53D1B1AF">
            <w:pPr>
              <w:pStyle w:val="25"/>
              <w:jc w:val="center"/>
              <w:rPr>
                <w:b/>
                <w:i w:val="0"/>
                <w:iCs w:val="0"/>
                <w:color w:val="auto"/>
                <w:sz w:val="18"/>
                <w:szCs w:val="18"/>
              </w:rPr>
            </w:pPr>
          </w:p>
          <w:p w14:paraId="039D32CC">
            <w:pPr>
              <w:pStyle w:val="25"/>
              <w:jc w:val="center"/>
              <w:rPr>
                <w:b/>
                <w:i w:val="0"/>
                <w:iCs w:val="0"/>
                <w:color w:val="auto"/>
                <w:sz w:val="18"/>
                <w:szCs w:val="18"/>
              </w:rPr>
            </w:pPr>
          </w:p>
          <w:p w14:paraId="790D3E11">
            <w:pPr>
              <w:pStyle w:val="25"/>
              <w:jc w:val="center"/>
              <w:rPr>
                <w:b/>
                <w:i w:val="0"/>
                <w:iCs w:val="0"/>
                <w:color w:val="auto"/>
                <w:sz w:val="18"/>
                <w:szCs w:val="18"/>
              </w:rPr>
            </w:pPr>
          </w:p>
          <w:p w14:paraId="14499BD5">
            <w:pPr>
              <w:pStyle w:val="25"/>
              <w:spacing w:line="267" w:lineRule="exact"/>
              <w:ind w:right="8"/>
              <w:jc w:val="center"/>
              <w:rPr>
                <w:i w:val="0"/>
                <w:iCs w:val="0"/>
                <w:color w:val="auto"/>
                <w:sz w:val="18"/>
                <w:szCs w:val="18"/>
              </w:rPr>
            </w:pPr>
            <w:r>
              <w:rPr>
                <w:i w:val="0"/>
                <w:iCs w:val="0"/>
                <w:color w:val="auto"/>
                <w:sz w:val="18"/>
                <w:szCs w:val="18"/>
              </w:rPr>
              <w:t>项</w:t>
            </w:r>
          </w:p>
        </w:tc>
        <w:tc>
          <w:tcPr>
            <w:tcW w:w="458" w:type="dxa"/>
            <w:vAlign w:val="center"/>
          </w:tcPr>
          <w:p w14:paraId="5B5A3A89">
            <w:pPr>
              <w:pStyle w:val="25"/>
              <w:jc w:val="center"/>
              <w:rPr>
                <w:b/>
                <w:i w:val="0"/>
                <w:iCs w:val="0"/>
                <w:color w:val="auto"/>
                <w:sz w:val="18"/>
                <w:szCs w:val="18"/>
              </w:rPr>
            </w:pPr>
          </w:p>
          <w:p w14:paraId="411ABBBD">
            <w:pPr>
              <w:pStyle w:val="25"/>
              <w:jc w:val="center"/>
              <w:rPr>
                <w:b/>
                <w:i w:val="0"/>
                <w:iCs w:val="0"/>
                <w:color w:val="auto"/>
                <w:sz w:val="18"/>
                <w:szCs w:val="18"/>
              </w:rPr>
            </w:pPr>
          </w:p>
          <w:p w14:paraId="702C814F">
            <w:pPr>
              <w:pStyle w:val="25"/>
              <w:jc w:val="center"/>
              <w:rPr>
                <w:b/>
                <w:i w:val="0"/>
                <w:iCs w:val="0"/>
                <w:color w:val="auto"/>
                <w:sz w:val="18"/>
                <w:szCs w:val="18"/>
              </w:rPr>
            </w:pPr>
          </w:p>
          <w:p w14:paraId="2C2286D4">
            <w:pPr>
              <w:pStyle w:val="25"/>
              <w:jc w:val="center"/>
              <w:rPr>
                <w:b/>
                <w:i w:val="0"/>
                <w:iCs w:val="0"/>
                <w:color w:val="auto"/>
                <w:sz w:val="18"/>
                <w:szCs w:val="18"/>
              </w:rPr>
            </w:pPr>
          </w:p>
          <w:p w14:paraId="13E85E84">
            <w:pPr>
              <w:pStyle w:val="25"/>
              <w:spacing w:line="267" w:lineRule="exact"/>
              <w:ind w:right="98"/>
              <w:jc w:val="center"/>
              <w:rPr>
                <w:i w:val="0"/>
                <w:iCs w:val="0"/>
                <w:color w:val="auto"/>
                <w:sz w:val="18"/>
                <w:szCs w:val="18"/>
              </w:rPr>
            </w:pPr>
            <w:r>
              <w:rPr>
                <w:i w:val="0"/>
                <w:iCs w:val="0"/>
                <w:color w:val="auto"/>
                <w:sz w:val="18"/>
                <w:szCs w:val="18"/>
              </w:rPr>
              <w:t>1</w:t>
            </w:r>
          </w:p>
        </w:tc>
      </w:tr>
      <w:tr w14:paraId="1907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456" w:type="dxa"/>
            <w:vMerge w:val="continue"/>
          </w:tcPr>
          <w:p w14:paraId="7DABDB73">
            <w:pPr>
              <w:rPr>
                <w:i w:val="0"/>
                <w:iCs w:val="0"/>
                <w:color w:val="auto"/>
                <w:sz w:val="2"/>
                <w:szCs w:val="2"/>
              </w:rPr>
            </w:pPr>
          </w:p>
        </w:tc>
        <w:tc>
          <w:tcPr>
            <w:tcW w:w="1001" w:type="dxa"/>
            <w:vMerge w:val="continue"/>
          </w:tcPr>
          <w:p w14:paraId="7449CE15">
            <w:pPr>
              <w:rPr>
                <w:i w:val="0"/>
                <w:iCs w:val="0"/>
                <w:color w:val="auto"/>
                <w:sz w:val="2"/>
                <w:szCs w:val="2"/>
              </w:rPr>
            </w:pPr>
          </w:p>
        </w:tc>
        <w:tc>
          <w:tcPr>
            <w:tcW w:w="1623" w:type="dxa"/>
            <w:vMerge w:val="restart"/>
            <w:vAlign w:val="center"/>
          </w:tcPr>
          <w:p w14:paraId="302E072C">
            <w:pPr>
              <w:pStyle w:val="25"/>
              <w:spacing w:line="242" w:lineRule="auto"/>
              <w:ind w:left="181" w:right="169"/>
              <w:jc w:val="center"/>
              <w:rPr>
                <w:i w:val="0"/>
                <w:iCs w:val="0"/>
                <w:color w:val="auto"/>
                <w:spacing w:val="-2"/>
                <w:sz w:val="18"/>
              </w:rPr>
            </w:pPr>
            <w:r>
              <w:rPr>
                <w:i w:val="0"/>
                <w:iCs w:val="0"/>
                <w:color w:val="auto"/>
                <w:spacing w:val="-2"/>
                <w:sz w:val="18"/>
              </w:rPr>
              <w:t>上报及接口（包含且不限于所列</w:t>
            </w:r>
            <w:r>
              <w:rPr>
                <w:i w:val="0"/>
                <w:iCs w:val="0"/>
                <w:color w:val="auto"/>
                <w:spacing w:val="-4"/>
                <w:sz w:val="18"/>
              </w:rPr>
              <w:t>接口）</w:t>
            </w:r>
          </w:p>
        </w:tc>
        <w:tc>
          <w:tcPr>
            <w:tcW w:w="4636" w:type="dxa"/>
            <w:vAlign w:val="center"/>
          </w:tcPr>
          <w:p w14:paraId="3360326C">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康复管理系统接口</w:t>
            </w:r>
          </w:p>
        </w:tc>
        <w:tc>
          <w:tcPr>
            <w:tcW w:w="350" w:type="dxa"/>
          </w:tcPr>
          <w:p w14:paraId="4154C21A">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0AAD0030">
            <w:pPr>
              <w:pStyle w:val="25"/>
              <w:spacing w:line="267" w:lineRule="exact"/>
              <w:ind w:right="98"/>
              <w:jc w:val="right"/>
              <w:rPr>
                <w:i w:val="0"/>
                <w:iCs w:val="0"/>
                <w:color w:val="auto"/>
                <w:sz w:val="18"/>
                <w:szCs w:val="18"/>
              </w:rPr>
            </w:pPr>
            <w:r>
              <w:rPr>
                <w:i w:val="0"/>
                <w:iCs w:val="0"/>
                <w:color w:val="auto"/>
                <w:sz w:val="18"/>
                <w:szCs w:val="18"/>
              </w:rPr>
              <w:t>1</w:t>
            </w:r>
          </w:p>
        </w:tc>
      </w:tr>
      <w:tr w14:paraId="7834C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456" w:type="dxa"/>
            <w:vMerge w:val="continue"/>
          </w:tcPr>
          <w:p w14:paraId="593C0789">
            <w:pPr>
              <w:rPr>
                <w:i w:val="0"/>
                <w:iCs w:val="0"/>
                <w:color w:val="auto"/>
                <w:sz w:val="2"/>
                <w:szCs w:val="2"/>
              </w:rPr>
            </w:pPr>
          </w:p>
        </w:tc>
        <w:tc>
          <w:tcPr>
            <w:tcW w:w="1001" w:type="dxa"/>
            <w:vMerge w:val="continue"/>
          </w:tcPr>
          <w:p w14:paraId="51C9D5B1">
            <w:pPr>
              <w:rPr>
                <w:i w:val="0"/>
                <w:iCs w:val="0"/>
                <w:color w:val="auto"/>
                <w:sz w:val="2"/>
                <w:szCs w:val="2"/>
              </w:rPr>
            </w:pPr>
          </w:p>
        </w:tc>
        <w:tc>
          <w:tcPr>
            <w:tcW w:w="1623" w:type="dxa"/>
            <w:vMerge w:val="continue"/>
          </w:tcPr>
          <w:p w14:paraId="7B328042">
            <w:pPr>
              <w:pStyle w:val="25"/>
              <w:spacing w:line="242" w:lineRule="auto"/>
              <w:ind w:left="181" w:right="169"/>
              <w:jc w:val="center"/>
              <w:rPr>
                <w:i w:val="0"/>
                <w:iCs w:val="0"/>
                <w:color w:val="auto"/>
                <w:spacing w:val="-2"/>
                <w:sz w:val="18"/>
              </w:rPr>
            </w:pPr>
          </w:p>
        </w:tc>
        <w:tc>
          <w:tcPr>
            <w:tcW w:w="4636" w:type="dxa"/>
            <w:vAlign w:val="center"/>
          </w:tcPr>
          <w:p w14:paraId="1D1719A8">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医废管理系统接口</w:t>
            </w:r>
          </w:p>
        </w:tc>
        <w:tc>
          <w:tcPr>
            <w:tcW w:w="350" w:type="dxa"/>
            <w:shd w:val="clear" w:color="auto" w:fill="auto"/>
            <w:vAlign w:val="top"/>
          </w:tcPr>
          <w:p w14:paraId="0F2464C6">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6820B558">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642FE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EEE49A0">
            <w:pPr>
              <w:rPr>
                <w:i w:val="0"/>
                <w:iCs w:val="0"/>
                <w:color w:val="auto"/>
                <w:sz w:val="2"/>
                <w:szCs w:val="2"/>
              </w:rPr>
            </w:pPr>
          </w:p>
        </w:tc>
        <w:tc>
          <w:tcPr>
            <w:tcW w:w="1001" w:type="dxa"/>
            <w:vMerge w:val="continue"/>
          </w:tcPr>
          <w:p w14:paraId="3D63E2A1">
            <w:pPr>
              <w:rPr>
                <w:i w:val="0"/>
                <w:iCs w:val="0"/>
                <w:color w:val="auto"/>
                <w:sz w:val="2"/>
                <w:szCs w:val="2"/>
              </w:rPr>
            </w:pPr>
          </w:p>
        </w:tc>
        <w:tc>
          <w:tcPr>
            <w:tcW w:w="1623" w:type="dxa"/>
            <w:vMerge w:val="continue"/>
          </w:tcPr>
          <w:p w14:paraId="3BD52978">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6C7E5059">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自助发药机分包机接口</w:t>
            </w:r>
          </w:p>
        </w:tc>
        <w:tc>
          <w:tcPr>
            <w:tcW w:w="350" w:type="dxa"/>
            <w:shd w:val="clear" w:color="auto" w:fill="auto"/>
            <w:vAlign w:val="top"/>
          </w:tcPr>
          <w:p w14:paraId="52883491">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40C370BA">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73E67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4A87CEC">
            <w:pPr>
              <w:rPr>
                <w:i w:val="0"/>
                <w:iCs w:val="0"/>
                <w:color w:val="auto"/>
                <w:sz w:val="2"/>
                <w:szCs w:val="2"/>
              </w:rPr>
            </w:pPr>
          </w:p>
        </w:tc>
        <w:tc>
          <w:tcPr>
            <w:tcW w:w="1001" w:type="dxa"/>
            <w:vMerge w:val="continue"/>
          </w:tcPr>
          <w:p w14:paraId="09CED922">
            <w:pPr>
              <w:rPr>
                <w:i w:val="0"/>
                <w:iCs w:val="0"/>
                <w:color w:val="auto"/>
                <w:sz w:val="2"/>
                <w:szCs w:val="2"/>
              </w:rPr>
            </w:pPr>
          </w:p>
        </w:tc>
        <w:tc>
          <w:tcPr>
            <w:tcW w:w="1623" w:type="dxa"/>
            <w:vMerge w:val="continue"/>
          </w:tcPr>
          <w:p w14:paraId="734499E6">
            <w:pPr>
              <w:pStyle w:val="25"/>
              <w:spacing w:line="242" w:lineRule="auto"/>
              <w:ind w:left="181" w:right="169"/>
              <w:jc w:val="center"/>
              <w:rPr>
                <w:i w:val="0"/>
                <w:iCs w:val="0"/>
                <w:color w:val="auto"/>
                <w:spacing w:val="-2"/>
                <w:sz w:val="18"/>
              </w:rPr>
            </w:pPr>
          </w:p>
        </w:tc>
        <w:tc>
          <w:tcPr>
            <w:tcW w:w="4636" w:type="dxa"/>
            <w:vAlign w:val="center"/>
          </w:tcPr>
          <w:p w14:paraId="1B23C0E9">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排队叫号接口</w:t>
            </w:r>
          </w:p>
        </w:tc>
        <w:tc>
          <w:tcPr>
            <w:tcW w:w="350" w:type="dxa"/>
            <w:shd w:val="clear" w:color="auto" w:fill="auto"/>
            <w:vAlign w:val="top"/>
          </w:tcPr>
          <w:p w14:paraId="6689980D">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71E29717">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1F415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6053065">
            <w:pPr>
              <w:rPr>
                <w:i w:val="0"/>
                <w:iCs w:val="0"/>
                <w:color w:val="auto"/>
                <w:sz w:val="2"/>
                <w:szCs w:val="2"/>
              </w:rPr>
            </w:pPr>
          </w:p>
        </w:tc>
        <w:tc>
          <w:tcPr>
            <w:tcW w:w="1001" w:type="dxa"/>
            <w:vMerge w:val="continue"/>
          </w:tcPr>
          <w:p w14:paraId="2CDA439C">
            <w:pPr>
              <w:rPr>
                <w:i w:val="0"/>
                <w:iCs w:val="0"/>
                <w:color w:val="auto"/>
                <w:sz w:val="2"/>
                <w:szCs w:val="2"/>
              </w:rPr>
            </w:pPr>
          </w:p>
        </w:tc>
        <w:tc>
          <w:tcPr>
            <w:tcW w:w="1623" w:type="dxa"/>
            <w:vMerge w:val="continue"/>
          </w:tcPr>
          <w:p w14:paraId="40D35737">
            <w:pPr>
              <w:pStyle w:val="25"/>
              <w:spacing w:line="242" w:lineRule="auto"/>
              <w:ind w:left="181" w:right="169"/>
              <w:jc w:val="center"/>
              <w:rPr>
                <w:i w:val="0"/>
                <w:iCs w:val="0"/>
                <w:color w:val="auto"/>
                <w:spacing w:val="-2"/>
                <w:sz w:val="18"/>
              </w:rPr>
            </w:pPr>
          </w:p>
        </w:tc>
        <w:tc>
          <w:tcPr>
            <w:tcW w:w="4636" w:type="dxa"/>
            <w:vAlign w:val="center"/>
          </w:tcPr>
          <w:p w14:paraId="39461A67">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治未病诊疗系统接口</w:t>
            </w:r>
          </w:p>
        </w:tc>
        <w:tc>
          <w:tcPr>
            <w:tcW w:w="350" w:type="dxa"/>
            <w:shd w:val="clear" w:color="auto" w:fill="auto"/>
            <w:vAlign w:val="top"/>
          </w:tcPr>
          <w:p w14:paraId="6B3FEE33">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24C45F72">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38E9B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073A983B">
            <w:pPr>
              <w:rPr>
                <w:i w:val="0"/>
                <w:iCs w:val="0"/>
                <w:color w:val="auto"/>
                <w:sz w:val="2"/>
                <w:szCs w:val="2"/>
              </w:rPr>
            </w:pPr>
          </w:p>
        </w:tc>
        <w:tc>
          <w:tcPr>
            <w:tcW w:w="1001" w:type="dxa"/>
            <w:vMerge w:val="continue"/>
          </w:tcPr>
          <w:p w14:paraId="00CC0B9E">
            <w:pPr>
              <w:rPr>
                <w:i w:val="0"/>
                <w:iCs w:val="0"/>
                <w:color w:val="auto"/>
                <w:sz w:val="2"/>
                <w:szCs w:val="2"/>
              </w:rPr>
            </w:pPr>
          </w:p>
        </w:tc>
        <w:tc>
          <w:tcPr>
            <w:tcW w:w="1623" w:type="dxa"/>
            <w:vMerge w:val="continue"/>
          </w:tcPr>
          <w:p w14:paraId="14D4150D">
            <w:pPr>
              <w:pStyle w:val="25"/>
              <w:spacing w:line="242" w:lineRule="auto"/>
              <w:ind w:left="181" w:right="169"/>
              <w:jc w:val="center"/>
              <w:rPr>
                <w:i w:val="0"/>
                <w:iCs w:val="0"/>
                <w:color w:val="auto"/>
                <w:spacing w:val="-2"/>
                <w:sz w:val="18"/>
              </w:rPr>
            </w:pPr>
          </w:p>
        </w:tc>
        <w:tc>
          <w:tcPr>
            <w:tcW w:w="4636" w:type="dxa"/>
            <w:vAlign w:val="center"/>
          </w:tcPr>
          <w:p w14:paraId="02174585">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发热门诊医疗服务监测接口</w:t>
            </w:r>
          </w:p>
        </w:tc>
        <w:tc>
          <w:tcPr>
            <w:tcW w:w="350" w:type="dxa"/>
            <w:shd w:val="clear" w:color="auto" w:fill="auto"/>
            <w:vAlign w:val="top"/>
          </w:tcPr>
          <w:p w14:paraId="001F23BD">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075C86DC">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29418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58E226C">
            <w:pPr>
              <w:rPr>
                <w:i w:val="0"/>
                <w:iCs w:val="0"/>
                <w:color w:val="auto"/>
                <w:sz w:val="2"/>
                <w:szCs w:val="2"/>
              </w:rPr>
            </w:pPr>
          </w:p>
        </w:tc>
        <w:tc>
          <w:tcPr>
            <w:tcW w:w="1001" w:type="dxa"/>
            <w:vMerge w:val="continue"/>
          </w:tcPr>
          <w:p w14:paraId="725DB5C4">
            <w:pPr>
              <w:rPr>
                <w:i w:val="0"/>
                <w:iCs w:val="0"/>
                <w:color w:val="auto"/>
                <w:sz w:val="2"/>
                <w:szCs w:val="2"/>
              </w:rPr>
            </w:pPr>
          </w:p>
        </w:tc>
        <w:tc>
          <w:tcPr>
            <w:tcW w:w="1623" w:type="dxa"/>
            <w:vMerge w:val="continue"/>
          </w:tcPr>
          <w:p w14:paraId="1EDF0311">
            <w:pPr>
              <w:pStyle w:val="25"/>
              <w:spacing w:line="242" w:lineRule="auto"/>
              <w:ind w:left="181" w:right="169"/>
              <w:jc w:val="center"/>
              <w:rPr>
                <w:i w:val="0"/>
                <w:iCs w:val="0"/>
                <w:color w:val="auto"/>
                <w:spacing w:val="-2"/>
                <w:sz w:val="18"/>
              </w:rPr>
            </w:pPr>
          </w:p>
        </w:tc>
        <w:tc>
          <w:tcPr>
            <w:tcW w:w="4636" w:type="dxa"/>
            <w:vAlign w:val="center"/>
          </w:tcPr>
          <w:p w14:paraId="62011EFA">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省阳光采购平台招采子系统（含网采率上报）</w:t>
            </w:r>
          </w:p>
        </w:tc>
        <w:tc>
          <w:tcPr>
            <w:tcW w:w="350" w:type="dxa"/>
            <w:shd w:val="clear" w:color="auto" w:fill="auto"/>
            <w:vAlign w:val="top"/>
          </w:tcPr>
          <w:p w14:paraId="375EEAA1">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7DBD8A10">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78CDA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 w:hRule="atLeast"/>
        </w:trPr>
        <w:tc>
          <w:tcPr>
            <w:tcW w:w="456" w:type="dxa"/>
            <w:vMerge w:val="continue"/>
          </w:tcPr>
          <w:p w14:paraId="4A463A07">
            <w:pPr>
              <w:rPr>
                <w:i w:val="0"/>
                <w:iCs w:val="0"/>
                <w:color w:val="auto"/>
                <w:sz w:val="2"/>
                <w:szCs w:val="2"/>
              </w:rPr>
            </w:pPr>
          </w:p>
        </w:tc>
        <w:tc>
          <w:tcPr>
            <w:tcW w:w="1001" w:type="dxa"/>
            <w:vMerge w:val="continue"/>
          </w:tcPr>
          <w:p w14:paraId="1D11F306">
            <w:pPr>
              <w:rPr>
                <w:i w:val="0"/>
                <w:iCs w:val="0"/>
                <w:color w:val="auto"/>
                <w:sz w:val="2"/>
                <w:szCs w:val="2"/>
              </w:rPr>
            </w:pPr>
          </w:p>
        </w:tc>
        <w:tc>
          <w:tcPr>
            <w:tcW w:w="1623" w:type="dxa"/>
            <w:vMerge w:val="continue"/>
          </w:tcPr>
          <w:p w14:paraId="67EF19E3">
            <w:pPr>
              <w:pStyle w:val="25"/>
              <w:spacing w:line="242" w:lineRule="auto"/>
              <w:ind w:left="181" w:right="169"/>
              <w:jc w:val="center"/>
              <w:rPr>
                <w:i w:val="0"/>
                <w:iCs w:val="0"/>
                <w:color w:val="auto"/>
                <w:spacing w:val="-2"/>
                <w:sz w:val="18"/>
              </w:rPr>
            </w:pPr>
          </w:p>
        </w:tc>
        <w:tc>
          <w:tcPr>
            <w:tcW w:w="4636" w:type="dxa"/>
            <w:vAlign w:val="center"/>
          </w:tcPr>
          <w:p w14:paraId="5CFBD010">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省健康信息管理平台</w:t>
            </w:r>
          </w:p>
        </w:tc>
        <w:tc>
          <w:tcPr>
            <w:tcW w:w="350" w:type="dxa"/>
            <w:shd w:val="clear" w:color="auto" w:fill="auto"/>
            <w:vAlign w:val="top"/>
          </w:tcPr>
          <w:p w14:paraId="64FC6BE0">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280AE3F3">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D1F5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456" w:type="dxa"/>
            <w:vMerge w:val="continue"/>
          </w:tcPr>
          <w:p w14:paraId="2828473E">
            <w:pPr>
              <w:rPr>
                <w:i w:val="0"/>
                <w:iCs w:val="0"/>
                <w:color w:val="auto"/>
                <w:sz w:val="2"/>
                <w:szCs w:val="2"/>
              </w:rPr>
            </w:pPr>
          </w:p>
        </w:tc>
        <w:tc>
          <w:tcPr>
            <w:tcW w:w="1001" w:type="dxa"/>
            <w:vMerge w:val="continue"/>
          </w:tcPr>
          <w:p w14:paraId="27F0F491">
            <w:pPr>
              <w:rPr>
                <w:i w:val="0"/>
                <w:iCs w:val="0"/>
                <w:color w:val="auto"/>
                <w:sz w:val="2"/>
                <w:szCs w:val="2"/>
              </w:rPr>
            </w:pPr>
          </w:p>
        </w:tc>
        <w:tc>
          <w:tcPr>
            <w:tcW w:w="1623" w:type="dxa"/>
            <w:vMerge w:val="continue"/>
          </w:tcPr>
          <w:p w14:paraId="7381A444">
            <w:pPr>
              <w:pStyle w:val="25"/>
              <w:spacing w:line="242" w:lineRule="auto"/>
              <w:ind w:left="181" w:right="169"/>
              <w:jc w:val="center"/>
              <w:rPr>
                <w:i w:val="0"/>
                <w:iCs w:val="0"/>
                <w:color w:val="auto"/>
                <w:spacing w:val="-2"/>
                <w:sz w:val="18"/>
              </w:rPr>
            </w:pPr>
          </w:p>
        </w:tc>
        <w:tc>
          <w:tcPr>
            <w:tcW w:w="4636" w:type="dxa"/>
            <w:vAlign w:val="center"/>
          </w:tcPr>
          <w:p w14:paraId="4E4055F1">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省影像云</w:t>
            </w:r>
          </w:p>
        </w:tc>
        <w:tc>
          <w:tcPr>
            <w:tcW w:w="350" w:type="dxa"/>
            <w:shd w:val="clear" w:color="auto" w:fill="auto"/>
            <w:vAlign w:val="top"/>
          </w:tcPr>
          <w:p w14:paraId="118AF1E6">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53DD92AC">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1BA7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47765F6">
            <w:pPr>
              <w:rPr>
                <w:i w:val="0"/>
                <w:iCs w:val="0"/>
                <w:color w:val="auto"/>
                <w:sz w:val="2"/>
                <w:szCs w:val="2"/>
              </w:rPr>
            </w:pPr>
          </w:p>
        </w:tc>
        <w:tc>
          <w:tcPr>
            <w:tcW w:w="1001" w:type="dxa"/>
            <w:vMerge w:val="continue"/>
          </w:tcPr>
          <w:p w14:paraId="5DD46597">
            <w:pPr>
              <w:rPr>
                <w:i w:val="0"/>
                <w:iCs w:val="0"/>
                <w:color w:val="auto"/>
                <w:sz w:val="2"/>
                <w:szCs w:val="2"/>
              </w:rPr>
            </w:pPr>
          </w:p>
        </w:tc>
        <w:tc>
          <w:tcPr>
            <w:tcW w:w="1623" w:type="dxa"/>
            <w:vMerge w:val="continue"/>
          </w:tcPr>
          <w:p w14:paraId="3E67D405">
            <w:pPr>
              <w:pStyle w:val="25"/>
              <w:spacing w:line="242" w:lineRule="auto"/>
              <w:ind w:left="181" w:right="169"/>
              <w:jc w:val="center"/>
              <w:rPr>
                <w:i w:val="0"/>
                <w:iCs w:val="0"/>
                <w:color w:val="auto"/>
                <w:spacing w:val="-2"/>
                <w:sz w:val="18"/>
              </w:rPr>
            </w:pPr>
          </w:p>
        </w:tc>
        <w:tc>
          <w:tcPr>
            <w:tcW w:w="4636" w:type="dxa"/>
            <w:vAlign w:val="center"/>
          </w:tcPr>
          <w:p w14:paraId="651E5CA1">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省妇幼系统接口</w:t>
            </w:r>
          </w:p>
        </w:tc>
        <w:tc>
          <w:tcPr>
            <w:tcW w:w="350" w:type="dxa"/>
            <w:vAlign w:val="top"/>
          </w:tcPr>
          <w:p w14:paraId="303A43D7">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4393C8A1">
            <w:pPr>
              <w:pStyle w:val="25"/>
              <w:spacing w:line="267" w:lineRule="exact"/>
              <w:ind w:right="98" w:rightChars="0"/>
              <w:jc w:val="right"/>
              <w:rPr>
                <w:i w:val="0"/>
                <w:iCs w:val="0"/>
                <w:color w:val="auto"/>
                <w:sz w:val="18"/>
                <w:szCs w:val="18"/>
              </w:rPr>
            </w:pPr>
            <w:r>
              <w:rPr>
                <w:i w:val="0"/>
                <w:iCs w:val="0"/>
                <w:color w:val="auto"/>
                <w:sz w:val="18"/>
                <w:szCs w:val="18"/>
              </w:rPr>
              <w:t>1</w:t>
            </w:r>
          </w:p>
        </w:tc>
      </w:tr>
      <w:tr w14:paraId="32524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0FB34078">
            <w:pPr>
              <w:rPr>
                <w:i w:val="0"/>
                <w:iCs w:val="0"/>
                <w:color w:val="auto"/>
                <w:sz w:val="2"/>
                <w:szCs w:val="2"/>
              </w:rPr>
            </w:pPr>
          </w:p>
        </w:tc>
        <w:tc>
          <w:tcPr>
            <w:tcW w:w="1001" w:type="dxa"/>
            <w:vMerge w:val="continue"/>
          </w:tcPr>
          <w:p w14:paraId="14EC30DE">
            <w:pPr>
              <w:rPr>
                <w:i w:val="0"/>
                <w:iCs w:val="0"/>
                <w:color w:val="auto"/>
                <w:sz w:val="2"/>
                <w:szCs w:val="2"/>
              </w:rPr>
            </w:pPr>
          </w:p>
        </w:tc>
        <w:tc>
          <w:tcPr>
            <w:tcW w:w="1623" w:type="dxa"/>
            <w:vMerge w:val="continue"/>
          </w:tcPr>
          <w:p w14:paraId="0B116CCC">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140FAC2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医保结算清单上报</w:t>
            </w:r>
          </w:p>
        </w:tc>
        <w:tc>
          <w:tcPr>
            <w:tcW w:w="350" w:type="dxa"/>
            <w:vAlign w:val="top"/>
          </w:tcPr>
          <w:p w14:paraId="4E786730">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335B5DF3">
            <w:pPr>
              <w:pStyle w:val="25"/>
              <w:spacing w:line="267" w:lineRule="exact"/>
              <w:ind w:right="98" w:rightChars="0"/>
              <w:jc w:val="right"/>
              <w:rPr>
                <w:i w:val="0"/>
                <w:iCs w:val="0"/>
                <w:color w:val="auto"/>
                <w:sz w:val="18"/>
                <w:szCs w:val="18"/>
              </w:rPr>
            </w:pPr>
            <w:r>
              <w:rPr>
                <w:i w:val="0"/>
                <w:iCs w:val="0"/>
                <w:color w:val="auto"/>
                <w:sz w:val="18"/>
                <w:szCs w:val="18"/>
              </w:rPr>
              <w:t>1</w:t>
            </w:r>
          </w:p>
        </w:tc>
      </w:tr>
      <w:tr w14:paraId="48345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F48B36B">
            <w:pPr>
              <w:rPr>
                <w:i w:val="0"/>
                <w:iCs w:val="0"/>
                <w:color w:val="auto"/>
                <w:sz w:val="2"/>
                <w:szCs w:val="2"/>
              </w:rPr>
            </w:pPr>
          </w:p>
        </w:tc>
        <w:tc>
          <w:tcPr>
            <w:tcW w:w="1001" w:type="dxa"/>
            <w:vMerge w:val="continue"/>
          </w:tcPr>
          <w:p w14:paraId="6A532657">
            <w:pPr>
              <w:rPr>
                <w:i w:val="0"/>
                <w:iCs w:val="0"/>
                <w:color w:val="auto"/>
                <w:sz w:val="2"/>
                <w:szCs w:val="2"/>
              </w:rPr>
            </w:pPr>
          </w:p>
        </w:tc>
        <w:tc>
          <w:tcPr>
            <w:tcW w:w="1623" w:type="dxa"/>
            <w:vMerge w:val="continue"/>
          </w:tcPr>
          <w:p w14:paraId="467C2E9D">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68E4A7E0">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公立医院绩效考核上报</w:t>
            </w:r>
          </w:p>
        </w:tc>
        <w:tc>
          <w:tcPr>
            <w:tcW w:w="350" w:type="dxa"/>
            <w:vAlign w:val="top"/>
          </w:tcPr>
          <w:p w14:paraId="3C150968">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1134CB7D">
            <w:pPr>
              <w:pStyle w:val="25"/>
              <w:spacing w:line="267" w:lineRule="exact"/>
              <w:ind w:right="98" w:rightChars="0"/>
              <w:jc w:val="right"/>
              <w:rPr>
                <w:i w:val="0"/>
                <w:iCs w:val="0"/>
                <w:color w:val="auto"/>
                <w:sz w:val="18"/>
                <w:szCs w:val="18"/>
              </w:rPr>
            </w:pPr>
            <w:r>
              <w:rPr>
                <w:i w:val="0"/>
                <w:iCs w:val="0"/>
                <w:color w:val="auto"/>
                <w:sz w:val="18"/>
                <w:szCs w:val="18"/>
              </w:rPr>
              <w:t>1</w:t>
            </w:r>
          </w:p>
        </w:tc>
      </w:tr>
      <w:tr w14:paraId="15D9F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71C5D82">
            <w:pPr>
              <w:rPr>
                <w:i w:val="0"/>
                <w:iCs w:val="0"/>
                <w:color w:val="auto"/>
                <w:sz w:val="2"/>
                <w:szCs w:val="2"/>
              </w:rPr>
            </w:pPr>
          </w:p>
        </w:tc>
        <w:tc>
          <w:tcPr>
            <w:tcW w:w="1001" w:type="dxa"/>
            <w:vMerge w:val="continue"/>
          </w:tcPr>
          <w:p w14:paraId="56884FC6">
            <w:pPr>
              <w:rPr>
                <w:i w:val="0"/>
                <w:iCs w:val="0"/>
                <w:color w:val="auto"/>
                <w:sz w:val="2"/>
                <w:szCs w:val="2"/>
              </w:rPr>
            </w:pPr>
          </w:p>
        </w:tc>
        <w:tc>
          <w:tcPr>
            <w:tcW w:w="1623" w:type="dxa"/>
            <w:vMerge w:val="continue"/>
          </w:tcPr>
          <w:p w14:paraId="0FAA5EFA">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3750FA49">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省卫统上报</w:t>
            </w:r>
          </w:p>
        </w:tc>
        <w:tc>
          <w:tcPr>
            <w:tcW w:w="350" w:type="dxa"/>
            <w:vAlign w:val="top"/>
          </w:tcPr>
          <w:p w14:paraId="40C4106F">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3B6AA873">
            <w:pPr>
              <w:pStyle w:val="25"/>
              <w:spacing w:line="267" w:lineRule="exact"/>
              <w:ind w:right="98" w:rightChars="0"/>
              <w:jc w:val="right"/>
              <w:rPr>
                <w:i w:val="0"/>
                <w:iCs w:val="0"/>
                <w:color w:val="auto"/>
                <w:sz w:val="18"/>
                <w:szCs w:val="18"/>
              </w:rPr>
            </w:pPr>
            <w:r>
              <w:rPr>
                <w:i w:val="0"/>
                <w:iCs w:val="0"/>
                <w:color w:val="auto"/>
                <w:sz w:val="18"/>
                <w:szCs w:val="18"/>
              </w:rPr>
              <w:t>1</w:t>
            </w:r>
          </w:p>
        </w:tc>
      </w:tr>
      <w:tr w14:paraId="51E36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04FC751">
            <w:pPr>
              <w:pStyle w:val="25"/>
              <w:rPr>
                <w:rFonts w:ascii="Times New Roman"/>
                <w:i w:val="0"/>
                <w:iCs w:val="0"/>
                <w:color w:val="auto"/>
                <w:sz w:val="18"/>
              </w:rPr>
            </w:pPr>
          </w:p>
        </w:tc>
        <w:tc>
          <w:tcPr>
            <w:tcW w:w="1001" w:type="dxa"/>
            <w:vMerge w:val="continue"/>
          </w:tcPr>
          <w:p w14:paraId="59FA0604">
            <w:pPr>
              <w:pStyle w:val="25"/>
              <w:rPr>
                <w:rFonts w:ascii="Times New Roman"/>
                <w:i w:val="0"/>
                <w:iCs w:val="0"/>
                <w:color w:val="auto"/>
                <w:sz w:val="18"/>
              </w:rPr>
            </w:pPr>
          </w:p>
        </w:tc>
        <w:tc>
          <w:tcPr>
            <w:tcW w:w="1623" w:type="dxa"/>
            <w:vMerge w:val="continue"/>
          </w:tcPr>
          <w:p w14:paraId="4379866B">
            <w:pPr>
              <w:pStyle w:val="25"/>
              <w:rPr>
                <w:rFonts w:ascii="Times New Roman"/>
                <w:i w:val="0"/>
                <w:iCs w:val="0"/>
                <w:color w:val="auto"/>
                <w:sz w:val="18"/>
              </w:rPr>
            </w:pPr>
          </w:p>
        </w:tc>
        <w:tc>
          <w:tcPr>
            <w:tcW w:w="4636" w:type="dxa"/>
            <w:tcBorders>
              <w:top w:val="nil"/>
            </w:tcBorders>
            <w:vAlign w:val="center"/>
          </w:tcPr>
          <w:p w14:paraId="5C57998E">
            <w:pPr>
              <w:keepNext w:val="0"/>
              <w:keepLines w:val="0"/>
              <w:widowControl/>
              <w:suppressLineNumbers w:val="0"/>
              <w:spacing w:after="0" w:line="240" w:lineRule="auto"/>
              <w:ind w:left="0" w:leftChars="0" w:firstLine="0" w:firstLineChars="0"/>
              <w:jc w:val="center"/>
              <w:textAlignment w:val="auto"/>
              <w:rPr>
                <w:i w:val="0"/>
                <w:iCs w:val="0"/>
                <w:color w:val="auto"/>
                <w:sz w:val="18"/>
              </w:rPr>
            </w:pPr>
            <w:r>
              <w:rPr>
                <w:rFonts w:hint="eastAsia" w:ascii="宋体" w:hAnsi="宋体" w:eastAsia="宋体" w:cs="宋体"/>
                <w:b w:val="0"/>
                <w:bCs w:val="0"/>
                <w:i w:val="0"/>
                <w:iCs w:val="0"/>
                <w:color w:val="auto"/>
                <w:kern w:val="0"/>
                <w:sz w:val="20"/>
                <w:szCs w:val="20"/>
                <w:u w:val="none"/>
                <w:lang w:val="en-US" w:eastAsia="zh-CN" w:bidi="ar"/>
                <w14:ligatures w14:val="none"/>
              </w:rPr>
              <w:t>电子发票系统（含医保及财政）</w:t>
            </w:r>
          </w:p>
        </w:tc>
        <w:tc>
          <w:tcPr>
            <w:tcW w:w="350" w:type="dxa"/>
            <w:tcBorders>
              <w:top w:val="nil"/>
            </w:tcBorders>
            <w:vAlign w:val="top"/>
          </w:tcPr>
          <w:p w14:paraId="55AD374F">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C72E1F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D5E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4521A10">
            <w:pPr>
              <w:pStyle w:val="25"/>
              <w:rPr>
                <w:rFonts w:ascii="Times New Roman"/>
                <w:i w:val="0"/>
                <w:iCs w:val="0"/>
                <w:color w:val="auto"/>
                <w:sz w:val="18"/>
              </w:rPr>
            </w:pPr>
          </w:p>
        </w:tc>
        <w:tc>
          <w:tcPr>
            <w:tcW w:w="1001" w:type="dxa"/>
            <w:vMerge w:val="continue"/>
          </w:tcPr>
          <w:p w14:paraId="727B828D">
            <w:pPr>
              <w:pStyle w:val="25"/>
              <w:rPr>
                <w:rFonts w:ascii="Times New Roman"/>
                <w:i w:val="0"/>
                <w:iCs w:val="0"/>
                <w:color w:val="auto"/>
                <w:sz w:val="18"/>
              </w:rPr>
            </w:pPr>
          </w:p>
        </w:tc>
        <w:tc>
          <w:tcPr>
            <w:tcW w:w="1623" w:type="dxa"/>
            <w:vMerge w:val="continue"/>
          </w:tcPr>
          <w:p w14:paraId="2270FC46">
            <w:pPr>
              <w:pStyle w:val="25"/>
              <w:rPr>
                <w:rFonts w:ascii="Times New Roman"/>
                <w:i w:val="0"/>
                <w:iCs w:val="0"/>
                <w:color w:val="auto"/>
                <w:sz w:val="18"/>
              </w:rPr>
            </w:pPr>
          </w:p>
        </w:tc>
        <w:tc>
          <w:tcPr>
            <w:tcW w:w="4636" w:type="dxa"/>
            <w:tcBorders>
              <w:top w:val="nil"/>
            </w:tcBorders>
            <w:shd w:val="clear" w:color="auto" w:fill="auto"/>
            <w:vAlign w:val="center"/>
          </w:tcPr>
          <w:p w14:paraId="1698EEAE">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城市驾驶舱卫生分舱</w:t>
            </w:r>
          </w:p>
        </w:tc>
        <w:tc>
          <w:tcPr>
            <w:tcW w:w="350" w:type="dxa"/>
            <w:tcBorders>
              <w:top w:val="nil"/>
            </w:tcBorders>
            <w:vAlign w:val="top"/>
          </w:tcPr>
          <w:p w14:paraId="51D94D6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25FE0F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E01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225FD9B">
            <w:pPr>
              <w:pStyle w:val="25"/>
              <w:rPr>
                <w:rFonts w:ascii="Times New Roman"/>
                <w:i w:val="0"/>
                <w:iCs w:val="0"/>
                <w:color w:val="auto"/>
                <w:sz w:val="18"/>
              </w:rPr>
            </w:pPr>
          </w:p>
        </w:tc>
        <w:tc>
          <w:tcPr>
            <w:tcW w:w="1001" w:type="dxa"/>
            <w:vMerge w:val="continue"/>
          </w:tcPr>
          <w:p w14:paraId="7CC91D46">
            <w:pPr>
              <w:pStyle w:val="25"/>
              <w:rPr>
                <w:rFonts w:ascii="Times New Roman"/>
                <w:i w:val="0"/>
                <w:iCs w:val="0"/>
                <w:color w:val="auto"/>
                <w:sz w:val="18"/>
              </w:rPr>
            </w:pPr>
          </w:p>
        </w:tc>
        <w:tc>
          <w:tcPr>
            <w:tcW w:w="1623" w:type="dxa"/>
            <w:vMerge w:val="continue"/>
          </w:tcPr>
          <w:p w14:paraId="68828F55">
            <w:pPr>
              <w:pStyle w:val="25"/>
              <w:rPr>
                <w:rFonts w:ascii="Times New Roman"/>
                <w:i w:val="0"/>
                <w:iCs w:val="0"/>
                <w:color w:val="auto"/>
                <w:sz w:val="18"/>
              </w:rPr>
            </w:pPr>
          </w:p>
        </w:tc>
        <w:tc>
          <w:tcPr>
            <w:tcW w:w="4636" w:type="dxa"/>
            <w:tcBorders>
              <w:top w:val="nil"/>
            </w:tcBorders>
            <w:shd w:val="clear" w:color="auto" w:fill="auto"/>
            <w:vAlign w:val="center"/>
          </w:tcPr>
          <w:p w14:paraId="382ADE0A">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我的盐城APP（更换或含第三方对接软件模块）</w:t>
            </w:r>
          </w:p>
        </w:tc>
        <w:tc>
          <w:tcPr>
            <w:tcW w:w="350" w:type="dxa"/>
            <w:tcBorders>
              <w:top w:val="nil"/>
            </w:tcBorders>
            <w:vAlign w:val="top"/>
          </w:tcPr>
          <w:p w14:paraId="4EAF6B87">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DBA39CB">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5A7DA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74DC515">
            <w:pPr>
              <w:pStyle w:val="25"/>
              <w:rPr>
                <w:rFonts w:ascii="Times New Roman"/>
                <w:i w:val="0"/>
                <w:iCs w:val="0"/>
                <w:color w:val="auto"/>
                <w:sz w:val="18"/>
              </w:rPr>
            </w:pPr>
          </w:p>
        </w:tc>
        <w:tc>
          <w:tcPr>
            <w:tcW w:w="1001" w:type="dxa"/>
            <w:vMerge w:val="continue"/>
          </w:tcPr>
          <w:p w14:paraId="7D57AA61">
            <w:pPr>
              <w:pStyle w:val="25"/>
              <w:rPr>
                <w:rFonts w:ascii="Times New Roman"/>
                <w:i w:val="0"/>
                <w:iCs w:val="0"/>
                <w:color w:val="auto"/>
                <w:sz w:val="18"/>
              </w:rPr>
            </w:pPr>
          </w:p>
        </w:tc>
        <w:tc>
          <w:tcPr>
            <w:tcW w:w="1623" w:type="dxa"/>
            <w:vMerge w:val="continue"/>
          </w:tcPr>
          <w:p w14:paraId="57C864C4">
            <w:pPr>
              <w:pStyle w:val="25"/>
              <w:rPr>
                <w:rFonts w:ascii="Times New Roman"/>
                <w:i w:val="0"/>
                <w:iCs w:val="0"/>
                <w:color w:val="auto"/>
                <w:sz w:val="18"/>
              </w:rPr>
            </w:pPr>
          </w:p>
        </w:tc>
        <w:tc>
          <w:tcPr>
            <w:tcW w:w="4636" w:type="dxa"/>
            <w:tcBorders>
              <w:top w:val="nil"/>
            </w:tcBorders>
            <w:shd w:val="clear" w:color="auto" w:fill="auto"/>
            <w:vAlign w:val="center"/>
          </w:tcPr>
          <w:p w14:paraId="0B05AA2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江苏医保云（更换或含第三方对接软件模块）</w:t>
            </w:r>
          </w:p>
        </w:tc>
        <w:tc>
          <w:tcPr>
            <w:tcW w:w="350" w:type="dxa"/>
            <w:tcBorders>
              <w:top w:val="nil"/>
            </w:tcBorders>
            <w:vAlign w:val="top"/>
          </w:tcPr>
          <w:p w14:paraId="29073957">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127FDE4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7876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4C745A9">
            <w:pPr>
              <w:pStyle w:val="25"/>
              <w:rPr>
                <w:rFonts w:ascii="Times New Roman"/>
                <w:i w:val="0"/>
                <w:iCs w:val="0"/>
                <w:color w:val="auto"/>
                <w:sz w:val="18"/>
              </w:rPr>
            </w:pPr>
          </w:p>
        </w:tc>
        <w:tc>
          <w:tcPr>
            <w:tcW w:w="1001" w:type="dxa"/>
            <w:vMerge w:val="continue"/>
          </w:tcPr>
          <w:p w14:paraId="3F520337">
            <w:pPr>
              <w:pStyle w:val="25"/>
              <w:rPr>
                <w:rFonts w:ascii="Times New Roman"/>
                <w:i w:val="0"/>
                <w:iCs w:val="0"/>
                <w:color w:val="auto"/>
                <w:sz w:val="18"/>
              </w:rPr>
            </w:pPr>
          </w:p>
        </w:tc>
        <w:tc>
          <w:tcPr>
            <w:tcW w:w="1623" w:type="dxa"/>
            <w:vMerge w:val="continue"/>
          </w:tcPr>
          <w:p w14:paraId="672ABE23">
            <w:pPr>
              <w:pStyle w:val="25"/>
              <w:rPr>
                <w:rFonts w:ascii="Times New Roman"/>
                <w:i w:val="0"/>
                <w:iCs w:val="0"/>
                <w:color w:val="auto"/>
                <w:sz w:val="18"/>
              </w:rPr>
            </w:pPr>
          </w:p>
        </w:tc>
        <w:tc>
          <w:tcPr>
            <w:tcW w:w="4636" w:type="dxa"/>
            <w:tcBorders>
              <w:top w:val="nil"/>
            </w:tcBorders>
            <w:shd w:val="clear" w:color="auto" w:fill="auto"/>
            <w:vAlign w:val="center"/>
          </w:tcPr>
          <w:p w14:paraId="34D6697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电子处方流转</w:t>
            </w:r>
          </w:p>
        </w:tc>
        <w:tc>
          <w:tcPr>
            <w:tcW w:w="350" w:type="dxa"/>
            <w:tcBorders>
              <w:top w:val="nil"/>
            </w:tcBorders>
            <w:vAlign w:val="top"/>
          </w:tcPr>
          <w:p w14:paraId="2FB68FC9">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24573C75">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81FA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6D6868D">
            <w:pPr>
              <w:pStyle w:val="25"/>
              <w:rPr>
                <w:rFonts w:ascii="Times New Roman"/>
                <w:i w:val="0"/>
                <w:iCs w:val="0"/>
                <w:color w:val="auto"/>
                <w:sz w:val="18"/>
              </w:rPr>
            </w:pPr>
          </w:p>
        </w:tc>
        <w:tc>
          <w:tcPr>
            <w:tcW w:w="1001" w:type="dxa"/>
            <w:vMerge w:val="continue"/>
          </w:tcPr>
          <w:p w14:paraId="01B6E6BD">
            <w:pPr>
              <w:pStyle w:val="25"/>
              <w:rPr>
                <w:rFonts w:ascii="Times New Roman"/>
                <w:i w:val="0"/>
                <w:iCs w:val="0"/>
                <w:color w:val="auto"/>
                <w:sz w:val="18"/>
              </w:rPr>
            </w:pPr>
          </w:p>
        </w:tc>
        <w:tc>
          <w:tcPr>
            <w:tcW w:w="1623" w:type="dxa"/>
            <w:vMerge w:val="continue"/>
          </w:tcPr>
          <w:p w14:paraId="133D9F84">
            <w:pPr>
              <w:pStyle w:val="25"/>
              <w:rPr>
                <w:rFonts w:ascii="Times New Roman"/>
                <w:i w:val="0"/>
                <w:iCs w:val="0"/>
                <w:color w:val="auto"/>
                <w:sz w:val="18"/>
              </w:rPr>
            </w:pPr>
          </w:p>
        </w:tc>
        <w:tc>
          <w:tcPr>
            <w:tcW w:w="4636" w:type="dxa"/>
            <w:tcBorders>
              <w:top w:val="nil"/>
            </w:tcBorders>
            <w:shd w:val="clear" w:color="auto" w:fill="auto"/>
            <w:vAlign w:val="center"/>
          </w:tcPr>
          <w:p w14:paraId="37F1AA2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医保智能监管平台</w:t>
            </w:r>
          </w:p>
        </w:tc>
        <w:tc>
          <w:tcPr>
            <w:tcW w:w="350" w:type="dxa"/>
            <w:tcBorders>
              <w:top w:val="nil"/>
            </w:tcBorders>
            <w:vAlign w:val="top"/>
          </w:tcPr>
          <w:p w14:paraId="50E2D7C4">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E3E4390">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F6D6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2CB9576">
            <w:pPr>
              <w:pStyle w:val="25"/>
              <w:rPr>
                <w:rFonts w:ascii="Times New Roman"/>
                <w:i w:val="0"/>
                <w:iCs w:val="0"/>
                <w:color w:val="auto"/>
                <w:sz w:val="18"/>
              </w:rPr>
            </w:pPr>
          </w:p>
        </w:tc>
        <w:tc>
          <w:tcPr>
            <w:tcW w:w="1001" w:type="dxa"/>
            <w:vMerge w:val="continue"/>
          </w:tcPr>
          <w:p w14:paraId="2A2FA4B7">
            <w:pPr>
              <w:pStyle w:val="25"/>
              <w:rPr>
                <w:rFonts w:ascii="Times New Roman"/>
                <w:i w:val="0"/>
                <w:iCs w:val="0"/>
                <w:color w:val="auto"/>
                <w:sz w:val="18"/>
              </w:rPr>
            </w:pPr>
          </w:p>
        </w:tc>
        <w:tc>
          <w:tcPr>
            <w:tcW w:w="1623" w:type="dxa"/>
            <w:vMerge w:val="continue"/>
          </w:tcPr>
          <w:p w14:paraId="5EAAB19A">
            <w:pPr>
              <w:pStyle w:val="25"/>
              <w:rPr>
                <w:rFonts w:ascii="Times New Roman"/>
                <w:i w:val="0"/>
                <w:iCs w:val="0"/>
                <w:color w:val="auto"/>
                <w:sz w:val="18"/>
              </w:rPr>
            </w:pPr>
          </w:p>
        </w:tc>
        <w:tc>
          <w:tcPr>
            <w:tcW w:w="4636" w:type="dxa"/>
            <w:tcBorders>
              <w:top w:val="nil"/>
            </w:tcBorders>
            <w:shd w:val="clear" w:color="auto" w:fill="auto"/>
            <w:vAlign w:val="center"/>
          </w:tcPr>
          <w:p w14:paraId="56C20965">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食源性慢病上报</w:t>
            </w:r>
          </w:p>
        </w:tc>
        <w:tc>
          <w:tcPr>
            <w:tcW w:w="350" w:type="dxa"/>
            <w:tcBorders>
              <w:top w:val="nil"/>
            </w:tcBorders>
            <w:vAlign w:val="top"/>
          </w:tcPr>
          <w:p w14:paraId="3F4E53FA">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DCD0EB1">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80D5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DB6BFD1">
            <w:pPr>
              <w:pStyle w:val="25"/>
              <w:rPr>
                <w:rFonts w:ascii="Times New Roman"/>
                <w:i w:val="0"/>
                <w:iCs w:val="0"/>
                <w:color w:val="auto"/>
                <w:sz w:val="18"/>
              </w:rPr>
            </w:pPr>
          </w:p>
        </w:tc>
        <w:tc>
          <w:tcPr>
            <w:tcW w:w="1001" w:type="dxa"/>
            <w:vMerge w:val="continue"/>
          </w:tcPr>
          <w:p w14:paraId="59F12C78">
            <w:pPr>
              <w:pStyle w:val="25"/>
              <w:rPr>
                <w:rFonts w:ascii="Times New Roman"/>
                <w:i w:val="0"/>
                <w:iCs w:val="0"/>
                <w:color w:val="auto"/>
                <w:sz w:val="18"/>
              </w:rPr>
            </w:pPr>
          </w:p>
        </w:tc>
        <w:tc>
          <w:tcPr>
            <w:tcW w:w="1623" w:type="dxa"/>
            <w:vMerge w:val="continue"/>
          </w:tcPr>
          <w:p w14:paraId="05FCB80F">
            <w:pPr>
              <w:pStyle w:val="25"/>
              <w:rPr>
                <w:rFonts w:ascii="Times New Roman"/>
                <w:i w:val="0"/>
                <w:iCs w:val="0"/>
                <w:color w:val="auto"/>
                <w:sz w:val="18"/>
              </w:rPr>
            </w:pPr>
          </w:p>
        </w:tc>
        <w:tc>
          <w:tcPr>
            <w:tcW w:w="4636" w:type="dxa"/>
            <w:tcBorders>
              <w:top w:val="nil"/>
            </w:tcBorders>
            <w:shd w:val="clear" w:color="auto" w:fill="auto"/>
            <w:vAlign w:val="center"/>
          </w:tcPr>
          <w:p w14:paraId="04F925D5">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传染病上报（含国家传染病智能监测预警对接）</w:t>
            </w:r>
          </w:p>
        </w:tc>
        <w:tc>
          <w:tcPr>
            <w:tcW w:w="350" w:type="dxa"/>
            <w:tcBorders>
              <w:top w:val="nil"/>
            </w:tcBorders>
            <w:vAlign w:val="top"/>
          </w:tcPr>
          <w:p w14:paraId="6B922616">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38B6C95">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DC12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D2E4B26">
            <w:pPr>
              <w:pStyle w:val="25"/>
              <w:rPr>
                <w:rFonts w:ascii="Times New Roman"/>
                <w:i w:val="0"/>
                <w:iCs w:val="0"/>
                <w:color w:val="auto"/>
                <w:sz w:val="18"/>
              </w:rPr>
            </w:pPr>
          </w:p>
        </w:tc>
        <w:tc>
          <w:tcPr>
            <w:tcW w:w="1001" w:type="dxa"/>
            <w:vMerge w:val="continue"/>
          </w:tcPr>
          <w:p w14:paraId="4C353EBD">
            <w:pPr>
              <w:pStyle w:val="25"/>
              <w:rPr>
                <w:rFonts w:ascii="Times New Roman"/>
                <w:i w:val="0"/>
                <w:iCs w:val="0"/>
                <w:color w:val="auto"/>
                <w:sz w:val="18"/>
              </w:rPr>
            </w:pPr>
          </w:p>
        </w:tc>
        <w:tc>
          <w:tcPr>
            <w:tcW w:w="1623" w:type="dxa"/>
            <w:vMerge w:val="continue"/>
          </w:tcPr>
          <w:p w14:paraId="268EDE73">
            <w:pPr>
              <w:pStyle w:val="25"/>
              <w:rPr>
                <w:rFonts w:ascii="Times New Roman"/>
                <w:i w:val="0"/>
                <w:iCs w:val="0"/>
                <w:color w:val="auto"/>
                <w:sz w:val="18"/>
              </w:rPr>
            </w:pPr>
          </w:p>
        </w:tc>
        <w:tc>
          <w:tcPr>
            <w:tcW w:w="4636" w:type="dxa"/>
            <w:tcBorders>
              <w:top w:val="nil"/>
            </w:tcBorders>
            <w:shd w:val="clear" w:color="auto" w:fill="auto"/>
            <w:vAlign w:val="center"/>
          </w:tcPr>
          <w:p w14:paraId="7BE6EAC9">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慢性阻塞性肺疾病上报</w:t>
            </w:r>
          </w:p>
        </w:tc>
        <w:tc>
          <w:tcPr>
            <w:tcW w:w="350" w:type="dxa"/>
            <w:tcBorders>
              <w:top w:val="nil"/>
            </w:tcBorders>
            <w:vAlign w:val="top"/>
          </w:tcPr>
          <w:p w14:paraId="7C4EB5D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6AB3229">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7742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849B5BC">
            <w:pPr>
              <w:pStyle w:val="25"/>
              <w:rPr>
                <w:rFonts w:ascii="Times New Roman"/>
                <w:i w:val="0"/>
                <w:iCs w:val="0"/>
                <w:color w:val="auto"/>
                <w:sz w:val="18"/>
              </w:rPr>
            </w:pPr>
          </w:p>
        </w:tc>
        <w:tc>
          <w:tcPr>
            <w:tcW w:w="1001" w:type="dxa"/>
            <w:vMerge w:val="continue"/>
          </w:tcPr>
          <w:p w14:paraId="0B79B997">
            <w:pPr>
              <w:pStyle w:val="25"/>
              <w:rPr>
                <w:rFonts w:ascii="Times New Roman"/>
                <w:i w:val="0"/>
                <w:iCs w:val="0"/>
                <w:color w:val="auto"/>
                <w:sz w:val="18"/>
              </w:rPr>
            </w:pPr>
          </w:p>
        </w:tc>
        <w:tc>
          <w:tcPr>
            <w:tcW w:w="1623" w:type="dxa"/>
            <w:vMerge w:val="continue"/>
          </w:tcPr>
          <w:p w14:paraId="7E30A5D6">
            <w:pPr>
              <w:pStyle w:val="25"/>
              <w:rPr>
                <w:rFonts w:ascii="Times New Roman"/>
                <w:i w:val="0"/>
                <w:iCs w:val="0"/>
                <w:color w:val="auto"/>
                <w:sz w:val="18"/>
              </w:rPr>
            </w:pPr>
          </w:p>
        </w:tc>
        <w:tc>
          <w:tcPr>
            <w:tcW w:w="4636" w:type="dxa"/>
            <w:tcBorders>
              <w:top w:val="nil"/>
            </w:tcBorders>
            <w:shd w:val="clear" w:color="auto" w:fill="auto"/>
            <w:vAlign w:val="center"/>
          </w:tcPr>
          <w:p w14:paraId="572DF0DD">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死亡医学证明书报告卡</w:t>
            </w:r>
          </w:p>
        </w:tc>
        <w:tc>
          <w:tcPr>
            <w:tcW w:w="350" w:type="dxa"/>
            <w:tcBorders>
              <w:top w:val="nil"/>
            </w:tcBorders>
            <w:vAlign w:val="top"/>
          </w:tcPr>
          <w:p w14:paraId="52D0A9D5">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8EAB9DC">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914F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FB831A7">
            <w:pPr>
              <w:pStyle w:val="25"/>
              <w:rPr>
                <w:rFonts w:ascii="Times New Roman"/>
                <w:i w:val="0"/>
                <w:iCs w:val="0"/>
                <w:color w:val="auto"/>
                <w:sz w:val="18"/>
              </w:rPr>
            </w:pPr>
          </w:p>
        </w:tc>
        <w:tc>
          <w:tcPr>
            <w:tcW w:w="1001" w:type="dxa"/>
            <w:vMerge w:val="continue"/>
          </w:tcPr>
          <w:p w14:paraId="0EAB4109">
            <w:pPr>
              <w:pStyle w:val="25"/>
              <w:rPr>
                <w:rFonts w:ascii="Times New Roman"/>
                <w:i w:val="0"/>
                <w:iCs w:val="0"/>
                <w:color w:val="auto"/>
                <w:sz w:val="18"/>
              </w:rPr>
            </w:pPr>
          </w:p>
        </w:tc>
        <w:tc>
          <w:tcPr>
            <w:tcW w:w="1623" w:type="dxa"/>
            <w:vMerge w:val="continue"/>
          </w:tcPr>
          <w:p w14:paraId="27D1AB84">
            <w:pPr>
              <w:pStyle w:val="25"/>
              <w:rPr>
                <w:rFonts w:ascii="Times New Roman"/>
                <w:i w:val="0"/>
                <w:iCs w:val="0"/>
                <w:color w:val="auto"/>
                <w:sz w:val="18"/>
              </w:rPr>
            </w:pPr>
          </w:p>
        </w:tc>
        <w:tc>
          <w:tcPr>
            <w:tcW w:w="4636" w:type="dxa"/>
            <w:tcBorders>
              <w:top w:val="nil"/>
            </w:tcBorders>
            <w:shd w:val="clear" w:color="auto" w:fill="auto"/>
            <w:vAlign w:val="center"/>
          </w:tcPr>
          <w:p w14:paraId="37CD8B6E">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中暑报告卡</w:t>
            </w:r>
          </w:p>
        </w:tc>
        <w:tc>
          <w:tcPr>
            <w:tcW w:w="350" w:type="dxa"/>
            <w:tcBorders>
              <w:top w:val="nil"/>
            </w:tcBorders>
            <w:vAlign w:val="top"/>
          </w:tcPr>
          <w:p w14:paraId="3AFE6D25">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B1612D0">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0F38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19C738D">
            <w:pPr>
              <w:pStyle w:val="25"/>
              <w:rPr>
                <w:rFonts w:ascii="Times New Roman"/>
                <w:i w:val="0"/>
                <w:iCs w:val="0"/>
                <w:color w:val="auto"/>
                <w:sz w:val="18"/>
              </w:rPr>
            </w:pPr>
          </w:p>
        </w:tc>
        <w:tc>
          <w:tcPr>
            <w:tcW w:w="1001" w:type="dxa"/>
            <w:vMerge w:val="continue"/>
          </w:tcPr>
          <w:p w14:paraId="09BB5CE9">
            <w:pPr>
              <w:pStyle w:val="25"/>
              <w:rPr>
                <w:rFonts w:ascii="Times New Roman"/>
                <w:i w:val="0"/>
                <w:iCs w:val="0"/>
                <w:color w:val="auto"/>
                <w:sz w:val="18"/>
              </w:rPr>
            </w:pPr>
          </w:p>
        </w:tc>
        <w:tc>
          <w:tcPr>
            <w:tcW w:w="1623" w:type="dxa"/>
            <w:vMerge w:val="continue"/>
          </w:tcPr>
          <w:p w14:paraId="008FEC1F">
            <w:pPr>
              <w:pStyle w:val="25"/>
              <w:rPr>
                <w:rFonts w:ascii="Times New Roman"/>
                <w:i w:val="0"/>
                <w:iCs w:val="0"/>
                <w:color w:val="auto"/>
                <w:sz w:val="18"/>
              </w:rPr>
            </w:pPr>
          </w:p>
        </w:tc>
        <w:tc>
          <w:tcPr>
            <w:tcW w:w="4636" w:type="dxa"/>
            <w:tcBorders>
              <w:top w:val="nil"/>
            </w:tcBorders>
            <w:shd w:val="clear" w:color="auto" w:fill="auto"/>
            <w:vAlign w:val="center"/>
          </w:tcPr>
          <w:p w14:paraId="703C1B4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农药中毒报告卡</w:t>
            </w:r>
          </w:p>
        </w:tc>
        <w:tc>
          <w:tcPr>
            <w:tcW w:w="350" w:type="dxa"/>
            <w:tcBorders>
              <w:top w:val="nil"/>
            </w:tcBorders>
            <w:vAlign w:val="top"/>
          </w:tcPr>
          <w:p w14:paraId="3D81B214">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1E58943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C88D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423950B">
            <w:pPr>
              <w:pStyle w:val="25"/>
              <w:rPr>
                <w:rFonts w:ascii="Times New Roman"/>
                <w:i w:val="0"/>
                <w:iCs w:val="0"/>
                <w:color w:val="auto"/>
                <w:sz w:val="18"/>
              </w:rPr>
            </w:pPr>
          </w:p>
        </w:tc>
        <w:tc>
          <w:tcPr>
            <w:tcW w:w="1001" w:type="dxa"/>
            <w:vMerge w:val="continue"/>
          </w:tcPr>
          <w:p w14:paraId="614BC381">
            <w:pPr>
              <w:pStyle w:val="25"/>
              <w:rPr>
                <w:rFonts w:ascii="Times New Roman"/>
                <w:i w:val="0"/>
                <w:iCs w:val="0"/>
                <w:color w:val="auto"/>
                <w:sz w:val="18"/>
              </w:rPr>
            </w:pPr>
          </w:p>
        </w:tc>
        <w:tc>
          <w:tcPr>
            <w:tcW w:w="1623" w:type="dxa"/>
            <w:vMerge w:val="continue"/>
          </w:tcPr>
          <w:p w14:paraId="3F71ABAA">
            <w:pPr>
              <w:pStyle w:val="25"/>
              <w:rPr>
                <w:rFonts w:ascii="Times New Roman"/>
                <w:i w:val="0"/>
                <w:iCs w:val="0"/>
                <w:color w:val="auto"/>
                <w:sz w:val="18"/>
              </w:rPr>
            </w:pPr>
          </w:p>
        </w:tc>
        <w:tc>
          <w:tcPr>
            <w:tcW w:w="4636" w:type="dxa"/>
            <w:tcBorders>
              <w:top w:val="nil"/>
            </w:tcBorders>
            <w:shd w:val="clear" w:color="auto" w:fill="auto"/>
            <w:vAlign w:val="center"/>
          </w:tcPr>
          <w:p w14:paraId="25326FB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慢五病上传</w:t>
            </w:r>
          </w:p>
        </w:tc>
        <w:tc>
          <w:tcPr>
            <w:tcW w:w="350" w:type="dxa"/>
            <w:tcBorders>
              <w:top w:val="nil"/>
            </w:tcBorders>
            <w:vAlign w:val="top"/>
          </w:tcPr>
          <w:p w14:paraId="1C1A723F">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6217D11">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4613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1802757">
            <w:pPr>
              <w:pStyle w:val="25"/>
              <w:rPr>
                <w:rFonts w:ascii="Times New Roman"/>
                <w:i w:val="0"/>
                <w:iCs w:val="0"/>
                <w:color w:val="auto"/>
                <w:sz w:val="18"/>
              </w:rPr>
            </w:pPr>
          </w:p>
        </w:tc>
        <w:tc>
          <w:tcPr>
            <w:tcW w:w="1001" w:type="dxa"/>
            <w:vMerge w:val="continue"/>
          </w:tcPr>
          <w:p w14:paraId="3BAAD443">
            <w:pPr>
              <w:pStyle w:val="25"/>
              <w:rPr>
                <w:rFonts w:ascii="Times New Roman"/>
                <w:i w:val="0"/>
                <w:iCs w:val="0"/>
                <w:color w:val="auto"/>
                <w:sz w:val="18"/>
              </w:rPr>
            </w:pPr>
          </w:p>
        </w:tc>
        <w:tc>
          <w:tcPr>
            <w:tcW w:w="1623" w:type="dxa"/>
            <w:vMerge w:val="continue"/>
          </w:tcPr>
          <w:p w14:paraId="73432D8A">
            <w:pPr>
              <w:pStyle w:val="25"/>
              <w:rPr>
                <w:rFonts w:ascii="Times New Roman"/>
                <w:i w:val="0"/>
                <w:iCs w:val="0"/>
                <w:color w:val="auto"/>
                <w:sz w:val="18"/>
              </w:rPr>
            </w:pPr>
          </w:p>
        </w:tc>
        <w:tc>
          <w:tcPr>
            <w:tcW w:w="4636" w:type="dxa"/>
            <w:tcBorders>
              <w:top w:val="nil"/>
            </w:tcBorders>
            <w:shd w:val="clear" w:color="auto" w:fill="auto"/>
            <w:vAlign w:val="center"/>
          </w:tcPr>
          <w:p w14:paraId="16863D9D">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医保DRG接口</w:t>
            </w:r>
          </w:p>
        </w:tc>
        <w:tc>
          <w:tcPr>
            <w:tcW w:w="350" w:type="dxa"/>
            <w:tcBorders>
              <w:top w:val="nil"/>
            </w:tcBorders>
            <w:vAlign w:val="top"/>
          </w:tcPr>
          <w:p w14:paraId="6AC0017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AAC9811">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22D3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115BA7F">
            <w:pPr>
              <w:pStyle w:val="25"/>
              <w:rPr>
                <w:rFonts w:ascii="Times New Roman"/>
                <w:i w:val="0"/>
                <w:iCs w:val="0"/>
                <w:color w:val="auto"/>
                <w:sz w:val="18"/>
              </w:rPr>
            </w:pPr>
          </w:p>
        </w:tc>
        <w:tc>
          <w:tcPr>
            <w:tcW w:w="1001" w:type="dxa"/>
            <w:vMerge w:val="continue"/>
          </w:tcPr>
          <w:p w14:paraId="0F11DD4E">
            <w:pPr>
              <w:pStyle w:val="25"/>
              <w:rPr>
                <w:rFonts w:ascii="Times New Roman"/>
                <w:i w:val="0"/>
                <w:iCs w:val="0"/>
                <w:color w:val="auto"/>
                <w:sz w:val="18"/>
              </w:rPr>
            </w:pPr>
          </w:p>
        </w:tc>
        <w:tc>
          <w:tcPr>
            <w:tcW w:w="1623" w:type="dxa"/>
            <w:vMerge w:val="continue"/>
          </w:tcPr>
          <w:p w14:paraId="551C867F">
            <w:pPr>
              <w:pStyle w:val="25"/>
              <w:rPr>
                <w:rFonts w:ascii="Times New Roman"/>
                <w:i w:val="0"/>
                <w:iCs w:val="0"/>
                <w:color w:val="auto"/>
                <w:sz w:val="18"/>
              </w:rPr>
            </w:pPr>
          </w:p>
        </w:tc>
        <w:tc>
          <w:tcPr>
            <w:tcW w:w="4636" w:type="dxa"/>
            <w:tcBorders>
              <w:top w:val="nil"/>
            </w:tcBorders>
            <w:shd w:val="clear" w:color="auto" w:fill="auto"/>
            <w:vAlign w:val="center"/>
          </w:tcPr>
          <w:p w14:paraId="61B4075C">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电子处方流转</w:t>
            </w:r>
          </w:p>
        </w:tc>
        <w:tc>
          <w:tcPr>
            <w:tcW w:w="350" w:type="dxa"/>
            <w:tcBorders>
              <w:top w:val="nil"/>
            </w:tcBorders>
            <w:vAlign w:val="top"/>
          </w:tcPr>
          <w:p w14:paraId="0B879A5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1D404C7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4382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6CB9BC6">
            <w:pPr>
              <w:pStyle w:val="25"/>
              <w:rPr>
                <w:rFonts w:ascii="Times New Roman"/>
                <w:i w:val="0"/>
                <w:iCs w:val="0"/>
                <w:color w:val="auto"/>
                <w:sz w:val="18"/>
              </w:rPr>
            </w:pPr>
          </w:p>
        </w:tc>
        <w:tc>
          <w:tcPr>
            <w:tcW w:w="1001" w:type="dxa"/>
            <w:vMerge w:val="continue"/>
          </w:tcPr>
          <w:p w14:paraId="344DB5C3">
            <w:pPr>
              <w:pStyle w:val="25"/>
              <w:rPr>
                <w:rFonts w:ascii="Times New Roman"/>
                <w:i w:val="0"/>
                <w:iCs w:val="0"/>
                <w:color w:val="auto"/>
                <w:sz w:val="18"/>
              </w:rPr>
            </w:pPr>
          </w:p>
        </w:tc>
        <w:tc>
          <w:tcPr>
            <w:tcW w:w="1623" w:type="dxa"/>
            <w:vMerge w:val="continue"/>
          </w:tcPr>
          <w:p w14:paraId="02E8D6E2">
            <w:pPr>
              <w:pStyle w:val="25"/>
              <w:rPr>
                <w:rFonts w:ascii="Times New Roman"/>
                <w:i w:val="0"/>
                <w:iCs w:val="0"/>
                <w:color w:val="auto"/>
                <w:sz w:val="18"/>
              </w:rPr>
            </w:pPr>
          </w:p>
        </w:tc>
        <w:tc>
          <w:tcPr>
            <w:tcW w:w="4636" w:type="dxa"/>
            <w:tcBorders>
              <w:top w:val="nil"/>
            </w:tcBorders>
            <w:shd w:val="clear" w:color="auto" w:fill="auto"/>
            <w:vAlign w:val="center"/>
          </w:tcPr>
          <w:p w14:paraId="22723A86">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双通道药品流转</w:t>
            </w:r>
          </w:p>
        </w:tc>
        <w:tc>
          <w:tcPr>
            <w:tcW w:w="350" w:type="dxa"/>
            <w:tcBorders>
              <w:top w:val="nil"/>
            </w:tcBorders>
            <w:vAlign w:val="top"/>
          </w:tcPr>
          <w:p w14:paraId="51C1680B">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1C2538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E745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EB950C7">
            <w:pPr>
              <w:pStyle w:val="25"/>
              <w:rPr>
                <w:rFonts w:ascii="Times New Roman"/>
                <w:i w:val="0"/>
                <w:iCs w:val="0"/>
                <w:color w:val="auto"/>
                <w:sz w:val="18"/>
              </w:rPr>
            </w:pPr>
          </w:p>
        </w:tc>
        <w:tc>
          <w:tcPr>
            <w:tcW w:w="1001" w:type="dxa"/>
            <w:vMerge w:val="continue"/>
          </w:tcPr>
          <w:p w14:paraId="1668ECF3">
            <w:pPr>
              <w:pStyle w:val="25"/>
              <w:rPr>
                <w:rFonts w:ascii="Times New Roman"/>
                <w:i w:val="0"/>
                <w:iCs w:val="0"/>
                <w:color w:val="auto"/>
                <w:sz w:val="18"/>
              </w:rPr>
            </w:pPr>
          </w:p>
        </w:tc>
        <w:tc>
          <w:tcPr>
            <w:tcW w:w="1623" w:type="dxa"/>
            <w:vMerge w:val="continue"/>
          </w:tcPr>
          <w:p w14:paraId="0A628FC3">
            <w:pPr>
              <w:pStyle w:val="25"/>
              <w:rPr>
                <w:rFonts w:ascii="Times New Roman"/>
                <w:i w:val="0"/>
                <w:iCs w:val="0"/>
                <w:color w:val="auto"/>
                <w:sz w:val="18"/>
              </w:rPr>
            </w:pPr>
          </w:p>
        </w:tc>
        <w:tc>
          <w:tcPr>
            <w:tcW w:w="4636" w:type="dxa"/>
            <w:tcBorders>
              <w:top w:val="nil"/>
            </w:tcBorders>
            <w:shd w:val="clear" w:color="auto" w:fill="auto"/>
            <w:vAlign w:val="center"/>
          </w:tcPr>
          <w:p w14:paraId="671EFB04">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医保平台接口（含工伤、计划生育、医保追溯码等）</w:t>
            </w:r>
          </w:p>
        </w:tc>
        <w:tc>
          <w:tcPr>
            <w:tcW w:w="350" w:type="dxa"/>
            <w:tcBorders>
              <w:top w:val="nil"/>
            </w:tcBorders>
            <w:vAlign w:val="top"/>
          </w:tcPr>
          <w:p w14:paraId="6B11130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29F0A1E">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5AA57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96F15DB">
            <w:pPr>
              <w:pStyle w:val="25"/>
              <w:rPr>
                <w:rFonts w:ascii="Times New Roman"/>
                <w:i w:val="0"/>
                <w:iCs w:val="0"/>
                <w:color w:val="auto"/>
                <w:sz w:val="18"/>
              </w:rPr>
            </w:pPr>
          </w:p>
        </w:tc>
        <w:tc>
          <w:tcPr>
            <w:tcW w:w="1001" w:type="dxa"/>
            <w:vMerge w:val="continue"/>
          </w:tcPr>
          <w:p w14:paraId="0A2603E2">
            <w:pPr>
              <w:pStyle w:val="25"/>
              <w:rPr>
                <w:rFonts w:ascii="Times New Roman"/>
                <w:i w:val="0"/>
                <w:iCs w:val="0"/>
                <w:color w:val="auto"/>
                <w:sz w:val="18"/>
              </w:rPr>
            </w:pPr>
          </w:p>
        </w:tc>
        <w:tc>
          <w:tcPr>
            <w:tcW w:w="1623" w:type="dxa"/>
            <w:vMerge w:val="continue"/>
          </w:tcPr>
          <w:p w14:paraId="6B8A3C34">
            <w:pPr>
              <w:pStyle w:val="25"/>
              <w:rPr>
                <w:rFonts w:ascii="Times New Roman"/>
                <w:i w:val="0"/>
                <w:iCs w:val="0"/>
                <w:color w:val="auto"/>
                <w:sz w:val="18"/>
              </w:rPr>
            </w:pPr>
          </w:p>
        </w:tc>
        <w:tc>
          <w:tcPr>
            <w:tcW w:w="4636" w:type="dxa"/>
            <w:tcBorders>
              <w:top w:val="nil"/>
            </w:tcBorders>
            <w:shd w:val="clear" w:color="auto" w:fill="auto"/>
            <w:vAlign w:val="center"/>
          </w:tcPr>
          <w:p w14:paraId="21C7F99F">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血糖监测</w:t>
            </w:r>
          </w:p>
        </w:tc>
        <w:tc>
          <w:tcPr>
            <w:tcW w:w="350" w:type="dxa"/>
            <w:tcBorders>
              <w:top w:val="nil"/>
            </w:tcBorders>
            <w:vAlign w:val="top"/>
          </w:tcPr>
          <w:p w14:paraId="575F00D3">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3CB7217">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4B8F2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C3319D1">
            <w:pPr>
              <w:pStyle w:val="25"/>
              <w:rPr>
                <w:rFonts w:ascii="Times New Roman"/>
                <w:i w:val="0"/>
                <w:iCs w:val="0"/>
                <w:color w:val="auto"/>
                <w:sz w:val="18"/>
              </w:rPr>
            </w:pPr>
          </w:p>
        </w:tc>
        <w:tc>
          <w:tcPr>
            <w:tcW w:w="1001" w:type="dxa"/>
            <w:vMerge w:val="continue"/>
          </w:tcPr>
          <w:p w14:paraId="3476E180">
            <w:pPr>
              <w:pStyle w:val="25"/>
              <w:rPr>
                <w:rFonts w:ascii="Times New Roman"/>
                <w:i w:val="0"/>
                <w:iCs w:val="0"/>
                <w:color w:val="auto"/>
                <w:sz w:val="18"/>
              </w:rPr>
            </w:pPr>
          </w:p>
        </w:tc>
        <w:tc>
          <w:tcPr>
            <w:tcW w:w="1623" w:type="dxa"/>
            <w:vMerge w:val="continue"/>
          </w:tcPr>
          <w:p w14:paraId="3378EDB5">
            <w:pPr>
              <w:pStyle w:val="25"/>
              <w:rPr>
                <w:rFonts w:ascii="Times New Roman"/>
                <w:i w:val="0"/>
                <w:iCs w:val="0"/>
                <w:color w:val="auto"/>
                <w:sz w:val="18"/>
              </w:rPr>
            </w:pPr>
          </w:p>
        </w:tc>
        <w:tc>
          <w:tcPr>
            <w:tcW w:w="4636" w:type="dxa"/>
            <w:tcBorders>
              <w:top w:val="nil"/>
            </w:tcBorders>
            <w:shd w:val="clear" w:color="auto" w:fill="auto"/>
            <w:vAlign w:val="center"/>
          </w:tcPr>
          <w:p w14:paraId="6D052E6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自助挂号缴费报告机（含影像、检验）</w:t>
            </w:r>
          </w:p>
        </w:tc>
        <w:tc>
          <w:tcPr>
            <w:tcW w:w="350" w:type="dxa"/>
            <w:tcBorders>
              <w:top w:val="nil"/>
            </w:tcBorders>
            <w:vAlign w:val="top"/>
          </w:tcPr>
          <w:p w14:paraId="6AAFB52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3785A3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F014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35EC810">
            <w:pPr>
              <w:pStyle w:val="25"/>
              <w:rPr>
                <w:rFonts w:ascii="Times New Roman"/>
                <w:i w:val="0"/>
                <w:iCs w:val="0"/>
                <w:color w:val="auto"/>
                <w:sz w:val="18"/>
              </w:rPr>
            </w:pPr>
          </w:p>
        </w:tc>
        <w:tc>
          <w:tcPr>
            <w:tcW w:w="1001" w:type="dxa"/>
            <w:vMerge w:val="continue"/>
          </w:tcPr>
          <w:p w14:paraId="504B0281">
            <w:pPr>
              <w:pStyle w:val="25"/>
              <w:rPr>
                <w:rFonts w:ascii="Times New Roman"/>
                <w:i w:val="0"/>
                <w:iCs w:val="0"/>
                <w:color w:val="auto"/>
                <w:sz w:val="18"/>
              </w:rPr>
            </w:pPr>
          </w:p>
        </w:tc>
        <w:tc>
          <w:tcPr>
            <w:tcW w:w="1623" w:type="dxa"/>
            <w:vMerge w:val="continue"/>
          </w:tcPr>
          <w:p w14:paraId="4EF1A3DA">
            <w:pPr>
              <w:pStyle w:val="25"/>
              <w:rPr>
                <w:rFonts w:ascii="Times New Roman"/>
                <w:i w:val="0"/>
                <w:iCs w:val="0"/>
                <w:color w:val="auto"/>
                <w:sz w:val="18"/>
              </w:rPr>
            </w:pPr>
          </w:p>
        </w:tc>
        <w:tc>
          <w:tcPr>
            <w:tcW w:w="4636" w:type="dxa"/>
            <w:tcBorders>
              <w:top w:val="nil"/>
            </w:tcBorders>
            <w:shd w:val="clear" w:color="auto" w:fill="auto"/>
            <w:vAlign w:val="center"/>
          </w:tcPr>
          <w:p w14:paraId="3BD727D9">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县区域健康信息平台对接</w:t>
            </w:r>
          </w:p>
        </w:tc>
        <w:tc>
          <w:tcPr>
            <w:tcW w:w="350" w:type="dxa"/>
            <w:tcBorders>
              <w:top w:val="nil"/>
            </w:tcBorders>
            <w:vAlign w:val="top"/>
          </w:tcPr>
          <w:p w14:paraId="0042717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238C64A2">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A135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A33DDDA">
            <w:pPr>
              <w:pStyle w:val="25"/>
              <w:rPr>
                <w:rFonts w:ascii="Times New Roman"/>
                <w:i w:val="0"/>
                <w:iCs w:val="0"/>
                <w:color w:val="auto"/>
                <w:sz w:val="18"/>
              </w:rPr>
            </w:pPr>
          </w:p>
        </w:tc>
        <w:tc>
          <w:tcPr>
            <w:tcW w:w="1001" w:type="dxa"/>
            <w:vMerge w:val="continue"/>
          </w:tcPr>
          <w:p w14:paraId="03155D1F">
            <w:pPr>
              <w:pStyle w:val="25"/>
              <w:rPr>
                <w:rFonts w:ascii="Times New Roman"/>
                <w:i w:val="0"/>
                <w:iCs w:val="0"/>
                <w:color w:val="auto"/>
                <w:sz w:val="18"/>
              </w:rPr>
            </w:pPr>
          </w:p>
        </w:tc>
        <w:tc>
          <w:tcPr>
            <w:tcW w:w="1623" w:type="dxa"/>
            <w:vMerge w:val="continue"/>
          </w:tcPr>
          <w:p w14:paraId="287C84BC">
            <w:pPr>
              <w:pStyle w:val="25"/>
              <w:rPr>
                <w:rFonts w:ascii="Times New Roman"/>
                <w:i w:val="0"/>
                <w:iCs w:val="0"/>
                <w:color w:val="auto"/>
                <w:sz w:val="18"/>
              </w:rPr>
            </w:pPr>
          </w:p>
        </w:tc>
        <w:tc>
          <w:tcPr>
            <w:tcW w:w="4636" w:type="dxa"/>
            <w:tcBorders>
              <w:top w:val="nil"/>
            </w:tcBorders>
            <w:shd w:val="clear" w:color="auto" w:fill="auto"/>
            <w:vAlign w:val="center"/>
          </w:tcPr>
          <w:p w14:paraId="5E656AE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银联接口（含数字人民币）</w:t>
            </w:r>
          </w:p>
        </w:tc>
        <w:tc>
          <w:tcPr>
            <w:tcW w:w="350" w:type="dxa"/>
            <w:tcBorders>
              <w:top w:val="nil"/>
            </w:tcBorders>
            <w:vAlign w:val="top"/>
          </w:tcPr>
          <w:p w14:paraId="3785315E">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EBE8706">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47D0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0AC997F">
            <w:pPr>
              <w:pStyle w:val="25"/>
              <w:rPr>
                <w:rFonts w:ascii="Times New Roman"/>
                <w:i w:val="0"/>
                <w:iCs w:val="0"/>
                <w:color w:val="auto"/>
                <w:sz w:val="18"/>
              </w:rPr>
            </w:pPr>
          </w:p>
        </w:tc>
        <w:tc>
          <w:tcPr>
            <w:tcW w:w="1001" w:type="dxa"/>
            <w:vMerge w:val="continue"/>
          </w:tcPr>
          <w:p w14:paraId="5CDE35CF">
            <w:pPr>
              <w:pStyle w:val="25"/>
              <w:rPr>
                <w:rFonts w:ascii="Times New Roman"/>
                <w:i w:val="0"/>
                <w:iCs w:val="0"/>
                <w:color w:val="auto"/>
                <w:sz w:val="18"/>
              </w:rPr>
            </w:pPr>
          </w:p>
        </w:tc>
        <w:tc>
          <w:tcPr>
            <w:tcW w:w="1623" w:type="dxa"/>
            <w:vMerge w:val="continue"/>
          </w:tcPr>
          <w:p w14:paraId="209079C0">
            <w:pPr>
              <w:pStyle w:val="25"/>
              <w:rPr>
                <w:rFonts w:ascii="Times New Roman"/>
                <w:i w:val="0"/>
                <w:iCs w:val="0"/>
                <w:color w:val="auto"/>
                <w:sz w:val="18"/>
              </w:rPr>
            </w:pPr>
          </w:p>
        </w:tc>
        <w:tc>
          <w:tcPr>
            <w:tcW w:w="4636" w:type="dxa"/>
            <w:tcBorders>
              <w:top w:val="nil"/>
            </w:tcBorders>
            <w:shd w:val="clear" w:color="auto" w:fill="auto"/>
            <w:vAlign w:val="center"/>
          </w:tcPr>
          <w:p w14:paraId="20B3CE21">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远程医疗接口</w:t>
            </w:r>
          </w:p>
        </w:tc>
        <w:tc>
          <w:tcPr>
            <w:tcW w:w="350" w:type="dxa"/>
            <w:tcBorders>
              <w:top w:val="nil"/>
            </w:tcBorders>
            <w:vAlign w:val="top"/>
          </w:tcPr>
          <w:p w14:paraId="2D1C022C">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E851CE1">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5DBA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AE5D106">
            <w:pPr>
              <w:pStyle w:val="25"/>
              <w:rPr>
                <w:rFonts w:ascii="Times New Roman"/>
                <w:i w:val="0"/>
                <w:iCs w:val="0"/>
                <w:color w:val="auto"/>
                <w:sz w:val="18"/>
              </w:rPr>
            </w:pPr>
          </w:p>
        </w:tc>
        <w:tc>
          <w:tcPr>
            <w:tcW w:w="1001" w:type="dxa"/>
            <w:vMerge w:val="continue"/>
          </w:tcPr>
          <w:p w14:paraId="0ED58726">
            <w:pPr>
              <w:pStyle w:val="25"/>
              <w:rPr>
                <w:rFonts w:ascii="Times New Roman"/>
                <w:i w:val="0"/>
                <w:iCs w:val="0"/>
                <w:color w:val="auto"/>
                <w:sz w:val="18"/>
              </w:rPr>
            </w:pPr>
          </w:p>
        </w:tc>
        <w:tc>
          <w:tcPr>
            <w:tcW w:w="1623" w:type="dxa"/>
            <w:vMerge w:val="continue"/>
          </w:tcPr>
          <w:p w14:paraId="074AE183">
            <w:pPr>
              <w:pStyle w:val="25"/>
              <w:rPr>
                <w:rFonts w:ascii="Times New Roman"/>
                <w:i w:val="0"/>
                <w:iCs w:val="0"/>
                <w:color w:val="auto"/>
                <w:sz w:val="18"/>
              </w:rPr>
            </w:pPr>
          </w:p>
        </w:tc>
        <w:tc>
          <w:tcPr>
            <w:tcW w:w="4636" w:type="dxa"/>
            <w:tcBorders>
              <w:top w:val="nil"/>
            </w:tcBorders>
            <w:shd w:val="clear" w:color="auto" w:fill="auto"/>
            <w:vAlign w:val="center"/>
          </w:tcPr>
          <w:p w14:paraId="5E4D4A3C">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离休接口（含第三方对接软件模块）</w:t>
            </w:r>
          </w:p>
        </w:tc>
        <w:tc>
          <w:tcPr>
            <w:tcW w:w="350" w:type="dxa"/>
            <w:tcBorders>
              <w:top w:val="nil"/>
            </w:tcBorders>
            <w:vAlign w:val="top"/>
          </w:tcPr>
          <w:p w14:paraId="66CD8AF6">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A821802">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6215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F4230A5">
            <w:pPr>
              <w:pStyle w:val="25"/>
              <w:rPr>
                <w:rFonts w:ascii="Times New Roman"/>
                <w:i w:val="0"/>
                <w:iCs w:val="0"/>
                <w:color w:val="auto"/>
                <w:sz w:val="18"/>
              </w:rPr>
            </w:pPr>
          </w:p>
        </w:tc>
        <w:tc>
          <w:tcPr>
            <w:tcW w:w="1001" w:type="dxa"/>
            <w:vMerge w:val="continue"/>
          </w:tcPr>
          <w:p w14:paraId="54C72668">
            <w:pPr>
              <w:pStyle w:val="25"/>
              <w:rPr>
                <w:rFonts w:ascii="Times New Roman"/>
                <w:i w:val="0"/>
                <w:iCs w:val="0"/>
                <w:color w:val="auto"/>
                <w:sz w:val="18"/>
              </w:rPr>
            </w:pPr>
          </w:p>
        </w:tc>
        <w:tc>
          <w:tcPr>
            <w:tcW w:w="1623" w:type="dxa"/>
            <w:vMerge w:val="continue"/>
          </w:tcPr>
          <w:p w14:paraId="6AC39F0C">
            <w:pPr>
              <w:pStyle w:val="25"/>
              <w:rPr>
                <w:rFonts w:ascii="Times New Roman"/>
                <w:i w:val="0"/>
                <w:iCs w:val="0"/>
                <w:color w:val="auto"/>
                <w:sz w:val="18"/>
              </w:rPr>
            </w:pPr>
          </w:p>
        </w:tc>
        <w:tc>
          <w:tcPr>
            <w:tcW w:w="4636" w:type="dxa"/>
            <w:tcBorders>
              <w:top w:val="nil"/>
            </w:tcBorders>
            <w:shd w:val="clear" w:color="auto" w:fill="auto"/>
            <w:vAlign w:val="center"/>
          </w:tcPr>
          <w:p w14:paraId="737CD991">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省检验共享平台对接</w:t>
            </w:r>
          </w:p>
        </w:tc>
        <w:tc>
          <w:tcPr>
            <w:tcW w:w="350" w:type="dxa"/>
            <w:tcBorders>
              <w:top w:val="nil"/>
            </w:tcBorders>
            <w:vAlign w:val="top"/>
          </w:tcPr>
          <w:p w14:paraId="2A5EAA26">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875CB3E">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BE7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5247C04">
            <w:pPr>
              <w:pStyle w:val="25"/>
              <w:rPr>
                <w:rFonts w:ascii="Times New Roman"/>
                <w:i w:val="0"/>
                <w:iCs w:val="0"/>
                <w:color w:val="auto"/>
                <w:sz w:val="18"/>
              </w:rPr>
            </w:pPr>
          </w:p>
        </w:tc>
        <w:tc>
          <w:tcPr>
            <w:tcW w:w="1001" w:type="dxa"/>
            <w:vMerge w:val="continue"/>
          </w:tcPr>
          <w:p w14:paraId="5652E8CD">
            <w:pPr>
              <w:pStyle w:val="25"/>
              <w:rPr>
                <w:rFonts w:ascii="Times New Roman"/>
                <w:i w:val="0"/>
                <w:iCs w:val="0"/>
                <w:color w:val="auto"/>
                <w:sz w:val="18"/>
              </w:rPr>
            </w:pPr>
          </w:p>
        </w:tc>
        <w:tc>
          <w:tcPr>
            <w:tcW w:w="1623" w:type="dxa"/>
            <w:vMerge w:val="continue"/>
          </w:tcPr>
          <w:p w14:paraId="38F2B43A">
            <w:pPr>
              <w:pStyle w:val="25"/>
              <w:rPr>
                <w:rFonts w:ascii="Times New Roman"/>
                <w:i w:val="0"/>
                <w:iCs w:val="0"/>
                <w:color w:val="auto"/>
                <w:sz w:val="18"/>
              </w:rPr>
            </w:pPr>
          </w:p>
        </w:tc>
        <w:tc>
          <w:tcPr>
            <w:tcW w:w="4636" w:type="dxa"/>
            <w:tcBorders>
              <w:top w:val="nil"/>
            </w:tcBorders>
            <w:shd w:val="clear" w:color="auto" w:fill="auto"/>
            <w:vAlign w:val="center"/>
          </w:tcPr>
          <w:p w14:paraId="278EE3C5">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门（急）诊诊疗信息页质量上传</w:t>
            </w:r>
          </w:p>
        </w:tc>
        <w:tc>
          <w:tcPr>
            <w:tcW w:w="350" w:type="dxa"/>
            <w:tcBorders>
              <w:top w:val="nil"/>
            </w:tcBorders>
            <w:vAlign w:val="top"/>
          </w:tcPr>
          <w:p w14:paraId="351CDF73">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3D21429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5F95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BD2D6F8">
            <w:pPr>
              <w:pStyle w:val="25"/>
              <w:rPr>
                <w:rFonts w:ascii="Times New Roman"/>
                <w:i w:val="0"/>
                <w:iCs w:val="0"/>
                <w:color w:val="auto"/>
                <w:sz w:val="18"/>
              </w:rPr>
            </w:pPr>
          </w:p>
        </w:tc>
        <w:tc>
          <w:tcPr>
            <w:tcW w:w="1001" w:type="dxa"/>
            <w:vMerge w:val="continue"/>
          </w:tcPr>
          <w:p w14:paraId="023A1587">
            <w:pPr>
              <w:pStyle w:val="25"/>
              <w:rPr>
                <w:rFonts w:ascii="Times New Roman"/>
                <w:i w:val="0"/>
                <w:iCs w:val="0"/>
                <w:color w:val="auto"/>
                <w:sz w:val="18"/>
              </w:rPr>
            </w:pPr>
          </w:p>
        </w:tc>
        <w:tc>
          <w:tcPr>
            <w:tcW w:w="1623" w:type="dxa"/>
            <w:vMerge w:val="continue"/>
          </w:tcPr>
          <w:p w14:paraId="7DEF4AB2">
            <w:pPr>
              <w:pStyle w:val="25"/>
              <w:rPr>
                <w:rFonts w:ascii="Times New Roman"/>
                <w:i w:val="0"/>
                <w:iCs w:val="0"/>
                <w:color w:val="auto"/>
                <w:sz w:val="18"/>
              </w:rPr>
            </w:pPr>
          </w:p>
        </w:tc>
        <w:tc>
          <w:tcPr>
            <w:tcW w:w="4636" w:type="dxa"/>
            <w:tcBorders>
              <w:top w:val="nil"/>
            </w:tcBorders>
            <w:shd w:val="clear" w:color="auto" w:fill="auto"/>
            <w:vAlign w:val="bottom"/>
          </w:tcPr>
          <w:p w14:paraId="4C7061E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政策性接口及其他接口</w:t>
            </w:r>
          </w:p>
        </w:tc>
        <w:tc>
          <w:tcPr>
            <w:tcW w:w="350" w:type="dxa"/>
            <w:tcBorders>
              <w:top w:val="nil"/>
            </w:tcBorders>
            <w:vAlign w:val="top"/>
          </w:tcPr>
          <w:p w14:paraId="2651D3E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30CBEABE">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12BC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Pr>
          <w:p w14:paraId="6DE4CF21">
            <w:pPr>
              <w:rPr>
                <w:i w:val="0"/>
                <w:iCs w:val="0"/>
                <w:color w:val="auto"/>
                <w:sz w:val="2"/>
                <w:szCs w:val="2"/>
              </w:rPr>
            </w:pPr>
          </w:p>
        </w:tc>
        <w:tc>
          <w:tcPr>
            <w:tcW w:w="1001" w:type="dxa"/>
            <w:vMerge w:val="continue"/>
          </w:tcPr>
          <w:p w14:paraId="1A5E18EE">
            <w:pPr>
              <w:rPr>
                <w:i w:val="0"/>
                <w:iCs w:val="0"/>
                <w:color w:val="auto"/>
                <w:sz w:val="2"/>
                <w:szCs w:val="2"/>
              </w:rPr>
            </w:pPr>
          </w:p>
        </w:tc>
        <w:tc>
          <w:tcPr>
            <w:tcW w:w="6259" w:type="dxa"/>
            <w:gridSpan w:val="2"/>
          </w:tcPr>
          <w:p w14:paraId="3B8751B3">
            <w:pPr>
              <w:pStyle w:val="25"/>
              <w:spacing w:before="26"/>
              <w:ind w:left="2000" w:right="1994"/>
              <w:jc w:val="center"/>
              <w:rPr>
                <w:i w:val="0"/>
                <w:iCs w:val="0"/>
                <w:color w:val="auto"/>
                <w:sz w:val="18"/>
              </w:rPr>
            </w:pPr>
            <w:r>
              <w:rPr>
                <w:i w:val="0"/>
                <w:iCs w:val="0"/>
                <w:color w:val="auto"/>
                <w:spacing w:val="-2"/>
                <w:sz w:val="18"/>
              </w:rPr>
              <w:t>离休前置服务开发</w:t>
            </w:r>
          </w:p>
        </w:tc>
        <w:tc>
          <w:tcPr>
            <w:tcW w:w="350" w:type="dxa"/>
          </w:tcPr>
          <w:p w14:paraId="513FC267">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2A735AFA">
            <w:pPr>
              <w:pStyle w:val="25"/>
              <w:spacing w:line="267" w:lineRule="exact"/>
              <w:ind w:right="98"/>
              <w:jc w:val="right"/>
              <w:rPr>
                <w:i w:val="0"/>
                <w:iCs w:val="0"/>
                <w:color w:val="auto"/>
                <w:sz w:val="18"/>
                <w:szCs w:val="18"/>
              </w:rPr>
            </w:pPr>
            <w:r>
              <w:rPr>
                <w:i w:val="0"/>
                <w:iCs w:val="0"/>
                <w:color w:val="auto"/>
                <w:sz w:val="18"/>
                <w:szCs w:val="18"/>
              </w:rPr>
              <w:t>1</w:t>
            </w:r>
          </w:p>
        </w:tc>
      </w:tr>
      <w:tr w14:paraId="004F6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Pr>
          <w:p w14:paraId="5D983F3E">
            <w:pPr>
              <w:rPr>
                <w:i w:val="0"/>
                <w:iCs w:val="0"/>
                <w:color w:val="auto"/>
                <w:sz w:val="2"/>
                <w:szCs w:val="2"/>
              </w:rPr>
            </w:pPr>
          </w:p>
        </w:tc>
        <w:tc>
          <w:tcPr>
            <w:tcW w:w="1001" w:type="dxa"/>
            <w:vMerge w:val="continue"/>
          </w:tcPr>
          <w:p w14:paraId="734D8671">
            <w:pPr>
              <w:rPr>
                <w:i w:val="0"/>
                <w:iCs w:val="0"/>
                <w:color w:val="auto"/>
                <w:sz w:val="2"/>
                <w:szCs w:val="2"/>
              </w:rPr>
            </w:pPr>
          </w:p>
        </w:tc>
        <w:tc>
          <w:tcPr>
            <w:tcW w:w="6259" w:type="dxa"/>
            <w:gridSpan w:val="2"/>
          </w:tcPr>
          <w:p w14:paraId="2A10BB1A">
            <w:pPr>
              <w:pStyle w:val="25"/>
              <w:spacing w:before="24"/>
              <w:ind w:left="2004" w:right="1994"/>
              <w:jc w:val="center"/>
              <w:rPr>
                <w:i w:val="0"/>
                <w:iCs w:val="0"/>
                <w:color w:val="auto"/>
                <w:sz w:val="18"/>
              </w:rPr>
            </w:pPr>
            <w:r>
              <w:rPr>
                <w:i w:val="0"/>
                <w:iCs w:val="0"/>
                <w:color w:val="auto"/>
                <w:spacing w:val="-9"/>
                <w:sz w:val="18"/>
              </w:rPr>
              <w:t xml:space="preserve">我的盐城 </w:t>
            </w:r>
            <w:r>
              <w:rPr>
                <w:i w:val="0"/>
                <w:iCs w:val="0"/>
                <w:color w:val="auto"/>
                <w:sz w:val="18"/>
              </w:rPr>
              <w:t>app（业务开发</w:t>
            </w:r>
            <w:r>
              <w:rPr>
                <w:i w:val="0"/>
                <w:iCs w:val="0"/>
                <w:color w:val="auto"/>
                <w:spacing w:val="-10"/>
                <w:sz w:val="18"/>
              </w:rPr>
              <w:t>）</w:t>
            </w:r>
          </w:p>
        </w:tc>
        <w:tc>
          <w:tcPr>
            <w:tcW w:w="350" w:type="dxa"/>
          </w:tcPr>
          <w:p w14:paraId="5CDA6A45">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296AD0D">
            <w:pPr>
              <w:pStyle w:val="25"/>
              <w:spacing w:line="265" w:lineRule="exact"/>
              <w:ind w:right="98"/>
              <w:jc w:val="right"/>
              <w:rPr>
                <w:i w:val="0"/>
                <w:iCs w:val="0"/>
                <w:color w:val="auto"/>
                <w:sz w:val="18"/>
                <w:szCs w:val="18"/>
              </w:rPr>
            </w:pPr>
            <w:r>
              <w:rPr>
                <w:i w:val="0"/>
                <w:iCs w:val="0"/>
                <w:color w:val="auto"/>
                <w:sz w:val="18"/>
                <w:szCs w:val="18"/>
              </w:rPr>
              <w:t>1</w:t>
            </w:r>
          </w:p>
        </w:tc>
      </w:tr>
      <w:tr w14:paraId="01203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Pr>
          <w:p w14:paraId="644EE4D8">
            <w:pPr>
              <w:rPr>
                <w:i w:val="0"/>
                <w:iCs w:val="0"/>
                <w:color w:val="auto"/>
                <w:sz w:val="2"/>
                <w:szCs w:val="2"/>
              </w:rPr>
            </w:pPr>
          </w:p>
        </w:tc>
        <w:tc>
          <w:tcPr>
            <w:tcW w:w="1001" w:type="dxa"/>
            <w:vMerge w:val="continue"/>
          </w:tcPr>
          <w:p w14:paraId="701B46FC">
            <w:pPr>
              <w:rPr>
                <w:i w:val="0"/>
                <w:iCs w:val="0"/>
                <w:color w:val="auto"/>
                <w:sz w:val="2"/>
                <w:szCs w:val="2"/>
              </w:rPr>
            </w:pPr>
          </w:p>
        </w:tc>
        <w:tc>
          <w:tcPr>
            <w:tcW w:w="6259" w:type="dxa"/>
            <w:gridSpan w:val="2"/>
            <w:vAlign w:val="center"/>
          </w:tcPr>
          <w:p w14:paraId="588486BD">
            <w:pPr>
              <w:pStyle w:val="25"/>
              <w:spacing w:before="26"/>
              <w:ind w:right="1994"/>
              <w:jc w:val="right"/>
              <w:rPr>
                <w:i w:val="0"/>
                <w:iCs w:val="0"/>
                <w:color w:val="auto"/>
                <w:sz w:val="18"/>
              </w:rPr>
            </w:pPr>
            <w:r>
              <w:rPr>
                <w:rFonts w:hint="eastAsia"/>
                <w:i w:val="0"/>
                <w:iCs w:val="0"/>
                <w:color w:val="auto"/>
                <w:spacing w:val="-9"/>
                <w:sz w:val="18"/>
                <w:lang w:val="en-US" w:eastAsia="zh-CN"/>
              </w:rPr>
              <w:t xml:space="preserve">   </w:t>
            </w:r>
            <w:r>
              <w:rPr>
                <w:rFonts w:hint="eastAsia"/>
                <w:i w:val="0"/>
                <w:iCs w:val="0"/>
                <w:color w:val="auto"/>
                <w:spacing w:val="-9"/>
                <w:sz w:val="18"/>
              </w:rPr>
              <w:t>省医保云移动APP小程序（江苏医保云（业务开发））</w:t>
            </w:r>
          </w:p>
        </w:tc>
        <w:tc>
          <w:tcPr>
            <w:tcW w:w="350" w:type="dxa"/>
          </w:tcPr>
          <w:p w14:paraId="101323E7">
            <w:pPr>
              <w:pStyle w:val="25"/>
              <w:spacing w:line="266" w:lineRule="exact"/>
              <w:ind w:right="8"/>
              <w:jc w:val="center"/>
              <w:rPr>
                <w:i w:val="0"/>
                <w:iCs w:val="0"/>
                <w:color w:val="auto"/>
                <w:sz w:val="18"/>
                <w:szCs w:val="18"/>
              </w:rPr>
            </w:pPr>
            <w:r>
              <w:rPr>
                <w:i w:val="0"/>
                <w:iCs w:val="0"/>
                <w:color w:val="auto"/>
                <w:sz w:val="18"/>
                <w:szCs w:val="18"/>
              </w:rPr>
              <w:t>项</w:t>
            </w:r>
          </w:p>
        </w:tc>
        <w:tc>
          <w:tcPr>
            <w:tcW w:w="458" w:type="dxa"/>
          </w:tcPr>
          <w:p w14:paraId="487AAD82">
            <w:pPr>
              <w:pStyle w:val="25"/>
              <w:spacing w:line="266" w:lineRule="exact"/>
              <w:ind w:right="98"/>
              <w:jc w:val="right"/>
              <w:rPr>
                <w:i w:val="0"/>
                <w:iCs w:val="0"/>
                <w:color w:val="auto"/>
                <w:sz w:val="18"/>
                <w:szCs w:val="18"/>
              </w:rPr>
            </w:pPr>
            <w:r>
              <w:rPr>
                <w:i w:val="0"/>
                <w:iCs w:val="0"/>
                <w:color w:val="auto"/>
                <w:sz w:val="18"/>
                <w:szCs w:val="18"/>
              </w:rPr>
              <w:t>1</w:t>
            </w:r>
          </w:p>
        </w:tc>
      </w:tr>
      <w:tr w14:paraId="3F876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456" w:type="dxa"/>
            <w:vMerge w:val="continue"/>
          </w:tcPr>
          <w:p w14:paraId="1060DFBB">
            <w:pPr>
              <w:rPr>
                <w:i w:val="0"/>
                <w:iCs w:val="0"/>
                <w:color w:val="auto"/>
                <w:sz w:val="2"/>
                <w:szCs w:val="2"/>
              </w:rPr>
            </w:pPr>
          </w:p>
        </w:tc>
        <w:tc>
          <w:tcPr>
            <w:tcW w:w="1001" w:type="dxa"/>
            <w:vMerge w:val="continue"/>
          </w:tcPr>
          <w:p w14:paraId="4B334BF8">
            <w:pPr>
              <w:rPr>
                <w:i w:val="0"/>
                <w:iCs w:val="0"/>
                <w:color w:val="auto"/>
                <w:sz w:val="2"/>
                <w:szCs w:val="2"/>
              </w:rPr>
            </w:pPr>
          </w:p>
        </w:tc>
        <w:tc>
          <w:tcPr>
            <w:tcW w:w="1623" w:type="dxa"/>
          </w:tcPr>
          <w:p w14:paraId="3EE1D020">
            <w:pPr>
              <w:pStyle w:val="25"/>
              <w:rPr>
                <w:b/>
                <w:i w:val="0"/>
                <w:iCs w:val="0"/>
                <w:color w:val="auto"/>
                <w:sz w:val="18"/>
              </w:rPr>
            </w:pPr>
          </w:p>
          <w:p w14:paraId="1B952B89">
            <w:pPr>
              <w:pStyle w:val="25"/>
              <w:rPr>
                <w:b/>
                <w:i w:val="0"/>
                <w:iCs w:val="0"/>
                <w:color w:val="auto"/>
                <w:sz w:val="18"/>
              </w:rPr>
            </w:pPr>
          </w:p>
          <w:p w14:paraId="3E42A54E">
            <w:pPr>
              <w:pStyle w:val="25"/>
              <w:rPr>
                <w:b/>
                <w:i w:val="0"/>
                <w:iCs w:val="0"/>
                <w:color w:val="auto"/>
                <w:sz w:val="18"/>
              </w:rPr>
            </w:pPr>
          </w:p>
          <w:p w14:paraId="5A1B789C">
            <w:pPr>
              <w:pStyle w:val="25"/>
              <w:spacing w:before="124"/>
              <w:ind w:left="177" w:right="169"/>
              <w:jc w:val="center"/>
              <w:rPr>
                <w:i w:val="0"/>
                <w:iCs w:val="0"/>
                <w:color w:val="auto"/>
                <w:sz w:val="18"/>
              </w:rPr>
            </w:pPr>
            <w:r>
              <w:rPr>
                <w:i w:val="0"/>
                <w:iCs w:val="0"/>
                <w:color w:val="auto"/>
                <w:spacing w:val="-3"/>
                <w:sz w:val="18"/>
              </w:rPr>
              <w:t>接口服务</w:t>
            </w:r>
          </w:p>
        </w:tc>
        <w:tc>
          <w:tcPr>
            <w:tcW w:w="4636" w:type="dxa"/>
          </w:tcPr>
          <w:p w14:paraId="605C54D4">
            <w:pPr>
              <w:pStyle w:val="25"/>
              <w:spacing w:line="242" w:lineRule="auto"/>
              <w:ind w:left="107" w:right="267"/>
              <w:jc w:val="both"/>
              <w:rPr>
                <w:i w:val="0"/>
                <w:iCs w:val="0"/>
                <w:color w:val="auto"/>
                <w:spacing w:val="-2"/>
                <w:sz w:val="18"/>
                <w:highlight w:val="yellow"/>
              </w:rPr>
            </w:pPr>
            <w:r>
              <w:rPr>
                <w:i w:val="0"/>
                <w:iCs w:val="0"/>
                <w:color w:val="auto"/>
                <w:spacing w:val="-5"/>
                <w:sz w:val="18"/>
                <w:highlight w:val="yellow"/>
              </w:rPr>
              <w:t xml:space="preserve">要求供应商供应的产品所有接口保证 </w:t>
            </w:r>
            <w:r>
              <w:rPr>
                <w:i w:val="0"/>
                <w:iCs w:val="0"/>
                <w:color w:val="auto"/>
                <w:spacing w:val="-4"/>
                <w:sz w:val="18"/>
                <w:highlight w:val="yellow"/>
              </w:rPr>
              <w:t>3</w:t>
            </w:r>
            <w:r>
              <w:rPr>
                <w:i w:val="0"/>
                <w:iCs w:val="0"/>
                <w:color w:val="auto"/>
                <w:spacing w:val="-7"/>
                <w:sz w:val="18"/>
                <w:highlight w:val="yellow"/>
              </w:rPr>
              <w:t xml:space="preserve"> 年使用期内满</w:t>
            </w:r>
            <w:r>
              <w:rPr>
                <w:i w:val="0"/>
                <w:iCs w:val="0"/>
                <w:color w:val="auto"/>
                <w:spacing w:val="-2"/>
                <w:sz w:val="18"/>
                <w:highlight w:val="yellow"/>
              </w:rPr>
              <w:t>足医院业务需求及免费对接（包含接口升级等），维保期内免费升级。</w:t>
            </w:r>
            <w:r>
              <w:rPr>
                <w:rFonts w:hint="eastAsia"/>
                <w:i w:val="0"/>
                <w:iCs w:val="0"/>
                <w:color w:val="FF0000"/>
                <w:spacing w:val="-2"/>
                <w:sz w:val="18"/>
                <w:highlight w:val="yellow"/>
                <w:lang w:val="en-US" w:eastAsia="zh-CN"/>
              </w:rPr>
              <w:t>时间自系统上线通过验收之日起计算，</w:t>
            </w:r>
            <w:r>
              <w:rPr>
                <w:i w:val="0"/>
                <w:iCs w:val="0"/>
                <w:color w:val="auto"/>
                <w:spacing w:val="-2"/>
                <w:sz w:val="18"/>
                <w:highlight w:val="yellow"/>
              </w:rPr>
              <w:t>提供承诺函。</w:t>
            </w:r>
          </w:p>
          <w:p w14:paraId="60157973">
            <w:pPr>
              <w:pStyle w:val="25"/>
              <w:spacing w:before="2" w:line="242" w:lineRule="auto"/>
              <w:ind w:left="107" w:right="270"/>
              <w:jc w:val="both"/>
              <w:rPr>
                <w:i w:val="0"/>
                <w:iCs w:val="0"/>
                <w:color w:val="auto"/>
                <w:sz w:val="18"/>
              </w:rPr>
            </w:pPr>
            <w:r>
              <w:rPr>
                <w:i w:val="0"/>
                <w:iCs w:val="0"/>
                <w:color w:val="auto"/>
                <w:spacing w:val="-2"/>
                <w:sz w:val="18"/>
              </w:rPr>
              <w:t>维保期内免费升级，如后期第三方软件公司需接入或抓取数据，涉及到接口工作量的，工作量不大，乙方不再收取费用，维保期外增加新的接口如确实工作量</w:t>
            </w:r>
            <w:r>
              <w:rPr>
                <w:i w:val="0"/>
                <w:iCs w:val="0"/>
                <w:color w:val="auto"/>
                <w:spacing w:val="-1"/>
                <w:sz w:val="18"/>
              </w:rPr>
              <w:t>较大，可与甲方协商收取一定的费用，院内系统接口</w:t>
            </w:r>
          </w:p>
          <w:p w14:paraId="1AF1459A">
            <w:pPr>
              <w:pStyle w:val="25"/>
              <w:spacing w:before="1" w:line="213" w:lineRule="exact"/>
              <w:ind w:left="107"/>
              <w:jc w:val="both"/>
              <w:rPr>
                <w:i w:val="0"/>
                <w:iCs w:val="0"/>
                <w:color w:val="auto"/>
                <w:sz w:val="18"/>
              </w:rPr>
            </w:pPr>
            <w:r>
              <w:rPr>
                <w:i w:val="0"/>
                <w:iCs w:val="0"/>
                <w:color w:val="auto"/>
                <w:spacing w:val="-8"/>
                <w:sz w:val="18"/>
              </w:rPr>
              <w:t xml:space="preserve">原则上限价 </w:t>
            </w:r>
            <w:r>
              <w:rPr>
                <w:i w:val="0"/>
                <w:iCs w:val="0"/>
                <w:color w:val="auto"/>
                <w:sz w:val="18"/>
              </w:rPr>
              <w:t>3</w:t>
            </w:r>
            <w:r>
              <w:rPr>
                <w:i w:val="0"/>
                <w:iCs w:val="0"/>
                <w:color w:val="auto"/>
                <w:spacing w:val="-18"/>
                <w:sz w:val="18"/>
              </w:rPr>
              <w:t xml:space="preserve"> 万。</w:t>
            </w:r>
          </w:p>
        </w:tc>
        <w:tc>
          <w:tcPr>
            <w:tcW w:w="350" w:type="dxa"/>
          </w:tcPr>
          <w:p w14:paraId="00E2CE3E">
            <w:pPr>
              <w:pStyle w:val="25"/>
              <w:rPr>
                <w:b/>
                <w:i w:val="0"/>
                <w:iCs w:val="0"/>
                <w:color w:val="auto"/>
                <w:sz w:val="18"/>
                <w:szCs w:val="18"/>
              </w:rPr>
            </w:pPr>
          </w:p>
          <w:p w14:paraId="12D25FF4">
            <w:pPr>
              <w:pStyle w:val="25"/>
              <w:rPr>
                <w:b/>
                <w:i w:val="0"/>
                <w:iCs w:val="0"/>
                <w:color w:val="auto"/>
                <w:sz w:val="18"/>
                <w:szCs w:val="18"/>
              </w:rPr>
            </w:pPr>
          </w:p>
          <w:p w14:paraId="2C96B4F2">
            <w:pPr>
              <w:pStyle w:val="25"/>
              <w:rPr>
                <w:b/>
                <w:i w:val="0"/>
                <w:iCs w:val="0"/>
                <w:color w:val="auto"/>
                <w:sz w:val="18"/>
                <w:szCs w:val="18"/>
              </w:rPr>
            </w:pPr>
          </w:p>
          <w:p w14:paraId="4CB815E4">
            <w:pPr>
              <w:pStyle w:val="25"/>
              <w:rPr>
                <w:b/>
                <w:i w:val="0"/>
                <w:iCs w:val="0"/>
                <w:color w:val="auto"/>
                <w:sz w:val="18"/>
                <w:szCs w:val="18"/>
              </w:rPr>
            </w:pPr>
          </w:p>
          <w:p w14:paraId="5D3F582F">
            <w:pPr>
              <w:pStyle w:val="25"/>
              <w:rPr>
                <w:b/>
                <w:i w:val="0"/>
                <w:iCs w:val="0"/>
                <w:color w:val="auto"/>
                <w:sz w:val="18"/>
                <w:szCs w:val="18"/>
              </w:rPr>
            </w:pPr>
          </w:p>
          <w:p w14:paraId="18A2CE9F">
            <w:pPr>
              <w:pStyle w:val="25"/>
              <w:spacing w:before="170" w:line="267" w:lineRule="exact"/>
              <w:ind w:right="8"/>
              <w:jc w:val="center"/>
              <w:rPr>
                <w:i w:val="0"/>
                <w:iCs w:val="0"/>
                <w:color w:val="auto"/>
                <w:sz w:val="18"/>
                <w:szCs w:val="18"/>
              </w:rPr>
            </w:pPr>
            <w:r>
              <w:rPr>
                <w:i w:val="0"/>
                <w:iCs w:val="0"/>
                <w:color w:val="auto"/>
                <w:sz w:val="18"/>
                <w:szCs w:val="18"/>
              </w:rPr>
              <w:t>项</w:t>
            </w:r>
          </w:p>
        </w:tc>
        <w:tc>
          <w:tcPr>
            <w:tcW w:w="458" w:type="dxa"/>
          </w:tcPr>
          <w:p w14:paraId="3BADE15E">
            <w:pPr>
              <w:pStyle w:val="25"/>
              <w:rPr>
                <w:b/>
                <w:i w:val="0"/>
                <w:iCs w:val="0"/>
                <w:color w:val="auto"/>
                <w:sz w:val="18"/>
                <w:szCs w:val="18"/>
              </w:rPr>
            </w:pPr>
          </w:p>
          <w:p w14:paraId="6D0842D0">
            <w:pPr>
              <w:pStyle w:val="25"/>
              <w:rPr>
                <w:b/>
                <w:i w:val="0"/>
                <w:iCs w:val="0"/>
                <w:color w:val="auto"/>
                <w:sz w:val="18"/>
                <w:szCs w:val="18"/>
              </w:rPr>
            </w:pPr>
          </w:p>
          <w:p w14:paraId="5E7E38D0">
            <w:pPr>
              <w:pStyle w:val="25"/>
              <w:rPr>
                <w:b/>
                <w:i w:val="0"/>
                <w:iCs w:val="0"/>
                <w:color w:val="auto"/>
                <w:sz w:val="18"/>
                <w:szCs w:val="18"/>
              </w:rPr>
            </w:pPr>
          </w:p>
          <w:p w14:paraId="034795FB">
            <w:pPr>
              <w:pStyle w:val="25"/>
              <w:rPr>
                <w:b/>
                <w:i w:val="0"/>
                <w:iCs w:val="0"/>
                <w:color w:val="auto"/>
                <w:sz w:val="18"/>
                <w:szCs w:val="18"/>
              </w:rPr>
            </w:pPr>
          </w:p>
          <w:p w14:paraId="3E0B291D">
            <w:pPr>
              <w:pStyle w:val="25"/>
              <w:rPr>
                <w:b/>
                <w:i w:val="0"/>
                <w:iCs w:val="0"/>
                <w:color w:val="auto"/>
                <w:sz w:val="18"/>
                <w:szCs w:val="18"/>
              </w:rPr>
            </w:pPr>
          </w:p>
          <w:p w14:paraId="3439783A">
            <w:pPr>
              <w:pStyle w:val="25"/>
              <w:spacing w:before="170" w:line="267" w:lineRule="exact"/>
              <w:ind w:right="98"/>
              <w:jc w:val="right"/>
              <w:rPr>
                <w:i w:val="0"/>
                <w:iCs w:val="0"/>
                <w:color w:val="auto"/>
                <w:sz w:val="18"/>
                <w:szCs w:val="18"/>
              </w:rPr>
            </w:pPr>
            <w:r>
              <w:rPr>
                <w:i w:val="0"/>
                <w:iCs w:val="0"/>
                <w:color w:val="auto"/>
                <w:sz w:val="18"/>
                <w:szCs w:val="18"/>
              </w:rPr>
              <w:t>1</w:t>
            </w:r>
          </w:p>
        </w:tc>
      </w:tr>
      <w:tr w14:paraId="0479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restart"/>
          </w:tcPr>
          <w:p w14:paraId="24BDE83D">
            <w:pPr>
              <w:pStyle w:val="25"/>
              <w:rPr>
                <w:b/>
                <w:i w:val="0"/>
                <w:iCs w:val="0"/>
                <w:color w:val="auto"/>
                <w:sz w:val="18"/>
              </w:rPr>
            </w:pPr>
          </w:p>
          <w:p w14:paraId="5FECDB37">
            <w:pPr>
              <w:pStyle w:val="25"/>
              <w:rPr>
                <w:b/>
                <w:i w:val="0"/>
                <w:iCs w:val="0"/>
                <w:color w:val="auto"/>
                <w:sz w:val="18"/>
              </w:rPr>
            </w:pPr>
          </w:p>
          <w:p w14:paraId="18EE2532">
            <w:pPr>
              <w:pStyle w:val="25"/>
              <w:rPr>
                <w:b/>
                <w:i w:val="0"/>
                <w:iCs w:val="0"/>
                <w:color w:val="auto"/>
                <w:sz w:val="18"/>
              </w:rPr>
            </w:pPr>
          </w:p>
          <w:p w14:paraId="1015165C">
            <w:pPr>
              <w:pStyle w:val="25"/>
              <w:rPr>
                <w:b/>
                <w:i w:val="0"/>
                <w:iCs w:val="0"/>
                <w:color w:val="auto"/>
                <w:sz w:val="18"/>
              </w:rPr>
            </w:pPr>
          </w:p>
          <w:p w14:paraId="1A8EE7AC">
            <w:pPr>
              <w:pStyle w:val="25"/>
              <w:rPr>
                <w:b/>
                <w:i w:val="0"/>
                <w:iCs w:val="0"/>
                <w:color w:val="auto"/>
                <w:sz w:val="18"/>
              </w:rPr>
            </w:pPr>
          </w:p>
          <w:p w14:paraId="6A753860">
            <w:pPr>
              <w:pStyle w:val="25"/>
              <w:rPr>
                <w:b/>
                <w:i w:val="0"/>
                <w:iCs w:val="0"/>
                <w:color w:val="auto"/>
                <w:sz w:val="18"/>
              </w:rPr>
            </w:pPr>
          </w:p>
          <w:p w14:paraId="0AE0A3D3">
            <w:pPr>
              <w:pStyle w:val="25"/>
              <w:rPr>
                <w:b/>
                <w:i w:val="0"/>
                <w:iCs w:val="0"/>
                <w:color w:val="auto"/>
                <w:sz w:val="18"/>
              </w:rPr>
            </w:pPr>
          </w:p>
          <w:p w14:paraId="23383892">
            <w:pPr>
              <w:pStyle w:val="25"/>
              <w:rPr>
                <w:b/>
                <w:i w:val="0"/>
                <w:iCs w:val="0"/>
                <w:color w:val="auto"/>
                <w:sz w:val="18"/>
              </w:rPr>
            </w:pPr>
          </w:p>
          <w:p w14:paraId="0906309B">
            <w:pPr>
              <w:pStyle w:val="25"/>
              <w:rPr>
                <w:b/>
                <w:i w:val="0"/>
                <w:iCs w:val="0"/>
                <w:color w:val="auto"/>
                <w:sz w:val="18"/>
              </w:rPr>
            </w:pPr>
          </w:p>
          <w:p w14:paraId="2799B02D">
            <w:pPr>
              <w:pStyle w:val="25"/>
              <w:rPr>
                <w:b/>
                <w:i w:val="0"/>
                <w:iCs w:val="0"/>
                <w:color w:val="auto"/>
                <w:sz w:val="18"/>
              </w:rPr>
            </w:pPr>
          </w:p>
          <w:p w14:paraId="7C281A4E">
            <w:pPr>
              <w:pStyle w:val="25"/>
              <w:rPr>
                <w:b/>
                <w:i w:val="0"/>
                <w:iCs w:val="0"/>
                <w:color w:val="auto"/>
                <w:sz w:val="18"/>
              </w:rPr>
            </w:pPr>
          </w:p>
          <w:p w14:paraId="773CF174">
            <w:pPr>
              <w:pStyle w:val="25"/>
              <w:rPr>
                <w:b/>
                <w:i w:val="0"/>
                <w:iCs w:val="0"/>
                <w:color w:val="auto"/>
                <w:sz w:val="18"/>
              </w:rPr>
            </w:pPr>
          </w:p>
          <w:p w14:paraId="2FCAF7C4">
            <w:pPr>
              <w:pStyle w:val="25"/>
              <w:rPr>
                <w:b/>
                <w:i w:val="0"/>
                <w:iCs w:val="0"/>
                <w:color w:val="auto"/>
                <w:sz w:val="18"/>
              </w:rPr>
            </w:pPr>
          </w:p>
          <w:p w14:paraId="5ECA0EBC">
            <w:pPr>
              <w:pStyle w:val="25"/>
              <w:rPr>
                <w:b/>
                <w:i w:val="0"/>
                <w:iCs w:val="0"/>
                <w:color w:val="auto"/>
                <w:sz w:val="18"/>
              </w:rPr>
            </w:pPr>
          </w:p>
          <w:p w14:paraId="2E6F23DE">
            <w:pPr>
              <w:pStyle w:val="25"/>
              <w:spacing w:before="7"/>
              <w:rPr>
                <w:b/>
                <w:i w:val="0"/>
                <w:iCs w:val="0"/>
                <w:color w:val="auto"/>
                <w:sz w:val="25"/>
              </w:rPr>
            </w:pPr>
          </w:p>
          <w:p w14:paraId="29760AD2">
            <w:pPr>
              <w:pStyle w:val="25"/>
              <w:spacing w:before="1"/>
              <w:ind w:left="8"/>
              <w:jc w:val="center"/>
              <w:rPr>
                <w:i w:val="0"/>
                <w:iCs w:val="0"/>
                <w:color w:val="auto"/>
                <w:sz w:val="18"/>
              </w:rPr>
            </w:pPr>
            <w:r>
              <w:rPr>
                <w:i w:val="0"/>
                <w:iCs w:val="0"/>
                <w:color w:val="auto"/>
                <w:sz w:val="18"/>
              </w:rPr>
              <w:t>9</w:t>
            </w:r>
          </w:p>
        </w:tc>
        <w:tc>
          <w:tcPr>
            <w:tcW w:w="1001" w:type="dxa"/>
            <w:vMerge w:val="restart"/>
          </w:tcPr>
          <w:p w14:paraId="6D83FA16">
            <w:pPr>
              <w:pStyle w:val="25"/>
              <w:rPr>
                <w:b/>
                <w:i w:val="0"/>
                <w:iCs w:val="0"/>
                <w:color w:val="auto"/>
                <w:sz w:val="18"/>
              </w:rPr>
            </w:pPr>
          </w:p>
          <w:p w14:paraId="6D5209C8">
            <w:pPr>
              <w:pStyle w:val="25"/>
              <w:rPr>
                <w:b/>
                <w:i w:val="0"/>
                <w:iCs w:val="0"/>
                <w:color w:val="auto"/>
                <w:sz w:val="18"/>
              </w:rPr>
            </w:pPr>
          </w:p>
          <w:p w14:paraId="4AA7E812">
            <w:pPr>
              <w:pStyle w:val="25"/>
              <w:rPr>
                <w:b/>
                <w:i w:val="0"/>
                <w:iCs w:val="0"/>
                <w:color w:val="auto"/>
                <w:sz w:val="18"/>
              </w:rPr>
            </w:pPr>
          </w:p>
          <w:p w14:paraId="212A65F1">
            <w:pPr>
              <w:pStyle w:val="25"/>
              <w:rPr>
                <w:b/>
                <w:i w:val="0"/>
                <w:iCs w:val="0"/>
                <w:color w:val="auto"/>
                <w:sz w:val="18"/>
              </w:rPr>
            </w:pPr>
          </w:p>
          <w:p w14:paraId="6962140E">
            <w:pPr>
              <w:pStyle w:val="25"/>
              <w:rPr>
                <w:b/>
                <w:i w:val="0"/>
                <w:iCs w:val="0"/>
                <w:color w:val="auto"/>
                <w:sz w:val="18"/>
              </w:rPr>
            </w:pPr>
          </w:p>
          <w:p w14:paraId="4142E286">
            <w:pPr>
              <w:pStyle w:val="25"/>
              <w:rPr>
                <w:b/>
                <w:i w:val="0"/>
                <w:iCs w:val="0"/>
                <w:color w:val="auto"/>
                <w:sz w:val="18"/>
              </w:rPr>
            </w:pPr>
          </w:p>
          <w:p w14:paraId="7A40839E">
            <w:pPr>
              <w:pStyle w:val="25"/>
              <w:rPr>
                <w:b/>
                <w:i w:val="0"/>
                <w:iCs w:val="0"/>
                <w:color w:val="auto"/>
                <w:sz w:val="18"/>
              </w:rPr>
            </w:pPr>
          </w:p>
          <w:p w14:paraId="1C3008E1">
            <w:pPr>
              <w:pStyle w:val="25"/>
              <w:rPr>
                <w:b/>
                <w:i w:val="0"/>
                <w:iCs w:val="0"/>
                <w:color w:val="auto"/>
                <w:sz w:val="18"/>
              </w:rPr>
            </w:pPr>
          </w:p>
          <w:p w14:paraId="2502A69B">
            <w:pPr>
              <w:pStyle w:val="25"/>
              <w:rPr>
                <w:b/>
                <w:i w:val="0"/>
                <w:iCs w:val="0"/>
                <w:color w:val="auto"/>
                <w:sz w:val="18"/>
              </w:rPr>
            </w:pPr>
          </w:p>
          <w:p w14:paraId="3AB21F9C">
            <w:pPr>
              <w:pStyle w:val="25"/>
              <w:rPr>
                <w:b/>
                <w:i w:val="0"/>
                <w:iCs w:val="0"/>
                <w:color w:val="auto"/>
                <w:sz w:val="18"/>
              </w:rPr>
            </w:pPr>
          </w:p>
          <w:p w14:paraId="274D7A7D">
            <w:pPr>
              <w:pStyle w:val="25"/>
              <w:rPr>
                <w:b/>
                <w:i w:val="0"/>
                <w:iCs w:val="0"/>
                <w:color w:val="auto"/>
                <w:sz w:val="18"/>
              </w:rPr>
            </w:pPr>
          </w:p>
          <w:p w14:paraId="09C8E843">
            <w:pPr>
              <w:pStyle w:val="25"/>
              <w:rPr>
                <w:b/>
                <w:i w:val="0"/>
                <w:iCs w:val="0"/>
                <w:color w:val="auto"/>
                <w:sz w:val="18"/>
              </w:rPr>
            </w:pPr>
          </w:p>
          <w:p w14:paraId="24AF685B">
            <w:pPr>
              <w:pStyle w:val="25"/>
              <w:rPr>
                <w:b/>
                <w:i w:val="0"/>
                <w:iCs w:val="0"/>
                <w:color w:val="auto"/>
                <w:sz w:val="18"/>
              </w:rPr>
            </w:pPr>
          </w:p>
          <w:p w14:paraId="303CE42B">
            <w:pPr>
              <w:pStyle w:val="25"/>
              <w:rPr>
                <w:b/>
                <w:i w:val="0"/>
                <w:iCs w:val="0"/>
                <w:color w:val="auto"/>
                <w:sz w:val="18"/>
              </w:rPr>
            </w:pPr>
          </w:p>
          <w:p w14:paraId="719A22C4">
            <w:pPr>
              <w:pStyle w:val="25"/>
              <w:spacing w:before="7"/>
              <w:rPr>
                <w:b/>
                <w:i w:val="0"/>
                <w:iCs w:val="0"/>
                <w:color w:val="auto"/>
                <w:sz w:val="25"/>
              </w:rPr>
            </w:pPr>
          </w:p>
          <w:p w14:paraId="5B50CBC5">
            <w:pPr>
              <w:pStyle w:val="25"/>
              <w:spacing w:before="1"/>
              <w:ind w:left="138"/>
              <w:rPr>
                <w:i w:val="0"/>
                <w:iCs w:val="0"/>
                <w:color w:val="auto"/>
                <w:sz w:val="18"/>
              </w:rPr>
            </w:pPr>
            <w:r>
              <w:rPr>
                <w:i w:val="0"/>
                <w:iCs w:val="0"/>
                <w:color w:val="auto"/>
                <w:spacing w:val="-3"/>
                <w:sz w:val="18"/>
              </w:rPr>
              <w:t>软件服务</w:t>
            </w:r>
          </w:p>
        </w:tc>
        <w:tc>
          <w:tcPr>
            <w:tcW w:w="1623" w:type="dxa"/>
          </w:tcPr>
          <w:p w14:paraId="052063F2">
            <w:pPr>
              <w:pStyle w:val="25"/>
              <w:spacing w:before="117"/>
              <w:ind w:left="177" w:right="169"/>
              <w:jc w:val="center"/>
              <w:rPr>
                <w:i w:val="0"/>
                <w:iCs w:val="0"/>
                <w:color w:val="auto"/>
                <w:sz w:val="18"/>
              </w:rPr>
            </w:pPr>
            <w:r>
              <w:rPr>
                <w:i w:val="0"/>
                <w:iCs w:val="0"/>
                <w:color w:val="auto"/>
                <w:spacing w:val="-3"/>
                <w:sz w:val="18"/>
              </w:rPr>
              <w:t>驻场服务</w:t>
            </w:r>
          </w:p>
        </w:tc>
        <w:tc>
          <w:tcPr>
            <w:tcW w:w="4636" w:type="dxa"/>
          </w:tcPr>
          <w:p w14:paraId="5522320D">
            <w:pPr>
              <w:pStyle w:val="25"/>
              <w:spacing w:before="2" w:line="215" w:lineRule="exact"/>
              <w:ind w:left="107"/>
              <w:rPr>
                <w:i w:val="0"/>
                <w:iCs w:val="0"/>
                <w:color w:val="auto"/>
                <w:sz w:val="18"/>
              </w:rPr>
            </w:pPr>
            <w:r>
              <w:rPr>
                <w:rFonts w:hint="eastAsia"/>
                <w:i w:val="0"/>
                <w:iCs w:val="0"/>
                <w:color w:val="auto"/>
                <w:spacing w:val="-4"/>
                <w:sz w:val="18"/>
                <w:highlight w:val="yellow"/>
              </w:rPr>
              <w:t>验收合格后要求供应商提供</w:t>
            </w:r>
            <w:r>
              <w:rPr>
                <w:i w:val="0"/>
                <w:iCs w:val="0"/>
                <w:color w:val="auto"/>
                <w:spacing w:val="-4"/>
                <w:sz w:val="18"/>
                <w:highlight w:val="yellow"/>
              </w:rPr>
              <w:t>3名医院驻场人员进行驻场技术支撑服务，服务期3年。提供承诺函。</w:t>
            </w:r>
          </w:p>
        </w:tc>
        <w:tc>
          <w:tcPr>
            <w:tcW w:w="350" w:type="dxa"/>
          </w:tcPr>
          <w:p w14:paraId="1BBD5ED2">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00773EB0">
            <w:pPr>
              <w:pStyle w:val="25"/>
              <w:spacing w:before="180" w:line="267" w:lineRule="exact"/>
              <w:ind w:right="98"/>
              <w:jc w:val="right"/>
              <w:rPr>
                <w:i w:val="0"/>
                <w:iCs w:val="0"/>
                <w:color w:val="auto"/>
                <w:sz w:val="18"/>
                <w:szCs w:val="18"/>
              </w:rPr>
            </w:pPr>
            <w:r>
              <w:rPr>
                <w:i w:val="0"/>
                <w:iCs w:val="0"/>
                <w:color w:val="auto"/>
                <w:sz w:val="18"/>
                <w:szCs w:val="18"/>
              </w:rPr>
              <w:t>1</w:t>
            </w:r>
          </w:p>
        </w:tc>
      </w:tr>
      <w:tr w14:paraId="1F717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456" w:type="dxa"/>
            <w:vMerge w:val="continue"/>
            <w:tcBorders>
              <w:top w:val="nil"/>
            </w:tcBorders>
          </w:tcPr>
          <w:p w14:paraId="237D98D8">
            <w:pPr>
              <w:rPr>
                <w:i w:val="0"/>
                <w:iCs w:val="0"/>
                <w:color w:val="auto"/>
                <w:sz w:val="2"/>
                <w:szCs w:val="2"/>
              </w:rPr>
            </w:pPr>
          </w:p>
        </w:tc>
        <w:tc>
          <w:tcPr>
            <w:tcW w:w="1001" w:type="dxa"/>
            <w:vMerge w:val="continue"/>
            <w:tcBorders>
              <w:top w:val="nil"/>
            </w:tcBorders>
          </w:tcPr>
          <w:p w14:paraId="5B81293B">
            <w:pPr>
              <w:rPr>
                <w:i w:val="0"/>
                <w:iCs w:val="0"/>
                <w:color w:val="auto"/>
                <w:sz w:val="2"/>
                <w:szCs w:val="2"/>
              </w:rPr>
            </w:pPr>
          </w:p>
        </w:tc>
        <w:tc>
          <w:tcPr>
            <w:tcW w:w="1623" w:type="dxa"/>
          </w:tcPr>
          <w:p w14:paraId="43003672">
            <w:pPr>
              <w:pStyle w:val="25"/>
              <w:rPr>
                <w:b/>
                <w:i w:val="0"/>
                <w:iCs w:val="0"/>
                <w:color w:val="auto"/>
                <w:sz w:val="18"/>
              </w:rPr>
            </w:pPr>
          </w:p>
          <w:p w14:paraId="44D349DB">
            <w:pPr>
              <w:pStyle w:val="25"/>
              <w:rPr>
                <w:b/>
                <w:i w:val="0"/>
                <w:iCs w:val="0"/>
                <w:color w:val="auto"/>
                <w:sz w:val="18"/>
              </w:rPr>
            </w:pPr>
          </w:p>
          <w:p w14:paraId="11C5C574">
            <w:pPr>
              <w:pStyle w:val="25"/>
              <w:spacing w:before="121"/>
              <w:ind w:left="177" w:right="169"/>
              <w:jc w:val="center"/>
              <w:rPr>
                <w:i w:val="0"/>
                <w:iCs w:val="0"/>
                <w:color w:val="auto"/>
                <w:sz w:val="18"/>
              </w:rPr>
            </w:pPr>
            <w:r>
              <w:rPr>
                <w:i w:val="0"/>
                <w:iCs w:val="0"/>
                <w:color w:val="auto"/>
                <w:spacing w:val="-2"/>
                <w:sz w:val="18"/>
              </w:rPr>
              <w:t>软件升级服务</w:t>
            </w:r>
          </w:p>
        </w:tc>
        <w:tc>
          <w:tcPr>
            <w:tcW w:w="4636" w:type="dxa"/>
          </w:tcPr>
          <w:p w14:paraId="68253E32">
            <w:pPr>
              <w:pStyle w:val="25"/>
              <w:ind w:left="107"/>
              <w:rPr>
                <w:i w:val="0"/>
                <w:iCs w:val="0"/>
                <w:color w:val="auto"/>
                <w:sz w:val="18"/>
              </w:rPr>
            </w:pPr>
            <w:r>
              <w:rPr>
                <w:i w:val="0"/>
                <w:iCs w:val="0"/>
                <w:color w:val="auto"/>
                <w:spacing w:val="-3"/>
                <w:sz w:val="18"/>
              </w:rPr>
              <w:t xml:space="preserve">要求中标单位提供最新版本的标准产品，且在 </w:t>
            </w:r>
            <w:r>
              <w:rPr>
                <w:i w:val="0"/>
                <w:iCs w:val="0"/>
                <w:color w:val="auto"/>
                <w:sz w:val="18"/>
              </w:rPr>
              <w:t>3</w:t>
            </w:r>
            <w:r>
              <w:rPr>
                <w:i w:val="0"/>
                <w:iCs w:val="0"/>
                <w:color w:val="auto"/>
                <w:spacing w:val="-18"/>
                <w:sz w:val="18"/>
              </w:rPr>
              <w:t xml:space="preserve"> 年内</w:t>
            </w:r>
          </w:p>
          <w:p w14:paraId="25B5A36D">
            <w:pPr>
              <w:pStyle w:val="25"/>
              <w:spacing w:before="2" w:line="242" w:lineRule="auto"/>
              <w:ind w:left="107" w:right="270"/>
              <w:rPr>
                <w:i w:val="0"/>
                <w:iCs w:val="0"/>
                <w:color w:val="auto"/>
                <w:sz w:val="18"/>
              </w:rPr>
            </w:pPr>
            <w:r>
              <w:rPr>
                <w:i w:val="0"/>
                <w:iCs w:val="0"/>
                <w:color w:val="auto"/>
                <w:spacing w:val="-6"/>
                <w:sz w:val="18"/>
              </w:rPr>
              <w:t xml:space="preserve">免费升级，若采购人 </w:t>
            </w:r>
            <w:r>
              <w:rPr>
                <w:i w:val="0"/>
                <w:iCs w:val="0"/>
                <w:color w:val="auto"/>
                <w:spacing w:val="-2"/>
                <w:sz w:val="18"/>
              </w:rPr>
              <w:t>3</w:t>
            </w:r>
            <w:r>
              <w:rPr>
                <w:i w:val="0"/>
                <w:iCs w:val="0"/>
                <w:color w:val="auto"/>
                <w:spacing w:val="-9"/>
                <w:sz w:val="18"/>
              </w:rPr>
              <w:t xml:space="preserve"> 年使用期后对软件有新的功能</w:t>
            </w:r>
            <w:r>
              <w:rPr>
                <w:i w:val="0"/>
                <w:iCs w:val="0"/>
                <w:color w:val="auto"/>
                <w:spacing w:val="-2"/>
                <w:sz w:val="18"/>
              </w:rPr>
              <w:t>需求，费用另行商议。</w:t>
            </w:r>
          </w:p>
          <w:p w14:paraId="1224F610">
            <w:pPr>
              <w:pStyle w:val="25"/>
              <w:spacing w:line="213" w:lineRule="exact"/>
              <w:ind w:left="107"/>
              <w:rPr>
                <w:i w:val="0"/>
                <w:iCs w:val="0"/>
                <w:color w:val="auto"/>
                <w:sz w:val="18"/>
              </w:rPr>
            </w:pPr>
            <w:r>
              <w:rPr>
                <w:rFonts w:hint="eastAsia"/>
                <w:i w:val="0"/>
                <w:iCs w:val="0"/>
                <w:color w:val="auto"/>
                <w:spacing w:val="-2"/>
                <w:sz w:val="18"/>
                <w:highlight w:val="yellow"/>
              </w:rPr>
              <w:t>要求供应商供应的产品需满足 7*24小时质保服务，要求故障 1小时内响应、24 小时内处理。提供承诺函。</w:t>
            </w:r>
          </w:p>
        </w:tc>
        <w:tc>
          <w:tcPr>
            <w:tcW w:w="350" w:type="dxa"/>
          </w:tcPr>
          <w:p w14:paraId="6A9A1934">
            <w:pPr>
              <w:pStyle w:val="25"/>
              <w:rPr>
                <w:b/>
                <w:i w:val="0"/>
                <w:iCs w:val="0"/>
                <w:color w:val="auto"/>
                <w:sz w:val="18"/>
                <w:szCs w:val="18"/>
              </w:rPr>
            </w:pPr>
          </w:p>
          <w:p w14:paraId="71239A6C">
            <w:pPr>
              <w:pStyle w:val="25"/>
              <w:rPr>
                <w:b/>
                <w:i w:val="0"/>
                <w:iCs w:val="0"/>
                <w:color w:val="auto"/>
                <w:sz w:val="18"/>
                <w:szCs w:val="18"/>
              </w:rPr>
            </w:pPr>
          </w:p>
          <w:p w14:paraId="4C8FC19E">
            <w:pPr>
              <w:pStyle w:val="25"/>
              <w:rPr>
                <w:b/>
                <w:i w:val="0"/>
                <w:iCs w:val="0"/>
                <w:color w:val="auto"/>
                <w:sz w:val="18"/>
                <w:szCs w:val="18"/>
              </w:rPr>
            </w:pPr>
          </w:p>
          <w:p w14:paraId="574A6577">
            <w:pPr>
              <w:pStyle w:val="25"/>
              <w:spacing w:before="10"/>
              <w:rPr>
                <w:b/>
                <w:i w:val="0"/>
                <w:iCs w:val="0"/>
                <w:color w:val="auto"/>
                <w:sz w:val="18"/>
                <w:szCs w:val="18"/>
              </w:rPr>
            </w:pPr>
          </w:p>
          <w:p w14:paraId="465322ED">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44920FEA">
            <w:pPr>
              <w:pStyle w:val="25"/>
              <w:rPr>
                <w:b/>
                <w:i w:val="0"/>
                <w:iCs w:val="0"/>
                <w:color w:val="auto"/>
                <w:sz w:val="18"/>
                <w:szCs w:val="18"/>
              </w:rPr>
            </w:pPr>
          </w:p>
          <w:p w14:paraId="36CE9A29">
            <w:pPr>
              <w:pStyle w:val="25"/>
              <w:rPr>
                <w:b/>
                <w:i w:val="0"/>
                <w:iCs w:val="0"/>
                <w:color w:val="auto"/>
                <w:sz w:val="18"/>
                <w:szCs w:val="18"/>
              </w:rPr>
            </w:pPr>
          </w:p>
          <w:p w14:paraId="61CAF744">
            <w:pPr>
              <w:pStyle w:val="25"/>
              <w:rPr>
                <w:b/>
                <w:i w:val="0"/>
                <w:iCs w:val="0"/>
                <w:color w:val="auto"/>
                <w:sz w:val="18"/>
                <w:szCs w:val="18"/>
              </w:rPr>
            </w:pPr>
          </w:p>
          <w:p w14:paraId="6F037475">
            <w:pPr>
              <w:pStyle w:val="25"/>
              <w:spacing w:before="10"/>
              <w:rPr>
                <w:b/>
                <w:i w:val="0"/>
                <w:iCs w:val="0"/>
                <w:color w:val="auto"/>
                <w:sz w:val="18"/>
                <w:szCs w:val="18"/>
              </w:rPr>
            </w:pPr>
          </w:p>
          <w:p w14:paraId="3D5B608C">
            <w:pPr>
              <w:pStyle w:val="25"/>
              <w:spacing w:line="267" w:lineRule="exact"/>
              <w:ind w:right="98"/>
              <w:jc w:val="right"/>
              <w:rPr>
                <w:i w:val="0"/>
                <w:iCs w:val="0"/>
                <w:color w:val="auto"/>
                <w:sz w:val="18"/>
                <w:szCs w:val="18"/>
              </w:rPr>
            </w:pPr>
            <w:r>
              <w:rPr>
                <w:i w:val="0"/>
                <w:iCs w:val="0"/>
                <w:color w:val="auto"/>
                <w:sz w:val="18"/>
                <w:szCs w:val="18"/>
              </w:rPr>
              <w:t>1</w:t>
            </w:r>
          </w:p>
        </w:tc>
      </w:tr>
      <w:tr w14:paraId="6CBAA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continue"/>
            <w:tcBorders>
              <w:top w:val="nil"/>
            </w:tcBorders>
          </w:tcPr>
          <w:p w14:paraId="73783527">
            <w:pPr>
              <w:rPr>
                <w:i w:val="0"/>
                <w:iCs w:val="0"/>
                <w:color w:val="auto"/>
                <w:sz w:val="2"/>
                <w:szCs w:val="2"/>
              </w:rPr>
            </w:pPr>
          </w:p>
        </w:tc>
        <w:tc>
          <w:tcPr>
            <w:tcW w:w="1001" w:type="dxa"/>
            <w:vMerge w:val="continue"/>
            <w:tcBorders>
              <w:top w:val="nil"/>
            </w:tcBorders>
          </w:tcPr>
          <w:p w14:paraId="00CE4E80">
            <w:pPr>
              <w:rPr>
                <w:i w:val="0"/>
                <w:iCs w:val="0"/>
                <w:color w:val="auto"/>
                <w:sz w:val="2"/>
                <w:szCs w:val="2"/>
              </w:rPr>
            </w:pPr>
          </w:p>
        </w:tc>
        <w:tc>
          <w:tcPr>
            <w:tcW w:w="1623" w:type="dxa"/>
          </w:tcPr>
          <w:p w14:paraId="02F355BD">
            <w:pPr>
              <w:pStyle w:val="25"/>
              <w:spacing w:before="117"/>
              <w:ind w:left="177" w:right="169"/>
              <w:jc w:val="center"/>
              <w:rPr>
                <w:i w:val="0"/>
                <w:iCs w:val="0"/>
                <w:color w:val="auto"/>
                <w:sz w:val="18"/>
              </w:rPr>
            </w:pPr>
            <w:r>
              <w:rPr>
                <w:i w:val="0"/>
                <w:iCs w:val="0"/>
                <w:color w:val="auto"/>
                <w:spacing w:val="-3"/>
                <w:sz w:val="18"/>
              </w:rPr>
              <w:t>数据服务</w:t>
            </w:r>
          </w:p>
        </w:tc>
        <w:tc>
          <w:tcPr>
            <w:tcW w:w="4636" w:type="dxa"/>
          </w:tcPr>
          <w:p w14:paraId="7C70354F">
            <w:pPr>
              <w:pStyle w:val="25"/>
              <w:spacing w:line="230" w:lineRule="atLeast"/>
              <w:ind w:left="107" w:right="270"/>
              <w:rPr>
                <w:i w:val="0"/>
                <w:iCs w:val="0"/>
                <w:color w:val="auto"/>
                <w:sz w:val="18"/>
              </w:rPr>
            </w:pPr>
            <w:r>
              <w:rPr>
                <w:i w:val="0"/>
                <w:iCs w:val="0"/>
                <w:color w:val="auto"/>
                <w:spacing w:val="-2"/>
                <w:sz w:val="18"/>
                <w:highlight w:val="yellow"/>
              </w:rPr>
              <w:t>对过渡期原系统维护及历史数据归档导入，满足医院业务需求及设计要求。提供承诺函。</w:t>
            </w:r>
          </w:p>
        </w:tc>
        <w:tc>
          <w:tcPr>
            <w:tcW w:w="350" w:type="dxa"/>
          </w:tcPr>
          <w:p w14:paraId="116B3895">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40338D40">
            <w:pPr>
              <w:pStyle w:val="25"/>
              <w:spacing w:before="180" w:line="267" w:lineRule="exact"/>
              <w:ind w:right="98"/>
              <w:jc w:val="right"/>
              <w:rPr>
                <w:i w:val="0"/>
                <w:iCs w:val="0"/>
                <w:color w:val="auto"/>
                <w:sz w:val="18"/>
                <w:szCs w:val="18"/>
              </w:rPr>
            </w:pPr>
            <w:r>
              <w:rPr>
                <w:i w:val="0"/>
                <w:iCs w:val="0"/>
                <w:color w:val="auto"/>
                <w:sz w:val="18"/>
                <w:szCs w:val="18"/>
              </w:rPr>
              <w:t>1</w:t>
            </w:r>
          </w:p>
        </w:tc>
      </w:tr>
      <w:tr w14:paraId="570FF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vMerge w:val="continue"/>
            <w:tcBorders>
              <w:top w:val="nil"/>
            </w:tcBorders>
          </w:tcPr>
          <w:p w14:paraId="26843CEF">
            <w:pPr>
              <w:rPr>
                <w:i w:val="0"/>
                <w:iCs w:val="0"/>
                <w:color w:val="auto"/>
                <w:sz w:val="2"/>
                <w:szCs w:val="2"/>
              </w:rPr>
            </w:pPr>
          </w:p>
        </w:tc>
        <w:tc>
          <w:tcPr>
            <w:tcW w:w="1001" w:type="dxa"/>
            <w:vMerge w:val="continue"/>
            <w:tcBorders>
              <w:top w:val="nil"/>
            </w:tcBorders>
          </w:tcPr>
          <w:p w14:paraId="4A0D534D">
            <w:pPr>
              <w:rPr>
                <w:i w:val="0"/>
                <w:iCs w:val="0"/>
                <w:color w:val="auto"/>
                <w:sz w:val="2"/>
                <w:szCs w:val="2"/>
              </w:rPr>
            </w:pPr>
          </w:p>
        </w:tc>
        <w:tc>
          <w:tcPr>
            <w:tcW w:w="1623" w:type="dxa"/>
          </w:tcPr>
          <w:p w14:paraId="0BCEAEE4">
            <w:pPr>
              <w:pStyle w:val="25"/>
              <w:spacing w:before="1"/>
              <w:rPr>
                <w:b/>
                <w:i w:val="0"/>
                <w:iCs w:val="0"/>
                <w:color w:val="auto"/>
                <w:sz w:val="18"/>
              </w:rPr>
            </w:pPr>
          </w:p>
          <w:p w14:paraId="10279AE7">
            <w:pPr>
              <w:pStyle w:val="25"/>
              <w:spacing w:before="1" w:line="244" w:lineRule="auto"/>
              <w:ind w:left="450" w:right="169" w:hanging="269"/>
              <w:rPr>
                <w:i w:val="0"/>
                <w:iCs w:val="0"/>
                <w:color w:val="auto"/>
                <w:sz w:val="18"/>
              </w:rPr>
            </w:pPr>
            <w:r>
              <w:rPr>
                <w:i w:val="0"/>
                <w:iCs w:val="0"/>
                <w:color w:val="auto"/>
                <w:spacing w:val="-2"/>
                <w:sz w:val="18"/>
              </w:rPr>
              <w:t>数据上报服务及</w:t>
            </w:r>
            <w:r>
              <w:rPr>
                <w:i w:val="0"/>
                <w:iCs w:val="0"/>
                <w:color w:val="auto"/>
                <w:spacing w:val="-4"/>
                <w:sz w:val="18"/>
              </w:rPr>
              <w:t>维护工作</w:t>
            </w:r>
          </w:p>
        </w:tc>
        <w:tc>
          <w:tcPr>
            <w:tcW w:w="4636" w:type="dxa"/>
          </w:tcPr>
          <w:p w14:paraId="1A0C0ED5">
            <w:pPr>
              <w:pStyle w:val="25"/>
              <w:spacing w:line="242" w:lineRule="auto"/>
              <w:ind w:left="107" w:right="270"/>
              <w:jc w:val="both"/>
              <w:rPr>
                <w:i w:val="0"/>
                <w:iCs w:val="0"/>
                <w:color w:val="auto"/>
                <w:sz w:val="18"/>
              </w:rPr>
            </w:pPr>
            <w:r>
              <w:rPr>
                <w:i w:val="0"/>
                <w:iCs w:val="0"/>
                <w:color w:val="auto"/>
                <w:spacing w:val="-2"/>
                <w:sz w:val="18"/>
              </w:rPr>
              <w:t>免费为医院提供省全民健康信息平台、省影像平台、省检验平台、国家传染病上报平台、网采率、药耗追</w:t>
            </w:r>
            <w:r>
              <w:rPr>
                <w:i w:val="0"/>
                <w:iCs w:val="0"/>
                <w:color w:val="auto"/>
                <w:spacing w:val="-1"/>
                <w:sz w:val="18"/>
              </w:rPr>
              <w:t>溯率等国家省市县政策要求的平台数据上传及维护工</w:t>
            </w:r>
          </w:p>
          <w:p w14:paraId="6F9F3435">
            <w:pPr>
              <w:pStyle w:val="25"/>
              <w:spacing w:before="2" w:line="213" w:lineRule="exact"/>
              <w:ind w:left="107"/>
              <w:rPr>
                <w:i w:val="0"/>
                <w:iCs w:val="0"/>
                <w:color w:val="auto"/>
                <w:sz w:val="18"/>
              </w:rPr>
            </w:pPr>
            <w:r>
              <w:rPr>
                <w:i w:val="0"/>
                <w:iCs w:val="0"/>
                <w:color w:val="auto"/>
                <w:spacing w:val="-1"/>
                <w:sz w:val="18"/>
              </w:rPr>
              <w:t>作，同时质控达到相关标准要求。</w:t>
            </w:r>
          </w:p>
        </w:tc>
        <w:tc>
          <w:tcPr>
            <w:tcW w:w="350" w:type="dxa"/>
          </w:tcPr>
          <w:p w14:paraId="1EE82825">
            <w:pPr>
              <w:pStyle w:val="25"/>
              <w:rPr>
                <w:b/>
                <w:i w:val="0"/>
                <w:iCs w:val="0"/>
                <w:color w:val="auto"/>
                <w:sz w:val="18"/>
                <w:szCs w:val="18"/>
              </w:rPr>
            </w:pPr>
          </w:p>
          <w:p w14:paraId="1B5C277E">
            <w:pPr>
              <w:pStyle w:val="25"/>
              <w:spacing w:before="5"/>
              <w:rPr>
                <w:b/>
                <w:i w:val="0"/>
                <w:iCs w:val="0"/>
                <w:color w:val="auto"/>
                <w:sz w:val="18"/>
                <w:szCs w:val="18"/>
              </w:rPr>
            </w:pPr>
          </w:p>
          <w:p w14:paraId="40820208">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56018110">
            <w:pPr>
              <w:pStyle w:val="25"/>
              <w:rPr>
                <w:b/>
                <w:i w:val="0"/>
                <w:iCs w:val="0"/>
                <w:color w:val="auto"/>
                <w:sz w:val="18"/>
                <w:szCs w:val="18"/>
              </w:rPr>
            </w:pPr>
          </w:p>
          <w:p w14:paraId="22349462">
            <w:pPr>
              <w:pStyle w:val="25"/>
              <w:spacing w:before="5"/>
              <w:rPr>
                <w:b/>
                <w:i w:val="0"/>
                <w:iCs w:val="0"/>
                <w:color w:val="auto"/>
                <w:sz w:val="18"/>
                <w:szCs w:val="18"/>
              </w:rPr>
            </w:pPr>
          </w:p>
          <w:p w14:paraId="16049B70">
            <w:pPr>
              <w:pStyle w:val="25"/>
              <w:spacing w:line="267" w:lineRule="exact"/>
              <w:ind w:right="98"/>
              <w:jc w:val="right"/>
              <w:rPr>
                <w:i w:val="0"/>
                <w:iCs w:val="0"/>
                <w:color w:val="auto"/>
                <w:sz w:val="18"/>
                <w:szCs w:val="18"/>
              </w:rPr>
            </w:pPr>
            <w:r>
              <w:rPr>
                <w:i w:val="0"/>
                <w:iCs w:val="0"/>
                <w:color w:val="auto"/>
                <w:sz w:val="18"/>
                <w:szCs w:val="18"/>
              </w:rPr>
              <w:t>1</w:t>
            </w:r>
          </w:p>
        </w:tc>
      </w:tr>
      <w:tr w14:paraId="12E28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2C9CC67">
            <w:pPr>
              <w:rPr>
                <w:i w:val="0"/>
                <w:iCs w:val="0"/>
                <w:color w:val="auto"/>
                <w:sz w:val="2"/>
                <w:szCs w:val="2"/>
              </w:rPr>
            </w:pPr>
          </w:p>
        </w:tc>
        <w:tc>
          <w:tcPr>
            <w:tcW w:w="1001" w:type="dxa"/>
            <w:vMerge w:val="continue"/>
            <w:tcBorders>
              <w:top w:val="nil"/>
            </w:tcBorders>
          </w:tcPr>
          <w:p w14:paraId="15A3A25A">
            <w:pPr>
              <w:rPr>
                <w:i w:val="0"/>
                <w:iCs w:val="0"/>
                <w:color w:val="auto"/>
                <w:sz w:val="2"/>
                <w:szCs w:val="2"/>
              </w:rPr>
            </w:pPr>
          </w:p>
        </w:tc>
        <w:tc>
          <w:tcPr>
            <w:tcW w:w="1623" w:type="dxa"/>
          </w:tcPr>
          <w:p w14:paraId="389B981E">
            <w:pPr>
              <w:pStyle w:val="25"/>
              <w:spacing w:before="26"/>
              <w:ind w:left="178" w:right="169"/>
              <w:jc w:val="center"/>
              <w:rPr>
                <w:i w:val="0"/>
                <w:iCs w:val="0"/>
                <w:color w:val="auto"/>
                <w:sz w:val="18"/>
              </w:rPr>
            </w:pPr>
            <w:r>
              <w:rPr>
                <w:i w:val="0"/>
                <w:iCs w:val="0"/>
                <w:color w:val="auto"/>
                <w:spacing w:val="-3"/>
                <w:sz w:val="18"/>
              </w:rPr>
              <w:t>测评服务</w:t>
            </w:r>
          </w:p>
        </w:tc>
        <w:tc>
          <w:tcPr>
            <w:tcW w:w="4636" w:type="dxa"/>
          </w:tcPr>
          <w:p w14:paraId="3379C919">
            <w:pPr>
              <w:pStyle w:val="25"/>
              <w:spacing w:before="26"/>
              <w:ind w:left="107"/>
              <w:rPr>
                <w:i w:val="0"/>
                <w:iCs w:val="0"/>
                <w:color w:val="auto"/>
                <w:sz w:val="18"/>
              </w:rPr>
            </w:pPr>
            <w:r>
              <w:rPr>
                <w:i w:val="0"/>
                <w:iCs w:val="0"/>
                <w:color w:val="auto"/>
                <w:spacing w:val="-1"/>
                <w:sz w:val="18"/>
                <w:highlight w:val="yellow"/>
              </w:rPr>
              <w:t>四级电子病历、四甲互联互通等测评。提供承诺函。</w:t>
            </w:r>
          </w:p>
        </w:tc>
        <w:tc>
          <w:tcPr>
            <w:tcW w:w="350" w:type="dxa"/>
          </w:tcPr>
          <w:p w14:paraId="41F50859">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6493C13A">
            <w:pPr>
              <w:pStyle w:val="25"/>
              <w:spacing w:line="265" w:lineRule="exact"/>
              <w:ind w:right="98"/>
              <w:jc w:val="right"/>
              <w:rPr>
                <w:i w:val="0"/>
                <w:iCs w:val="0"/>
                <w:color w:val="auto"/>
                <w:sz w:val="18"/>
                <w:szCs w:val="18"/>
              </w:rPr>
            </w:pPr>
            <w:r>
              <w:rPr>
                <w:i w:val="0"/>
                <w:iCs w:val="0"/>
                <w:color w:val="auto"/>
                <w:sz w:val="18"/>
                <w:szCs w:val="18"/>
              </w:rPr>
              <w:t>1</w:t>
            </w:r>
          </w:p>
        </w:tc>
      </w:tr>
      <w:tr w14:paraId="2F8E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456" w:type="dxa"/>
            <w:vMerge w:val="continue"/>
            <w:tcBorders>
              <w:top w:val="nil"/>
            </w:tcBorders>
          </w:tcPr>
          <w:p w14:paraId="40BF3AF6">
            <w:pPr>
              <w:rPr>
                <w:i w:val="0"/>
                <w:iCs w:val="0"/>
                <w:color w:val="auto"/>
                <w:sz w:val="2"/>
                <w:szCs w:val="2"/>
              </w:rPr>
            </w:pPr>
          </w:p>
        </w:tc>
        <w:tc>
          <w:tcPr>
            <w:tcW w:w="1001" w:type="dxa"/>
            <w:vMerge w:val="continue"/>
            <w:tcBorders>
              <w:top w:val="nil"/>
            </w:tcBorders>
          </w:tcPr>
          <w:p w14:paraId="17A43C02">
            <w:pPr>
              <w:rPr>
                <w:i w:val="0"/>
                <w:iCs w:val="0"/>
                <w:color w:val="auto"/>
                <w:sz w:val="2"/>
                <w:szCs w:val="2"/>
              </w:rPr>
            </w:pPr>
          </w:p>
        </w:tc>
        <w:tc>
          <w:tcPr>
            <w:tcW w:w="1623" w:type="dxa"/>
          </w:tcPr>
          <w:p w14:paraId="5BA593C0">
            <w:pPr>
              <w:pStyle w:val="25"/>
              <w:rPr>
                <w:b/>
                <w:i w:val="0"/>
                <w:iCs w:val="0"/>
                <w:color w:val="auto"/>
                <w:sz w:val="18"/>
              </w:rPr>
            </w:pPr>
          </w:p>
          <w:p w14:paraId="32CA485A">
            <w:pPr>
              <w:pStyle w:val="25"/>
              <w:rPr>
                <w:b/>
                <w:i w:val="0"/>
                <w:iCs w:val="0"/>
                <w:color w:val="auto"/>
                <w:sz w:val="18"/>
              </w:rPr>
            </w:pPr>
          </w:p>
          <w:p w14:paraId="180F1596">
            <w:pPr>
              <w:pStyle w:val="25"/>
              <w:rPr>
                <w:b/>
                <w:i w:val="0"/>
                <w:iCs w:val="0"/>
                <w:color w:val="auto"/>
                <w:sz w:val="18"/>
              </w:rPr>
            </w:pPr>
          </w:p>
          <w:p w14:paraId="3A805A3A">
            <w:pPr>
              <w:pStyle w:val="25"/>
              <w:rPr>
                <w:b/>
                <w:i w:val="0"/>
                <w:iCs w:val="0"/>
                <w:color w:val="auto"/>
                <w:sz w:val="18"/>
              </w:rPr>
            </w:pPr>
          </w:p>
          <w:p w14:paraId="6C792B2E">
            <w:pPr>
              <w:pStyle w:val="25"/>
              <w:rPr>
                <w:b/>
                <w:i w:val="0"/>
                <w:iCs w:val="0"/>
                <w:color w:val="auto"/>
                <w:sz w:val="18"/>
              </w:rPr>
            </w:pPr>
          </w:p>
          <w:p w14:paraId="56BE716A">
            <w:pPr>
              <w:pStyle w:val="25"/>
              <w:spacing w:before="4"/>
              <w:rPr>
                <w:b/>
                <w:i w:val="0"/>
                <w:iCs w:val="0"/>
                <w:color w:val="auto"/>
                <w:sz w:val="19"/>
              </w:rPr>
            </w:pPr>
          </w:p>
          <w:p w14:paraId="37FBCC2A">
            <w:pPr>
              <w:pStyle w:val="25"/>
              <w:spacing w:before="1" w:line="242" w:lineRule="auto"/>
              <w:ind w:left="361" w:right="169" w:hanging="180"/>
              <w:rPr>
                <w:i w:val="0"/>
                <w:iCs w:val="0"/>
                <w:color w:val="auto"/>
                <w:sz w:val="18"/>
              </w:rPr>
            </w:pPr>
            <w:r>
              <w:rPr>
                <w:i w:val="0"/>
                <w:iCs w:val="0"/>
                <w:color w:val="auto"/>
                <w:spacing w:val="-2"/>
                <w:sz w:val="18"/>
              </w:rPr>
              <w:t>操作系统及数据库软件服务</w:t>
            </w:r>
          </w:p>
        </w:tc>
        <w:tc>
          <w:tcPr>
            <w:tcW w:w="4636" w:type="dxa"/>
          </w:tcPr>
          <w:p w14:paraId="101F9638">
            <w:pPr>
              <w:pStyle w:val="25"/>
              <w:spacing w:line="242" w:lineRule="auto"/>
              <w:ind w:left="107" w:right="270"/>
              <w:rPr>
                <w:i w:val="0"/>
                <w:iCs w:val="0"/>
                <w:color w:val="auto"/>
                <w:sz w:val="18"/>
              </w:rPr>
            </w:pPr>
            <w:r>
              <w:rPr>
                <w:i w:val="0"/>
                <w:iCs w:val="0"/>
                <w:color w:val="auto"/>
                <w:spacing w:val="-2"/>
                <w:sz w:val="18"/>
                <w:highlight w:val="yellow"/>
              </w:rPr>
              <w:t>要求软件供应商提供满足软件使用需求的操作系统软件及数据库并保证射阳县中医院的业务正常使用，无版权纠纷。提供承诺函。</w:t>
            </w:r>
            <w:r>
              <w:rPr>
                <w:i w:val="0"/>
                <w:iCs w:val="0"/>
                <w:color w:val="auto"/>
                <w:spacing w:val="-2"/>
                <w:sz w:val="18"/>
              </w:rPr>
              <w:t>数据库功能：可在无插槽限制的单台服务器和集群服务器上使用。它为任务关键型事务应用程序、查询密集型大数据仓库以及混合负</w:t>
            </w:r>
            <w:r>
              <w:rPr>
                <w:i w:val="0"/>
                <w:iCs w:val="0"/>
                <w:color w:val="auto"/>
                <w:spacing w:val="-3"/>
                <w:sz w:val="18"/>
              </w:rPr>
              <w:t xml:space="preserve">载提供高效、可靠且安全的数据管理;支持 </w:t>
            </w:r>
            <w:r>
              <w:rPr>
                <w:i w:val="0"/>
                <w:iCs w:val="0"/>
                <w:color w:val="auto"/>
                <w:sz w:val="18"/>
              </w:rPr>
              <w:t xml:space="preserve">Oracle </w:t>
            </w:r>
            <w:r>
              <w:rPr>
                <w:i w:val="0"/>
                <w:iCs w:val="0"/>
                <w:color w:val="auto"/>
                <w:spacing w:val="-2"/>
                <w:sz w:val="18"/>
              </w:rPr>
              <w:t xml:space="preserve">RAC；支持当前最流行的数据库技术标准，如： </w:t>
            </w:r>
            <w:r>
              <w:rPr>
                <w:i w:val="0"/>
                <w:iCs w:val="0"/>
                <w:color w:val="auto"/>
                <w:sz w:val="18"/>
              </w:rPr>
              <w:t>ANSI/ISO</w:t>
            </w:r>
            <w:r>
              <w:rPr>
                <w:i w:val="0"/>
                <w:iCs w:val="0"/>
                <w:color w:val="auto"/>
                <w:spacing w:val="40"/>
                <w:sz w:val="18"/>
              </w:rPr>
              <w:t xml:space="preserve"> </w:t>
            </w:r>
            <w:r>
              <w:rPr>
                <w:i w:val="0"/>
                <w:iCs w:val="0"/>
                <w:color w:val="auto"/>
                <w:sz w:val="18"/>
              </w:rPr>
              <w:t>SQL89、ANSI/ISO</w:t>
            </w:r>
            <w:r>
              <w:rPr>
                <w:i w:val="0"/>
                <w:iCs w:val="0"/>
                <w:color w:val="auto"/>
                <w:spacing w:val="40"/>
                <w:sz w:val="18"/>
              </w:rPr>
              <w:t xml:space="preserve"> </w:t>
            </w:r>
            <w:r>
              <w:rPr>
                <w:i w:val="0"/>
                <w:iCs w:val="0"/>
                <w:color w:val="auto"/>
                <w:sz w:val="18"/>
              </w:rPr>
              <w:t>SQL92、ANSI/ISO SQL99、SQL 2003，ODBC3.0、X/Open、CLI、JDBC，</w:t>
            </w:r>
          </w:p>
          <w:p w14:paraId="1EF5FCF1">
            <w:pPr>
              <w:pStyle w:val="25"/>
              <w:spacing w:before="6" w:line="242" w:lineRule="auto"/>
              <w:ind w:left="107" w:right="176"/>
              <w:jc w:val="both"/>
              <w:rPr>
                <w:i w:val="0"/>
                <w:iCs w:val="0"/>
                <w:color w:val="auto"/>
                <w:sz w:val="18"/>
              </w:rPr>
            </w:pPr>
            <w:r>
              <w:rPr>
                <w:i w:val="0"/>
                <w:iCs w:val="0"/>
                <w:color w:val="auto"/>
                <w:sz w:val="18"/>
              </w:rPr>
              <w:t>XQuery</w:t>
            </w:r>
            <w:r>
              <w:rPr>
                <w:i w:val="0"/>
                <w:iCs w:val="0"/>
                <w:color w:val="auto"/>
                <w:spacing w:val="-6"/>
                <w:sz w:val="18"/>
              </w:rPr>
              <w:t xml:space="preserve"> 等; 集群应具有极佳的可扩展，可以从两个节</w:t>
            </w:r>
            <w:r>
              <w:rPr>
                <w:i w:val="0"/>
                <w:iCs w:val="0"/>
                <w:color w:val="auto"/>
                <w:spacing w:val="-4"/>
                <w:sz w:val="18"/>
              </w:rPr>
              <w:t xml:space="preserve">点开始，可以支持多达 </w:t>
            </w:r>
            <w:r>
              <w:rPr>
                <w:i w:val="0"/>
                <w:iCs w:val="0"/>
                <w:color w:val="auto"/>
                <w:spacing w:val="-2"/>
                <w:sz w:val="18"/>
              </w:rPr>
              <w:t>100</w:t>
            </w:r>
            <w:r>
              <w:rPr>
                <w:i w:val="0"/>
                <w:iCs w:val="0"/>
                <w:color w:val="auto"/>
                <w:spacing w:val="-7"/>
                <w:sz w:val="18"/>
              </w:rPr>
              <w:t xml:space="preserve"> 个节点部署；配置 </w:t>
            </w:r>
            <w:r>
              <w:rPr>
                <w:i w:val="0"/>
                <w:iCs w:val="0"/>
                <w:color w:val="auto"/>
                <w:spacing w:val="-2"/>
                <w:sz w:val="18"/>
              </w:rPr>
              <w:t>1</w:t>
            </w:r>
            <w:r>
              <w:rPr>
                <w:i w:val="0"/>
                <w:iCs w:val="0"/>
                <w:color w:val="auto"/>
                <w:spacing w:val="-11"/>
                <w:sz w:val="18"/>
              </w:rPr>
              <w:t xml:space="preserve"> 套</w:t>
            </w:r>
            <w:r>
              <w:rPr>
                <w:i w:val="0"/>
                <w:iCs w:val="0"/>
                <w:color w:val="auto"/>
                <w:spacing w:val="-2"/>
                <w:sz w:val="18"/>
              </w:rPr>
              <w:t>数据库企业版使用授权，支持真实应用集群（RAC）功</w:t>
            </w:r>
            <w:r>
              <w:rPr>
                <w:i w:val="0"/>
                <w:iCs w:val="0"/>
                <w:color w:val="auto"/>
                <w:sz w:val="18"/>
              </w:rPr>
              <w:t>能及活动数据卫士功能（ADG）</w:t>
            </w:r>
            <w:r>
              <w:rPr>
                <w:i w:val="0"/>
                <w:iCs w:val="0"/>
                <w:color w:val="auto"/>
                <w:spacing w:val="-1"/>
                <w:sz w:val="18"/>
              </w:rPr>
              <w:t>功能，以上最终授权用</w:t>
            </w:r>
          </w:p>
          <w:p w14:paraId="23439F4D">
            <w:pPr>
              <w:pStyle w:val="25"/>
              <w:spacing w:before="2" w:line="213" w:lineRule="exact"/>
              <w:ind w:left="107"/>
              <w:rPr>
                <w:i w:val="0"/>
                <w:iCs w:val="0"/>
                <w:color w:val="auto"/>
                <w:sz w:val="18"/>
              </w:rPr>
            </w:pPr>
            <w:r>
              <w:rPr>
                <w:i w:val="0"/>
                <w:iCs w:val="0"/>
                <w:color w:val="auto"/>
                <w:spacing w:val="-1"/>
                <w:sz w:val="18"/>
              </w:rPr>
              <w:t>户须为“射阳县中医院”，提供</w:t>
            </w:r>
            <w:r>
              <w:rPr>
                <w:rFonts w:hint="eastAsia"/>
                <w:i w:val="0"/>
                <w:iCs w:val="0"/>
                <w:color w:val="auto"/>
                <w:spacing w:val="-1"/>
                <w:sz w:val="18"/>
                <w:lang w:val="en-US" w:eastAsia="zh-CN"/>
              </w:rPr>
              <w:t>三</w:t>
            </w:r>
            <w:r>
              <w:rPr>
                <w:i w:val="0"/>
                <w:iCs w:val="0"/>
                <w:color w:val="auto"/>
                <w:spacing w:val="-1"/>
                <w:sz w:val="18"/>
              </w:rPr>
              <w:t>年原厂标准服务。</w:t>
            </w:r>
          </w:p>
        </w:tc>
        <w:tc>
          <w:tcPr>
            <w:tcW w:w="350" w:type="dxa"/>
          </w:tcPr>
          <w:p w14:paraId="0E7DA4FE">
            <w:pPr>
              <w:pStyle w:val="25"/>
              <w:rPr>
                <w:b/>
                <w:i w:val="0"/>
                <w:iCs w:val="0"/>
                <w:color w:val="auto"/>
                <w:sz w:val="18"/>
                <w:szCs w:val="18"/>
              </w:rPr>
            </w:pPr>
          </w:p>
          <w:p w14:paraId="717AFA16">
            <w:pPr>
              <w:pStyle w:val="25"/>
              <w:rPr>
                <w:b/>
                <w:i w:val="0"/>
                <w:iCs w:val="0"/>
                <w:color w:val="auto"/>
                <w:sz w:val="18"/>
                <w:szCs w:val="18"/>
              </w:rPr>
            </w:pPr>
          </w:p>
          <w:p w14:paraId="4749927C">
            <w:pPr>
              <w:pStyle w:val="25"/>
              <w:rPr>
                <w:b/>
                <w:i w:val="0"/>
                <w:iCs w:val="0"/>
                <w:color w:val="auto"/>
                <w:sz w:val="18"/>
                <w:szCs w:val="18"/>
              </w:rPr>
            </w:pPr>
          </w:p>
          <w:p w14:paraId="5276841F">
            <w:pPr>
              <w:pStyle w:val="25"/>
              <w:rPr>
                <w:b/>
                <w:i w:val="0"/>
                <w:iCs w:val="0"/>
                <w:color w:val="auto"/>
                <w:sz w:val="18"/>
                <w:szCs w:val="18"/>
              </w:rPr>
            </w:pPr>
          </w:p>
          <w:p w14:paraId="06487F9A">
            <w:pPr>
              <w:pStyle w:val="25"/>
              <w:rPr>
                <w:b/>
                <w:i w:val="0"/>
                <w:iCs w:val="0"/>
                <w:color w:val="auto"/>
                <w:sz w:val="18"/>
                <w:szCs w:val="18"/>
              </w:rPr>
            </w:pPr>
          </w:p>
          <w:p w14:paraId="2A5CFE56">
            <w:pPr>
              <w:pStyle w:val="25"/>
              <w:rPr>
                <w:b/>
                <w:i w:val="0"/>
                <w:iCs w:val="0"/>
                <w:color w:val="auto"/>
                <w:sz w:val="18"/>
                <w:szCs w:val="18"/>
              </w:rPr>
            </w:pPr>
          </w:p>
          <w:p w14:paraId="292F7BBC">
            <w:pPr>
              <w:pStyle w:val="25"/>
              <w:rPr>
                <w:b/>
                <w:i w:val="0"/>
                <w:iCs w:val="0"/>
                <w:color w:val="auto"/>
                <w:sz w:val="18"/>
                <w:szCs w:val="18"/>
              </w:rPr>
            </w:pPr>
          </w:p>
          <w:p w14:paraId="5C1CF0C1">
            <w:pPr>
              <w:pStyle w:val="25"/>
              <w:rPr>
                <w:b/>
                <w:i w:val="0"/>
                <w:iCs w:val="0"/>
                <w:color w:val="auto"/>
                <w:sz w:val="18"/>
                <w:szCs w:val="18"/>
              </w:rPr>
            </w:pPr>
          </w:p>
          <w:p w14:paraId="3354EF7F">
            <w:pPr>
              <w:pStyle w:val="25"/>
              <w:rPr>
                <w:b/>
                <w:i w:val="0"/>
                <w:iCs w:val="0"/>
                <w:color w:val="auto"/>
                <w:sz w:val="18"/>
                <w:szCs w:val="18"/>
              </w:rPr>
            </w:pPr>
          </w:p>
          <w:p w14:paraId="525D5D8C">
            <w:pPr>
              <w:pStyle w:val="25"/>
              <w:rPr>
                <w:b/>
                <w:i w:val="0"/>
                <w:iCs w:val="0"/>
                <w:color w:val="auto"/>
                <w:sz w:val="18"/>
                <w:szCs w:val="18"/>
              </w:rPr>
            </w:pPr>
          </w:p>
          <w:p w14:paraId="31DA3D7A">
            <w:pPr>
              <w:pStyle w:val="25"/>
              <w:spacing w:before="163" w:line="267" w:lineRule="exact"/>
              <w:ind w:right="8"/>
              <w:jc w:val="center"/>
              <w:rPr>
                <w:i w:val="0"/>
                <w:iCs w:val="0"/>
                <w:color w:val="auto"/>
                <w:sz w:val="18"/>
                <w:szCs w:val="18"/>
              </w:rPr>
            </w:pPr>
            <w:r>
              <w:rPr>
                <w:i w:val="0"/>
                <w:iCs w:val="0"/>
                <w:color w:val="auto"/>
                <w:sz w:val="18"/>
                <w:szCs w:val="18"/>
              </w:rPr>
              <w:t>项</w:t>
            </w:r>
          </w:p>
        </w:tc>
        <w:tc>
          <w:tcPr>
            <w:tcW w:w="458" w:type="dxa"/>
          </w:tcPr>
          <w:p w14:paraId="2A7F5F62">
            <w:pPr>
              <w:pStyle w:val="25"/>
              <w:rPr>
                <w:b/>
                <w:i w:val="0"/>
                <w:iCs w:val="0"/>
                <w:color w:val="auto"/>
                <w:sz w:val="18"/>
                <w:szCs w:val="18"/>
              </w:rPr>
            </w:pPr>
          </w:p>
          <w:p w14:paraId="6FE01DF3">
            <w:pPr>
              <w:pStyle w:val="25"/>
              <w:rPr>
                <w:b/>
                <w:i w:val="0"/>
                <w:iCs w:val="0"/>
                <w:color w:val="auto"/>
                <w:sz w:val="18"/>
                <w:szCs w:val="18"/>
              </w:rPr>
            </w:pPr>
          </w:p>
          <w:p w14:paraId="2C7B641F">
            <w:pPr>
              <w:pStyle w:val="25"/>
              <w:rPr>
                <w:b/>
                <w:i w:val="0"/>
                <w:iCs w:val="0"/>
                <w:color w:val="auto"/>
                <w:sz w:val="18"/>
                <w:szCs w:val="18"/>
              </w:rPr>
            </w:pPr>
          </w:p>
          <w:p w14:paraId="3CC7C1A7">
            <w:pPr>
              <w:pStyle w:val="25"/>
              <w:rPr>
                <w:b/>
                <w:i w:val="0"/>
                <w:iCs w:val="0"/>
                <w:color w:val="auto"/>
                <w:sz w:val="18"/>
                <w:szCs w:val="18"/>
              </w:rPr>
            </w:pPr>
          </w:p>
          <w:p w14:paraId="38C05529">
            <w:pPr>
              <w:pStyle w:val="25"/>
              <w:rPr>
                <w:b/>
                <w:i w:val="0"/>
                <w:iCs w:val="0"/>
                <w:color w:val="auto"/>
                <w:sz w:val="18"/>
                <w:szCs w:val="18"/>
              </w:rPr>
            </w:pPr>
          </w:p>
          <w:p w14:paraId="6B5AACC0">
            <w:pPr>
              <w:pStyle w:val="25"/>
              <w:rPr>
                <w:b/>
                <w:i w:val="0"/>
                <w:iCs w:val="0"/>
                <w:color w:val="auto"/>
                <w:sz w:val="18"/>
                <w:szCs w:val="18"/>
              </w:rPr>
            </w:pPr>
          </w:p>
          <w:p w14:paraId="3B1BAC5B">
            <w:pPr>
              <w:pStyle w:val="25"/>
              <w:rPr>
                <w:b/>
                <w:i w:val="0"/>
                <w:iCs w:val="0"/>
                <w:color w:val="auto"/>
                <w:sz w:val="18"/>
                <w:szCs w:val="18"/>
              </w:rPr>
            </w:pPr>
          </w:p>
          <w:p w14:paraId="462C0E5E">
            <w:pPr>
              <w:pStyle w:val="25"/>
              <w:rPr>
                <w:b/>
                <w:i w:val="0"/>
                <w:iCs w:val="0"/>
                <w:color w:val="auto"/>
                <w:sz w:val="18"/>
                <w:szCs w:val="18"/>
              </w:rPr>
            </w:pPr>
          </w:p>
          <w:p w14:paraId="0B8E0A2D">
            <w:pPr>
              <w:pStyle w:val="25"/>
              <w:rPr>
                <w:b/>
                <w:i w:val="0"/>
                <w:iCs w:val="0"/>
                <w:color w:val="auto"/>
                <w:sz w:val="18"/>
                <w:szCs w:val="18"/>
              </w:rPr>
            </w:pPr>
          </w:p>
          <w:p w14:paraId="36C36D49">
            <w:pPr>
              <w:pStyle w:val="25"/>
              <w:rPr>
                <w:b/>
                <w:i w:val="0"/>
                <w:iCs w:val="0"/>
                <w:color w:val="auto"/>
                <w:sz w:val="18"/>
                <w:szCs w:val="18"/>
              </w:rPr>
            </w:pPr>
          </w:p>
          <w:p w14:paraId="04FB490C">
            <w:pPr>
              <w:pStyle w:val="25"/>
              <w:spacing w:before="163" w:line="267" w:lineRule="exact"/>
              <w:ind w:right="98"/>
              <w:jc w:val="right"/>
              <w:rPr>
                <w:i w:val="0"/>
                <w:iCs w:val="0"/>
                <w:color w:val="auto"/>
                <w:sz w:val="18"/>
                <w:szCs w:val="18"/>
              </w:rPr>
            </w:pPr>
            <w:r>
              <w:rPr>
                <w:i w:val="0"/>
                <w:iCs w:val="0"/>
                <w:color w:val="auto"/>
                <w:sz w:val="18"/>
                <w:szCs w:val="18"/>
              </w:rPr>
              <w:t>1</w:t>
            </w:r>
          </w:p>
        </w:tc>
      </w:tr>
      <w:tr w14:paraId="46964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continue"/>
            <w:tcBorders>
              <w:top w:val="nil"/>
            </w:tcBorders>
          </w:tcPr>
          <w:p w14:paraId="1F234A97">
            <w:pPr>
              <w:rPr>
                <w:i w:val="0"/>
                <w:iCs w:val="0"/>
                <w:color w:val="auto"/>
                <w:sz w:val="2"/>
                <w:szCs w:val="2"/>
              </w:rPr>
            </w:pPr>
          </w:p>
        </w:tc>
        <w:tc>
          <w:tcPr>
            <w:tcW w:w="1001" w:type="dxa"/>
            <w:vMerge w:val="continue"/>
            <w:tcBorders>
              <w:top w:val="nil"/>
            </w:tcBorders>
          </w:tcPr>
          <w:p w14:paraId="35302037">
            <w:pPr>
              <w:rPr>
                <w:i w:val="0"/>
                <w:iCs w:val="0"/>
                <w:color w:val="auto"/>
                <w:sz w:val="2"/>
                <w:szCs w:val="2"/>
              </w:rPr>
            </w:pPr>
          </w:p>
        </w:tc>
        <w:tc>
          <w:tcPr>
            <w:tcW w:w="1623" w:type="dxa"/>
          </w:tcPr>
          <w:p w14:paraId="2F35B583">
            <w:pPr>
              <w:pStyle w:val="25"/>
              <w:spacing w:before="117"/>
              <w:ind w:left="177" w:right="169"/>
              <w:jc w:val="center"/>
              <w:rPr>
                <w:i w:val="0"/>
                <w:iCs w:val="0"/>
                <w:color w:val="auto"/>
                <w:sz w:val="18"/>
              </w:rPr>
            </w:pPr>
            <w:r>
              <w:rPr>
                <w:i w:val="0"/>
                <w:iCs w:val="0"/>
                <w:color w:val="auto"/>
                <w:spacing w:val="-3"/>
                <w:sz w:val="18"/>
              </w:rPr>
              <w:t>数据迁移</w:t>
            </w:r>
          </w:p>
        </w:tc>
        <w:tc>
          <w:tcPr>
            <w:tcW w:w="4636" w:type="dxa"/>
          </w:tcPr>
          <w:p w14:paraId="631C7A52">
            <w:pPr>
              <w:pStyle w:val="25"/>
              <w:spacing w:line="230" w:lineRule="exact"/>
              <w:ind w:left="107"/>
              <w:rPr>
                <w:i w:val="0"/>
                <w:iCs w:val="0"/>
                <w:color w:val="auto"/>
                <w:sz w:val="18"/>
              </w:rPr>
            </w:pPr>
            <w:r>
              <w:rPr>
                <w:i w:val="0"/>
                <w:iCs w:val="0"/>
                <w:color w:val="auto"/>
                <w:spacing w:val="-1"/>
                <w:sz w:val="18"/>
              </w:rPr>
              <w:t>核心数据库的迁移、影像归档数据迁移、全院虚拟化</w:t>
            </w:r>
          </w:p>
          <w:p w14:paraId="20BEE3D6">
            <w:pPr>
              <w:pStyle w:val="25"/>
              <w:spacing w:before="4" w:line="213" w:lineRule="exact"/>
              <w:ind w:left="107"/>
              <w:rPr>
                <w:i w:val="0"/>
                <w:iCs w:val="0"/>
                <w:color w:val="auto"/>
                <w:sz w:val="18"/>
              </w:rPr>
            </w:pPr>
            <w:r>
              <w:rPr>
                <w:i w:val="0"/>
                <w:iCs w:val="0"/>
                <w:color w:val="auto"/>
                <w:spacing w:val="-1"/>
                <w:sz w:val="18"/>
              </w:rPr>
              <w:t>平台系统升级，业务系统的迁移</w:t>
            </w:r>
          </w:p>
        </w:tc>
        <w:tc>
          <w:tcPr>
            <w:tcW w:w="350" w:type="dxa"/>
          </w:tcPr>
          <w:p w14:paraId="2D744B4C">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0D669305">
            <w:pPr>
              <w:pStyle w:val="25"/>
              <w:spacing w:before="180" w:line="267" w:lineRule="exact"/>
              <w:ind w:right="98"/>
              <w:jc w:val="right"/>
              <w:rPr>
                <w:i w:val="0"/>
                <w:iCs w:val="0"/>
                <w:color w:val="auto"/>
                <w:sz w:val="18"/>
                <w:szCs w:val="18"/>
              </w:rPr>
            </w:pPr>
            <w:r>
              <w:rPr>
                <w:i w:val="0"/>
                <w:iCs w:val="0"/>
                <w:color w:val="auto"/>
                <w:sz w:val="18"/>
                <w:szCs w:val="18"/>
              </w:rPr>
              <w:t>1</w:t>
            </w:r>
          </w:p>
        </w:tc>
      </w:tr>
    </w:tbl>
    <w:p w14:paraId="12227F63">
      <w:pPr>
        <w:pStyle w:val="4"/>
        <w:spacing w:before="0"/>
        <w:ind w:left="107"/>
        <w:rPr>
          <w:i w:val="0"/>
          <w:iCs w:val="0"/>
          <w:color w:val="auto"/>
          <w:sz w:val="20"/>
        </w:rPr>
      </w:pPr>
      <w:r>
        <w:rPr>
          <w:i w:val="0"/>
          <w:iCs w:val="0"/>
          <w:color w:val="auto"/>
          <w:sz w:val="20"/>
        </w:rPr>
        <mc:AlternateContent>
          <mc:Choice Requires="wps">
            <w:drawing>
              <wp:inline distT="0" distB="0" distL="114300" distR="114300">
                <wp:extent cx="5412740" cy="1456055"/>
                <wp:effectExtent l="5080" t="4445" r="5080" b="12700"/>
                <wp:docPr id="1" name="文本框 4"/>
                <wp:cNvGraphicFramePr/>
                <a:graphic xmlns:a="http://schemas.openxmlformats.org/drawingml/2006/main">
                  <a:graphicData uri="http://schemas.microsoft.com/office/word/2010/wordprocessingShape">
                    <wps:wsp>
                      <wps:cNvSpPr txBox="1"/>
                      <wps:spPr>
                        <a:xfrm>
                          <a:off x="0" y="0"/>
                          <a:ext cx="5412740" cy="1456055"/>
                        </a:xfrm>
                        <a:prstGeom prst="rect">
                          <a:avLst/>
                        </a:prstGeom>
                        <a:noFill/>
                        <a:ln w="6096" cap="flat" cmpd="sng">
                          <a:solidFill>
                            <a:srgbClr val="000000"/>
                          </a:solidFill>
                          <a:prstDash val="solid"/>
                          <a:miter/>
                          <a:headEnd type="none" w="med" len="med"/>
                          <a:tailEnd type="none" w="med" len="med"/>
                        </a:ln>
                      </wps:spPr>
                      <wps:txbx>
                        <w:txbxContent>
                          <w:p w14:paraId="25660383">
                            <w:pPr>
                              <w:spacing w:line="280" w:lineRule="exact"/>
                              <w:ind w:left="103"/>
                              <w:rPr>
                                <w:i w:val="0"/>
                                <w:iCs w:val="0"/>
                              </w:rPr>
                            </w:pPr>
                            <w:r>
                              <w:rPr>
                                <w:i w:val="0"/>
                                <w:iCs w:val="0"/>
                                <w:spacing w:val="-6"/>
                              </w:rPr>
                              <w:t>清单说明：</w:t>
                            </w:r>
                          </w:p>
                          <w:p w14:paraId="42038D3D">
                            <w:pPr>
                              <w:spacing w:before="4" w:line="242" w:lineRule="auto"/>
                              <w:ind w:left="103" w:right="158"/>
                              <w:rPr>
                                <w:i w:val="0"/>
                                <w:iCs w:val="0"/>
                              </w:rPr>
                            </w:pPr>
                            <w:r>
                              <w:rPr>
                                <w:i w:val="0"/>
                                <w:iCs w:val="0"/>
                                <w:spacing w:val="-2"/>
                              </w:rPr>
                              <w:t>1、本项目为交钥匙工程。请各投标的供应商充分考虑项目所需的软硬件内容，及时提出或确认有无遗漏的软件模块或硬件设备及配件，未提出或确认无遗漏的软件模块或硬件设备及配件的，视为认同软件和硬件清单内容，供应商将自行承担因遗漏的软件模块或硬件设备及配件所造成的损失。</w:t>
                            </w:r>
                          </w:p>
                          <w:p w14:paraId="42C91D79">
                            <w:pPr>
                              <w:spacing w:before="3" w:line="242" w:lineRule="auto"/>
                              <w:ind w:left="103" w:right="158"/>
                              <w:rPr>
                                <w:i w:val="0"/>
                                <w:iCs w:val="0"/>
                              </w:rPr>
                            </w:pPr>
                            <w:r>
                              <w:rPr>
                                <w:i w:val="0"/>
                                <w:iCs w:val="0"/>
                                <w:spacing w:val="-2"/>
                              </w:rPr>
                              <w:t>2、各参加投标的供应商投标前必须以技术工程师为主导到采购单位了解详细的应用需求，如供应商未按上述要求办理，不了解采购单位应用需求的将自行承担所产生的风</w:t>
                            </w:r>
                            <w:r>
                              <w:rPr>
                                <w:i w:val="0"/>
                                <w:iCs w:val="0"/>
                                <w:spacing w:val="-6"/>
                              </w:rPr>
                              <w:t>险。</w:t>
                            </w:r>
                          </w:p>
                        </w:txbxContent>
                      </wps:txbx>
                      <wps:bodyPr lIns="0" tIns="0" rIns="0" bIns="0" upright="1"/>
                    </wps:wsp>
                  </a:graphicData>
                </a:graphic>
              </wp:inline>
            </w:drawing>
          </mc:Choice>
          <mc:Fallback>
            <w:pict>
              <v:shape id="文本框 4" o:spid="_x0000_s1026" o:spt="202" type="#_x0000_t202" style="height:114.65pt;width:426.2pt;" filled="f" stroked="t" coordsize="21600,21600" o:gfxdata="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vhMpi1AAAAAUBAAAPAAAAAAAAAAEA&#10;IAAAACIAAABkcnMvZG93bnJldi54bWxQSwECFAAUAAAACACHTuJASI3GlBMCAAAyBAAADgAAAAAA&#10;AAABACAAAAAjAQAAZHJzL2Uyb0RvYy54bWxQSwUGAAAAAAYABgBZAQAAqAUAAAAA&#10;">
                <v:fill on="f" focussize="0,0"/>
                <v:stroke weight="0.48pt" color="#000000" joinstyle="miter"/>
                <v:imagedata o:title=""/>
                <o:lock v:ext="edit" aspectratio="f"/>
                <v:textbox inset="0mm,0mm,0mm,0mm">
                  <w:txbxContent>
                    <w:p w14:paraId="25660383">
                      <w:pPr>
                        <w:spacing w:line="280" w:lineRule="exact"/>
                        <w:ind w:left="103"/>
                        <w:rPr>
                          <w:i w:val="0"/>
                          <w:iCs w:val="0"/>
                        </w:rPr>
                      </w:pPr>
                      <w:r>
                        <w:rPr>
                          <w:i w:val="0"/>
                          <w:iCs w:val="0"/>
                          <w:spacing w:val="-6"/>
                        </w:rPr>
                        <w:t>清单说明：</w:t>
                      </w:r>
                    </w:p>
                    <w:p w14:paraId="42038D3D">
                      <w:pPr>
                        <w:spacing w:before="4" w:line="242" w:lineRule="auto"/>
                        <w:ind w:left="103" w:right="158"/>
                        <w:rPr>
                          <w:i w:val="0"/>
                          <w:iCs w:val="0"/>
                        </w:rPr>
                      </w:pPr>
                      <w:r>
                        <w:rPr>
                          <w:i w:val="0"/>
                          <w:iCs w:val="0"/>
                          <w:spacing w:val="-2"/>
                        </w:rPr>
                        <w:t>1、本项目为交钥匙工程。请各投标的供应商充分考虑项目所需的软硬件内容，及时提出或确认有无遗漏的软件模块或硬件设备及配件，未提出或确认无遗漏的软件模块或硬件设备及配件的，视为认同软件和硬件清单内容，供应商将自行承担因遗漏的软件模块或硬件设备及配件所造成的损失。</w:t>
                      </w:r>
                    </w:p>
                    <w:p w14:paraId="42C91D79">
                      <w:pPr>
                        <w:spacing w:before="3" w:line="242" w:lineRule="auto"/>
                        <w:ind w:left="103" w:right="158"/>
                        <w:rPr>
                          <w:i w:val="0"/>
                          <w:iCs w:val="0"/>
                        </w:rPr>
                      </w:pPr>
                      <w:r>
                        <w:rPr>
                          <w:i w:val="0"/>
                          <w:iCs w:val="0"/>
                          <w:spacing w:val="-2"/>
                        </w:rPr>
                        <w:t>2、各参加投标的供应商投标前必须以技术工程师为主导到采购单位了解详细的应用需求，如供应商未按上述要求办理，不了解采购单位应用需求的将自行承担所产生的风</w:t>
                      </w:r>
                      <w:r>
                        <w:rPr>
                          <w:i w:val="0"/>
                          <w:iCs w:val="0"/>
                          <w:spacing w:val="-6"/>
                        </w:rPr>
                        <w:t>险。</w:t>
                      </w:r>
                    </w:p>
                  </w:txbxContent>
                </v:textbox>
                <w10:wrap type="none"/>
                <w10:anchorlock/>
              </v:shape>
            </w:pict>
          </mc:Fallback>
        </mc:AlternateContent>
      </w:r>
    </w:p>
    <w:p w14:paraId="045EEEC9">
      <w:pPr>
        <w:pStyle w:val="4"/>
        <w:spacing w:before="0"/>
        <w:ind w:left="0"/>
        <w:rPr>
          <w:b/>
          <w:i w:val="0"/>
          <w:iCs w:val="0"/>
          <w:color w:val="auto"/>
          <w:sz w:val="20"/>
        </w:rPr>
      </w:pPr>
    </w:p>
    <w:p w14:paraId="654BAD5E">
      <w:pPr>
        <w:pStyle w:val="21"/>
        <w:spacing w:before="54"/>
        <w:ind w:left="0" w:leftChars="0" w:firstLine="273" w:firstLineChars="100"/>
        <w:rPr>
          <w:rFonts w:ascii="宋体" w:hAnsi="宋体" w:eastAsia="宋体" w:cs="宋体"/>
          <w:b/>
          <w:bCs/>
          <w:color w:val="auto"/>
          <w:spacing w:val="-4"/>
          <w:sz w:val="28"/>
          <w:szCs w:val="28"/>
          <w:lang w:val="en-US" w:eastAsia="zh-CN" w:bidi="ar-SA"/>
        </w:rPr>
      </w:pPr>
      <w:bookmarkStart w:id="170" w:name="_bookmark21"/>
      <w:bookmarkEnd w:id="170"/>
      <w:r>
        <w:rPr>
          <w:rFonts w:hint="eastAsia" w:ascii="宋体" w:hAnsi="宋体" w:eastAsia="宋体" w:cs="宋体"/>
          <w:b/>
          <w:bCs/>
          <w:color w:val="auto"/>
          <w:spacing w:val="-4"/>
          <w:sz w:val="28"/>
          <w:szCs w:val="28"/>
          <w:lang w:val="en-US" w:eastAsia="zh-CN" w:bidi="ar-SA"/>
        </w:rPr>
        <w:t>五、招标参数</w:t>
      </w:r>
    </w:p>
    <w:p w14:paraId="10846344">
      <w:pPr>
        <w:pStyle w:val="22"/>
        <w:numPr>
          <w:ilvl w:val="1"/>
          <w:numId w:val="1"/>
        </w:numPr>
        <w:tabs>
          <w:tab w:val="left" w:pos="1480"/>
          <w:tab w:val="left" w:pos="1481"/>
        </w:tabs>
        <w:spacing w:before="231"/>
        <w:ind w:left="425" w:leftChars="0" w:firstLine="0" w:firstLineChars="0"/>
        <w:rPr>
          <w:rFonts w:ascii="宋体" w:hAnsi="宋体" w:eastAsia="宋体" w:cs="宋体"/>
          <w:b/>
          <w:bCs/>
          <w:color w:val="auto"/>
          <w:spacing w:val="-2"/>
          <w:sz w:val="24"/>
          <w:szCs w:val="24"/>
          <w:lang w:val="en-US" w:eastAsia="zh-CN" w:bidi="ar-SA"/>
        </w:rPr>
      </w:pPr>
      <w:bookmarkStart w:id="171" w:name="_bookmark22"/>
      <w:bookmarkEnd w:id="171"/>
      <w:r>
        <w:rPr>
          <w:rFonts w:ascii="宋体" w:hAnsi="宋体" w:eastAsia="宋体" w:cs="宋体"/>
          <w:b/>
          <w:bCs/>
          <w:color w:val="auto"/>
          <w:spacing w:val="-2"/>
          <w:sz w:val="24"/>
          <w:szCs w:val="24"/>
          <w:lang w:val="en-US" w:eastAsia="zh-CN" w:bidi="ar-SA"/>
        </w:rPr>
        <w:t>软件系统及集成服务</w:t>
      </w:r>
    </w:p>
    <w:p w14:paraId="584FD820">
      <w:pPr>
        <w:pStyle w:val="23"/>
        <w:numPr>
          <w:ilvl w:val="2"/>
          <w:numId w:val="1"/>
        </w:numPr>
        <w:tabs>
          <w:tab w:val="left" w:pos="1901"/>
        </w:tabs>
        <w:spacing w:before="160"/>
        <w:ind w:left="425" w:leftChars="0" w:firstLine="0" w:firstLineChars="0"/>
        <w:rPr>
          <w:rFonts w:ascii="宋体" w:hAnsi="宋体" w:eastAsia="宋体" w:cs="宋体"/>
          <w:b/>
          <w:bCs/>
          <w:color w:val="auto"/>
          <w:spacing w:val="-2"/>
          <w:sz w:val="24"/>
          <w:szCs w:val="24"/>
          <w:lang w:val="en-US" w:eastAsia="zh-CN" w:bidi="ar-SA"/>
        </w:rPr>
      </w:pPr>
      <w:bookmarkStart w:id="172" w:name="_bookmark23"/>
      <w:bookmarkEnd w:id="172"/>
      <w:r>
        <w:rPr>
          <w:rFonts w:ascii="宋体" w:hAnsi="宋体" w:eastAsia="宋体" w:cs="宋体"/>
          <w:b/>
          <w:bCs/>
          <w:color w:val="auto"/>
          <w:spacing w:val="-2"/>
          <w:sz w:val="24"/>
          <w:szCs w:val="24"/>
          <w:lang w:val="en-US" w:eastAsia="zh-CN" w:bidi="ar-SA"/>
        </w:rPr>
        <w:t>医院集成平台</w:t>
      </w:r>
    </w:p>
    <w:p w14:paraId="48B1DDF0">
      <w:pPr>
        <w:pStyle w:val="4"/>
        <w:spacing w:before="0"/>
        <w:ind w:left="0"/>
        <w:rPr>
          <w:b/>
          <w:color w:val="auto"/>
          <w:sz w:val="17"/>
        </w:rPr>
      </w:pPr>
    </w:p>
    <w:p w14:paraId="2C86BF83">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平台集成服务</w:t>
      </w:r>
    </w:p>
    <w:p w14:paraId="6763D92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2" w:firstLine="479"/>
        <w:jc w:val="both"/>
        <w:textAlignment w:val="auto"/>
        <w:rPr>
          <w:color w:val="auto"/>
        </w:rPr>
      </w:pPr>
      <w:r>
        <w:rPr>
          <w:rFonts w:hint="default" w:ascii="Arial" w:hAnsi="Arial" w:cs="Arial"/>
          <w:color w:val="auto"/>
          <w:spacing w:val="-2"/>
        </w:rPr>
        <w:t>√</w:t>
      </w:r>
      <w:r>
        <w:rPr>
          <w:color w:val="auto"/>
          <w:spacing w:val="-2"/>
        </w:rPr>
        <w:t>应能提供统一的数据交互开发运行环境，支持创建、扩展图形化数据转换</w:t>
      </w:r>
      <w:r>
        <w:rPr>
          <w:color w:val="auto"/>
          <w:spacing w:val="-4"/>
        </w:rPr>
        <w:t xml:space="preserve">业务流程建模，能提供基于 </w:t>
      </w:r>
      <w:r>
        <w:rPr>
          <w:color w:val="auto"/>
          <w:spacing w:val="-2"/>
        </w:rPr>
        <w:t>XML</w:t>
      </w:r>
      <w:r>
        <w:rPr>
          <w:color w:val="auto"/>
          <w:spacing w:val="-7"/>
        </w:rPr>
        <w:t xml:space="preserve"> 表示方式，可同时进行图形化和基于代码或文</w:t>
      </w:r>
      <w:r>
        <w:rPr>
          <w:color w:val="auto"/>
          <w:spacing w:val="-2"/>
        </w:rPr>
        <w:t>档的开发工作，为服务提供远程调用支持。提供服务注册、卸载和更新、发布</w:t>
      </w:r>
      <w:r>
        <w:rPr>
          <w:color w:val="auto"/>
          <w:spacing w:val="-4"/>
        </w:rPr>
        <w:t>服务。</w:t>
      </w:r>
      <w:r>
        <w:rPr>
          <w:color w:val="auto"/>
          <w:spacing w:val="-2"/>
        </w:rPr>
        <w:t>应能提供创建定制适配器、消息、业务服务、业务操作和业务流程以及数据转换的向导。应能支持应用系统之间各功能服务和接口的调用权限管理，提供应用节点与应用节点之间，应用节点到接口服务之间的权限控制，以保证数据交换的合</w:t>
      </w:r>
      <w:r>
        <w:rPr>
          <w:color w:val="auto"/>
          <w:spacing w:val="-4"/>
        </w:rPr>
        <w:t>法性。</w:t>
      </w:r>
      <w:r>
        <w:rPr>
          <w:color w:val="auto"/>
          <w:spacing w:val="-5"/>
        </w:rPr>
        <w:t xml:space="preserve">应能支持 </w:t>
      </w:r>
      <w:r>
        <w:rPr>
          <w:color w:val="auto"/>
        </w:rPr>
        <w:t>WebService、socket、MQ、http、RPC</w:t>
      </w:r>
      <w:r>
        <w:rPr>
          <w:color w:val="auto"/>
          <w:spacing w:val="-5"/>
        </w:rPr>
        <w:t xml:space="preserve"> 多种协议的接入和输出。</w:t>
      </w:r>
      <w:r>
        <w:rPr>
          <w:color w:val="auto"/>
          <w:spacing w:val="-1"/>
        </w:rPr>
        <w:t>应能提供基于消息队列的数据发布/订阅服务异步模式，基于请求响应的同步模式，也提供基于多路由的消息队列选择和传输。</w:t>
      </w:r>
      <w:r>
        <w:rPr>
          <w:color w:val="auto"/>
          <w:spacing w:val="-2"/>
        </w:rPr>
        <w:t>应能满足平台数据交互高并发、大数据量、实时性高等需求，保持高性能</w:t>
      </w:r>
      <w:r>
        <w:rPr>
          <w:color w:val="auto"/>
          <w:spacing w:val="-4"/>
        </w:rPr>
        <w:t>运行。</w:t>
      </w:r>
    </w:p>
    <w:p w14:paraId="2E74D91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221" w:right="505" w:firstLine="476"/>
        <w:textAlignment w:val="auto"/>
        <w:rPr>
          <w:rFonts w:hint="default" w:ascii="Arial" w:hAnsi="Arial" w:cs="Arial"/>
          <w:color w:val="auto"/>
          <w:spacing w:val="-2"/>
        </w:rPr>
      </w:pPr>
      <w:r>
        <w:rPr>
          <w:rFonts w:hint="default" w:ascii="Arial" w:hAnsi="Arial" w:cs="Arial"/>
          <w:color w:val="auto"/>
          <w:spacing w:val="-2"/>
        </w:rPr>
        <w:t>√</w:t>
      </w:r>
      <w:r>
        <w:rPr>
          <w:color w:val="auto"/>
          <w:spacing w:val="-2"/>
        </w:rPr>
        <w:t xml:space="preserve">应能提供基于业务流程的流程配置服务，定制化服务配置。并可提供远程调用服务和分布式服务调用，并实现负载均衡，故障转移等基本功能。应能支持任意消息传输环节的监控和审核，对于数据传输状况有较灵活的反馈服务，具有自动补传、重传等功能。应能支持应用节点和接口服务的统一配置管理，监控平台应能对各接口调用历史进行负载和响应时间分析，以便通过集成平台来一步优化性能。集成平台配置管理系统应能支持数据协议和公用代码标准化管理。应能提供基于集成平台的二次开发包，可以基于开发包扩展服务组件。 </w:t>
      </w:r>
      <w:r>
        <w:rPr>
          <w:rFonts w:hint="default" w:ascii="Arial" w:hAnsi="Arial" w:cs="Arial"/>
          <w:color w:val="auto"/>
          <w:spacing w:val="-2"/>
        </w:rPr>
        <w:t>√应能支持灰度发布功能，可以便捷的切换正式环境和测试环境，同时设置测试环境的流量分布，支持实现集成平台服务的平滑升级。</w:t>
      </w:r>
    </w:p>
    <w:p w14:paraId="56D5E4EA">
      <w:pPr>
        <w:pStyle w:val="4"/>
        <w:keepNext w:val="0"/>
        <w:keepLines w:val="0"/>
        <w:pageBreakBefore w:val="0"/>
        <w:widowControl w:val="0"/>
        <w:kinsoku/>
        <w:wordWrap/>
        <w:overflowPunct/>
        <w:topLinePunct w:val="0"/>
        <w:autoSpaceDE w:val="0"/>
        <w:autoSpaceDN w:val="0"/>
        <w:bidi w:val="0"/>
        <w:adjustRightInd/>
        <w:snapToGrid/>
        <w:spacing w:before="0" w:line="360" w:lineRule="auto"/>
        <w:ind w:left="221" w:right="112" w:firstLine="476"/>
        <w:textAlignment w:val="auto"/>
        <w:rPr>
          <w:rFonts w:hint="eastAsia" w:eastAsia="宋体"/>
          <w:color w:val="auto"/>
          <w:lang w:eastAsia="zh-CN"/>
        </w:rPr>
      </w:pPr>
      <w:r>
        <w:rPr>
          <w:rFonts w:hint="default" w:ascii="Arial" w:hAnsi="Arial" w:cs="Arial"/>
          <w:color w:val="auto"/>
          <w:spacing w:val="-2"/>
        </w:rPr>
        <w:t>√</w:t>
      </w:r>
      <w:r>
        <w:rPr>
          <w:color w:val="auto"/>
          <w:spacing w:val="-2"/>
        </w:rPr>
        <w:t>应提供数据库终端工具组件，支持消息直接写入或者更新到任意的数据库，并提供数据库事务管理功能。</w:t>
      </w:r>
      <w:r>
        <w:rPr>
          <w:rFonts w:hint="eastAsia"/>
          <w:color w:val="auto"/>
          <w:spacing w:val="-2"/>
          <w:lang w:val="en-US" w:eastAsia="zh-CN"/>
        </w:rPr>
        <w:t>提供</w:t>
      </w:r>
      <w:r>
        <w:rPr>
          <w:color w:val="auto"/>
          <w:spacing w:val="-6"/>
        </w:rPr>
        <w:t>分布式事务处理</w:t>
      </w:r>
      <w:r>
        <w:rPr>
          <w:rFonts w:hint="eastAsia"/>
          <w:color w:val="auto"/>
          <w:spacing w:val="-6"/>
          <w:lang w:val="en-US" w:eastAsia="zh-CN"/>
        </w:rPr>
        <w:t>功能，</w:t>
      </w:r>
      <w:r>
        <w:rPr>
          <w:color w:val="auto"/>
          <w:spacing w:val="-6"/>
        </w:rPr>
        <w:t xml:space="preserve">应能针对 </w:t>
      </w:r>
      <w:r>
        <w:rPr>
          <w:color w:val="auto"/>
          <w:spacing w:val="-4"/>
        </w:rPr>
        <w:t>webservice</w:t>
      </w:r>
      <w:r>
        <w:rPr>
          <w:color w:val="auto"/>
          <w:spacing w:val="-14"/>
        </w:rPr>
        <w:t xml:space="preserve"> 接入和 </w:t>
      </w:r>
      <w:r>
        <w:rPr>
          <w:color w:val="auto"/>
          <w:spacing w:val="-4"/>
        </w:rPr>
        <w:t>HTTP</w:t>
      </w:r>
      <w:r>
        <w:rPr>
          <w:color w:val="auto"/>
          <w:spacing w:val="-9"/>
        </w:rPr>
        <w:t xml:space="preserve"> 接入支持分布式事务</w:t>
      </w:r>
      <w:r>
        <w:rPr>
          <w:color w:val="auto"/>
          <w:spacing w:val="-2"/>
        </w:rPr>
        <w:t>处理，当涉及多方业务协作出现调用失败时，能通知调用成功方撤回操作，保障整体事务的一致性。</w:t>
      </w:r>
      <w:r>
        <w:rPr>
          <w:color w:val="auto"/>
          <w:spacing w:val="-6"/>
        </w:rPr>
        <w:t xml:space="preserve">应提供消息日志 </w:t>
      </w:r>
      <w:r>
        <w:rPr>
          <w:color w:val="auto"/>
          <w:spacing w:val="-2"/>
        </w:rPr>
        <w:t>NoSQL</w:t>
      </w:r>
      <w:r>
        <w:rPr>
          <w:color w:val="auto"/>
          <w:spacing w:val="-7"/>
        </w:rPr>
        <w:t xml:space="preserve"> 非关系型存储，实现消息的快速检索。支持字段级</w:t>
      </w:r>
      <w:r>
        <w:rPr>
          <w:color w:val="auto"/>
          <w:spacing w:val="-2"/>
        </w:rPr>
        <w:t>精确搜索以及全文模糊搜索。应支持灰度发布功能，可以便捷的切换正式环境和测试环境，同时设置测试环境的流量分布，实现集成平台服务的平滑上线</w:t>
      </w:r>
      <w:r>
        <w:rPr>
          <w:rFonts w:hint="eastAsia"/>
          <w:color w:val="auto"/>
          <w:spacing w:val="-2"/>
          <w:lang w:eastAsia="zh-CN"/>
        </w:rPr>
        <w:t>。</w:t>
      </w:r>
    </w:p>
    <w:p w14:paraId="3F2DF2D7">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rFonts w:ascii="等线" w:eastAsia="等线"/>
          <w:b/>
          <w:color w:val="auto"/>
          <w:sz w:val="24"/>
        </w:rPr>
        <w:t>EMPI</w:t>
      </w:r>
      <w:r>
        <w:rPr>
          <w:rFonts w:ascii="等线" w:eastAsia="等线"/>
          <w:b/>
          <w:color w:val="auto"/>
          <w:spacing w:val="-13"/>
          <w:sz w:val="24"/>
        </w:rPr>
        <w:t xml:space="preserve"> </w:t>
      </w:r>
      <w:r>
        <w:rPr>
          <w:b/>
          <w:color w:val="auto"/>
          <w:spacing w:val="-2"/>
          <w:sz w:val="24"/>
        </w:rPr>
        <w:t>主索引服务</w:t>
      </w:r>
    </w:p>
    <w:p w14:paraId="3CB1919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用于处理信息平台内与数据定位和管理相关的复杂任务，包括相关的索引信息。这些索引链接到产生不同存储服务的服务点，这些服务点产生了特定的</w:t>
      </w:r>
      <w:r>
        <w:rPr>
          <w:color w:val="auto"/>
          <w:spacing w:val="-1"/>
        </w:rPr>
        <w:t>个人、医疗卫生人员或者医疗卫生机构，以及实时的业务数据。索引服务负责</w:t>
      </w:r>
    </w:p>
    <w:p w14:paraId="0350040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4"/>
        <w:jc w:val="both"/>
        <w:textAlignment w:val="auto"/>
        <w:rPr>
          <w:color w:val="auto"/>
        </w:rPr>
      </w:pPr>
      <w:r>
        <w:rPr>
          <w:color w:val="auto"/>
          <w:spacing w:val="-2"/>
        </w:rPr>
        <w:t>分析来自外部资源的信息，并恰当地保存这些数据到存储库中，可以反向地响应外部医疗卫生服务点的检索、汇聚和返回数据。支持一体化患者索引管理，多种形式展示与索引。</w:t>
      </w:r>
    </w:p>
    <w:p w14:paraId="35AEE3E8">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主索引管</w:t>
      </w:r>
      <w:r>
        <w:rPr>
          <w:b/>
          <w:color w:val="auto"/>
          <w:spacing w:val="-10"/>
          <w:sz w:val="24"/>
        </w:rPr>
        <w:t>理</w:t>
      </w:r>
    </w:p>
    <w:p w14:paraId="00EBCFB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9" w:firstLine="479"/>
        <w:textAlignment w:val="auto"/>
        <w:rPr>
          <w:color w:val="auto"/>
        </w:rPr>
      </w:pPr>
      <w:r>
        <w:rPr>
          <w:rFonts w:hint="default" w:ascii="Arial" w:hAnsi="Arial" w:cs="Arial"/>
          <w:color w:val="auto"/>
          <w:spacing w:val="-2"/>
        </w:rPr>
        <w:t>√</w:t>
      </w:r>
      <w:r>
        <w:rPr>
          <w:color w:val="auto"/>
          <w:spacing w:val="-1"/>
        </w:rPr>
        <w:t xml:space="preserve">应能提供基于 </w:t>
      </w:r>
      <w:r>
        <w:rPr>
          <w:color w:val="auto"/>
        </w:rPr>
        <w:t>PIX</w:t>
      </w:r>
      <w:r>
        <w:rPr>
          <w:color w:val="auto"/>
          <w:spacing w:val="-2"/>
        </w:rPr>
        <w:t xml:space="preserve"> 交叉索引管理机制的患者主索引管理功能，可以查看交叉索引记录功能。</w:t>
      </w:r>
      <w:r>
        <w:rPr>
          <w:color w:val="auto"/>
          <w:spacing w:val="-1"/>
        </w:rPr>
        <w:t>应能提供患者信息注册、修改、注销等功能，并可手工处理主索引信息。</w:t>
      </w:r>
      <w:r>
        <w:rPr>
          <w:color w:val="auto"/>
          <w:spacing w:val="-2"/>
        </w:rPr>
        <w:t>应能提供主索引合并功能，在主索引注册时通过模糊匹配产生的潜在重复、疑似记录，在管理页面可进行人工合并。应能提供主索引拆分功能：提供患者主索引人工拆分功能，以应对合并错误等情况。应能提供查看疑似主索引功能，系统根据分值权重匹配规则针对处于匹配基值域疑似基值之间的患者数据进行查看管理。</w:t>
      </w:r>
      <w:r>
        <w:rPr>
          <w:color w:val="auto"/>
          <w:spacing w:val="-1"/>
        </w:rPr>
        <w:t>应能提供主索引恢复功能，针对已注销的主索引信息可以恢复操作。</w:t>
      </w:r>
    </w:p>
    <w:p w14:paraId="540322AA">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主索引配</w:t>
      </w:r>
      <w:r>
        <w:rPr>
          <w:b/>
          <w:color w:val="auto"/>
          <w:spacing w:val="-10"/>
          <w:sz w:val="24"/>
        </w:rPr>
        <w:t>置</w:t>
      </w:r>
    </w:p>
    <w:p w14:paraId="10A589C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应能提供对主索引匹配权重规则设置功能，并包含匹配基值域疑似基值的设置；根据权重分值规则配置系统能自动匹配患者主索引。应能提供主索引校验规则配置，针对注册的患者数据中的姓名、身份证、电话号码进行有效性校验，同时提供身份证号码替换出生年月功能以及是否自动合并重复主索引进行管理控制。</w:t>
      </w:r>
    </w:p>
    <w:p w14:paraId="5B5D9BC6">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主索引分</w:t>
      </w:r>
      <w:r>
        <w:rPr>
          <w:b/>
          <w:color w:val="auto"/>
          <w:spacing w:val="-10"/>
          <w:sz w:val="24"/>
        </w:rPr>
        <w:t>析</w:t>
      </w:r>
    </w:p>
    <w:p w14:paraId="7824FD3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应能提供主索引的统计分析功能，包括主索引记录数、原始注册档案数、被合并的记录数，以及不同匹配规则命中的记录数统计分析，人工操作记录分析，患者注册量趋势分析。</w:t>
      </w:r>
    </w:p>
    <w:p w14:paraId="3D0EE924">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主索引服</w:t>
      </w:r>
      <w:r>
        <w:rPr>
          <w:b/>
          <w:color w:val="auto"/>
          <w:spacing w:val="-10"/>
          <w:sz w:val="24"/>
        </w:rPr>
        <w:t>务</w:t>
      </w:r>
    </w:p>
    <w:p w14:paraId="4132625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应能提供主索引注册、查询、更新、合并以及注销数据服务，在业务系统新增或更新一个患者的索引信息后，通过主索引数据服务同步到主索引系统</w:t>
      </w:r>
      <w:r>
        <w:rPr>
          <w:rFonts w:hint="eastAsia"/>
          <w:color w:val="auto"/>
          <w:spacing w:val="-2"/>
          <w:lang w:eastAsia="zh-CN"/>
        </w:rPr>
        <w:t>。</w:t>
      </w:r>
      <w:r>
        <w:rPr>
          <w:color w:val="auto"/>
          <w:spacing w:val="-7"/>
        </w:rPr>
        <w:t xml:space="preserve">应能提供基于患者主索引 </w:t>
      </w:r>
      <w:r>
        <w:rPr>
          <w:color w:val="auto"/>
          <w:spacing w:val="-2"/>
        </w:rPr>
        <w:t>MPIID</w:t>
      </w:r>
      <w:r>
        <w:rPr>
          <w:color w:val="auto"/>
          <w:spacing w:val="-18"/>
        </w:rPr>
        <w:t xml:space="preserve"> 及业务系统 </w:t>
      </w:r>
      <w:r>
        <w:rPr>
          <w:color w:val="auto"/>
          <w:spacing w:val="-2"/>
        </w:rPr>
        <w:t>PID</w:t>
      </w:r>
      <w:r>
        <w:rPr>
          <w:color w:val="auto"/>
          <w:spacing w:val="-12"/>
        </w:rPr>
        <w:t xml:space="preserve"> 查询服务。</w:t>
      </w:r>
      <w:r>
        <w:rPr>
          <w:color w:val="auto"/>
          <w:spacing w:val="-2"/>
        </w:rPr>
        <w:t>应能提供患者就诊卡的注册、变更和注销服务功能。</w:t>
      </w:r>
    </w:p>
    <w:p w14:paraId="7D484A46">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主索引日</w:t>
      </w:r>
      <w:r>
        <w:rPr>
          <w:b/>
          <w:color w:val="auto"/>
          <w:spacing w:val="-10"/>
          <w:sz w:val="24"/>
        </w:rPr>
        <w:t>志</w:t>
      </w:r>
    </w:p>
    <w:p w14:paraId="57C4DAA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eastAsia="宋体" w:cs="Arial"/>
          <w:color w:val="auto"/>
          <w:spacing w:val="-2"/>
        </w:rPr>
      </w:pPr>
      <w:r>
        <w:rPr>
          <w:rFonts w:hint="default" w:ascii="Arial" w:hAnsi="Arial" w:cs="Arial"/>
          <w:color w:val="auto"/>
          <w:spacing w:val="-2"/>
        </w:rPr>
        <w:t>√</w:t>
      </w:r>
      <w:r>
        <w:rPr>
          <w:rFonts w:hint="default" w:ascii="Arial" w:hAnsi="Arial" w:eastAsia="宋体" w:cs="Arial"/>
          <w:color w:val="auto"/>
          <w:spacing w:val="-2"/>
        </w:rPr>
        <w:t>应能提供主索引日志查询功能，包含请求日志、变更日志、错误日志记录</w:t>
      </w:r>
      <w:r>
        <w:rPr>
          <w:rFonts w:hint="eastAsia" w:ascii="Arial" w:hAnsi="Arial" w:eastAsia="宋体" w:cs="Arial"/>
          <w:color w:val="auto"/>
          <w:spacing w:val="-2"/>
          <w:lang w:eastAsia="zh-CN"/>
        </w:rPr>
        <w:t>。</w:t>
      </w:r>
      <w:r>
        <w:rPr>
          <w:rFonts w:hint="default" w:ascii="Arial" w:hAnsi="Arial" w:eastAsia="宋体" w:cs="Arial"/>
          <w:color w:val="auto"/>
          <w:spacing w:val="-2"/>
        </w:rPr>
        <w:t>应能提供对主索引的注册变更、错误日志的查看和检索功能。</w:t>
      </w:r>
    </w:p>
    <w:p w14:paraId="1C3EAF20">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预采集管理及报</w:t>
      </w:r>
      <w:r>
        <w:rPr>
          <w:b/>
          <w:color w:val="auto"/>
          <w:spacing w:val="-10"/>
          <w:sz w:val="24"/>
        </w:rPr>
        <w:t>告</w:t>
      </w:r>
    </w:p>
    <w:p w14:paraId="561DC98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eastAsia" w:ascii="冬青黑体简体中文" w:hAnsi="冬青黑体简体中文" w:eastAsia="冬青黑体简体中文" w:cs="冬青黑体简体中文"/>
          <w:color w:val="auto"/>
          <w:spacing w:val="-1"/>
        </w:rPr>
        <w:t>▲</w:t>
      </w:r>
      <w:r>
        <w:rPr>
          <w:color w:val="auto"/>
          <w:spacing w:val="-1"/>
        </w:rPr>
        <w:t>提供试采集功能，可选择起止时间进行试采集；支持对字段的匹配分值、</w:t>
      </w:r>
    </w:p>
    <w:p w14:paraId="4A826E2C">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125" w:hanging="480"/>
        <w:textAlignment w:val="auto"/>
        <w:rPr>
          <w:rFonts w:hint="eastAsia" w:eastAsia="宋体"/>
          <w:color w:val="auto"/>
          <w:lang w:eastAsia="zh-CN"/>
        </w:rPr>
      </w:pPr>
      <w:r>
        <w:rPr>
          <w:color w:val="auto"/>
          <w:spacing w:val="-2"/>
        </w:rPr>
        <w:t>不匹配分值、无效数据处理方式、校验规则等属性进行配置，支持恢复默认值</w:t>
      </w:r>
      <w:r>
        <w:rPr>
          <w:rFonts w:hint="eastAsia"/>
          <w:color w:val="auto"/>
          <w:spacing w:val="-2"/>
          <w:lang w:eastAsia="zh-CN"/>
        </w:rPr>
        <w:t>。</w:t>
      </w:r>
    </w:p>
    <w:p w14:paraId="655C0A3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2" w:firstLine="479"/>
        <w:textAlignment w:val="auto"/>
        <w:rPr>
          <w:color w:val="auto"/>
        </w:rPr>
      </w:pPr>
      <w:r>
        <w:rPr>
          <w:rFonts w:hint="default" w:ascii="Arial" w:hAnsi="Arial" w:cs="Arial"/>
          <w:color w:val="auto"/>
          <w:sz w:val="24"/>
          <w:szCs w:val="24"/>
        </w:rPr>
        <w:t>√</w:t>
      </w:r>
      <w:r>
        <w:rPr>
          <w:color w:val="auto"/>
          <w:spacing w:val="-2"/>
        </w:rPr>
        <w:t>提供预采集报告的原始档案数、规范数据量、患者主索引、患者合并、疑似主索引的查看功能；提供数据分析功能：支持对预采集报告的规范数据量模块进行数据分析，包括新增字段、新增校验规则等；提供同步校验规则功能：支持将预采集的权重规则同步到正式环境的分值权重配置中；</w:t>
      </w:r>
      <w:r>
        <w:rPr>
          <w:color w:val="auto"/>
          <w:spacing w:val="-1"/>
        </w:rPr>
        <w:t>提供历史报告查看功能，支持查看历史的预采集分析报告；</w:t>
      </w:r>
    </w:p>
    <w:p w14:paraId="068E135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3" w:firstLine="479"/>
        <w:jc w:val="both"/>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提供预采集报告分析功能：支持查看成人和儿童的最近五次的预采集分析报告，包含历史对比分析、字段数据分析趋势图、成人儿童权重配置、原始档案数、规范数据量、患者主索引、患者合并、疑似主索引等数据；提供预采集报告生成功能：完成预采集后，可生成预采集报告；</w:t>
      </w:r>
    </w:p>
    <w:p w14:paraId="0EF9C688">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主数据管</w:t>
      </w:r>
      <w:r>
        <w:rPr>
          <w:b/>
          <w:color w:val="auto"/>
          <w:spacing w:val="-10"/>
          <w:sz w:val="24"/>
        </w:rPr>
        <w:t>理</w:t>
      </w:r>
    </w:p>
    <w:p w14:paraId="7F4CEE4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color w:val="auto"/>
        </w:rPr>
      </w:pPr>
      <w:r>
        <w:rPr>
          <w:rFonts w:hint="default" w:ascii="Arial" w:hAnsi="Arial" w:cs="Arial"/>
          <w:color w:val="auto"/>
          <w:spacing w:val="-2"/>
        </w:rPr>
        <w:t>√</w:t>
      </w:r>
      <w:r>
        <w:rPr>
          <w:color w:val="auto"/>
          <w:spacing w:val="-2"/>
        </w:rPr>
        <w:t>能够规范全院的术语编码体系，统一人员、科室主数据，统一术语编码服务，统一字典维护。支持人员、科室、临床术语字典的主数据管理维护，要能提供动态添加字典管理功能，并提供基于集成引擎的更新发布机制。</w:t>
      </w:r>
    </w:p>
    <w:p w14:paraId="2A57D5B8">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基础数据管</w:t>
      </w:r>
      <w:r>
        <w:rPr>
          <w:b/>
          <w:color w:val="auto"/>
          <w:spacing w:val="-10"/>
          <w:sz w:val="24"/>
        </w:rPr>
        <w:t>理</w:t>
      </w:r>
    </w:p>
    <w:p w14:paraId="103224D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eastAsia="宋体" w:cs="Arial"/>
          <w:color w:val="auto"/>
          <w:spacing w:val="-2"/>
        </w:rPr>
      </w:pPr>
      <w:r>
        <w:rPr>
          <w:rFonts w:hint="default" w:ascii="Arial" w:hAnsi="Arial" w:eastAsia="宋体" w:cs="Arial"/>
          <w:color w:val="auto"/>
          <w:spacing w:val="-2"/>
        </w:rPr>
        <w:t>√应能提供多机构、科室的注册、编辑、注销等管理功能。应能提供医疗结构卫生人员注册、标记、注销等管理功能，同时提供 Excel 导入卫生人员信息功能。应能提供基于医疗卫生人员的平台用户注册、用户角色关系批量配置、用户密码充值、用户角色注销功能。</w:t>
      </w:r>
    </w:p>
    <w:p w14:paraId="057CFB8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标准管理</w:t>
      </w:r>
    </w:p>
    <w:p w14:paraId="7D41E58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eastAsia" w:ascii="冬青黑体简体中文" w:hAnsi="冬青黑体简体中文" w:eastAsia="冬青黑体简体中文" w:cs="冬青黑体简体中文"/>
          <w:color w:val="auto"/>
          <w:spacing w:val="-1"/>
        </w:rPr>
        <w:t>▲</w:t>
      </w:r>
      <w:r>
        <w:rPr>
          <w:color w:val="auto"/>
          <w:spacing w:val="-1"/>
        </w:rPr>
        <w:t>提供字典对照映射配置功能，包含标准字典与标准字典的对照映射、标准</w:t>
      </w:r>
    </w:p>
    <w:p w14:paraId="422D752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7"/>
        <w:textAlignment w:val="auto"/>
        <w:rPr>
          <w:color w:val="auto"/>
        </w:rPr>
      </w:pPr>
      <w:r>
        <w:rPr>
          <w:color w:val="auto"/>
          <w:spacing w:val="-2"/>
        </w:rPr>
        <w:t>字典与业务字典的对照映射、业务字典与业务字典的对照映射，支持字典编码精确匹配、编码进位匹配、名称精确匹配、名称模糊匹配和手工映射匹配。</w:t>
      </w:r>
    </w:p>
    <w:p w14:paraId="7C72FCA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应能提供数据元、电子病历数据集的定义与管理，并提供标准的数据元和数据集基础数据</w:t>
      </w:r>
      <w:r>
        <w:rPr>
          <w:rFonts w:hint="eastAsia"/>
          <w:color w:val="auto"/>
          <w:spacing w:val="-2"/>
          <w:lang w:eastAsia="zh-CN"/>
        </w:rPr>
        <w:t>；</w:t>
      </w:r>
      <w:r>
        <w:rPr>
          <w:color w:val="auto"/>
          <w:spacing w:val="-2"/>
        </w:rPr>
        <w:t>应能提供数据集标准的发布、导入和导出功能</w:t>
      </w:r>
      <w:r>
        <w:rPr>
          <w:rFonts w:hint="eastAsia"/>
          <w:color w:val="auto"/>
          <w:spacing w:val="-2"/>
          <w:lang w:eastAsia="zh-CN"/>
        </w:rPr>
        <w:t>；</w:t>
      </w:r>
      <w:r>
        <w:rPr>
          <w:color w:val="auto"/>
          <w:spacing w:val="-2"/>
        </w:rPr>
        <w:t>应能提供挂号、就诊、手术、输血等扩展数据集。</w:t>
      </w:r>
    </w:p>
    <w:p w14:paraId="7361A9E2">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主数据管</w:t>
      </w:r>
      <w:r>
        <w:rPr>
          <w:b/>
          <w:color w:val="auto"/>
          <w:spacing w:val="-10"/>
          <w:sz w:val="24"/>
        </w:rPr>
        <w:t>理</w:t>
      </w:r>
    </w:p>
    <w:p w14:paraId="0CAC2D3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√应能提供检验项目、检查项目、收费项目、医嘱项目等基础数据维护功能</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 ICD 疾病诊断、ICD 手术目录等标准术语维护功能</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应能提供国标 GB、行标 CV、枚举字典、系统字典的新增、修改管理，字典属性有启用标志、版本号、是否审核、OID 编码等属性</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应能提供按业务系统域的主数据注册管理功能</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应能提供字典的审核功能，防止字典随意篡改；审核通过的数据可推送给业务系统</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应能提供字典订阅发布管理；基于集成平台服务集成功能实现主数据系统中数据明细变更及数据映射关系变更的发布功能，并支持定时和实时两种模式</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应能提供主数据的查看功能，可查看任意字典及字典属性、明细内容等信息</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应能支持主数据的版本管理和导入、导出功能。</w:t>
      </w:r>
    </w:p>
    <w:p w14:paraId="590CFBBE">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主数据映射</w:t>
      </w:r>
      <w:r>
        <w:rPr>
          <w:b/>
          <w:color w:val="auto"/>
          <w:spacing w:val="-6"/>
          <w:sz w:val="24"/>
        </w:rPr>
        <w:t>管理</w:t>
      </w:r>
    </w:p>
    <w:p w14:paraId="0113ED2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应能提供不同域之间的主数据对照映射配置功能，支持字典编码精确匹配、编码进位匹配、名称精确匹配、名称模糊匹配和手工映射匹配</w:t>
      </w:r>
      <w:r>
        <w:rPr>
          <w:rFonts w:hint="eastAsia"/>
          <w:color w:val="auto"/>
          <w:spacing w:val="-2"/>
          <w:lang w:eastAsia="zh-CN"/>
        </w:rPr>
        <w:t>；</w:t>
      </w:r>
      <w:r>
        <w:rPr>
          <w:color w:val="auto"/>
          <w:spacing w:val="-2"/>
        </w:rPr>
        <w:t>应能提供以数据集维度的主数据映射分析功能，可以查看所有数据集下的字典的是否映射完成</w:t>
      </w:r>
      <w:r>
        <w:rPr>
          <w:rFonts w:hint="eastAsia"/>
          <w:color w:val="auto"/>
          <w:spacing w:val="-2"/>
          <w:lang w:eastAsia="zh-CN"/>
        </w:rPr>
        <w:t>；</w:t>
      </w:r>
      <w:r>
        <w:rPr>
          <w:color w:val="auto"/>
          <w:spacing w:val="-2"/>
        </w:rPr>
        <w:t>应能提供以业务系统域维度查看的主数据映射分析功能</w:t>
      </w:r>
      <w:r>
        <w:rPr>
          <w:rFonts w:hint="eastAsia"/>
          <w:color w:val="auto"/>
          <w:spacing w:val="-2"/>
          <w:lang w:eastAsia="zh-CN"/>
        </w:rPr>
        <w:t>；</w:t>
      </w:r>
      <w:r>
        <w:rPr>
          <w:color w:val="auto"/>
          <w:spacing w:val="-2"/>
        </w:rPr>
        <w:t>应能提供查看不同业务系统域下字典的映射关系及其明细。</w:t>
      </w:r>
    </w:p>
    <w:p w14:paraId="2B37B14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主数据服</w:t>
      </w:r>
      <w:r>
        <w:rPr>
          <w:b/>
          <w:color w:val="auto"/>
          <w:spacing w:val="-10"/>
          <w:sz w:val="24"/>
        </w:rPr>
        <w:t>务</w:t>
      </w:r>
    </w:p>
    <w:p w14:paraId="66FCBAC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eastAsia="宋体" w:cs="Arial"/>
          <w:color w:val="auto"/>
          <w:spacing w:val="-2"/>
        </w:rPr>
      </w:pPr>
      <w:r>
        <w:rPr>
          <w:rFonts w:hint="default" w:ascii="Arial" w:hAnsi="Arial" w:eastAsia="宋体" w:cs="Arial"/>
          <w:color w:val="auto"/>
          <w:spacing w:val="-2"/>
        </w:rPr>
        <w:t>√应能提供主数据的注册、查询、更新服务</w:t>
      </w:r>
      <w:r>
        <w:rPr>
          <w:rFonts w:hint="eastAsia" w:ascii="Arial" w:hAnsi="Arial" w:eastAsia="宋体" w:cs="Arial"/>
          <w:color w:val="auto"/>
          <w:spacing w:val="-2"/>
          <w:lang w:eastAsia="zh-CN"/>
        </w:rPr>
        <w:t>；</w:t>
      </w:r>
      <w:r>
        <w:rPr>
          <w:rFonts w:hint="default" w:ascii="Arial" w:hAnsi="Arial" w:eastAsia="宋体" w:cs="Arial"/>
          <w:color w:val="auto"/>
          <w:spacing w:val="-2"/>
        </w:rPr>
        <w:t>应能提供主数据的变更通知与同步服务</w:t>
      </w:r>
      <w:r>
        <w:rPr>
          <w:rFonts w:hint="eastAsia" w:ascii="Arial" w:hAnsi="Arial" w:eastAsia="宋体" w:cs="Arial"/>
          <w:color w:val="auto"/>
          <w:spacing w:val="-2"/>
          <w:lang w:eastAsia="zh-CN"/>
        </w:rPr>
        <w:t>；</w:t>
      </w:r>
      <w:r>
        <w:rPr>
          <w:rFonts w:hint="default" w:ascii="Arial" w:hAnsi="Arial" w:eastAsia="宋体" w:cs="Arial"/>
          <w:color w:val="auto"/>
          <w:spacing w:val="-2"/>
        </w:rPr>
        <w:t>应能提供主数据字典翻转服务。</w:t>
      </w:r>
    </w:p>
    <w:p w14:paraId="37F0F131">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数据集字典</w:t>
      </w:r>
      <w:r>
        <w:rPr>
          <w:b/>
          <w:color w:val="auto"/>
          <w:spacing w:val="-6"/>
          <w:sz w:val="24"/>
        </w:rPr>
        <w:t>分析</w:t>
      </w:r>
    </w:p>
    <w:p w14:paraId="36F6FC9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应能提供基于电子病历数据集字典来源分析功能，能够将字典来源分析结</w:t>
      </w:r>
      <w:r>
        <w:rPr>
          <w:color w:val="auto"/>
          <w:spacing w:val="-7"/>
        </w:rPr>
        <w:t xml:space="preserve">果集中导出成 </w:t>
      </w:r>
      <w:r>
        <w:rPr>
          <w:color w:val="auto"/>
        </w:rPr>
        <w:t>EXCEL</w:t>
      </w:r>
      <w:r>
        <w:rPr>
          <w:rFonts w:hint="eastAsia"/>
          <w:color w:val="auto"/>
          <w:lang w:eastAsia="zh-CN"/>
        </w:rPr>
        <w:t>；</w:t>
      </w:r>
      <w:r>
        <w:rPr>
          <w:color w:val="auto"/>
          <w:spacing w:val="-2"/>
        </w:rPr>
        <w:t>应能提供一个直观的界面查看每个数据集需要对照的字典数，对照完成状态，防止遗漏。</w:t>
      </w:r>
    </w:p>
    <w:p w14:paraId="71CDAD08">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统一身份认证服</w:t>
      </w:r>
      <w:r>
        <w:rPr>
          <w:b/>
          <w:color w:val="auto"/>
          <w:spacing w:val="-10"/>
          <w:sz w:val="24"/>
        </w:rPr>
        <w:t>务</w:t>
      </w:r>
    </w:p>
    <w:p w14:paraId="2CE2476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eastAsia="宋体" w:cs="Arial"/>
          <w:color w:val="auto"/>
          <w:spacing w:val="-2"/>
        </w:rPr>
      </w:pPr>
      <w:r>
        <w:rPr>
          <w:rFonts w:hint="default" w:ascii="Arial" w:hAnsi="Arial" w:eastAsia="宋体" w:cs="Arial"/>
          <w:color w:val="auto"/>
          <w:spacing w:val="-2"/>
        </w:rPr>
        <w:t>√统一身份认证管理系统能够支持用户访问多个系统的技术，用户只需在登录时进行一次注册，就可以在多个系统间自由穿梭，不必重复输入用户名和密码来确定身份</w:t>
      </w:r>
      <w:r>
        <w:rPr>
          <w:rFonts w:hint="eastAsia" w:ascii="Arial" w:hAnsi="Arial" w:eastAsia="宋体" w:cs="Arial"/>
          <w:color w:val="auto"/>
          <w:spacing w:val="-2"/>
          <w:lang w:eastAsia="zh-CN"/>
        </w:rPr>
        <w:t>；</w:t>
      </w:r>
      <w:r>
        <w:rPr>
          <w:rFonts w:hint="default" w:ascii="Arial" w:hAnsi="Arial" w:eastAsia="宋体" w:cs="Arial"/>
          <w:color w:val="auto"/>
          <w:spacing w:val="-2"/>
        </w:rPr>
        <w:t>认证登录：提供基于统一身份认证机制的单点登录系统，用户只经过一次身份认证即可访问不同的业务系统</w:t>
      </w:r>
      <w:r>
        <w:rPr>
          <w:rFonts w:hint="eastAsia" w:ascii="Arial" w:hAnsi="Arial" w:eastAsia="宋体" w:cs="Arial"/>
          <w:color w:val="auto"/>
          <w:spacing w:val="-2"/>
          <w:lang w:eastAsia="zh-CN"/>
        </w:rPr>
        <w:t>；</w:t>
      </w:r>
      <w:r>
        <w:rPr>
          <w:rFonts w:hint="default" w:ascii="Arial" w:hAnsi="Arial" w:eastAsia="宋体" w:cs="Arial"/>
          <w:color w:val="auto"/>
          <w:spacing w:val="-2"/>
        </w:rPr>
        <w:t>用户管理：提供用户管理、角色管理、访问控制和单点登陆等方面的服务。√认证服务：实现门户和业务系统的用户、角色对照功能，获取对应的数据和业务权限，实现全流程的统一认证体系。认证方式设置：门户系统提供多种身份认证方式，例如：用户名和密码、 CA 认证或其他第三方认证等方式。</w:t>
      </w:r>
    </w:p>
    <w:p w14:paraId="24294EC4">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单点登录服</w:t>
      </w:r>
      <w:r>
        <w:rPr>
          <w:b/>
          <w:color w:val="auto"/>
          <w:spacing w:val="-10"/>
          <w:sz w:val="24"/>
        </w:rPr>
        <w:t>务</w:t>
      </w:r>
    </w:p>
    <w:p w14:paraId="5BEBB17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sz w:val="24"/>
        </w:rPr>
      </w:pPr>
      <w:r>
        <w:rPr>
          <w:rFonts w:hint="default" w:ascii="Arial" w:hAnsi="Arial" w:cs="Arial"/>
          <w:color w:val="auto"/>
          <w:sz w:val="24"/>
          <w:szCs w:val="24"/>
        </w:rPr>
        <w:t>√</w:t>
      </w:r>
      <w:r>
        <w:rPr>
          <w:color w:val="auto"/>
          <w:spacing w:val="-2"/>
        </w:rPr>
        <w:t>平台支持对登录用户的一次性身份认证，登录其他系统模块时，不需要再次验收身份，直接登录系统功能模块，实现单点登录</w:t>
      </w:r>
      <w:r>
        <w:rPr>
          <w:rFonts w:hint="eastAsia"/>
          <w:color w:val="auto"/>
          <w:spacing w:val="-2"/>
          <w:lang w:eastAsia="zh-CN"/>
        </w:rPr>
        <w:t>；</w:t>
      </w:r>
      <w:r>
        <w:rPr>
          <w:color w:val="auto"/>
          <w:spacing w:val="-1"/>
          <w:sz w:val="24"/>
        </w:rPr>
        <w:t>单点登录程序调用单点登录接口，传入用户登录的加密信息</w:t>
      </w:r>
      <w:r>
        <w:rPr>
          <w:rFonts w:hint="eastAsia"/>
          <w:color w:val="auto"/>
          <w:spacing w:val="-1"/>
          <w:sz w:val="24"/>
          <w:lang w:eastAsia="zh-CN"/>
        </w:rPr>
        <w:t>；</w:t>
      </w:r>
      <w:r>
        <w:rPr>
          <w:color w:val="auto"/>
          <w:spacing w:val="-1"/>
          <w:sz w:val="24"/>
        </w:rPr>
        <w:t>单点接口调用登录安全验证接口进行验证，若验证失败则终止登录</w:t>
      </w:r>
      <w:r>
        <w:rPr>
          <w:rFonts w:hint="eastAsia"/>
          <w:color w:val="auto"/>
          <w:spacing w:val="-1"/>
          <w:sz w:val="24"/>
          <w:lang w:eastAsia="zh-CN"/>
        </w:rPr>
        <w:t>；</w:t>
      </w:r>
      <w:r>
        <w:rPr>
          <w:color w:val="auto"/>
          <w:spacing w:val="-2"/>
          <w:sz w:val="24"/>
        </w:rPr>
        <w:t>验证通过后，单点接口将平台用户映射为业务系统用户，进行本地安全</w:t>
      </w:r>
      <w:r>
        <w:rPr>
          <w:color w:val="auto"/>
          <w:spacing w:val="-4"/>
          <w:sz w:val="24"/>
        </w:rPr>
        <w:t>验证</w:t>
      </w:r>
      <w:r>
        <w:rPr>
          <w:rFonts w:hint="eastAsia"/>
          <w:color w:val="auto"/>
          <w:spacing w:val="-4"/>
          <w:sz w:val="24"/>
          <w:lang w:eastAsia="zh-CN"/>
        </w:rPr>
        <w:t>；</w:t>
      </w:r>
      <w:r>
        <w:rPr>
          <w:color w:val="auto"/>
          <w:sz w:val="24"/>
        </w:rPr>
        <w:t>验证通过后，进入病理系统对应的功能模块（可配置）</w:t>
      </w:r>
      <w:r>
        <w:rPr>
          <w:color w:val="auto"/>
          <w:spacing w:val="-10"/>
          <w:sz w:val="24"/>
        </w:rPr>
        <w:t>。</w:t>
      </w:r>
    </w:p>
    <w:p w14:paraId="60D68771">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平台注册服</w:t>
      </w:r>
      <w:r>
        <w:rPr>
          <w:b/>
          <w:color w:val="auto"/>
          <w:spacing w:val="-10"/>
          <w:sz w:val="24"/>
        </w:rPr>
        <w:t>务</w:t>
      </w:r>
    </w:p>
    <w:p w14:paraId="3DA284A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62" w:firstLine="479"/>
        <w:jc w:val="both"/>
        <w:textAlignment w:val="auto"/>
        <w:rPr>
          <w:color w:val="auto"/>
        </w:rPr>
      </w:pPr>
      <w:r>
        <w:rPr>
          <w:rFonts w:hint="default" w:ascii="Arial" w:hAnsi="Arial" w:cs="Arial"/>
          <w:color w:val="auto"/>
          <w:sz w:val="24"/>
          <w:szCs w:val="24"/>
        </w:rPr>
        <w:t>√</w:t>
      </w:r>
      <w:r>
        <w:rPr>
          <w:color w:val="auto"/>
          <w:spacing w:val="-2"/>
        </w:rPr>
        <w:t>用于医院信息平台各种共享服务资源的注册,通过服务资源的发布一发现一访问机制,实现服务资源共享。包括对患者、医疗卫生服务人员、医疗卫生机构科室、医疗卫生术语的注册管理服务</w:t>
      </w:r>
      <w:r>
        <w:rPr>
          <w:rFonts w:hint="eastAsia"/>
          <w:color w:val="auto"/>
          <w:spacing w:val="-2"/>
          <w:lang w:eastAsia="zh-CN"/>
        </w:rPr>
        <w:t>；</w:t>
      </w:r>
      <w:r>
        <w:rPr>
          <w:color w:val="auto"/>
          <w:spacing w:val="-2"/>
        </w:rPr>
        <w:t>包括《国家医疗健康信息医院信息互联互通标准化成熟度测评方案（2020</w:t>
      </w:r>
      <w:r>
        <w:rPr>
          <w:color w:val="auto"/>
        </w:rPr>
        <w:t>年版）》“3.2 互联互通交互服务情况”章节内的等级要求达到“四级甲等”的所有服务：46</w:t>
      </w:r>
      <w:r>
        <w:rPr>
          <w:color w:val="auto"/>
          <w:spacing w:val="-7"/>
        </w:rPr>
        <w:t xml:space="preserve"> 个消息服务。</w:t>
      </w:r>
    </w:p>
    <w:p w14:paraId="55D280D0">
      <w:pPr>
        <w:spacing w:line="364" w:lineRule="auto"/>
        <w:jc w:val="both"/>
        <w:rPr>
          <w:color w:val="auto"/>
        </w:rPr>
      </w:pPr>
    </w:p>
    <w:tbl>
      <w:tblPr>
        <w:tblStyle w:val="13"/>
        <w:tblW w:w="8296" w:type="dxa"/>
        <w:jc w:val="center"/>
        <w:tblLayout w:type="fixed"/>
        <w:tblCellMar>
          <w:top w:w="0" w:type="dxa"/>
          <w:left w:w="108" w:type="dxa"/>
          <w:bottom w:w="0" w:type="dxa"/>
          <w:right w:w="108" w:type="dxa"/>
        </w:tblCellMar>
      </w:tblPr>
      <w:tblGrid>
        <w:gridCol w:w="846"/>
        <w:gridCol w:w="2606"/>
        <w:gridCol w:w="2813"/>
        <w:gridCol w:w="838"/>
        <w:gridCol w:w="1193"/>
      </w:tblGrid>
      <w:tr w14:paraId="10B9F0CD">
        <w:tblPrEx>
          <w:tblCellMar>
            <w:top w:w="0" w:type="dxa"/>
            <w:left w:w="108" w:type="dxa"/>
            <w:bottom w:w="0" w:type="dxa"/>
            <w:right w:w="108" w:type="dxa"/>
          </w:tblCellMar>
        </w:tblPrEx>
        <w:trPr>
          <w:trHeight w:val="270" w:hRule="atLeast"/>
          <w:jc w:val="center"/>
        </w:trPr>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772440A3">
            <w:pPr>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606" w:type="dxa"/>
            <w:tcBorders>
              <w:top w:val="single" w:color="auto" w:sz="4" w:space="0"/>
              <w:left w:val="nil"/>
              <w:bottom w:val="single" w:color="auto" w:sz="4" w:space="0"/>
              <w:right w:val="single" w:color="auto" w:sz="4" w:space="0"/>
            </w:tcBorders>
            <w:shd w:val="clear" w:color="auto" w:fill="auto"/>
            <w:vAlign w:val="center"/>
          </w:tcPr>
          <w:p w14:paraId="19031C97">
            <w:pPr>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平台服务分类</w:t>
            </w:r>
          </w:p>
        </w:tc>
        <w:tc>
          <w:tcPr>
            <w:tcW w:w="2813" w:type="dxa"/>
            <w:tcBorders>
              <w:top w:val="single" w:color="auto" w:sz="4" w:space="0"/>
              <w:left w:val="nil"/>
              <w:bottom w:val="single" w:color="auto" w:sz="4" w:space="0"/>
              <w:right w:val="single" w:color="auto" w:sz="4" w:space="0"/>
            </w:tcBorders>
            <w:shd w:val="clear" w:color="auto" w:fill="auto"/>
            <w:vAlign w:val="center"/>
          </w:tcPr>
          <w:p w14:paraId="1B577FFC">
            <w:pPr>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平台服务名称</w:t>
            </w:r>
          </w:p>
        </w:tc>
        <w:tc>
          <w:tcPr>
            <w:tcW w:w="838" w:type="dxa"/>
            <w:tcBorders>
              <w:top w:val="single" w:color="auto" w:sz="4" w:space="0"/>
              <w:left w:val="nil"/>
              <w:bottom w:val="single" w:color="auto" w:sz="4" w:space="0"/>
              <w:right w:val="single" w:color="auto" w:sz="4" w:space="0"/>
            </w:tcBorders>
            <w:shd w:val="clear" w:color="auto" w:fill="auto"/>
            <w:vAlign w:val="center"/>
          </w:tcPr>
          <w:p w14:paraId="603B1326">
            <w:pPr>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分值</w:t>
            </w:r>
          </w:p>
        </w:tc>
        <w:tc>
          <w:tcPr>
            <w:tcW w:w="1193" w:type="dxa"/>
            <w:tcBorders>
              <w:top w:val="single" w:color="auto" w:sz="4" w:space="0"/>
              <w:left w:val="nil"/>
              <w:bottom w:val="single" w:color="auto" w:sz="4" w:space="0"/>
              <w:right w:val="single" w:color="auto" w:sz="4" w:space="0"/>
            </w:tcBorders>
            <w:shd w:val="clear" w:color="auto" w:fill="auto"/>
            <w:vAlign w:val="center"/>
          </w:tcPr>
          <w:p w14:paraId="54050B58">
            <w:pPr>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等级要求</w:t>
            </w:r>
          </w:p>
        </w:tc>
      </w:tr>
      <w:tr w14:paraId="1F789FDE">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4890B0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127B3A6A">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文档注册查询服务</w:t>
            </w:r>
          </w:p>
        </w:tc>
        <w:tc>
          <w:tcPr>
            <w:tcW w:w="2813" w:type="dxa"/>
            <w:tcBorders>
              <w:top w:val="nil"/>
              <w:left w:val="nil"/>
              <w:bottom w:val="single" w:color="auto" w:sz="4" w:space="0"/>
              <w:right w:val="single" w:color="auto" w:sz="4" w:space="0"/>
            </w:tcBorders>
            <w:shd w:val="clear" w:color="auto" w:fill="auto"/>
            <w:vAlign w:val="center"/>
          </w:tcPr>
          <w:p w14:paraId="39D6F762">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电子病历文档注册服务</w:t>
            </w:r>
          </w:p>
        </w:tc>
        <w:tc>
          <w:tcPr>
            <w:tcW w:w="838" w:type="dxa"/>
            <w:tcBorders>
              <w:top w:val="nil"/>
              <w:left w:val="nil"/>
              <w:bottom w:val="single" w:color="auto" w:sz="4" w:space="0"/>
              <w:right w:val="single" w:color="auto" w:sz="4" w:space="0"/>
            </w:tcBorders>
            <w:shd w:val="clear" w:color="auto" w:fill="auto"/>
            <w:vAlign w:val="center"/>
          </w:tcPr>
          <w:p w14:paraId="4EFD3CB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1193" w:type="dxa"/>
            <w:tcBorders>
              <w:top w:val="nil"/>
              <w:left w:val="nil"/>
              <w:bottom w:val="single" w:color="auto" w:sz="4" w:space="0"/>
              <w:right w:val="single" w:color="auto" w:sz="4" w:space="0"/>
            </w:tcBorders>
            <w:shd w:val="clear" w:color="auto" w:fill="auto"/>
            <w:vAlign w:val="center"/>
          </w:tcPr>
          <w:p w14:paraId="6963000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三级</w:t>
            </w:r>
          </w:p>
        </w:tc>
      </w:tr>
      <w:tr w14:paraId="2775FF89">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C625E7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606" w:type="dxa"/>
            <w:vMerge w:val="continue"/>
            <w:tcBorders>
              <w:top w:val="nil"/>
              <w:left w:val="single" w:color="auto" w:sz="4" w:space="0"/>
              <w:bottom w:val="single" w:color="auto" w:sz="4" w:space="0"/>
              <w:right w:val="single" w:color="auto" w:sz="4" w:space="0"/>
            </w:tcBorders>
            <w:vAlign w:val="center"/>
          </w:tcPr>
          <w:p w14:paraId="3E6E7A25">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0AC1E93">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电子病历文档检索服务</w:t>
            </w:r>
          </w:p>
        </w:tc>
        <w:tc>
          <w:tcPr>
            <w:tcW w:w="838" w:type="dxa"/>
            <w:tcBorders>
              <w:top w:val="nil"/>
              <w:left w:val="nil"/>
              <w:bottom w:val="single" w:color="auto" w:sz="4" w:space="0"/>
              <w:right w:val="single" w:color="auto" w:sz="4" w:space="0"/>
            </w:tcBorders>
            <w:shd w:val="clear" w:color="auto" w:fill="auto"/>
            <w:vAlign w:val="center"/>
          </w:tcPr>
          <w:p w14:paraId="2D7D060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1193" w:type="dxa"/>
            <w:tcBorders>
              <w:top w:val="nil"/>
              <w:left w:val="nil"/>
              <w:bottom w:val="single" w:color="auto" w:sz="4" w:space="0"/>
              <w:right w:val="single" w:color="auto" w:sz="4" w:space="0"/>
            </w:tcBorders>
            <w:shd w:val="clear" w:color="auto" w:fill="auto"/>
            <w:vAlign w:val="center"/>
          </w:tcPr>
          <w:p w14:paraId="2D8A92F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三级</w:t>
            </w:r>
          </w:p>
        </w:tc>
      </w:tr>
      <w:tr w14:paraId="4D858C7D">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194377A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606" w:type="dxa"/>
            <w:vMerge w:val="continue"/>
            <w:tcBorders>
              <w:top w:val="nil"/>
              <w:left w:val="single" w:color="auto" w:sz="4" w:space="0"/>
              <w:bottom w:val="single" w:color="auto" w:sz="4" w:space="0"/>
              <w:right w:val="single" w:color="auto" w:sz="4" w:space="0"/>
            </w:tcBorders>
            <w:vAlign w:val="center"/>
          </w:tcPr>
          <w:p w14:paraId="491E82D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5530A0FF">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电子病历文档调阅服务</w:t>
            </w:r>
          </w:p>
        </w:tc>
        <w:tc>
          <w:tcPr>
            <w:tcW w:w="838" w:type="dxa"/>
            <w:tcBorders>
              <w:top w:val="nil"/>
              <w:left w:val="nil"/>
              <w:bottom w:val="single" w:color="auto" w:sz="4" w:space="0"/>
              <w:right w:val="single" w:color="auto" w:sz="4" w:space="0"/>
            </w:tcBorders>
            <w:shd w:val="clear" w:color="auto" w:fill="auto"/>
            <w:vAlign w:val="center"/>
          </w:tcPr>
          <w:p w14:paraId="70766C0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1193" w:type="dxa"/>
            <w:tcBorders>
              <w:top w:val="nil"/>
              <w:left w:val="nil"/>
              <w:bottom w:val="single" w:color="auto" w:sz="4" w:space="0"/>
              <w:right w:val="single" w:color="auto" w:sz="4" w:space="0"/>
            </w:tcBorders>
            <w:shd w:val="clear" w:color="auto" w:fill="auto"/>
            <w:vAlign w:val="center"/>
          </w:tcPr>
          <w:p w14:paraId="4234517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三级</w:t>
            </w:r>
          </w:p>
        </w:tc>
      </w:tr>
      <w:tr w14:paraId="403BB4FD">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157812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47792866">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个人信息注册、查询服务</w:t>
            </w:r>
          </w:p>
        </w:tc>
        <w:tc>
          <w:tcPr>
            <w:tcW w:w="2813" w:type="dxa"/>
            <w:tcBorders>
              <w:top w:val="nil"/>
              <w:left w:val="nil"/>
              <w:bottom w:val="single" w:color="auto" w:sz="4" w:space="0"/>
              <w:right w:val="single" w:color="auto" w:sz="4" w:space="0"/>
            </w:tcBorders>
            <w:shd w:val="clear" w:color="auto" w:fill="auto"/>
            <w:vAlign w:val="center"/>
          </w:tcPr>
          <w:p w14:paraId="18C5B932">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新增个人身份注册服务</w:t>
            </w:r>
          </w:p>
        </w:tc>
        <w:tc>
          <w:tcPr>
            <w:tcW w:w="838" w:type="dxa"/>
            <w:tcBorders>
              <w:top w:val="nil"/>
              <w:left w:val="nil"/>
              <w:bottom w:val="single" w:color="auto" w:sz="4" w:space="0"/>
              <w:right w:val="single" w:color="auto" w:sz="4" w:space="0"/>
            </w:tcBorders>
            <w:shd w:val="clear" w:color="auto" w:fill="auto"/>
            <w:vAlign w:val="center"/>
          </w:tcPr>
          <w:p w14:paraId="056B4FCA">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242A85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0FF89546">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03AF01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606" w:type="dxa"/>
            <w:vMerge w:val="continue"/>
            <w:tcBorders>
              <w:top w:val="nil"/>
              <w:left w:val="single" w:color="auto" w:sz="4" w:space="0"/>
              <w:bottom w:val="single" w:color="auto" w:sz="4" w:space="0"/>
              <w:right w:val="single" w:color="auto" w:sz="4" w:space="0"/>
            </w:tcBorders>
            <w:vAlign w:val="center"/>
          </w:tcPr>
          <w:p w14:paraId="740B6D5A">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008CC0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个人信息更新服务</w:t>
            </w:r>
          </w:p>
        </w:tc>
        <w:tc>
          <w:tcPr>
            <w:tcW w:w="838" w:type="dxa"/>
            <w:tcBorders>
              <w:top w:val="nil"/>
              <w:left w:val="nil"/>
              <w:bottom w:val="single" w:color="auto" w:sz="4" w:space="0"/>
              <w:right w:val="single" w:color="auto" w:sz="4" w:space="0"/>
            </w:tcBorders>
            <w:shd w:val="clear" w:color="auto" w:fill="auto"/>
            <w:vAlign w:val="center"/>
          </w:tcPr>
          <w:p w14:paraId="3FB770D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68B207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75F034CE">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65F671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606" w:type="dxa"/>
            <w:vMerge w:val="continue"/>
            <w:tcBorders>
              <w:top w:val="nil"/>
              <w:left w:val="single" w:color="auto" w:sz="4" w:space="0"/>
              <w:bottom w:val="single" w:color="auto" w:sz="4" w:space="0"/>
              <w:right w:val="single" w:color="auto" w:sz="4" w:space="0"/>
            </w:tcBorders>
            <w:vAlign w:val="center"/>
          </w:tcPr>
          <w:p w14:paraId="2C0E07C0">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627B819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个人信息合并服务</w:t>
            </w:r>
          </w:p>
        </w:tc>
        <w:tc>
          <w:tcPr>
            <w:tcW w:w="838" w:type="dxa"/>
            <w:tcBorders>
              <w:top w:val="nil"/>
              <w:left w:val="nil"/>
              <w:bottom w:val="single" w:color="auto" w:sz="4" w:space="0"/>
              <w:right w:val="single" w:color="auto" w:sz="4" w:space="0"/>
            </w:tcBorders>
            <w:shd w:val="clear" w:color="auto" w:fill="auto"/>
            <w:vAlign w:val="center"/>
          </w:tcPr>
          <w:p w14:paraId="1941AEB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FEBA3C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6E936D39">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14599C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606" w:type="dxa"/>
            <w:vMerge w:val="continue"/>
            <w:tcBorders>
              <w:top w:val="nil"/>
              <w:left w:val="single" w:color="auto" w:sz="4" w:space="0"/>
              <w:bottom w:val="single" w:color="auto" w:sz="4" w:space="0"/>
              <w:right w:val="single" w:color="auto" w:sz="4" w:space="0"/>
            </w:tcBorders>
            <w:vAlign w:val="center"/>
          </w:tcPr>
          <w:p w14:paraId="2F4CFB84">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673297C2">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个人基本信息查询服务</w:t>
            </w:r>
          </w:p>
        </w:tc>
        <w:tc>
          <w:tcPr>
            <w:tcW w:w="838" w:type="dxa"/>
            <w:tcBorders>
              <w:top w:val="nil"/>
              <w:left w:val="nil"/>
              <w:bottom w:val="single" w:color="auto" w:sz="4" w:space="0"/>
              <w:right w:val="single" w:color="auto" w:sz="4" w:space="0"/>
            </w:tcBorders>
            <w:shd w:val="clear" w:color="auto" w:fill="auto"/>
            <w:vAlign w:val="center"/>
          </w:tcPr>
          <w:p w14:paraId="7649B60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5F3309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554C0743">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BE7182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056045A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医疗卫生机构注册、查询服务</w:t>
            </w:r>
          </w:p>
        </w:tc>
        <w:tc>
          <w:tcPr>
            <w:tcW w:w="2813" w:type="dxa"/>
            <w:tcBorders>
              <w:top w:val="nil"/>
              <w:left w:val="nil"/>
              <w:bottom w:val="single" w:color="auto" w:sz="4" w:space="0"/>
              <w:right w:val="single" w:color="auto" w:sz="4" w:space="0"/>
            </w:tcBorders>
            <w:shd w:val="clear" w:color="auto" w:fill="auto"/>
            <w:vAlign w:val="center"/>
          </w:tcPr>
          <w:p w14:paraId="00F50A1E">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新增医疗卫生机构（科室）注册服务</w:t>
            </w:r>
          </w:p>
        </w:tc>
        <w:tc>
          <w:tcPr>
            <w:tcW w:w="838" w:type="dxa"/>
            <w:tcBorders>
              <w:top w:val="nil"/>
              <w:left w:val="nil"/>
              <w:bottom w:val="single" w:color="auto" w:sz="4" w:space="0"/>
              <w:right w:val="single" w:color="auto" w:sz="4" w:space="0"/>
            </w:tcBorders>
            <w:shd w:val="clear" w:color="auto" w:fill="auto"/>
            <w:vAlign w:val="center"/>
          </w:tcPr>
          <w:p w14:paraId="34CC2FF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300C93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2CC3AEC7">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A5C2E4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606" w:type="dxa"/>
            <w:vMerge w:val="continue"/>
            <w:tcBorders>
              <w:top w:val="nil"/>
              <w:left w:val="single" w:color="auto" w:sz="4" w:space="0"/>
              <w:bottom w:val="single" w:color="auto" w:sz="4" w:space="0"/>
              <w:right w:val="single" w:color="auto" w:sz="4" w:space="0"/>
            </w:tcBorders>
            <w:vAlign w:val="center"/>
          </w:tcPr>
          <w:p w14:paraId="4510B7E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51FF9FF7">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医疗卫生机构（科室）信息更新服务</w:t>
            </w:r>
          </w:p>
        </w:tc>
        <w:tc>
          <w:tcPr>
            <w:tcW w:w="838" w:type="dxa"/>
            <w:tcBorders>
              <w:top w:val="nil"/>
              <w:left w:val="nil"/>
              <w:bottom w:val="single" w:color="auto" w:sz="4" w:space="0"/>
              <w:right w:val="single" w:color="auto" w:sz="4" w:space="0"/>
            </w:tcBorders>
            <w:shd w:val="clear" w:color="auto" w:fill="auto"/>
            <w:vAlign w:val="center"/>
          </w:tcPr>
          <w:p w14:paraId="223B299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2E0EBF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13BDD4CD">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1FC1AE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606" w:type="dxa"/>
            <w:vMerge w:val="continue"/>
            <w:tcBorders>
              <w:top w:val="nil"/>
              <w:left w:val="single" w:color="auto" w:sz="4" w:space="0"/>
              <w:bottom w:val="single" w:color="auto" w:sz="4" w:space="0"/>
              <w:right w:val="single" w:color="auto" w:sz="4" w:space="0"/>
            </w:tcBorders>
            <w:vAlign w:val="center"/>
          </w:tcPr>
          <w:p w14:paraId="1DC9ABFC">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BD2D2D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医疗卫生机构（科室）信息查询服务</w:t>
            </w:r>
          </w:p>
        </w:tc>
        <w:tc>
          <w:tcPr>
            <w:tcW w:w="838" w:type="dxa"/>
            <w:tcBorders>
              <w:top w:val="nil"/>
              <w:left w:val="nil"/>
              <w:bottom w:val="single" w:color="auto" w:sz="4" w:space="0"/>
              <w:right w:val="single" w:color="auto" w:sz="4" w:space="0"/>
            </w:tcBorders>
            <w:shd w:val="clear" w:color="auto" w:fill="auto"/>
            <w:vAlign w:val="center"/>
          </w:tcPr>
          <w:p w14:paraId="751F889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5B13A6A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66F259A3">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67C2031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57576C2C">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医疗卫生人员注册、查询服务</w:t>
            </w:r>
          </w:p>
        </w:tc>
        <w:tc>
          <w:tcPr>
            <w:tcW w:w="2813" w:type="dxa"/>
            <w:tcBorders>
              <w:top w:val="nil"/>
              <w:left w:val="nil"/>
              <w:bottom w:val="single" w:color="auto" w:sz="4" w:space="0"/>
              <w:right w:val="single" w:color="auto" w:sz="4" w:space="0"/>
            </w:tcBorders>
            <w:shd w:val="clear" w:color="auto" w:fill="auto"/>
            <w:vAlign w:val="center"/>
          </w:tcPr>
          <w:p w14:paraId="3E227003">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新增医疗卫生人员注册服务</w:t>
            </w:r>
          </w:p>
        </w:tc>
        <w:tc>
          <w:tcPr>
            <w:tcW w:w="838" w:type="dxa"/>
            <w:tcBorders>
              <w:top w:val="nil"/>
              <w:left w:val="nil"/>
              <w:bottom w:val="single" w:color="auto" w:sz="4" w:space="0"/>
              <w:right w:val="single" w:color="auto" w:sz="4" w:space="0"/>
            </w:tcBorders>
            <w:shd w:val="clear" w:color="auto" w:fill="auto"/>
            <w:vAlign w:val="center"/>
          </w:tcPr>
          <w:p w14:paraId="16E24D1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36BFC7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14C9F156">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567E25E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606" w:type="dxa"/>
            <w:vMerge w:val="continue"/>
            <w:tcBorders>
              <w:top w:val="nil"/>
              <w:left w:val="single" w:color="auto" w:sz="4" w:space="0"/>
              <w:bottom w:val="single" w:color="auto" w:sz="4" w:space="0"/>
              <w:right w:val="single" w:color="auto" w:sz="4" w:space="0"/>
            </w:tcBorders>
            <w:vAlign w:val="center"/>
          </w:tcPr>
          <w:p w14:paraId="61049755">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3AF8FF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医疗卫生人员信息更新服务</w:t>
            </w:r>
          </w:p>
        </w:tc>
        <w:tc>
          <w:tcPr>
            <w:tcW w:w="838" w:type="dxa"/>
            <w:tcBorders>
              <w:top w:val="nil"/>
              <w:left w:val="nil"/>
              <w:bottom w:val="single" w:color="auto" w:sz="4" w:space="0"/>
              <w:right w:val="single" w:color="auto" w:sz="4" w:space="0"/>
            </w:tcBorders>
            <w:shd w:val="clear" w:color="auto" w:fill="auto"/>
            <w:vAlign w:val="center"/>
          </w:tcPr>
          <w:p w14:paraId="589577A0">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538570E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58874D8B">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111984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606" w:type="dxa"/>
            <w:vMerge w:val="continue"/>
            <w:tcBorders>
              <w:top w:val="nil"/>
              <w:left w:val="single" w:color="auto" w:sz="4" w:space="0"/>
              <w:bottom w:val="single" w:color="auto" w:sz="4" w:space="0"/>
              <w:right w:val="single" w:color="auto" w:sz="4" w:space="0"/>
            </w:tcBorders>
            <w:vAlign w:val="center"/>
          </w:tcPr>
          <w:p w14:paraId="437BDE0C">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253953D">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医疗卫生人员信息查询服务</w:t>
            </w:r>
          </w:p>
        </w:tc>
        <w:tc>
          <w:tcPr>
            <w:tcW w:w="838" w:type="dxa"/>
            <w:tcBorders>
              <w:top w:val="nil"/>
              <w:left w:val="nil"/>
              <w:bottom w:val="single" w:color="auto" w:sz="4" w:space="0"/>
              <w:right w:val="single" w:color="auto" w:sz="4" w:space="0"/>
            </w:tcBorders>
            <w:shd w:val="clear" w:color="auto" w:fill="auto"/>
            <w:vAlign w:val="center"/>
          </w:tcPr>
          <w:p w14:paraId="2455565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38795B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四级乙等</w:t>
            </w:r>
          </w:p>
        </w:tc>
      </w:tr>
      <w:tr w14:paraId="63B2AF67">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46EAE6F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45A66DD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就诊信息交互服务</w:t>
            </w:r>
          </w:p>
        </w:tc>
        <w:tc>
          <w:tcPr>
            <w:tcW w:w="2813" w:type="dxa"/>
            <w:tcBorders>
              <w:top w:val="nil"/>
              <w:left w:val="nil"/>
              <w:bottom w:val="single" w:color="auto" w:sz="4" w:space="0"/>
              <w:right w:val="single" w:color="auto" w:sz="4" w:space="0"/>
            </w:tcBorders>
            <w:shd w:val="clear" w:color="auto" w:fill="auto"/>
            <w:vAlign w:val="center"/>
          </w:tcPr>
          <w:p w14:paraId="721062A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就诊卡信息新增</w:t>
            </w:r>
          </w:p>
        </w:tc>
        <w:tc>
          <w:tcPr>
            <w:tcW w:w="838" w:type="dxa"/>
            <w:tcBorders>
              <w:top w:val="nil"/>
              <w:left w:val="nil"/>
              <w:bottom w:val="single" w:color="auto" w:sz="4" w:space="0"/>
              <w:right w:val="single" w:color="auto" w:sz="4" w:space="0"/>
            </w:tcBorders>
            <w:shd w:val="clear" w:color="auto" w:fill="auto"/>
            <w:vAlign w:val="center"/>
          </w:tcPr>
          <w:p w14:paraId="4FDE04A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1D9059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78126747">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BD3BF9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606" w:type="dxa"/>
            <w:vMerge w:val="continue"/>
            <w:tcBorders>
              <w:top w:val="nil"/>
              <w:left w:val="single" w:color="auto" w:sz="4" w:space="0"/>
              <w:bottom w:val="single" w:color="auto" w:sz="4" w:space="0"/>
              <w:right w:val="single" w:color="auto" w:sz="4" w:space="0"/>
            </w:tcBorders>
            <w:vAlign w:val="center"/>
          </w:tcPr>
          <w:p w14:paraId="38945903">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2A92B463">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就诊卡信息更新</w:t>
            </w:r>
          </w:p>
        </w:tc>
        <w:tc>
          <w:tcPr>
            <w:tcW w:w="838" w:type="dxa"/>
            <w:tcBorders>
              <w:top w:val="nil"/>
              <w:left w:val="nil"/>
              <w:bottom w:val="single" w:color="auto" w:sz="4" w:space="0"/>
              <w:right w:val="single" w:color="auto" w:sz="4" w:space="0"/>
            </w:tcBorders>
            <w:shd w:val="clear" w:color="auto" w:fill="auto"/>
            <w:vAlign w:val="center"/>
          </w:tcPr>
          <w:p w14:paraId="0E424D0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7F9F7F1A">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3CDC24A">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13378B1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606" w:type="dxa"/>
            <w:vMerge w:val="continue"/>
            <w:tcBorders>
              <w:top w:val="nil"/>
              <w:left w:val="single" w:color="auto" w:sz="4" w:space="0"/>
              <w:bottom w:val="single" w:color="auto" w:sz="4" w:space="0"/>
              <w:right w:val="single" w:color="auto" w:sz="4" w:space="0"/>
            </w:tcBorders>
            <w:vAlign w:val="center"/>
          </w:tcPr>
          <w:p w14:paraId="7577E4BE">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2583C9C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就诊卡信息查询</w:t>
            </w:r>
          </w:p>
        </w:tc>
        <w:tc>
          <w:tcPr>
            <w:tcW w:w="838" w:type="dxa"/>
            <w:tcBorders>
              <w:top w:val="nil"/>
              <w:left w:val="nil"/>
              <w:bottom w:val="single" w:color="auto" w:sz="4" w:space="0"/>
              <w:right w:val="single" w:color="auto" w:sz="4" w:space="0"/>
            </w:tcBorders>
            <w:shd w:val="clear" w:color="auto" w:fill="auto"/>
            <w:vAlign w:val="center"/>
          </w:tcPr>
          <w:p w14:paraId="4DE3B4F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24A472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0C3F824">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56DDB3C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2606" w:type="dxa"/>
            <w:vMerge w:val="continue"/>
            <w:tcBorders>
              <w:top w:val="nil"/>
              <w:left w:val="single" w:color="auto" w:sz="4" w:space="0"/>
              <w:bottom w:val="single" w:color="auto" w:sz="4" w:space="0"/>
              <w:right w:val="single" w:color="auto" w:sz="4" w:space="0"/>
            </w:tcBorders>
            <w:vAlign w:val="center"/>
          </w:tcPr>
          <w:p w14:paraId="4488BAFB">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5821F91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门诊挂号新增</w:t>
            </w:r>
          </w:p>
        </w:tc>
        <w:tc>
          <w:tcPr>
            <w:tcW w:w="838" w:type="dxa"/>
            <w:tcBorders>
              <w:top w:val="nil"/>
              <w:left w:val="nil"/>
              <w:bottom w:val="single" w:color="auto" w:sz="4" w:space="0"/>
              <w:right w:val="single" w:color="auto" w:sz="4" w:space="0"/>
            </w:tcBorders>
            <w:shd w:val="clear" w:color="auto" w:fill="auto"/>
            <w:vAlign w:val="center"/>
          </w:tcPr>
          <w:p w14:paraId="42712AC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54F1BA5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5BD94C53">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1EF503D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2606" w:type="dxa"/>
            <w:vMerge w:val="continue"/>
            <w:tcBorders>
              <w:top w:val="nil"/>
              <w:left w:val="single" w:color="auto" w:sz="4" w:space="0"/>
              <w:bottom w:val="single" w:color="auto" w:sz="4" w:space="0"/>
              <w:right w:val="single" w:color="auto" w:sz="4" w:space="0"/>
            </w:tcBorders>
            <w:vAlign w:val="center"/>
          </w:tcPr>
          <w:p w14:paraId="4172873C">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74B6CCB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门诊挂号更新</w:t>
            </w:r>
          </w:p>
        </w:tc>
        <w:tc>
          <w:tcPr>
            <w:tcW w:w="838" w:type="dxa"/>
            <w:tcBorders>
              <w:top w:val="nil"/>
              <w:left w:val="nil"/>
              <w:bottom w:val="single" w:color="auto" w:sz="4" w:space="0"/>
              <w:right w:val="single" w:color="auto" w:sz="4" w:space="0"/>
            </w:tcBorders>
            <w:shd w:val="clear" w:color="auto" w:fill="auto"/>
            <w:vAlign w:val="center"/>
          </w:tcPr>
          <w:p w14:paraId="12D78FF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0DF318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136E03BD">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154C61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2606" w:type="dxa"/>
            <w:vMerge w:val="continue"/>
            <w:tcBorders>
              <w:top w:val="nil"/>
              <w:left w:val="single" w:color="auto" w:sz="4" w:space="0"/>
              <w:bottom w:val="single" w:color="auto" w:sz="4" w:space="0"/>
              <w:right w:val="single" w:color="auto" w:sz="4" w:space="0"/>
            </w:tcBorders>
            <w:vAlign w:val="center"/>
          </w:tcPr>
          <w:p w14:paraId="78B16D64">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D439693">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门诊挂号查询</w:t>
            </w:r>
          </w:p>
        </w:tc>
        <w:tc>
          <w:tcPr>
            <w:tcW w:w="838" w:type="dxa"/>
            <w:tcBorders>
              <w:top w:val="nil"/>
              <w:left w:val="nil"/>
              <w:bottom w:val="single" w:color="auto" w:sz="4" w:space="0"/>
              <w:right w:val="single" w:color="auto" w:sz="4" w:space="0"/>
            </w:tcBorders>
            <w:shd w:val="clear" w:color="auto" w:fill="auto"/>
            <w:vAlign w:val="center"/>
          </w:tcPr>
          <w:p w14:paraId="46F317D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1A5AD49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5EB3386F">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4CB931F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2606" w:type="dxa"/>
            <w:vMerge w:val="continue"/>
            <w:tcBorders>
              <w:top w:val="nil"/>
              <w:left w:val="single" w:color="auto" w:sz="4" w:space="0"/>
              <w:bottom w:val="single" w:color="auto" w:sz="4" w:space="0"/>
              <w:right w:val="single" w:color="auto" w:sz="4" w:space="0"/>
            </w:tcBorders>
            <w:vAlign w:val="center"/>
          </w:tcPr>
          <w:p w14:paraId="6425F02A">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019654E7">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住院就诊新增</w:t>
            </w:r>
          </w:p>
        </w:tc>
        <w:tc>
          <w:tcPr>
            <w:tcW w:w="838" w:type="dxa"/>
            <w:tcBorders>
              <w:top w:val="nil"/>
              <w:left w:val="nil"/>
              <w:bottom w:val="single" w:color="auto" w:sz="4" w:space="0"/>
              <w:right w:val="single" w:color="auto" w:sz="4" w:space="0"/>
            </w:tcBorders>
            <w:shd w:val="clear" w:color="auto" w:fill="auto"/>
            <w:vAlign w:val="center"/>
          </w:tcPr>
          <w:p w14:paraId="0C8A216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1F6779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759FD8A3">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CB4D15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606" w:type="dxa"/>
            <w:vMerge w:val="continue"/>
            <w:tcBorders>
              <w:top w:val="nil"/>
              <w:left w:val="single" w:color="auto" w:sz="4" w:space="0"/>
              <w:bottom w:val="single" w:color="auto" w:sz="4" w:space="0"/>
              <w:right w:val="single" w:color="auto" w:sz="4" w:space="0"/>
            </w:tcBorders>
            <w:vAlign w:val="center"/>
          </w:tcPr>
          <w:p w14:paraId="45C6CE6C">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71E92A78">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住院就诊更新</w:t>
            </w:r>
          </w:p>
        </w:tc>
        <w:tc>
          <w:tcPr>
            <w:tcW w:w="838" w:type="dxa"/>
            <w:tcBorders>
              <w:top w:val="nil"/>
              <w:left w:val="nil"/>
              <w:bottom w:val="single" w:color="auto" w:sz="4" w:space="0"/>
              <w:right w:val="single" w:color="auto" w:sz="4" w:space="0"/>
            </w:tcBorders>
            <w:shd w:val="clear" w:color="auto" w:fill="auto"/>
            <w:vAlign w:val="center"/>
          </w:tcPr>
          <w:p w14:paraId="7766FD0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8F8C3F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D4E748C">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6983FC9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2606" w:type="dxa"/>
            <w:vMerge w:val="continue"/>
            <w:tcBorders>
              <w:top w:val="nil"/>
              <w:left w:val="single" w:color="auto" w:sz="4" w:space="0"/>
              <w:bottom w:val="single" w:color="auto" w:sz="4" w:space="0"/>
              <w:right w:val="single" w:color="auto" w:sz="4" w:space="0"/>
            </w:tcBorders>
            <w:vAlign w:val="center"/>
          </w:tcPr>
          <w:p w14:paraId="448225F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37749C2">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住院就诊查询</w:t>
            </w:r>
          </w:p>
        </w:tc>
        <w:tc>
          <w:tcPr>
            <w:tcW w:w="838" w:type="dxa"/>
            <w:tcBorders>
              <w:top w:val="nil"/>
              <w:left w:val="nil"/>
              <w:bottom w:val="single" w:color="auto" w:sz="4" w:space="0"/>
              <w:right w:val="single" w:color="auto" w:sz="4" w:space="0"/>
            </w:tcBorders>
            <w:shd w:val="clear" w:color="auto" w:fill="auto"/>
            <w:vAlign w:val="center"/>
          </w:tcPr>
          <w:p w14:paraId="3C2A3ED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61501D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7EAD95A">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4F681BF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2606" w:type="dxa"/>
            <w:vMerge w:val="continue"/>
            <w:tcBorders>
              <w:top w:val="nil"/>
              <w:left w:val="single" w:color="auto" w:sz="4" w:space="0"/>
              <w:bottom w:val="single" w:color="auto" w:sz="4" w:space="0"/>
              <w:right w:val="single" w:color="auto" w:sz="4" w:space="0"/>
            </w:tcBorders>
            <w:vAlign w:val="center"/>
          </w:tcPr>
          <w:p w14:paraId="242A62BB">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335226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住院转科信息新增</w:t>
            </w:r>
          </w:p>
        </w:tc>
        <w:tc>
          <w:tcPr>
            <w:tcW w:w="838" w:type="dxa"/>
            <w:tcBorders>
              <w:top w:val="nil"/>
              <w:left w:val="nil"/>
              <w:bottom w:val="single" w:color="auto" w:sz="4" w:space="0"/>
              <w:right w:val="single" w:color="auto" w:sz="4" w:space="0"/>
            </w:tcBorders>
            <w:shd w:val="clear" w:color="auto" w:fill="auto"/>
            <w:vAlign w:val="center"/>
          </w:tcPr>
          <w:p w14:paraId="00C9EDD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1592E4A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75293484">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D91F0B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2606" w:type="dxa"/>
            <w:vMerge w:val="continue"/>
            <w:tcBorders>
              <w:top w:val="nil"/>
              <w:left w:val="single" w:color="auto" w:sz="4" w:space="0"/>
              <w:bottom w:val="single" w:color="auto" w:sz="4" w:space="0"/>
              <w:right w:val="single" w:color="auto" w:sz="4" w:space="0"/>
            </w:tcBorders>
            <w:vAlign w:val="center"/>
          </w:tcPr>
          <w:p w14:paraId="44444698">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86C9B7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住院转科信息更新</w:t>
            </w:r>
          </w:p>
        </w:tc>
        <w:tc>
          <w:tcPr>
            <w:tcW w:w="838" w:type="dxa"/>
            <w:tcBorders>
              <w:top w:val="nil"/>
              <w:left w:val="nil"/>
              <w:bottom w:val="single" w:color="auto" w:sz="4" w:space="0"/>
              <w:right w:val="single" w:color="auto" w:sz="4" w:space="0"/>
            </w:tcBorders>
            <w:shd w:val="clear" w:color="auto" w:fill="auto"/>
            <w:vAlign w:val="center"/>
          </w:tcPr>
          <w:p w14:paraId="74407F7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78C8844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308DCBBC">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7A377D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2606" w:type="dxa"/>
            <w:vMerge w:val="continue"/>
            <w:tcBorders>
              <w:top w:val="nil"/>
              <w:left w:val="single" w:color="auto" w:sz="4" w:space="0"/>
              <w:bottom w:val="single" w:color="auto" w:sz="4" w:space="0"/>
              <w:right w:val="single" w:color="auto" w:sz="4" w:space="0"/>
            </w:tcBorders>
            <w:vAlign w:val="center"/>
          </w:tcPr>
          <w:p w14:paraId="03924172">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2ADE5AE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住院转科信息查询</w:t>
            </w:r>
          </w:p>
        </w:tc>
        <w:tc>
          <w:tcPr>
            <w:tcW w:w="838" w:type="dxa"/>
            <w:tcBorders>
              <w:top w:val="nil"/>
              <w:left w:val="nil"/>
              <w:bottom w:val="single" w:color="auto" w:sz="4" w:space="0"/>
              <w:right w:val="single" w:color="auto" w:sz="4" w:space="0"/>
            </w:tcBorders>
            <w:shd w:val="clear" w:color="auto" w:fill="auto"/>
            <w:vAlign w:val="center"/>
          </w:tcPr>
          <w:p w14:paraId="3B2B05A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CECF22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FEEAE56">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6FD25F8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2606" w:type="dxa"/>
            <w:vMerge w:val="continue"/>
            <w:tcBorders>
              <w:top w:val="nil"/>
              <w:left w:val="single" w:color="auto" w:sz="4" w:space="0"/>
              <w:bottom w:val="single" w:color="auto" w:sz="4" w:space="0"/>
              <w:right w:val="single" w:color="auto" w:sz="4" w:space="0"/>
            </w:tcBorders>
            <w:vAlign w:val="center"/>
          </w:tcPr>
          <w:p w14:paraId="7F35290D">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3145726">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住院登记信息新增</w:t>
            </w:r>
          </w:p>
        </w:tc>
        <w:tc>
          <w:tcPr>
            <w:tcW w:w="838" w:type="dxa"/>
            <w:tcBorders>
              <w:top w:val="nil"/>
              <w:left w:val="nil"/>
              <w:bottom w:val="single" w:color="auto" w:sz="4" w:space="0"/>
              <w:right w:val="single" w:color="auto" w:sz="4" w:space="0"/>
            </w:tcBorders>
            <w:shd w:val="clear" w:color="auto" w:fill="auto"/>
            <w:vAlign w:val="center"/>
          </w:tcPr>
          <w:p w14:paraId="30A4129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937B9E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92AAFC9">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BC6A4F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2606" w:type="dxa"/>
            <w:vMerge w:val="continue"/>
            <w:tcBorders>
              <w:top w:val="nil"/>
              <w:left w:val="single" w:color="auto" w:sz="4" w:space="0"/>
              <w:bottom w:val="single" w:color="auto" w:sz="4" w:space="0"/>
              <w:right w:val="single" w:color="auto" w:sz="4" w:space="0"/>
            </w:tcBorders>
            <w:vAlign w:val="center"/>
          </w:tcPr>
          <w:p w14:paraId="0CC4402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C5799BB">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住院登记信息更新</w:t>
            </w:r>
          </w:p>
        </w:tc>
        <w:tc>
          <w:tcPr>
            <w:tcW w:w="838" w:type="dxa"/>
            <w:tcBorders>
              <w:top w:val="nil"/>
              <w:left w:val="nil"/>
              <w:bottom w:val="single" w:color="auto" w:sz="4" w:space="0"/>
              <w:right w:val="single" w:color="auto" w:sz="4" w:space="0"/>
            </w:tcBorders>
            <w:shd w:val="clear" w:color="auto" w:fill="auto"/>
            <w:vAlign w:val="center"/>
          </w:tcPr>
          <w:p w14:paraId="742AD66A">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3B8350D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251D81E1">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6B7545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28</w:t>
            </w:r>
          </w:p>
        </w:tc>
        <w:tc>
          <w:tcPr>
            <w:tcW w:w="2606" w:type="dxa"/>
            <w:vMerge w:val="continue"/>
            <w:tcBorders>
              <w:top w:val="nil"/>
              <w:left w:val="single" w:color="auto" w:sz="4" w:space="0"/>
              <w:bottom w:val="single" w:color="auto" w:sz="4" w:space="0"/>
              <w:right w:val="single" w:color="auto" w:sz="4" w:space="0"/>
            </w:tcBorders>
            <w:vAlign w:val="center"/>
          </w:tcPr>
          <w:p w14:paraId="6D7CD2D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7F84DAE6">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出院登记信息查询</w:t>
            </w:r>
          </w:p>
        </w:tc>
        <w:tc>
          <w:tcPr>
            <w:tcW w:w="838" w:type="dxa"/>
            <w:tcBorders>
              <w:top w:val="nil"/>
              <w:left w:val="nil"/>
              <w:bottom w:val="single" w:color="auto" w:sz="4" w:space="0"/>
              <w:right w:val="single" w:color="auto" w:sz="4" w:space="0"/>
            </w:tcBorders>
            <w:shd w:val="clear" w:color="auto" w:fill="auto"/>
            <w:vAlign w:val="center"/>
          </w:tcPr>
          <w:p w14:paraId="6A07D80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5090C51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2A1A23FB">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F2D581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29</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630F598C">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医嘱信息交互服务</w:t>
            </w:r>
          </w:p>
        </w:tc>
        <w:tc>
          <w:tcPr>
            <w:tcW w:w="2813" w:type="dxa"/>
            <w:tcBorders>
              <w:top w:val="nil"/>
              <w:left w:val="nil"/>
              <w:bottom w:val="single" w:color="auto" w:sz="4" w:space="0"/>
              <w:right w:val="single" w:color="auto" w:sz="4" w:space="0"/>
            </w:tcBorders>
            <w:shd w:val="clear" w:color="auto" w:fill="auto"/>
            <w:vAlign w:val="center"/>
          </w:tcPr>
          <w:p w14:paraId="36F123DD">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医嘱信息新增</w:t>
            </w:r>
          </w:p>
        </w:tc>
        <w:tc>
          <w:tcPr>
            <w:tcW w:w="838" w:type="dxa"/>
            <w:tcBorders>
              <w:top w:val="nil"/>
              <w:left w:val="nil"/>
              <w:bottom w:val="single" w:color="auto" w:sz="4" w:space="0"/>
              <w:right w:val="single" w:color="auto" w:sz="4" w:space="0"/>
            </w:tcBorders>
            <w:shd w:val="clear" w:color="auto" w:fill="auto"/>
            <w:vAlign w:val="center"/>
          </w:tcPr>
          <w:p w14:paraId="6E5FB30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CAC990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3B7B5196">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F586D84">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2606" w:type="dxa"/>
            <w:vMerge w:val="continue"/>
            <w:tcBorders>
              <w:top w:val="nil"/>
              <w:left w:val="single" w:color="auto" w:sz="4" w:space="0"/>
              <w:bottom w:val="single" w:color="auto" w:sz="4" w:space="0"/>
              <w:right w:val="single" w:color="auto" w:sz="4" w:space="0"/>
            </w:tcBorders>
            <w:vAlign w:val="center"/>
          </w:tcPr>
          <w:p w14:paraId="3D1D0882">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70335369">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医嘱信息更新</w:t>
            </w:r>
          </w:p>
        </w:tc>
        <w:tc>
          <w:tcPr>
            <w:tcW w:w="838" w:type="dxa"/>
            <w:tcBorders>
              <w:top w:val="nil"/>
              <w:left w:val="nil"/>
              <w:bottom w:val="single" w:color="auto" w:sz="4" w:space="0"/>
              <w:right w:val="single" w:color="auto" w:sz="4" w:space="0"/>
            </w:tcBorders>
            <w:shd w:val="clear" w:color="auto" w:fill="auto"/>
            <w:vAlign w:val="center"/>
          </w:tcPr>
          <w:p w14:paraId="2E6D839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3D03E3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F5E3375">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5C6148E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2606" w:type="dxa"/>
            <w:vMerge w:val="continue"/>
            <w:tcBorders>
              <w:top w:val="nil"/>
              <w:left w:val="single" w:color="auto" w:sz="4" w:space="0"/>
              <w:bottom w:val="single" w:color="auto" w:sz="4" w:space="0"/>
              <w:right w:val="single" w:color="auto" w:sz="4" w:space="0"/>
            </w:tcBorders>
            <w:vAlign w:val="center"/>
          </w:tcPr>
          <w:p w14:paraId="34296AB6">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4D7BCE93">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医嘱查询服务</w:t>
            </w:r>
          </w:p>
        </w:tc>
        <w:tc>
          <w:tcPr>
            <w:tcW w:w="838" w:type="dxa"/>
            <w:tcBorders>
              <w:top w:val="nil"/>
              <w:left w:val="nil"/>
              <w:bottom w:val="single" w:color="auto" w:sz="4" w:space="0"/>
              <w:right w:val="single" w:color="auto" w:sz="4" w:space="0"/>
            </w:tcBorders>
            <w:shd w:val="clear" w:color="auto" w:fill="auto"/>
            <w:vAlign w:val="center"/>
          </w:tcPr>
          <w:p w14:paraId="2BB615B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1140EB7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B12A876">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433396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32</w:t>
            </w:r>
          </w:p>
        </w:tc>
        <w:tc>
          <w:tcPr>
            <w:tcW w:w="2606" w:type="dxa"/>
            <w:vMerge w:val="restart"/>
            <w:tcBorders>
              <w:top w:val="nil"/>
              <w:left w:val="single" w:color="auto" w:sz="4" w:space="0"/>
              <w:bottom w:val="single" w:color="auto" w:sz="4" w:space="0"/>
              <w:right w:val="single" w:color="auto" w:sz="4" w:space="0"/>
            </w:tcBorders>
            <w:shd w:val="clear" w:color="auto" w:fill="auto"/>
            <w:vAlign w:val="center"/>
          </w:tcPr>
          <w:p w14:paraId="47AD2E5F">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申请单信息交互服务</w:t>
            </w:r>
          </w:p>
        </w:tc>
        <w:tc>
          <w:tcPr>
            <w:tcW w:w="2813" w:type="dxa"/>
            <w:tcBorders>
              <w:top w:val="nil"/>
              <w:left w:val="nil"/>
              <w:bottom w:val="single" w:color="auto" w:sz="4" w:space="0"/>
              <w:right w:val="single" w:color="auto" w:sz="4" w:space="0"/>
            </w:tcBorders>
            <w:shd w:val="clear" w:color="auto" w:fill="auto"/>
            <w:vAlign w:val="center"/>
          </w:tcPr>
          <w:p w14:paraId="6A77EBD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检验申请信息新增</w:t>
            </w:r>
          </w:p>
        </w:tc>
        <w:tc>
          <w:tcPr>
            <w:tcW w:w="838" w:type="dxa"/>
            <w:tcBorders>
              <w:top w:val="nil"/>
              <w:left w:val="nil"/>
              <w:bottom w:val="single" w:color="auto" w:sz="4" w:space="0"/>
              <w:right w:val="single" w:color="auto" w:sz="4" w:space="0"/>
            </w:tcBorders>
            <w:shd w:val="clear" w:color="auto" w:fill="auto"/>
            <w:vAlign w:val="center"/>
          </w:tcPr>
          <w:p w14:paraId="4DA3971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D4567B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7B314A45">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CE62D10">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33</w:t>
            </w:r>
          </w:p>
        </w:tc>
        <w:tc>
          <w:tcPr>
            <w:tcW w:w="2606" w:type="dxa"/>
            <w:vMerge w:val="continue"/>
            <w:tcBorders>
              <w:top w:val="nil"/>
              <w:left w:val="single" w:color="auto" w:sz="4" w:space="0"/>
              <w:bottom w:val="single" w:color="auto" w:sz="4" w:space="0"/>
              <w:right w:val="single" w:color="auto" w:sz="4" w:space="0"/>
            </w:tcBorders>
            <w:vAlign w:val="center"/>
          </w:tcPr>
          <w:p w14:paraId="1FA3B810">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492FD84C">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检验申请信息更新</w:t>
            </w:r>
          </w:p>
        </w:tc>
        <w:tc>
          <w:tcPr>
            <w:tcW w:w="838" w:type="dxa"/>
            <w:tcBorders>
              <w:top w:val="nil"/>
              <w:left w:val="nil"/>
              <w:bottom w:val="single" w:color="auto" w:sz="4" w:space="0"/>
              <w:right w:val="single" w:color="auto" w:sz="4" w:space="0"/>
            </w:tcBorders>
            <w:shd w:val="clear" w:color="auto" w:fill="auto"/>
            <w:vAlign w:val="center"/>
          </w:tcPr>
          <w:p w14:paraId="079D803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3CD40E6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385F283C">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6CE132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34</w:t>
            </w:r>
          </w:p>
        </w:tc>
        <w:tc>
          <w:tcPr>
            <w:tcW w:w="2606" w:type="dxa"/>
            <w:vMerge w:val="continue"/>
            <w:tcBorders>
              <w:top w:val="nil"/>
              <w:left w:val="single" w:color="auto" w:sz="4" w:space="0"/>
              <w:bottom w:val="single" w:color="auto" w:sz="4" w:space="0"/>
              <w:right w:val="single" w:color="auto" w:sz="4" w:space="0"/>
            </w:tcBorders>
            <w:vAlign w:val="center"/>
          </w:tcPr>
          <w:p w14:paraId="33E094EF">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0271F35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检验申请信息查询</w:t>
            </w:r>
          </w:p>
        </w:tc>
        <w:tc>
          <w:tcPr>
            <w:tcW w:w="838" w:type="dxa"/>
            <w:tcBorders>
              <w:top w:val="nil"/>
              <w:left w:val="nil"/>
              <w:bottom w:val="single" w:color="auto" w:sz="4" w:space="0"/>
              <w:right w:val="single" w:color="auto" w:sz="4" w:space="0"/>
            </w:tcBorders>
            <w:shd w:val="clear" w:color="auto" w:fill="auto"/>
            <w:vAlign w:val="center"/>
          </w:tcPr>
          <w:p w14:paraId="7981568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2F8242B">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72D57F88">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4EAC0FF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2606" w:type="dxa"/>
            <w:vMerge w:val="continue"/>
            <w:tcBorders>
              <w:top w:val="nil"/>
              <w:left w:val="single" w:color="auto" w:sz="4" w:space="0"/>
              <w:bottom w:val="single" w:color="auto" w:sz="4" w:space="0"/>
              <w:right w:val="single" w:color="auto" w:sz="4" w:space="0"/>
            </w:tcBorders>
            <w:vAlign w:val="center"/>
          </w:tcPr>
          <w:p w14:paraId="428DC8E4">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089DDB5E">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检查申请信息新增</w:t>
            </w:r>
          </w:p>
        </w:tc>
        <w:tc>
          <w:tcPr>
            <w:tcW w:w="838" w:type="dxa"/>
            <w:tcBorders>
              <w:top w:val="nil"/>
              <w:left w:val="nil"/>
              <w:bottom w:val="single" w:color="auto" w:sz="4" w:space="0"/>
              <w:right w:val="single" w:color="auto" w:sz="4" w:space="0"/>
            </w:tcBorders>
            <w:shd w:val="clear" w:color="auto" w:fill="auto"/>
            <w:vAlign w:val="center"/>
          </w:tcPr>
          <w:p w14:paraId="1AB33DD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5945DFD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EB2CFBB">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18A2878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2606" w:type="dxa"/>
            <w:vMerge w:val="continue"/>
            <w:tcBorders>
              <w:top w:val="nil"/>
              <w:left w:val="single" w:color="auto" w:sz="4" w:space="0"/>
              <w:bottom w:val="single" w:color="auto" w:sz="4" w:space="0"/>
              <w:right w:val="single" w:color="auto" w:sz="4" w:space="0"/>
            </w:tcBorders>
            <w:vAlign w:val="center"/>
          </w:tcPr>
          <w:p w14:paraId="35610E89">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1ADE13C6">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检查申请信息更新</w:t>
            </w:r>
          </w:p>
        </w:tc>
        <w:tc>
          <w:tcPr>
            <w:tcW w:w="838" w:type="dxa"/>
            <w:tcBorders>
              <w:top w:val="nil"/>
              <w:left w:val="nil"/>
              <w:bottom w:val="single" w:color="auto" w:sz="4" w:space="0"/>
              <w:right w:val="single" w:color="auto" w:sz="4" w:space="0"/>
            </w:tcBorders>
            <w:shd w:val="clear" w:color="auto" w:fill="auto"/>
            <w:vAlign w:val="center"/>
          </w:tcPr>
          <w:p w14:paraId="51FFEC5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9D5D08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6CE7FD7C">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290F2E3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37</w:t>
            </w:r>
          </w:p>
        </w:tc>
        <w:tc>
          <w:tcPr>
            <w:tcW w:w="2606" w:type="dxa"/>
            <w:vMerge w:val="continue"/>
            <w:tcBorders>
              <w:top w:val="nil"/>
              <w:left w:val="single" w:color="auto" w:sz="4" w:space="0"/>
              <w:bottom w:val="single" w:color="auto" w:sz="4" w:space="0"/>
              <w:right w:val="single" w:color="auto" w:sz="4" w:space="0"/>
            </w:tcBorders>
            <w:vAlign w:val="center"/>
          </w:tcPr>
          <w:p w14:paraId="2B4AF3D1">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4D77DD8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检查申请信息查询</w:t>
            </w:r>
          </w:p>
        </w:tc>
        <w:tc>
          <w:tcPr>
            <w:tcW w:w="838" w:type="dxa"/>
            <w:tcBorders>
              <w:top w:val="nil"/>
              <w:left w:val="nil"/>
              <w:bottom w:val="single" w:color="auto" w:sz="4" w:space="0"/>
              <w:right w:val="single" w:color="auto" w:sz="4" w:space="0"/>
            </w:tcBorders>
            <w:shd w:val="clear" w:color="auto" w:fill="auto"/>
            <w:vAlign w:val="center"/>
          </w:tcPr>
          <w:p w14:paraId="3C9ECF5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EB16A5F">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0B19D565">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6FDEA90">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38</w:t>
            </w:r>
          </w:p>
        </w:tc>
        <w:tc>
          <w:tcPr>
            <w:tcW w:w="2606" w:type="dxa"/>
            <w:vMerge w:val="continue"/>
            <w:tcBorders>
              <w:top w:val="nil"/>
              <w:left w:val="single" w:color="auto" w:sz="4" w:space="0"/>
              <w:bottom w:val="single" w:color="auto" w:sz="4" w:space="0"/>
              <w:right w:val="single" w:color="auto" w:sz="4" w:space="0"/>
            </w:tcBorders>
            <w:vAlign w:val="center"/>
          </w:tcPr>
          <w:p w14:paraId="31A0AD06">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84842E5">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病理申请信息新增</w:t>
            </w:r>
          </w:p>
        </w:tc>
        <w:tc>
          <w:tcPr>
            <w:tcW w:w="838" w:type="dxa"/>
            <w:tcBorders>
              <w:top w:val="nil"/>
              <w:left w:val="nil"/>
              <w:bottom w:val="single" w:color="auto" w:sz="4" w:space="0"/>
              <w:right w:val="single" w:color="auto" w:sz="4" w:space="0"/>
            </w:tcBorders>
            <w:shd w:val="clear" w:color="auto" w:fill="auto"/>
            <w:vAlign w:val="center"/>
          </w:tcPr>
          <w:p w14:paraId="554267A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6DC04B7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3CFCC1CC">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398029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39</w:t>
            </w:r>
          </w:p>
        </w:tc>
        <w:tc>
          <w:tcPr>
            <w:tcW w:w="2606" w:type="dxa"/>
            <w:vMerge w:val="continue"/>
            <w:tcBorders>
              <w:top w:val="nil"/>
              <w:left w:val="single" w:color="auto" w:sz="4" w:space="0"/>
              <w:bottom w:val="single" w:color="auto" w:sz="4" w:space="0"/>
              <w:right w:val="single" w:color="auto" w:sz="4" w:space="0"/>
            </w:tcBorders>
            <w:vAlign w:val="center"/>
          </w:tcPr>
          <w:p w14:paraId="2B9A546A">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6D30D2DE">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病理申请信息更新</w:t>
            </w:r>
          </w:p>
        </w:tc>
        <w:tc>
          <w:tcPr>
            <w:tcW w:w="838" w:type="dxa"/>
            <w:tcBorders>
              <w:top w:val="nil"/>
              <w:left w:val="nil"/>
              <w:bottom w:val="single" w:color="auto" w:sz="4" w:space="0"/>
              <w:right w:val="single" w:color="auto" w:sz="4" w:space="0"/>
            </w:tcBorders>
            <w:shd w:val="clear" w:color="auto" w:fill="auto"/>
            <w:vAlign w:val="center"/>
          </w:tcPr>
          <w:p w14:paraId="1D7990B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0DD4A2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31644020">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4AE0A20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40</w:t>
            </w:r>
          </w:p>
        </w:tc>
        <w:tc>
          <w:tcPr>
            <w:tcW w:w="2606" w:type="dxa"/>
            <w:vMerge w:val="continue"/>
            <w:tcBorders>
              <w:top w:val="nil"/>
              <w:left w:val="single" w:color="auto" w:sz="4" w:space="0"/>
              <w:bottom w:val="single" w:color="auto" w:sz="4" w:space="0"/>
              <w:right w:val="single" w:color="auto" w:sz="4" w:space="0"/>
            </w:tcBorders>
            <w:vAlign w:val="center"/>
          </w:tcPr>
          <w:p w14:paraId="216E27A1">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219237CC">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病理申请信息查询</w:t>
            </w:r>
          </w:p>
        </w:tc>
        <w:tc>
          <w:tcPr>
            <w:tcW w:w="838" w:type="dxa"/>
            <w:tcBorders>
              <w:top w:val="nil"/>
              <w:left w:val="nil"/>
              <w:bottom w:val="single" w:color="auto" w:sz="4" w:space="0"/>
              <w:right w:val="single" w:color="auto" w:sz="4" w:space="0"/>
            </w:tcBorders>
            <w:shd w:val="clear" w:color="auto" w:fill="auto"/>
            <w:vAlign w:val="center"/>
          </w:tcPr>
          <w:p w14:paraId="05594793">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CF3591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24B16FC9">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09EE7129">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41</w:t>
            </w:r>
          </w:p>
        </w:tc>
        <w:tc>
          <w:tcPr>
            <w:tcW w:w="2606" w:type="dxa"/>
            <w:vMerge w:val="continue"/>
            <w:tcBorders>
              <w:top w:val="nil"/>
              <w:left w:val="single" w:color="auto" w:sz="4" w:space="0"/>
              <w:bottom w:val="single" w:color="auto" w:sz="4" w:space="0"/>
              <w:right w:val="single" w:color="auto" w:sz="4" w:space="0"/>
            </w:tcBorders>
            <w:vAlign w:val="center"/>
          </w:tcPr>
          <w:p w14:paraId="406C7922">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7D36811">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输血申请信息新增</w:t>
            </w:r>
          </w:p>
        </w:tc>
        <w:tc>
          <w:tcPr>
            <w:tcW w:w="838" w:type="dxa"/>
            <w:tcBorders>
              <w:top w:val="nil"/>
              <w:left w:val="nil"/>
              <w:bottom w:val="single" w:color="auto" w:sz="4" w:space="0"/>
              <w:right w:val="single" w:color="auto" w:sz="4" w:space="0"/>
            </w:tcBorders>
            <w:shd w:val="clear" w:color="auto" w:fill="auto"/>
            <w:vAlign w:val="center"/>
          </w:tcPr>
          <w:p w14:paraId="3998919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25A5D0D0">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1A25739">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68C0698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42</w:t>
            </w:r>
          </w:p>
        </w:tc>
        <w:tc>
          <w:tcPr>
            <w:tcW w:w="2606" w:type="dxa"/>
            <w:vMerge w:val="continue"/>
            <w:tcBorders>
              <w:top w:val="nil"/>
              <w:left w:val="single" w:color="auto" w:sz="4" w:space="0"/>
              <w:bottom w:val="single" w:color="auto" w:sz="4" w:space="0"/>
              <w:right w:val="single" w:color="auto" w:sz="4" w:space="0"/>
            </w:tcBorders>
            <w:vAlign w:val="center"/>
          </w:tcPr>
          <w:p w14:paraId="445A99A4">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48870890">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输血申请信息更新</w:t>
            </w:r>
          </w:p>
        </w:tc>
        <w:tc>
          <w:tcPr>
            <w:tcW w:w="838" w:type="dxa"/>
            <w:tcBorders>
              <w:top w:val="nil"/>
              <w:left w:val="nil"/>
              <w:bottom w:val="single" w:color="auto" w:sz="4" w:space="0"/>
              <w:right w:val="single" w:color="auto" w:sz="4" w:space="0"/>
            </w:tcBorders>
            <w:shd w:val="clear" w:color="auto" w:fill="auto"/>
            <w:vAlign w:val="center"/>
          </w:tcPr>
          <w:p w14:paraId="0EFBE751">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1FDB91A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4B4CA5DA">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CFF4B2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43</w:t>
            </w:r>
          </w:p>
        </w:tc>
        <w:tc>
          <w:tcPr>
            <w:tcW w:w="2606" w:type="dxa"/>
            <w:vMerge w:val="continue"/>
            <w:tcBorders>
              <w:top w:val="nil"/>
              <w:left w:val="single" w:color="auto" w:sz="4" w:space="0"/>
              <w:bottom w:val="single" w:color="auto" w:sz="4" w:space="0"/>
              <w:right w:val="single" w:color="auto" w:sz="4" w:space="0"/>
            </w:tcBorders>
            <w:vAlign w:val="center"/>
          </w:tcPr>
          <w:p w14:paraId="1B4FD46D">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3A9883B4">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输血申请信息查询</w:t>
            </w:r>
          </w:p>
        </w:tc>
        <w:tc>
          <w:tcPr>
            <w:tcW w:w="838" w:type="dxa"/>
            <w:tcBorders>
              <w:top w:val="nil"/>
              <w:left w:val="nil"/>
              <w:bottom w:val="single" w:color="auto" w:sz="4" w:space="0"/>
              <w:right w:val="single" w:color="auto" w:sz="4" w:space="0"/>
            </w:tcBorders>
            <w:shd w:val="clear" w:color="auto" w:fill="auto"/>
            <w:vAlign w:val="center"/>
          </w:tcPr>
          <w:p w14:paraId="2C3CDA68">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4CFB94F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50E7BEE1">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7CD682C5">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44</w:t>
            </w:r>
          </w:p>
        </w:tc>
        <w:tc>
          <w:tcPr>
            <w:tcW w:w="2606" w:type="dxa"/>
            <w:vMerge w:val="continue"/>
            <w:tcBorders>
              <w:top w:val="nil"/>
              <w:left w:val="single" w:color="auto" w:sz="4" w:space="0"/>
              <w:bottom w:val="single" w:color="auto" w:sz="4" w:space="0"/>
              <w:right w:val="single" w:color="auto" w:sz="4" w:space="0"/>
            </w:tcBorders>
            <w:vAlign w:val="center"/>
          </w:tcPr>
          <w:p w14:paraId="79CFF81A">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22AF4A3F">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手术申请信息新增</w:t>
            </w:r>
          </w:p>
        </w:tc>
        <w:tc>
          <w:tcPr>
            <w:tcW w:w="838" w:type="dxa"/>
            <w:tcBorders>
              <w:top w:val="nil"/>
              <w:left w:val="nil"/>
              <w:bottom w:val="single" w:color="auto" w:sz="4" w:space="0"/>
              <w:right w:val="single" w:color="auto" w:sz="4" w:space="0"/>
            </w:tcBorders>
            <w:shd w:val="clear" w:color="auto" w:fill="auto"/>
            <w:vAlign w:val="center"/>
          </w:tcPr>
          <w:p w14:paraId="7500183E">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3BB8EBA2">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5604CA34">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5232A79C">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45</w:t>
            </w:r>
          </w:p>
        </w:tc>
        <w:tc>
          <w:tcPr>
            <w:tcW w:w="2606" w:type="dxa"/>
            <w:vMerge w:val="continue"/>
            <w:tcBorders>
              <w:top w:val="nil"/>
              <w:left w:val="single" w:color="auto" w:sz="4" w:space="0"/>
              <w:bottom w:val="single" w:color="auto" w:sz="4" w:space="0"/>
              <w:right w:val="single" w:color="auto" w:sz="4" w:space="0"/>
            </w:tcBorders>
            <w:vAlign w:val="center"/>
          </w:tcPr>
          <w:p w14:paraId="67DABE40">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0F5DDCC2">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手术申请信息更新</w:t>
            </w:r>
          </w:p>
        </w:tc>
        <w:tc>
          <w:tcPr>
            <w:tcW w:w="838" w:type="dxa"/>
            <w:tcBorders>
              <w:top w:val="nil"/>
              <w:left w:val="nil"/>
              <w:bottom w:val="single" w:color="auto" w:sz="4" w:space="0"/>
              <w:right w:val="single" w:color="auto" w:sz="4" w:space="0"/>
            </w:tcBorders>
            <w:shd w:val="clear" w:color="auto" w:fill="auto"/>
            <w:vAlign w:val="center"/>
          </w:tcPr>
          <w:p w14:paraId="71B3E607">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069F63F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r w14:paraId="28776022">
        <w:tblPrEx>
          <w:tblCellMar>
            <w:top w:w="0" w:type="dxa"/>
            <w:left w:w="108" w:type="dxa"/>
            <w:bottom w:w="0" w:type="dxa"/>
            <w:right w:w="108" w:type="dxa"/>
          </w:tblCellMar>
        </w:tblPrEx>
        <w:trPr>
          <w:trHeight w:val="270" w:hRule="atLeast"/>
          <w:jc w:val="center"/>
        </w:trPr>
        <w:tc>
          <w:tcPr>
            <w:tcW w:w="846" w:type="dxa"/>
            <w:tcBorders>
              <w:top w:val="nil"/>
              <w:left w:val="single" w:color="auto" w:sz="4" w:space="0"/>
              <w:bottom w:val="single" w:color="auto" w:sz="4" w:space="0"/>
              <w:right w:val="single" w:color="auto" w:sz="4" w:space="0"/>
            </w:tcBorders>
            <w:shd w:val="clear" w:color="auto" w:fill="auto"/>
            <w:vAlign w:val="center"/>
          </w:tcPr>
          <w:p w14:paraId="30F2896D">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46</w:t>
            </w:r>
          </w:p>
        </w:tc>
        <w:tc>
          <w:tcPr>
            <w:tcW w:w="2606" w:type="dxa"/>
            <w:vMerge w:val="continue"/>
            <w:tcBorders>
              <w:top w:val="nil"/>
              <w:left w:val="single" w:color="auto" w:sz="4" w:space="0"/>
              <w:bottom w:val="single" w:color="auto" w:sz="4" w:space="0"/>
              <w:right w:val="single" w:color="auto" w:sz="4" w:space="0"/>
            </w:tcBorders>
            <w:vAlign w:val="center"/>
          </w:tcPr>
          <w:p w14:paraId="586D99EA">
            <w:pPr>
              <w:ind w:firstLine="0" w:firstLineChars="0"/>
              <w:rPr>
                <w:rFonts w:hint="eastAsia" w:ascii="宋体" w:hAnsi="宋体" w:eastAsia="宋体" w:cs="宋体"/>
                <w:color w:val="auto"/>
                <w:sz w:val="21"/>
                <w:szCs w:val="21"/>
              </w:rPr>
            </w:pPr>
          </w:p>
        </w:tc>
        <w:tc>
          <w:tcPr>
            <w:tcW w:w="2813" w:type="dxa"/>
            <w:tcBorders>
              <w:top w:val="nil"/>
              <w:left w:val="nil"/>
              <w:bottom w:val="single" w:color="auto" w:sz="4" w:space="0"/>
              <w:right w:val="single" w:color="auto" w:sz="4" w:space="0"/>
            </w:tcBorders>
            <w:shd w:val="clear" w:color="auto" w:fill="auto"/>
            <w:vAlign w:val="center"/>
          </w:tcPr>
          <w:p w14:paraId="6E76EE5A">
            <w:pPr>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手术申请信息查询</w:t>
            </w:r>
          </w:p>
        </w:tc>
        <w:tc>
          <w:tcPr>
            <w:tcW w:w="838" w:type="dxa"/>
            <w:tcBorders>
              <w:top w:val="nil"/>
              <w:left w:val="nil"/>
              <w:bottom w:val="single" w:color="auto" w:sz="4" w:space="0"/>
              <w:right w:val="single" w:color="auto" w:sz="4" w:space="0"/>
            </w:tcBorders>
            <w:shd w:val="clear" w:color="auto" w:fill="auto"/>
            <w:vAlign w:val="center"/>
          </w:tcPr>
          <w:p w14:paraId="20E623B6">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0.2</w:t>
            </w:r>
          </w:p>
        </w:tc>
        <w:tc>
          <w:tcPr>
            <w:tcW w:w="1193" w:type="dxa"/>
            <w:tcBorders>
              <w:top w:val="nil"/>
              <w:left w:val="nil"/>
              <w:bottom w:val="single" w:color="auto" w:sz="4" w:space="0"/>
              <w:right w:val="single" w:color="auto" w:sz="4" w:space="0"/>
            </w:tcBorders>
            <w:shd w:val="clear" w:color="auto" w:fill="auto"/>
            <w:vAlign w:val="center"/>
          </w:tcPr>
          <w:p w14:paraId="3EFD0A7A">
            <w:pPr>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四级甲等</w:t>
            </w:r>
          </w:p>
        </w:tc>
      </w:tr>
    </w:tbl>
    <w:p w14:paraId="2E11BA35">
      <w:pPr>
        <w:pStyle w:val="4"/>
        <w:spacing w:before="11"/>
        <w:ind w:left="0"/>
        <w:rPr>
          <w:color w:val="auto"/>
          <w:sz w:val="18"/>
        </w:rPr>
      </w:pPr>
    </w:p>
    <w:p w14:paraId="3611E8CC">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平台管理工</w:t>
      </w:r>
      <w:r>
        <w:rPr>
          <w:b/>
          <w:color w:val="auto"/>
          <w:spacing w:val="-10"/>
          <w:sz w:val="24"/>
        </w:rPr>
        <w:t>具</w:t>
      </w:r>
    </w:p>
    <w:p w14:paraId="57756A33">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给医院信息平台及其他业务管理部门提供可视化的管理工具，医院信息平</w:t>
      </w:r>
    </w:p>
    <w:p w14:paraId="5B44106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textAlignment w:val="auto"/>
        <w:rPr>
          <w:color w:val="auto"/>
        </w:rPr>
      </w:pPr>
      <w:r>
        <w:rPr>
          <w:color w:val="auto"/>
          <w:spacing w:val="-2"/>
        </w:rPr>
        <w:t>台在实际运行过程中的数据、业务、运行节点等信息可进行实时的监管，能够对各项数据字典、数据源、数据清洗规则等能够工具化管理。</w:t>
      </w:r>
    </w:p>
    <w:p w14:paraId="13D96EC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5" w:firstLine="479"/>
        <w:textAlignment w:val="auto"/>
        <w:rPr>
          <w:color w:val="auto"/>
        </w:rPr>
      </w:pPr>
      <w:r>
        <w:rPr>
          <w:rFonts w:hint="default" w:ascii="Arial" w:hAnsi="Arial" w:cs="Arial"/>
          <w:color w:val="auto"/>
          <w:sz w:val="24"/>
          <w:szCs w:val="24"/>
        </w:rPr>
        <w:t>√</w:t>
      </w:r>
      <w:r>
        <w:rPr>
          <w:color w:val="auto"/>
          <w:spacing w:val="-2"/>
        </w:rPr>
        <w:t>提供集成平台主要模块概览监控信息，包括概览信息、服务调用趋势、服务调用排名、正式环境服务器监控。提供数据交换服务监控：可监控统计所有服务性能，可按照业务系统、服务节点、时间角度统计服务调用数量、错误数、告警数、最大响应时间、平均响应时间，提供服务分析调优。针对异常记录，可查看服务调用日志，追踪异常发生节点、该节点的输入输出、错误信息提示，准确掌握错误，精准修复；也可进一步查看服务调用统计情况，可对服务的调用方、错误类型、调用趋势分别进行统计；若对服务配置了相关告警、校验规则，则可查看告警日志和校验分析统计。</w:t>
      </w:r>
    </w:p>
    <w:p w14:paraId="0833118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color w:val="auto"/>
        </w:rPr>
      </w:pPr>
      <w:r>
        <w:rPr>
          <w:rFonts w:hint="default" w:ascii="Arial" w:hAnsi="Arial" w:cs="Arial"/>
          <w:color w:val="auto"/>
          <w:sz w:val="24"/>
          <w:szCs w:val="24"/>
        </w:rPr>
        <w:t>√</w:t>
      </w:r>
      <w:r>
        <w:rPr>
          <w:color w:val="auto"/>
          <w:spacing w:val="-1"/>
        </w:rPr>
        <w:t xml:space="preserve">可统计监控平台接入层的调用次数，接入点名称，访问 </w:t>
      </w:r>
      <w:r>
        <w:rPr>
          <w:color w:val="auto"/>
        </w:rPr>
        <w:t>IP，总体相应时间，</w:t>
      </w:r>
      <w:r>
        <w:rPr>
          <w:color w:val="auto"/>
          <w:spacing w:val="-2"/>
        </w:rPr>
        <w:t>调用时间分布等信息</w:t>
      </w:r>
      <w:r>
        <w:rPr>
          <w:rFonts w:hint="eastAsia"/>
          <w:color w:val="auto"/>
          <w:spacing w:val="-2"/>
          <w:lang w:eastAsia="zh-CN"/>
        </w:rPr>
        <w:t>；</w:t>
      </w:r>
      <w:r>
        <w:rPr>
          <w:color w:val="auto"/>
          <w:spacing w:val="-2"/>
        </w:rPr>
        <w:t>提供集成平台服务调用出入量统计分析，包含出量、入量、错误量、成功量等时间维度统计分析，还包含调用方、被调用方的情况展示</w:t>
      </w:r>
      <w:r>
        <w:rPr>
          <w:rFonts w:hint="eastAsia"/>
          <w:color w:val="auto"/>
          <w:spacing w:val="-2"/>
          <w:lang w:eastAsia="zh-CN"/>
        </w:rPr>
        <w:t>；</w:t>
      </w:r>
      <w:r>
        <w:rPr>
          <w:color w:val="auto"/>
          <w:spacing w:val="-2"/>
        </w:rPr>
        <w:t xml:space="preserve">提供服务集群监控：支持对服务器集群监控和查询，监控服务器 </w:t>
      </w:r>
      <w:r>
        <w:rPr>
          <w:color w:val="auto"/>
        </w:rPr>
        <w:t>CPU、内存使用率、JVM</w:t>
      </w:r>
      <w:r>
        <w:rPr>
          <w:color w:val="auto"/>
          <w:spacing w:val="-7"/>
        </w:rPr>
        <w:t xml:space="preserve"> 监控、事件异常等信息，并按事件类型一般、警告、错误类型</w:t>
      </w:r>
      <w:r>
        <w:rPr>
          <w:color w:val="auto"/>
          <w:spacing w:val="-2"/>
        </w:rPr>
        <w:t>汇总。可以时间-指标的方式形成趋势图参看历史数据，以饼图的形式查看瞬时数据。对事件监控支持查看时间、类型、节点信息。并提供调优工具等；可满足多服务器之间的负载均衡分配和性能调优。</w:t>
      </w:r>
    </w:p>
    <w:p w14:paraId="47590E8C">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基于平台的</w:t>
      </w:r>
      <w:r>
        <w:rPr>
          <w:b/>
          <w:color w:val="auto"/>
          <w:spacing w:val="-4"/>
          <w:sz w:val="24"/>
        </w:rPr>
        <w:t>交换服务</w:t>
      </w:r>
    </w:p>
    <w:p w14:paraId="1851FBD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√以满足互联互通四甲为基础。HIS、电子病历、LIS、PACS、心电、病理、手麻、财务、院感、重症等基于平台交互</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业务集成平台提供符合医院核心 HIS 系统、EMR 系统业务需求的标准化外联接口，用于医院内部核心业务系统与医院其他业务系统和外网系统的数据互联。形成医院内部使用的标准化服务，帮助医院在业务系统对接过程中化被动为主动，避免过度适配、频繁变更、重复开发、管理混乱问题。使用微服务开发技术重构核心业务实现轻量级服务接口，避免接口过重导致的服务性能较差问题减轻服务器压力。核心业务服务包含：医嘱、病历、患者、费用、基础信息五大领域。可支撑互联网医院云诊室医嘱病历线上线下一体化，可支撑患者自助服务移动端挂号、预约、支付等公众服务应用。</w:t>
      </w:r>
    </w:p>
    <w:p w14:paraId="6DD9B7D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√医嘱服务提供 53 个标准外联服务，包括医嘱、医嘱术语、术语对照、药品库存、医嘱组套、诊疗项目、药品用法、用药频次、医嘱字典、草药、检查检验申请单、检查检验报告、病理报告、微生物报告、手术申请单、手术安排、医嘱执行单信息的查询共享，同时支持医嘱开立、医嘱执行功能。病历服务提供 38 个标准接口，内部可适用多种业务流程。包括诊断基础信 息、患者诊断信息、过敏基础信息、患者过敏信息、病历信息、病历模板信息、病案信息、病史信息、出院信息、体温单信息的查询共享，同时支持为患者开 立诊断、编写病历、保存过敏信息功能。</w:t>
      </w:r>
    </w:p>
    <w:p w14:paraId="2D6AE15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√患者服务包括 36 个标准服务接口，包括患者档案、患者挂号、患者入院登记、患者门诊账户、患者就诊卡、患者预约、患者占号、院内排班科室、排班医生、排班号位、电子发票、住院预约、患者转科信息的查询共享，同时支持患者建档、患者占号、挂号缴费、急诊挂号、诊间缴费、院内绑卡、院内卡充值、患者住院预约、床位预约、住院登记功能。</w:t>
      </w:r>
    </w:p>
    <w:p w14:paraId="71DC769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√费用服务包括 24 个标准服务接口，包括门诊费用、门诊支付状态、住院日账单、住院费用汇总、住院费用分类汇总、预交金缴费记录、医嘱可退项目信息的查询共享，同时支持门诊划价、缴纳住院预交金、门诊申请退费功能。公共基础外联服务提供 18 个标准服务接口，实现科室、人员、物价、药品、诊疗、医院信息、病床信息、婴儿信息、门诊患者信息、住院患者信息共享，同时包括医生登录权限校验功能。</w:t>
      </w:r>
    </w:p>
    <w:p w14:paraId="115ECE92">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闭环管理</w:t>
      </w:r>
    </w:p>
    <w:p w14:paraId="7F34125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√支持独立的系统内置不少于 5 个闭环。跨 3 个业务域（检查、检验、患者），不少于 2 个场景（住院、门诊）的标准化闭环数据</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支持环状、蛇形、表格的闭环可视化展示</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支持流程节点的复用</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支持闭环流程的动态管理，如随时可以调整流程中节点的增加或者删除等，闭环随时能够展现出变更后内容，并在医生站、护士站等系统随时查看</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根据不同角色，可以动态定制闭环的节点展示内容。</w:t>
      </w:r>
    </w:p>
    <w:p w14:paraId="3E308F2D">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其</w:t>
      </w:r>
      <w:r>
        <w:rPr>
          <w:b/>
          <w:color w:val="auto"/>
          <w:spacing w:val="-10"/>
          <w:sz w:val="24"/>
        </w:rPr>
        <w:t>他</w:t>
      </w:r>
    </w:p>
    <w:p w14:paraId="55DB77C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√提供数据处理结果全局流程显示，并提供流程树状显示和图形化显示，展示在整个流程中路由内每个节点处数据的状态，方便用户进行问题排查。</w:t>
      </w:r>
    </w:p>
    <w:p w14:paraId="1CBD5E89">
      <w:pPr>
        <w:pStyle w:val="23"/>
        <w:keepNext w:val="0"/>
        <w:keepLines w:val="0"/>
        <w:pageBreakBefore w:val="0"/>
        <w:widowControl w:val="0"/>
        <w:numPr>
          <w:ilvl w:val="2"/>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73" w:name="_bookmark24"/>
      <w:bookmarkEnd w:id="173"/>
      <w:r>
        <w:rPr>
          <w:color w:val="auto"/>
          <w:spacing w:val="-2"/>
        </w:rPr>
        <w:t>基于平台的</w:t>
      </w:r>
      <w:r>
        <w:rPr>
          <w:color w:val="auto"/>
          <w:spacing w:val="-4"/>
        </w:rPr>
        <w:t>应用系统</w:t>
      </w:r>
    </w:p>
    <w:p w14:paraId="4553599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6"/>
        </w:rPr>
      </w:pPr>
    </w:p>
    <w:p w14:paraId="594C8129">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运营决策与分析</w:t>
      </w:r>
      <w:r>
        <w:rPr>
          <w:b/>
          <w:color w:val="auto"/>
          <w:spacing w:val="-4"/>
          <w:sz w:val="24"/>
        </w:rPr>
        <w:t>（</w:t>
      </w:r>
      <w:r>
        <w:rPr>
          <w:rFonts w:ascii="等线" w:eastAsia="等线"/>
          <w:b/>
          <w:color w:val="auto"/>
          <w:spacing w:val="-4"/>
          <w:sz w:val="24"/>
        </w:rPr>
        <w:t>BI</w:t>
      </w:r>
      <w:r>
        <w:rPr>
          <w:b/>
          <w:color w:val="auto"/>
          <w:spacing w:val="-4"/>
          <w:sz w:val="24"/>
        </w:rPr>
        <w:t>）</w:t>
      </w:r>
    </w:p>
    <w:p w14:paraId="08E957F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支持医院决策分析及相关查询，支持月、日考评分析。能够集中展示全院门急诊就诊人次、出院人次、手术分析、效率分析、医疗质量管理、重点事件管理、全院收入分析、全院药品管理、医疗耗材管理。能够对每一个管理主题进行细化查询分析，能够对细项指标开展同比、环比等趋势分析，能够对每个管理细项进行指标分析。</w:t>
      </w:r>
    </w:p>
    <w:p w14:paraId="1E55C567">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三级中医院</w:t>
      </w:r>
      <w:r>
        <w:rPr>
          <w:b/>
          <w:color w:val="auto"/>
          <w:spacing w:val="-4"/>
          <w:sz w:val="24"/>
        </w:rPr>
        <w:t>绩效考核</w:t>
      </w:r>
    </w:p>
    <w:p w14:paraId="11557AC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√针对三级中医院绩效考核，平台提供相应的指标主题分析。支持大屏和 PC端展示。支持一屏展示，也支持专题分别展示。按照《国家三级公立中医医院绩效考核操作手册（2024 修订版）》相关要求，支持点评处方占处方总数的比例、点评处方数、处方总数等合理用药相关指标的统计</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按照《国家卫生健康委办公厅关于印发药事管理和护理专业医疗质量控制指标（2020 年版）的通知》，支持统计住院患者抗菌药物使用率、住院患者抗菌药物使用强度、住院患者特殊使用级抗菌药物使用量占比等合理用药相关指标的统计</w:t>
      </w:r>
      <w:r>
        <w:rPr>
          <w:rFonts w:hint="eastAsia" w:ascii="Arial" w:hAnsi="Arial" w:eastAsia="宋体" w:cs="Arial"/>
          <w:color w:val="auto"/>
          <w:sz w:val="24"/>
          <w:szCs w:val="24"/>
          <w:lang w:eastAsia="zh-CN"/>
        </w:rPr>
        <w:t>；</w:t>
      </w:r>
      <w:r>
        <w:rPr>
          <w:rFonts w:hint="default" w:ascii="Arial" w:hAnsi="Arial" w:eastAsia="宋体" w:cs="Arial"/>
          <w:color w:val="auto"/>
          <w:sz w:val="24"/>
          <w:szCs w:val="24"/>
        </w:rPr>
        <w:t>按照《抗菌药物临床应用指导原则 2015 版》相关要求，支持抗菌药物品种数、同一通用名称抗菌药物-注射剂型、同一通用名称抗菌药物-口服剂型等相关指标的统计</w:t>
      </w:r>
    </w:p>
    <w:p w14:paraId="66D3CFC5">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rFonts w:ascii="等线" w:eastAsia="等线"/>
          <w:b/>
          <w:color w:val="auto"/>
          <w:sz w:val="24"/>
        </w:rPr>
      </w:pPr>
      <w:r>
        <w:rPr>
          <w:b/>
          <w:color w:val="auto"/>
          <w:spacing w:val="-21"/>
          <w:sz w:val="24"/>
        </w:rPr>
        <w:t xml:space="preserve">移动 </w:t>
      </w:r>
      <w:r>
        <w:rPr>
          <w:rFonts w:ascii="等线" w:eastAsia="等线"/>
          <w:b/>
          <w:color w:val="auto"/>
          <w:spacing w:val="-5"/>
          <w:sz w:val="24"/>
        </w:rPr>
        <w:t>BI</w:t>
      </w:r>
    </w:p>
    <w:p w14:paraId="41631C0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√管理决策支持系统移动端基于管理决策支持系统 PC 端衍生并开发，旨在帮助院长在移动设备上随时查看医院整体运营情况。</w:t>
      </w:r>
    </w:p>
    <w:p w14:paraId="4F403010">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院长日报</w:t>
      </w:r>
    </w:p>
    <w:p w14:paraId="3ACAAAB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9" w:firstLine="479"/>
        <w:textAlignment w:val="auto"/>
        <w:rPr>
          <w:rFonts w:hint="default" w:ascii="Arial" w:hAnsi="Arial" w:eastAsia="宋体" w:cs="Arial"/>
          <w:color w:val="auto"/>
          <w:sz w:val="24"/>
          <w:szCs w:val="24"/>
        </w:rPr>
      </w:pPr>
      <w:r>
        <w:rPr>
          <w:rFonts w:hint="default" w:ascii="Arial" w:hAnsi="Arial" w:eastAsia="宋体" w:cs="Arial"/>
          <w:color w:val="auto"/>
          <w:sz w:val="24"/>
          <w:szCs w:val="24"/>
        </w:rPr>
        <w:t>√要求院长日报中可以选择想要关注的时间段，随后展示在所选时间段内每一天所有指标的指标值。通过这个界面直接快速地查看指标具体数值。指标包括：门急诊人次、门诊人次、急诊人次、门诊治疗人次、在院人次、出院人次、死亡人次、医疗总收入、门急诊收入、门诊收入、急诊收入、住院  收入、门急诊人均费用、门诊人均费用、急诊人均费用、门急诊药品收入、门  急诊药占比、住院药品收入、住院药占比、门急诊耗材收入、门急诊耗材占比、住院耗材收入和住院耗材占比。</w:t>
      </w:r>
    </w:p>
    <w:p w14:paraId="424B5694">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首</w:t>
      </w:r>
      <w:r>
        <w:rPr>
          <w:b/>
          <w:color w:val="auto"/>
          <w:spacing w:val="-10"/>
          <w:sz w:val="24"/>
        </w:rPr>
        <w:t>页</w:t>
      </w:r>
    </w:p>
    <w:p w14:paraId="39826CD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首页中详细展示指标的相关数据情况。在首页中，数据筛选展示可以通过院区、指标和时间三个维度。通过选择不同院区，查看对应院区的指标的详细数据。通过指标管理，院长可以选择重点关注的指标，并根据所选指标来查看其详细数据分析。时间维度分别是周、月和年，根据不同的时间维度，指标相关的数据会发生相应的改变。</w:t>
      </w:r>
      <w:r>
        <w:rPr>
          <w:color w:val="auto"/>
          <w:spacing w:val="-1"/>
        </w:rPr>
        <w:t>院区选择：可依据医院实际院区情况，选择全部或某一院区。指标选择：门急诊人次、出院人次、医疗收入、药占比和耗材占比。</w:t>
      </w:r>
    </w:p>
    <w:p w14:paraId="1ED16E2C">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实时监控</w:t>
      </w:r>
    </w:p>
    <w:p w14:paraId="587BF74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实时监控中可以实时查看门急诊和住院部分的诊疗情况。门急诊监控可实时更新挂号次数、上级部门要求的应急检验检查情况和患者就诊状态变化等。住院监控可实时更新住院患者的出入院情况、在院人次、危重情况、在院患者的院区分布情况和医保构成。</w:t>
      </w:r>
    </w:p>
    <w:p w14:paraId="6979F2FB">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床位分析</w:t>
      </w:r>
    </w:p>
    <w:p w14:paraId="0F56911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床位分析主要围绕床位使用率、床位周转次数和平均住院日的数据展开统</w:t>
      </w:r>
      <w:r>
        <w:rPr>
          <w:color w:val="auto"/>
          <w:spacing w:val="-4"/>
        </w:rPr>
        <w:t>计分析。</w:t>
      </w:r>
      <w:r>
        <w:rPr>
          <w:color w:val="auto"/>
          <w:spacing w:val="-2"/>
        </w:rPr>
        <w:t>通过床位周转次数和使用率对科室床位使用情况进行分组，并对每一个指标进行时间和科室维度的分析。针对平均住院日，提供科室内详细数据的分析，科室平均住院日与全院平</w:t>
      </w:r>
      <w:r>
        <w:rPr>
          <w:color w:val="auto"/>
          <w:spacing w:val="80"/>
          <w:w w:val="150"/>
        </w:rPr>
        <w:t xml:space="preserve"> </w:t>
      </w:r>
      <w:r>
        <w:rPr>
          <w:color w:val="auto"/>
          <w:spacing w:val="-2"/>
        </w:rPr>
        <w:t>均住院日的差异，科室平均住院日同环比的差异，科室内医生平均住院日排名，科室内出院患者平均住院天数分布。</w:t>
      </w:r>
    </w:p>
    <w:p w14:paraId="261B0C55">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门诊运营</w:t>
      </w:r>
    </w:p>
    <w:p w14:paraId="70B5A08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对门急诊人次、费用、预约情况进行汇总分析，包括门急诊量趋势、科室分布、来源地构成、看诊效率、次均费用、预约诊疗率，为相关管理人员作出更为及时准确地医院管理、制定计划等提供可靠的数据依据</w:t>
      </w:r>
      <w:r>
        <w:rPr>
          <w:rFonts w:hint="eastAsia"/>
          <w:color w:val="auto"/>
          <w:spacing w:val="-2"/>
          <w:lang w:eastAsia="zh-CN"/>
        </w:rPr>
        <w:t>；</w:t>
      </w:r>
      <w:r>
        <w:rPr>
          <w:color w:val="auto"/>
          <w:spacing w:val="-1"/>
        </w:rPr>
        <w:t>支持按时间、院区、科室的统计查询条件。</w:t>
      </w:r>
    </w:p>
    <w:p w14:paraId="47EA164C">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住院运营</w:t>
      </w:r>
    </w:p>
    <w:p w14:paraId="0DFB66B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对出院人数、次均费用、平均住院日、手术占比进行汇总分析，包括入出院人数趋势、患者病种构成及转归，次均费用构成，平均住院日趋势以及手术占比趋势分析，为相关管理人员作出更为及时准确地医院管理、制定计划等提供可靠的数据依据</w:t>
      </w:r>
      <w:r>
        <w:rPr>
          <w:rFonts w:hint="eastAsia"/>
          <w:color w:val="auto"/>
          <w:spacing w:val="-2"/>
          <w:lang w:eastAsia="zh-CN"/>
        </w:rPr>
        <w:t>；</w:t>
      </w:r>
      <w:r>
        <w:rPr>
          <w:color w:val="auto"/>
          <w:spacing w:val="-1"/>
        </w:rPr>
        <w:t>支持按时间、院区、科室的统计查询条件。</w:t>
      </w:r>
    </w:p>
    <w:p w14:paraId="583B239A">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全院统一应用门</w:t>
      </w:r>
      <w:r>
        <w:rPr>
          <w:b/>
          <w:color w:val="auto"/>
          <w:spacing w:val="-10"/>
          <w:sz w:val="24"/>
        </w:rPr>
        <w:t>户</w:t>
      </w:r>
    </w:p>
    <w:p w14:paraId="7A3BA41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rPr>
      </w:pPr>
      <w:r>
        <w:rPr>
          <w:rFonts w:hint="default" w:ascii="Arial" w:hAnsi="Arial" w:cs="Arial"/>
          <w:color w:val="auto"/>
          <w:sz w:val="24"/>
          <w:szCs w:val="24"/>
        </w:rPr>
        <w:t>√</w:t>
      </w:r>
      <w:r>
        <w:rPr>
          <w:color w:val="auto"/>
          <w:spacing w:val="-2"/>
        </w:rPr>
        <w:t>应用门户是集成了各种业务应用的门户站点，能够提供给用户对这些应用</w:t>
      </w:r>
      <w:r>
        <w:rPr>
          <w:color w:val="auto"/>
          <w:spacing w:val="80"/>
          <w:w w:val="150"/>
        </w:rPr>
        <w:t xml:space="preserve"> </w:t>
      </w:r>
      <w:r>
        <w:rPr>
          <w:color w:val="auto"/>
        </w:rPr>
        <w:t xml:space="preserve">资源的单一访问入口， 只需要用户对于门户认证一次，而不需要对于每个业务 </w:t>
      </w:r>
      <w:r>
        <w:rPr>
          <w:color w:val="auto"/>
          <w:spacing w:val="-2"/>
        </w:rPr>
        <w:t>应用都再进行认证。管理员可以对门户应用进行定制以符合组织、用户以及用</w:t>
      </w:r>
      <w:r>
        <w:rPr>
          <w:color w:val="auto"/>
          <w:spacing w:val="80"/>
          <w:w w:val="150"/>
        </w:rPr>
        <w:t xml:space="preserve"> </w:t>
      </w:r>
      <w:r>
        <w:rPr>
          <w:color w:val="auto"/>
          <w:spacing w:val="-2"/>
        </w:rPr>
        <w:t>户组的需求，可以定制门户的外观使之符合组织标准，定制页面内容以符合用</w:t>
      </w:r>
      <w:r>
        <w:rPr>
          <w:color w:val="auto"/>
          <w:spacing w:val="80"/>
          <w:w w:val="150"/>
        </w:rPr>
        <w:t xml:space="preserve"> </w:t>
      </w:r>
      <w:r>
        <w:rPr>
          <w:color w:val="auto"/>
          <w:spacing w:val="-2"/>
        </w:rPr>
        <w:t>户以及用户组的业务需求和自身特性。通过将现有业务应用集中并提供给用户</w:t>
      </w:r>
      <w:r>
        <w:rPr>
          <w:color w:val="auto"/>
          <w:spacing w:val="80"/>
          <w:w w:val="150"/>
        </w:rPr>
        <w:t xml:space="preserve"> </w:t>
      </w:r>
      <w:r>
        <w:rPr>
          <w:color w:val="auto"/>
          <w:spacing w:val="-2"/>
        </w:rPr>
        <w:t>个性化定制的能力，提供给用户一种高效率的工作方式。构建统一展现信息的</w:t>
      </w:r>
      <w:r>
        <w:rPr>
          <w:color w:val="auto"/>
          <w:spacing w:val="80"/>
          <w:w w:val="150"/>
        </w:rPr>
        <w:t xml:space="preserve"> </w:t>
      </w:r>
      <w:r>
        <w:rPr>
          <w:color w:val="auto"/>
          <w:spacing w:val="-2"/>
        </w:rPr>
        <w:t>门户平台。应用门户能够通过统一的访问入口，就可以快速导航到所需的信息，实现了功能集成、信息定制和个性化的需求。不同的用户可以定制不同的功能</w:t>
      </w:r>
      <w:r>
        <w:rPr>
          <w:color w:val="auto"/>
          <w:spacing w:val="80"/>
          <w:w w:val="150"/>
        </w:rPr>
        <w:t xml:space="preserve"> </w:t>
      </w:r>
      <w:r>
        <w:rPr>
          <w:color w:val="auto"/>
          <w:spacing w:val="-4"/>
        </w:rPr>
        <w:t>门户。</w:t>
      </w:r>
    </w:p>
    <w:p w14:paraId="7A915B00">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患者全息视</w:t>
      </w:r>
      <w:r>
        <w:rPr>
          <w:b/>
          <w:color w:val="auto"/>
          <w:spacing w:val="-10"/>
          <w:sz w:val="24"/>
        </w:rPr>
        <w:t>图</w:t>
      </w:r>
    </w:p>
    <w:p w14:paraId="31362DD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z w:val="24"/>
          <w:szCs w:val="24"/>
        </w:rPr>
        <w:t>√</w:t>
      </w:r>
      <w:r>
        <w:rPr>
          <w:color w:val="auto"/>
          <w:spacing w:val="-1"/>
        </w:rPr>
        <w:t xml:space="preserve">集成视图以患者为中心，采用前后端分离架构，从 </w:t>
      </w:r>
      <w:r>
        <w:rPr>
          <w:color w:val="auto"/>
        </w:rPr>
        <w:t>CDR</w:t>
      </w:r>
      <w:r>
        <w:rPr>
          <w:color w:val="auto"/>
          <w:spacing w:val="-2"/>
        </w:rPr>
        <w:t xml:space="preserve"> 获取相关的临床数据，如就诊、诊断、过敏史、主诉、手术记录、处方、药品医嘱、检查报告、检验报告以及患者基本信息</w:t>
      </w:r>
      <w:r>
        <w:rPr>
          <w:rFonts w:hint="eastAsia"/>
          <w:color w:val="auto"/>
          <w:spacing w:val="-2"/>
          <w:lang w:eastAsia="zh-CN"/>
        </w:rPr>
        <w:t>；</w:t>
      </w:r>
      <w:r>
        <w:rPr>
          <w:color w:val="auto"/>
          <w:spacing w:val="-2"/>
        </w:rPr>
        <w:t>在集成视图中，各种电子病历数据的前后、因果关系清晰明了，医护人员可以观察患者的上述各类指标。真正体现了“以病人为中心”的观点，在很大程度上改善了传统形式病历固有的缺陷与不足。具体功能包含：时间轴信息集成展示、患者基本信息展示、就诊信息显示、快速查询与检索、集成配置。</w:t>
      </w:r>
    </w:p>
    <w:p w14:paraId="4A25ED9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5" w:firstLine="479"/>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支持患者全息视图按不同角色可分配不同视图的访问权限，支持患者基本信息内容的配置，支持水印展示，支持人体图展示疾病，以及疾病相关就诊记录，支持以标签形式展示患者特殊情况；支持患者全息视图中展现的病历文书格式自定义，提供页面开发、预览功能，满足不同用户对病历文书的查看需求。</w:t>
      </w:r>
    </w:p>
    <w:p w14:paraId="6F754F6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时间轴信息</w:t>
      </w:r>
      <w:r>
        <w:rPr>
          <w:b/>
          <w:color w:val="auto"/>
          <w:spacing w:val="-4"/>
          <w:sz w:val="24"/>
        </w:rPr>
        <w:t>集成展示</w:t>
      </w:r>
    </w:p>
    <w:p w14:paraId="1DDEE15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以时间轴方式进行数据的汇总，便于医生快速定位就诊信息：显示单次就诊的就诊科室、就诊日期、就诊类型。</w:t>
      </w:r>
    </w:p>
    <w:p w14:paraId="31906F97">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患者基本信息展</w:t>
      </w:r>
      <w:r>
        <w:rPr>
          <w:b/>
          <w:color w:val="auto"/>
          <w:spacing w:val="-10"/>
          <w:sz w:val="24"/>
        </w:rPr>
        <w:t>示</w:t>
      </w:r>
    </w:p>
    <w:p w14:paraId="0617B63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7" w:firstLine="479"/>
        <w:textAlignment w:val="auto"/>
        <w:rPr>
          <w:color w:val="auto"/>
        </w:rPr>
      </w:pPr>
      <w:r>
        <w:rPr>
          <w:rFonts w:hint="default" w:ascii="Arial" w:hAnsi="Arial" w:cs="Arial"/>
          <w:color w:val="auto"/>
          <w:sz w:val="24"/>
          <w:szCs w:val="24"/>
        </w:rPr>
        <w:t>√</w:t>
      </w:r>
      <w:r>
        <w:rPr>
          <w:color w:val="auto"/>
        </w:rPr>
        <w:t>分别显示为患者姓名、性别、出生日期、年龄、EMPI</w:t>
      </w:r>
      <w:r>
        <w:rPr>
          <w:color w:val="auto"/>
          <w:spacing w:val="-3"/>
        </w:rPr>
        <w:t xml:space="preserve"> 号、身份证号、电话</w:t>
      </w:r>
      <w:r>
        <w:rPr>
          <w:color w:val="auto"/>
          <w:spacing w:val="-2"/>
        </w:rPr>
        <w:t>号，便于在有特殊紧急事项时，医生能够快速联系到患者。</w:t>
      </w:r>
    </w:p>
    <w:p w14:paraId="21FF6222">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快速查询与</w:t>
      </w:r>
      <w:r>
        <w:rPr>
          <w:b/>
          <w:color w:val="auto"/>
          <w:spacing w:val="-6"/>
          <w:sz w:val="24"/>
        </w:rPr>
        <w:t>检索</w:t>
      </w:r>
    </w:p>
    <w:p w14:paraId="2BE8D66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便于医生针对患者的一些就医维度数据进行快速定位，找到自己关注的就</w:t>
      </w:r>
      <w:r>
        <w:rPr>
          <w:color w:val="auto"/>
        </w:rPr>
        <w:t>诊信息查看患者临床信息。可根据 5</w:t>
      </w:r>
      <w:r>
        <w:rPr>
          <w:color w:val="auto"/>
          <w:spacing w:val="-1"/>
        </w:rPr>
        <w:t xml:space="preserve"> 个筛选条件，筛选该患者的下方呈现的就</w:t>
      </w:r>
      <w:r>
        <w:rPr>
          <w:color w:val="auto"/>
          <w:spacing w:val="-2"/>
        </w:rPr>
        <w:t>诊信息、院区。</w:t>
      </w:r>
      <w:r>
        <w:rPr>
          <w:color w:val="auto"/>
          <w:spacing w:val="-1"/>
        </w:rPr>
        <w:t>科室：患者就诊所在科室。诊断：就诊是产生的诊断信息。</w:t>
      </w:r>
      <w:r>
        <w:rPr>
          <w:color w:val="auto"/>
          <w:spacing w:val="-2"/>
        </w:rPr>
        <w:t>生命周期：全部-婴儿期-幼儿期-少年期-青年期-成年期-老年期-其他。就诊类型：全部-住院-门诊-急诊-体检。</w:t>
      </w:r>
    </w:p>
    <w:p w14:paraId="3CB51120">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就诊信息显</w:t>
      </w:r>
      <w:r>
        <w:rPr>
          <w:b/>
          <w:color w:val="auto"/>
          <w:spacing w:val="-10"/>
          <w:sz w:val="24"/>
        </w:rPr>
        <w:t>示</w:t>
      </w:r>
    </w:p>
    <w:p w14:paraId="2A3EF134">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2"/>
          <w:sz w:val="24"/>
        </w:rPr>
        <w:t>患者就诊基本信息</w:t>
      </w:r>
    </w:p>
    <w:p w14:paraId="6B6DDB8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就诊类型包括：门诊、急诊、住院、体检等。患者多维详细信息展示：包括诊断、现病史、检查报告、检验报告、病理报告、血糖报告、血透报告过敏信息、手术历史等。左侧菜单栏可配置二级菜单功能：根据业务不同，左侧菜单可按照业务分类进行二级菜单的建设</w:t>
      </w:r>
      <w:r>
        <w:rPr>
          <w:rFonts w:hint="eastAsia" w:ascii="Arial" w:hAnsi="Arial" w:cs="Arial"/>
          <w:color w:val="auto"/>
          <w:sz w:val="24"/>
          <w:szCs w:val="24"/>
          <w:lang w:eastAsia="zh-CN"/>
        </w:rPr>
        <w:t>。</w:t>
      </w:r>
      <w:r>
        <w:rPr>
          <w:rFonts w:hint="default" w:ascii="Arial" w:hAnsi="Arial" w:cs="Arial"/>
          <w:color w:val="auto"/>
          <w:sz w:val="24"/>
          <w:szCs w:val="24"/>
        </w:rPr>
        <w:t>可以通过点击“闭环”查看该患者诊疗过程的闭环详情；</w:t>
      </w:r>
    </w:p>
    <w:p w14:paraId="5771C530">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5"/>
          <w:sz w:val="24"/>
        </w:rPr>
        <w:t>诊断</w:t>
      </w:r>
    </w:p>
    <w:p w14:paraId="27FD5E98">
      <w:pPr>
        <w:pStyle w:val="4"/>
        <w:keepNext w:val="0"/>
        <w:keepLines w:val="0"/>
        <w:pageBreakBefore w:val="0"/>
        <w:widowControl w:val="0"/>
        <w:tabs>
          <w:tab w:val="left" w:pos="2320"/>
        </w:tabs>
        <w:kinsoku/>
        <w:wordWrap/>
        <w:overflowPunct/>
        <w:topLinePunct w:val="0"/>
        <w:autoSpaceDE w:val="0"/>
        <w:autoSpaceDN w:val="0"/>
        <w:bidi w:val="0"/>
        <w:adjustRightInd/>
        <w:snapToGrid/>
        <w:spacing w:before="0" w:line="360" w:lineRule="auto"/>
        <w:ind w:left="700" w:right="4825"/>
        <w:textAlignment w:val="auto"/>
        <w:rPr>
          <w:color w:val="auto"/>
          <w:spacing w:val="-2"/>
        </w:rPr>
      </w:pPr>
      <w:r>
        <w:rPr>
          <w:rFonts w:hint="default" w:ascii="Arial" w:hAnsi="Arial" w:cs="Arial"/>
          <w:color w:val="auto"/>
          <w:sz w:val="24"/>
          <w:szCs w:val="24"/>
        </w:rPr>
        <w:t>√</w:t>
      </w:r>
      <w:r>
        <w:rPr>
          <w:color w:val="auto"/>
          <w:spacing w:val="-2"/>
        </w:rPr>
        <w:t>展示患者本次就诊的诊断信息</w:t>
      </w:r>
    </w:p>
    <w:p w14:paraId="4FA0F71D">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pacing w:val="-2"/>
          <w:lang w:val="en-US" w:eastAsia="zh-CN"/>
        </w:rPr>
      </w:pPr>
      <w:r>
        <w:rPr>
          <w:color w:val="auto"/>
          <w:spacing w:val="-2"/>
          <w:lang w:val="en-US" w:eastAsia="zh-CN"/>
        </w:rPr>
        <w:t>现病史信息</w:t>
      </w:r>
    </w:p>
    <w:p w14:paraId="29A37BD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spacing w:val="-2"/>
        </w:rPr>
      </w:pPr>
      <w:r>
        <w:rPr>
          <w:rFonts w:hint="default" w:ascii="Arial" w:hAnsi="Arial" w:cs="Arial"/>
          <w:color w:val="auto"/>
          <w:sz w:val="24"/>
          <w:szCs w:val="24"/>
        </w:rPr>
        <w:t>√</w:t>
      </w:r>
      <w:r>
        <w:rPr>
          <w:color w:val="auto"/>
          <w:spacing w:val="-2"/>
        </w:rPr>
        <w:t>展示患者本次就诊的现病史信息。</w:t>
      </w:r>
    </w:p>
    <w:p w14:paraId="0F208AF0">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r>
        <w:rPr>
          <w:color w:val="auto"/>
          <w:spacing w:val="-2"/>
        </w:rPr>
        <w:t>长期医嘱、临时医嘱</w:t>
      </w:r>
    </w:p>
    <w:p w14:paraId="7737F5D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展示患者本次就诊的医嘱信息并包含医嘱闭环查看、医嘱关键字筛选、医嘱类别筛选等筛选条件。</w:t>
      </w:r>
    </w:p>
    <w:p w14:paraId="50ECD546">
      <w:pPr>
        <w:pStyle w:val="24"/>
        <w:keepNext w:val="0"/>
        <w:keepLines w:val="0"/>
        <w:pageBreakBefore w:val="0"/>
        <w:widowControl w:val="0"/>
        <w:numPr>
          <w:ilvl w:val="5"/>
          <w:numId w:val="2"/>
        </w:numPr>
        <w:tabs>
          <w:tab w:val="left" w:pos="2320"/>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检验报告</w:t>
      </w:r>
    </w:p>
    <w:p w14:paraId="51C0936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2" w:firstLine="479"/>
        <w:textAlignment w:val="auto"/>
        <w:rPr>
          <w:color w:val="auto"/>
        </w:rPr>
      </w:pPr>
      <w:r>
        <w:rPr>
          <w:rFonts w:hint="default" w:ascii="Arial" w:hAnsi="Arial" w:cs="Arial"/>
          <w:color w:val="auto"/>
          <w:sz w:val="24"/>
          <w:szCs w:val="24"/>
        </w:rPr>
        <w:t>√</w:t>
      </w:r>
      <w:r>
        <w:rPr>
          <w:color w:val="auto"/>
          <w:spacing w:val="-2"/>
        </w:rPr>
        <w:t>可以进行分组展示常规检验报告和微生物检验报告。报告可以展示格式为</w:t>
      </w:r>
      <w:r>
        <w:rPr>
          <w:color w:val="auto"/>
          <w:spacing w:val="40"/>
        </w:rPr>
        <w:t xml:space="preserve"> </w:t>
      </w:r>
      <w:r>
        <w:rPr>
          <w:color w:val="auto"/>
          <w:spacing w:val="-2"/>
        </w:rPr>
        <w:t>PDF、图片格式、第三方页面，同时可以查看历次检验报告、历次检验报告详情、检验闭环等功能。历次趋势分析结果，查看原始报告</w:t>
      </w:r>
      <w:r>
        <w:rPr>
          <w:rFonts w:hint="eastAsia"/>
          <w:color w:val="auto"/>
          <w:spacing w:val="-2"/>
          <w:lang w:eastAsia="zh-CN"/>
        </w:rPr>
        <w:t>；</w:t>
      </w:r>
      <w:r>
        <w:rPr>
          <w:color w:val="auto"/>
          <w:spacing w:val="-2"/>
        </w:rPr>
        <w:t>检验报告异常提示功能：检验报告列表增加报告异常提示，提示医生查看包含异常的信息报告。</w:t>
      </w:r>
    </w:p>
    <w:p w14:paraId="3712B83B">
      <w:pPr>
        <w:pStyle w:val="24"/>
        <w:keepNext w:val="0"/>
        <w:keepLines w:val="0"/>
        <w:pageBreakBefore w:val="0"/>
        <w:widowControl w:val="0"/>
        <w:numPr>
          <w:ilvl w:val="5"/>
          <w:numId w:val="2"/>
        </w:numPr>
        <w:tabs>
          <w:tab w:val="left" w:pos="2320"/>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检查报告</w:t>
      </w:r>
    </w:p>
    <w:p w14:paraId="7DAFC52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z w:val="24"/>
          <w:szCs w:val="24"/>
        </w:rPr>
        <w:t>√</w:t>
      </w:r>
      <w:r>
        <w:rPr>
          <w:color w:val="auto"/>
        </w:rPr>
        <w:t>可以进行分组展示心电图、CT</w:t>
      </w:r>
      <w:r>
        <w:rPr>
          <w:color w:val="auto"/>
          <w:spacing w:val="-2"/>
        </w:rPr>
        <w:t xml:space="preserve"> 等检查报告。报告可以展示格式为 </w:t>
      </w:r>
      <w:r>
        <w:rPr>
          <w:color w:val="auto"/>
        </w:rPr>
        <w:t>PDF、图</w:t>
      </w:r>
      <w:r>
        <w:rPr>
          <w:color w:val="auto"/>
          <w:spacing w:val="-2"/>
        </w:rPr>
        <w:t>片格式、第三方页面，可配置展示三方影像信息，可查看历次检查报告、历次检查报告详细等功能。查看放射，超声，内镜，心电，核医学等报告。</w:t>
      </w:r>
    </w:p>
    <w:p w14:paraId="7B732264">
      <w:pPr>
        <w:pStyle w:val="24"/>
        <w:keepNext w:val="0"/>
        <w:keepLines w:val="0"/>
        <w:pageBreakBefore w:val="0"/>
        <w:widowControl w:val="0"/>
        <w:numPr>
          <w:ilvl w:val="5"/>
          <w:numId w:val="2"/>
        </w:numPr>
        <w:tabs>
          <w:tab w:val="left" w:pos="2321"/>
        </w:tabs>
        <w:kinsoku/>
        <w:wordWrap/>
        <w:overflowPunct/>
        <w:topLinePunct w:val="0"/>
        <w:autoSpaceDE w:val="0"/>
        <w:autoSpaceDN w:val="0"/>
        <w:bidi w:val="0"/>
        <w:adjustRightInd/>
        <w:snapToGrid/>
        <w:spacing w:before="0" w:line="360" w:lineRule="auto"/>
        <w:jc w:val="both"/>
        <w:textAlignment w:val="auto"/>
        <w:rPr>
          <w:color w:val="auto"/>
          <w:sz w:val="24"/>
        </w:rPr>
      </w:pPr>
      <w:r>
        <w:rPr>
          <w:color w:val="auto"/>
          <w:spacing w:val="-3"/>
          <w:sz w:val="24"/>
        </w:rPr>
        <w:t>体检报告</w:t>
      </w:r>
    </w:p>
    <w:p w14:paraId="26854BC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4" w:firstLine="479"/>
        <w:jc w:val="both"/>
        <w:textAlignment w:val="auto"/>
        <w:rPr>
          <w:color w:val="auto"/>
        </w:rPr>
      </w:pPr>
      <w:r>
        <w:rPr>
          <w:rFonts w:hint="default" w:ascii="Arial" w:hAnsi="Arial" w:cs="Arial"/>
          <w:color w:val="auto"/>
          <w:sz w:val="24"/>
          <w:szCs w:val="24"/>
        </w:rPr>
        <w:t>√</w:t>
      </w:r>
      <w:r>
        <w:rPr>
          <w:color w:val="auto"/>
        </w:rPr>
        <w:t>展示患者本次就诊的体检报告，报告可以展示格式为 PDF、图片格式、第</w:t>
      </w:r>
      <w:r>
        <w:rPr>
          <w:color w:val="auto"/>
          <w:spacing w:val="-2"/>
        </w:rPr>
        <w:t>三方页面。</w:t>
      </w:r>
    </w:p>
    <w:p w14:paraId="1EF714A3">
      <w:pPr>
        <w:pStyle w:val="24"/>
        <w:keepNext w:val="0"/>
        <w:keepLines w:val="0"/>
        <w:pageBreakBefore w:val="0"/>
        <w:widowControl w:val="0"/>
        <w:numPr>
          <w:ilvl w:val="5"/>
          <w:numId w:val="2"/>
        </w:numPr>
        <w:tabs>
          <w:tab w:val="left" w:pos="2321"/>
        </w:tabs>
        <w:kinsoku/>
        <w:wordWrap/>
        <w:overflowPunct/>
        <w:topLinePunct w:val="0"/>
        <w:autoSpaceDE w:val="0"/>
        <w:autoSpaceDN w:val="0"/>
        <w:bidi w:val="0"/>
        <w:adjustRightInd/>
        <w:snapToGrid/>
        <w:spacing w:before="0" w:line="360" w:lineRule="auto"/>
        <w:jc w:val="both"/>
        <w:textAlignment w:val="auto"/>
        <w:rPr>
          <w:color w:val="auto"/>
          <w:sz w:val="24"/>
        </w:rPr>
      </w:pPr>
      <w:r>
        <w:rPr>
          <w:color w:val="auto"/>
          <w:spacing w:val="-3"/>
          <w:sz w:val="24"/>
        </w:rPr>
        <w:t>血糖报告</w:t>
      </w:r>
    </w:p>
    <w:p w14:paraId="611C36D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4" w:firstLine="479"/>
        <w:jc w:val="both"/>
        <w:textAlignment w:val="auto"/>
        <w:rPr>
          <w:color w:val="auto"/>
        </w:rPr>
      </w:pPr>
      <w:r>
        <w:rPr>
          <w:rFonts w:hint="default" w:ascii="Arial" w:hAnsi="Arial" w:cs="Arial"/>
          <w:color w:val="auto"/>
          <w:sz w:val="24"/>
          <w:szCs w:val="24"/>
        </w:rPr>
        <w:t>√</w:t>
      </w:r>
      <w:r>
        <w:rPr>
          <w:color w:val="auto"/>
        </w:rPr>
        <w:t>展示患者本次就诊的血糖报告，报告可以展示格式为 PDF、图片格式、第</w:t>
      </w:r>
      <w:r>
        <w:rPr>
          <w:color w:val="auto"/>
          <w:spacing w:val="-2"/>
        </w:rPr>
        <w:t>三方页面。</w:t>
      </w:r>
    </w:p>
    <w:p w14:paraId="1091A540">
      <w:pPr>
        <w:pStyle w:val="24"/>
        <w:keepNext w:val="0"/>
        <w:keepLines w:val="0"/>
        <w:pageBreakBefore w:val="0"/>
        <w:widowControl w:val="0"/>
        <w:numPr>
          <w:ilvl w:val="5"/>
          <w:numId w:val="2"/>
        </w:numPr>
        <w:tabs>
          <w:tab w:val="left" w:pos="2321"/>
        </w:tabs>
        <w:kinsoku/>
        <w:wordWrap/>
        <w:overflowPunct/>
        <w:topLinePunct w:val="0"/>
        <w:autoSpaceDE w:val="0"/>
        <w:autoSpaceDN w:val="0"/>
        <w:bidi w:val="0"/>
        <w:adjustRightInd/>
        <w:snapToGrid/>
        <w:spacing w:before="0" w:line="360" w:lineRule="auto"/>
        <w:jc w:val="both"/>
        <w:textAlignment w:val="auto"/>
        <w:rPr>
          <w:color w:val="auto"/>
          <w:sz w:val="24"/>
        </w:rPr>
      </w:pPr>
      <w:r>
        <w:rPr>
          <w:color w:val="auto"/>
          <w:spacing w:val="-3"/>
          <w:sz w:val="24"/>
        </w:rPr>
        <w:t>过敏信息</w:t>
      </w:r>
    </w:p>
    <w:p w14:paraId="3274B8C9">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4825"/>
        <w:jc w:val="both"/>
        <w:textAlignment w:val="auto"/>
        <w:rPr>
          <w:color w:val="auto"/>
        </w:rPr>
      </w:pPr>
      <w:r>
        <w:rPr>
          <w:rFonts w:hint="default" w:ascii="Arial" w:hAnsi="Arial" w:cs="Arial"/>
          <w:color w:val="auto"/>
          <w:sz w:val="24"/>
          <w:szCs w:val="24"/>
        </w:rPr>
        <w:t>√</w:t>
      </w:r>
      <w:r>
        <w:rPr>
          <w:color w:val="auto"/>
          <w:spacing w:val="-2"/>
        </w:rPr>
        <w:t xml:space="preserve">展示患者本次就诊的过敏信息。 </w:t>
      </w:r>
      <w:r>
        <w:rPr>
          <w:color w:val="auto"/>
        </w:rPr>
        <w:t>5.1.2.5.4.10 手术历史</w:t>
      </w:r>
    </w:p>
    <w:p w14:paraId="22B1A40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4825"/>
        <w:jc w:val="both"/>
        <w:textAlignment w:val="auto"/>
        <w:rPr>
          <w:color w:val="auto"/>
        </w:rPr>
      </w:pPr>
      <w:r>
        <w:rPr>
          <w:rFonts w:hint="default" w:ascii="Arial" w:hAnsi="Arial" w:cs="Arial"/>
          <w:color w:val="auto"/>
          <w:sz w:val="24"/>
          <w:szCs w:val="24"/>
        </w:rPr>
        <w:t>√</w:t>
      </w:r>
      <w:r>
        <w:rPr>
          <w:color w:val="auto"/>
          <w:spacing w:val="-2"/>
        </w:rPr>
        <w:t xml:space="preserve">展示患者本次就诊的手术历史。 </w:t>
      </w:r>
      <w:r>
        <w:rPr>
          <w:color w:val="auto"/>
        </w:rPr>
        <w:t>5.1.2.5.4.11 病历文书</w:t>
      </w:r>
    </w:p>
    <w:p w14:paraId="4088C7A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6" w:firstLine="479"/>
        <w:textAlignment w:val="auto"/>
        <w:rPr>
          <w:color w:val="auto"/>
        </w:rPr>
      </w:pPr>
      <w:r>
        <w:rPr>
          <w:rFonts w:hint="default" w:ascii="Arial" w:hAnsi="Arial" w:cs="Arial"/>
          <w:color w:val="auto"/>
          <w:sz w:val="24"/>
          <w:szCs w:val="24"/>
        </w:rPr>
        <w:t>√</w:t>
      </w:r>
      <w:r>
        <w:rPr>
          <w:color w:val="auto"/>
          <w:spacing w:val="-2"/>
        </w:rPr>
        <w:t>展示患者本次就诊的病历文档，报告可以展示结构化数据，也可展示格式</w:t>
      </w:r>
      <w:r>
        <w:rPr>
          <w:color w:val="auto"/>
          <w:spacing w:val="40"/>
        </w:rPr>
        <w:t xml:space="preserve">  </w:t>
      </w:r>
      <w:r>
        <w:rPr>
          <w:color w:val="auto"/>
          <w:spacing w:val="-10"/>
        </w:rPr>
        <w:t xml:space="preserve">为 </w:t>
      </w:r>
      <w:r>
        <w:rPr>
          <w:color w:val="auto"/>
          <w:spacing w:val="-2"/>
        </w:rPr>
        <w:t>PDF</w:t>
      </w:r>
      <w:r>
        <w:rPr>
          <w:color w:val="auto"/>
          <w:spacing w:val="-3"/>
        </w:rPr>
        <w:t xml:space="preserve">、图片格式、第三方页面等。该文档可以显示 </w:t>
      </w:r>
      <w:r>
        <w:rPr>
          <w:color w:val="auto"/>
          <w:spacing w:val="-2"/>
        </w:rPr>
        <w:t>18</w:t>
      </w:r>
      <w:r>
        <w:rPr>
          <w:color w:val="auto"/>
          <w:spacing w:val="-6"/>
        </w:rPr>
        <w:t xml:space="preserve"> 种病历文书</w:t>
      </w:r>
      <w:r>
        <w:rPr>
          <w:color w:val="auto"/>
          <w:spacing w:val="-2"/>
        </w:rPr>
        <w:t>（入院记录、急诊留观、血透、会诊记录、首次评估护理、知情告知书、出院记录、麻醉术</w:t>
      </w:r>
      <w:r>
        <w:rPr>
          <w:color w:val="auto"/>
          <w:spacing w:val="40"/>
        </w:rPr>
        <w:t xml:space="preserve">  </w:t>
      </w:r>
      <w:r>
        <w:rPr>
          <w:color w:val="auto"/>
          <w:spacing w:val="-2"/>
        </w:rPr>
        <w:t>后访视记录、手术护理记录、一般护理记录单、麻醉知情同意书、病重（病危）护理记录、待产记录、出入量记录、重症护理单、麻醉术前访视记录、麻醉记</w:t>
      </w:r>
      <w:r>
        <w:rPr>
          <w:color w:val="auto"/>
          <w:spacing w:val="40"/>
        </w:rPr>
        <w:t xml:space="preserve">  </w:t>
      </w:r>
      <w:r>
        <w:rPr>
          <w:color w:val="auto"/>
          <w:spacing w:val="-2"/>
        </w:rPr>
        <w:t>录单、体温单），也可配置某一类文档进行单独展示，方便医生可以快速查看</w:t>
      </w:r>
      <w:r>
        <w:rPr>
          <w:color w:val="auto"/>
          <w:spacing w:val="40"/>
        </w:rPr>
        <w:t xml:space="preserve">  </w:t>
      </w:r>
      <w:r>
        <w:rPr>
          <w:color w:val="auto"/>
          <w:spacing w:val="-2"/>
        </w:rPr>
        <w:t>病历文档。</w:t>
      </w:r>
    </w:p>
    <w:p w14:paraId="38032103">
      <w:pPr>
        <w:pStyle w:val="24"/>
        <w:keepNext w:val="0"/>
        <w:keepLines w:val="0"/>
        <w:pageBreakBefore w:val="0"/>
        <w:widowControl w:val="0"/>
        <w:numPr>
          <w:ilvl w:val="5"/>
          <w:numId w:val="3"/>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发药记录</w:t>
      </w:r>
    </w:p>
    <w:p w14:paraId="0D29ADD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展示患者本次就诊的发药记录，医生可以查看该患者开具了什么药品以及</w:t>
      </w:r>
      <w:r>
        <w:rPr>
          <w:color w:val="auto"/>
          <w:spacing w:val="-4"/>
        </w:rPr>
        <w:t>药品信息</w:t>
      </w:r>
    </w:p>
    <w:p w14:paraId="148A2AA5">
      <w:pPr>
        <w:pStyle w:val="24"/>
        <w:keepNext w:val="0"/>
        <w:keepLines w:val="0"/>
        <w:pageBreakBefore w:val="0"/>
        <w:widowControl w:val="0"/>
        <w:numPr>
          <w:ilvl w:val="5"/>
          <w:numId w:val="3"/>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2"/>
          <w:sz w:val="24"/>
        </w:rPr>
        <w:t>血透记录单</w:t>
      </w:r>
    </w:p>
    <w:p w14:paraId="73F6B08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3683"/>
        <w:textAlignment w:val="auto"/>
        <w:rPr>
          <w:color w:val="auto"/>
        </w:rPr>
      </w:pPr>
      <w:r>
        <w:rPr>
          <w:rFonts w:hint="default" w:ascii="Arial" w:hAnsi="Arial" w:cs="Arial"/>
          <w:color w:val="auto"/>
          <w:sz w:val="24"/>
          <w:szCs w:val="24"/>
        </w:rPr>
        <w:t>√</w:t>
      </w:r>
      <w:r>
        <w:rPr>
          <w:color w:val="auto"/>
          <w:spacing w:val="-2"/>
        </w:rPr>
        <w:t xml:space="preserve">展示患者本次就诊的血透记录单信息。 </w:t>
      </w:r>
      <w:r>
        <w:rPr>
          <w:color w:val="auto"/>
        </w:rPr>
        <w:t>5.1.2.5.4.14 药品执行单、非药品执行单</w:t>
      </w:r>
    </w:p>
    <w:p w14:paraId="132603D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展示患者本次就诊的药品执行单、非药品执行单信息，医生可以掌握执行单的执行情况，并对患者情况进行分析。</w:t>
      </w:r>
    </w:p>
    <w:p w14:paraId="7899469B">
      <w:pPr>
        <w:pStyle w:val="24"/>
        <w:keepNext w:val="0"/>
        <w:keepLines w:val="0"/>
        <w:pageBreakBefore w:val="0"/>
        <w:widowControl w:val="0"/>
        <w:numPr>
          <w:ilvl w:val="5"/>
          <w:numId w:val="4"/>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1"/>
          <w:sz w:val="24"/>
        </w:rPr>
        <w:t>检查申请单、检验申请单</w:t>
      </w:r>
    </w:p>
    <w:p w14:paraId="213BA11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color w:val="auto"/>
        </w:rPr>
      </w:pPr>
      <w:r>
        <w:rPr>
          <w:rFonts w:hint="default" w:ascii="Arial" w:hAnsi="Arial" w:cs="Arial"/>
          <w:color w:val="auto"/>
          <w:sz w:val="24"/>
          <w:szCs w:val="24"/>
        </w:rPr>
        <w:t>√</w:t>
      </w:r>
      <w:r>
        <w:rPr>
          <w:color w:val="auto"/>
          <w:spacing w:val="-2"/>
        </w:rPr>
        <w:t>展示患者本次就诊的申请单信息，医生可以查看具体申请了哪些检查检验</w:t>
      </w:r>
      <w:r>
        <w:rPr>
          <w:color w:val="auto"/>
          <w:spacing w:val="-4"/>
        </w:rPr>
        <w:t>信息。</w:t>
      </w:r>
    </w:p>
    <w:p w14:paraId="3738BF61">
      <w:pPr>
        <w:pStyle w:val="24"/>
        <w:keepNext w:val="0"/>
        <w:keepLines w:val="0"/>
        <w:pageBreakBefore w:val="0"/>
        <w:widowControl w:val="0"/>
        <w:numPr>
          <w:ilvl w:val="5"/>
          <w:numId w:val="4"/>
        </w:numPr>
        <w:tabs>
          <w:tab w:val="left" w:pos="2321"/>
        </w:tabs>
        <w:kinsoku/>
        <w:wordWrap/>
        <w:overflowPunct/>
        <w:topLinePunct w:val="0"/>
        <w:autoSpaceDE w:val="0"/>
        <w:autoSpaceDN w:val="0"/>
        <w:bidi w:val="0"/>
        <w:adjustRightInd/>
        <w:snapToGrid/>
        <w:spacing w:before="0"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WEB</w:t>
      </w:r>
      <w:r>
        <w:rPr>
          <w:rFonts w:hint="eastAsia" w:ascii="宋体" w:hAnsi="宋体" w:eastAsia="宋体" w:cs="宋体"/>
          <w:color w:val="auto"/>
          <w:spacing w:val="-9"/>
          <w:sz w:val="24"/>
        </w:rPr>
        <w:t xml:space="preserve"> </w:t>
      </w:r>
      <w:r>
        <w:rPr>
          <w:rFonts w:hint="eastAsia" w:ascii="宋体" w:hAnsi="宋体" w:eastAsia="宋体" w:cs="宋体"/>
          <w:color w:val="auto"/>
          <w:spacing w:val="-5"/>
          <w:sz w:val="24"/>
        </w:rPr>
        <w:t>病历</w:t>
      </w:r>
    </w:p>
    <w:p w14:paraId="0B6AE3F3">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503"/>
        <w:textAlignment w:val="auto"/>
        <w:rPr>
          <w:color w:val="auto"/>
        </w:rPr>
      </w:pPr>
      <w:r>
        <w:rPr>
          <w:rFonts w:hint="default" w:ascii="Arial" w:hAnsi="Arial" w:cs="Arial"/>
          <w:color w:val="auto"/>
          <w:sz w:val="24"/>
          <w:szCs w:val="24"/>
        </w:rPr>
        <w:t>√</w:t>
      </w:r>
      <w:r>
        <w:rPr>
          <w:color w:val="auto"/>
          <w:spacing w:val="-5"/>
        </w:rPr>
        <w:t xml:space="preserve">展示患者本次就诊的病历，该病历可以为 </w:t>
      </w:r>
      <w:r>
        <w:rPr>
          <w:color w:val="auto"/>
          <w:spacing w:val="-2"/>
        </w:rPr>
        <w:t>HIS</w:t>
      </w:r>
      <w:r>
        <w:rPr>
          <w:color w:val="auto"/>
          <w:spacing w:val="-9"/>
        </w:rPr>
        <w:t xml:space="preserve"> 病历以及其他第三方病历。</w:t>
      </w:r>
      <w:r>
        <w:rPr>
          <w:color w:val="auto"/>
          <w:spacing w:val="-2"/>
        </w:rPr>
        <w:t xml:space="preserve"> </w:t>
      </w:r>
      <w:r>
        <w:rPr>
          <w:color w:val="auto"/>
        </w:rPr>
        <w:t>5.1.2.5.4.17 麻醉护理收费信息</w:t>
      </w:r>
    </w:p>
    <w:p w14:paraId="04FA414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3865"/>
        <w:textAlignment w:val="auto"/>
        <w:rPr>
          <w:color w:val="auto"/>
        </w:rPr>
      </w:pPr>
      <w:r>
        <w:rPr>
          <w:rFonts w:hint="default" w:ascii="Arial" w:hAnsi="Arial" w:cs="Arial"/>
          <w:color w:val="auto"/>
          <w:sz w:val="24"/>
          <w:szCs w:val="24"/>
        </w:rPr>
        <w:t>√</w:t>
      </w:r>
      <w:r>
        <w:rPr>
          <w:color w:val="auto"/>
          <w:spacing w:val="-2"/>
        </w:rPr>
        <w:t xml:space="preserve">展示患者本次就诊的麻醉护理收费信息。 </w:t>
      </w:r>
      <w:r>
        <w:rPr>
          <w:color w:val="auto"/>
        </w:rPr>
        <w:t>5.1.2.5.4.18 共享文档</w:t>
      </w:r>
    </w:p>
    <w:p w14:paraId="54EB637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color w:val="auto"/>
        </w:rPr>
      </w:pPr>
      <w:r>
        <w:rPr>
          <w:rFonts w:hint="default" w:ascii="Arial" w:hAnsi="Arial" w:cs="Arial"/>
          <w:color w:val="auto"/>
          <w:sz w:val="24"/>
          <w:szCs w:val="24"/>
        </w:rPr>
        <w:t>√</w:t>
      </w:r>
      <w:r>
        <w:rPr>
          <w:color w:val="auto"/>
          <w:spacing w:val="-3"/>
        </w:rPr>
        <w:t xml:space="preserve">展示患者本次就诊的共享文档，共 </w:t>
      </w:r>
      <w:r>
        <w:rPr>
          <w:color w:val="auto"/>
        </w:rPr>
        <w:t>53</w:t>
      </w:r>
      <w:r>
        <w:rPr>
          <w:color w:val="auto"/>
          <w:spacing w:val="-24"/>
        </w:rPr>
        <w:t xml:space="preserve"> 类</w:t>
      </w:r>
      <w:r>
        <w:rPr>
          <w:color w:val="auto"/>
        </w:rPr>
        <w:t>（病历概要、门急诊病历、急诊留观病例、西药处方、中药处方、检查报告、检验报告（常规）</w:t>
      </w:r>
      <w:r>
        <w:rPr>
          <w:color w:val="auto"/>
          <w:spacing w:val="-2"/>
        </w:rPr>
        <w:t>、治疗记录、手术记录、麻醉术前访视记录、麻醉记录、麻醉术后访视记录、输血记录、待产记录、阴道分娩记录、剖宫产记录、一般护理记录、病重（病危）患者护理记录、手术护理记录、生命体征测量记、出入量记录、高值耗材使用记录、入院评估、护理计划、出院评估与指导、手术知情同意书、麻醉知情同意书、输血治疗同意书、特殊检查及特殊治疗同意书、病危（重）通知书、其他知情告知同意书、病案首页、中医住院病案首页、入院记录、24h</w:t>
      </w:r>
      <w:r>
        <w:rPr>
          <w:color w:val="auto"/>
          <w:spacing w:val="-7"/>
        </w:rPr>
        <w:t xml:space="preserve"> 内入出院记录、</w:t>
      </w:r>
      <w:r>
        <w:rPr>
          <w:color w:val="auto"/>
          <w:spacing w:val="-2"/>
        </w:rPr>
        <w:t>24h</w:t>
      </w:r>
      <w:r>
        <w:rPr>
          <w:color w:val="auto"/>
          <w:spacing w:val="-14"/>
        </w:rPr>
        <w:t xml:space="preserve"> 内</w:t>
      </w:r>
      <w:r>
        <w:rPr>
          <w:color w:val="auto"/>
          <w:spacing w:val="-2"/>
        </w:rPr>
        <w:t>死亡记录、首次病程记录、日常病程记录、上级医师查房记录、疑难病例讨论记录、交接班记录、转科记录、阶段小结、抢救记录、会诊记录、术前小结、术前讨论记录、术后首次病程记录、出院记录、注死亡记录、死亡病例讨论记录、住院医嘱、出院小结）。</w:t>
      </w:r>
    </w:p>
    <w:p w14:paraId="65D2B3E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4825"/>
        <w:jc w:val="both"/>
        <w:textAlignment w:val="auto"/>
        <w:rPr>
          <w:color w:val="auto"/>
        </w:rPr>
      </w:pPr>
      <w:r>
        <w:rPr>
          <w:color w:val="auto"/>
        </w:rPr>
        <w:t>5.1.2.5.4.19</w:t>
      </w:r>
      <w:r>
        <w:rPr>
          <w:color w:val="auto"/>
          <w:spacing w:val="8"/>
        </w:rPr>
        <w:t xml:space="preserve"> 三方病历展示</w:t>
      </w:r>
      <w:r>
        <w:rPr>
          <w:color w:val="auto"/>
        </w:rPr>
        <w:t xml:space="preserve"> </w:t>
      </w:r>
    </w:p>
    <w:p w14:paraId="4C2EB4EB">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4825"/>
        <w:jc w:val="both"/>
        <w:textAlignment w:val="auto"/>
        <w:rPr>
          <w:color w:val="auto"/>
        </w:rPr>
      </w:pPr>
      <w:r>
        <w:rPr>
          <w:rFonts w:hint="default" w:ascii="Arial" w:hAnsi="Arial" w:cs="Arial"/>
          <w:color w:val="auto"/>
          <w:sz w:val="24"/>
          <w:szCs w:val="24"/>
        </w:rPr>
        <w:t>√</w:t>
      </w:r>
      <w:r>
        <w:rPr>
          <w:color w:val="auto"/>
          <w:spacing w:val="-1"/>
        </w:rPr>
        <w:t>展示患者本次就诊的三方病历。</w:t>
      </w:r>
    </w:p>
    <w:p w14:paraId="023DBE57">
      <w:pPr>
        <w:pStyle w:val="23"/>
        <w:keepNext w:val="0"/>
        <w:keepLines w:val="0"/>
        <w:pageBreakBefore w:val="0"/>
        <w:widowControl w:val="0"/>
        <w:numPr>
          <w:ilvl w:val="2"/>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rPr>
      </w:pPr>
      <w:bookmarkStart w:id="174" w:name="_bookmark25"/>
      <w:bookmarkEnd w:id="174"/>
      <w:r>
        <w:rPr>
          <w:color w:val="auto"/>
          <w:spacing w:val="-2"/>
        </w:rPr>
        <w:t>医院数据中</w:t>
      </w:r>
      <w:r>
        <w:rPr>
          <w:color w:val="auto"/>
          <w:spacing w:val="-10"/>
        </w:rPr>
        <w:t>心</w:t>
      </w:r>
    </w:p>
    <w:p w14:paraId="3536B114">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数据治理</w:t>
      </w:r>
    </w:p>
    <w:p w14:paraId="2E42CE4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rFonts w:hint="default" w:ascii="Arial" w:hAnsi="Arial" w:cs="Arial"/>
          <w:color w:val="auto"/>
          <w:sz w:val="24"/>
          <w:szCs w:val="24"/>
        </w:rPr>
      </w:pPr>
      <w:r>
        <w:rPr>
          <w:rFonts w:hint="default" w:ascii="Arial" w:hAnsi="Arial" w:cs="Arial"/>
          <w:color w:val="auto"/>
          <w:sz w:val="24"/>
          <w:szCs w:val="24"/>
        </w:rPr>
        <w:t>√数据治理包括：数据采集、数据标准化处理、数据更新同步、数据存储、 数据质量管控。在合理授权和保证安全的基础上，要能够提供标准的服务接口，供其他系统调用。对关键数据要有隐私保护机制。</w:t>
      </w:r>
    </w:p>
    <w:p w14:paraId="06F0789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rFonts w:hint="default" w:ascii="Arial" w:hAnsi="Arial" w:cs="Arial"/>
          <w:color w:val="auto"/>
          <w:sz w:val="24"/>
          <w:szCs w:val="24"/>
        </w:rPr>
      </w:pPr>
      <w:r>
        <w:rPr>
          <w:rFonts w:hint="default" w:ascii="Arial" w:hAnsi="Arial" w:cs="Arial"/>
          <w:color w:val="auto"/>
          <w:sz w:val="24"/>
          <w:szCs w:val="24"/>
        </w:rPr>
        <w:t>√数据交换</w:t>
      </w:r>
      <w:r>
        <w:rPr>
          <w:rFonts w:hint="eastAsia" w:ascii="Arial" w:hAnsi="Arial" w:cs="Arial"/>
          <w:color w:val="auto"/>
          <w:sz w:val="24"/>
          <w:szCs w:val="24"/>
          <w:lang w:eastAsia="zh-CN"/>
        </w:rPr>
        <w:t>：</w:t>
      </w:r>
      <w:r>
        <w:rPr>
          <w:rFonts w:hint="default" w:ascii="Arial" w:hAnsi="Arial" w:cs="Arial"/>
          <w:color w:val="auto"/>
          <w:sz w:val="24"/>
          <w:szCs w:val="24"/>
        </w:rPr>
        <w:t>支持数据源管理，与本院内既有数据资源的数据源进行对接与管理，将各本院卫生信息平台以及各科室的数据资源接入到系统中，实现对数据源的注册与管理，实现对数据源抽取出的表结构或元数据的定义</w:t>
      </w:r>
      <w:r>
        <w:rPr>
          <w:rFonts w:hint="eastAsia" w:ascii="Arial" w:hAnsi="Arial" w:cs="Arial"/>
          <w:color w:val="auto"/>
          <w:sz w:val="24"/>
          <w:szCs w:val="24"/>
          <w:lang w:eastAsia="zh-CN"/>
        </w:rPr>
        <w:t>；</w:t>
      </w:r>
      <w:r>
        <w:rPr>
          <w:rFonts w:hint="default" w:ascii="Arial" w:hAnsi="Arial" w:cs="Arial"/>
          <w:color w:val="auto"/>
          <w:sz w:val="24"/>
          <w:szCs w:val="24"/>
        </w:rPr>
        <w:t>支持数据交换规则管理，包括支持集中上传、多点向下分发数据流转模式；支持跨多个节点的数据流转模式；人工、定时启动流程</w:t>
      </w:r>
      <w:r>
        <w:rPr>
          <w:rFonts w:hint="eastAsia" w:ascii="Arial" w:hAnsi="Arial" w:cs="Arial"/>
          <w:color w:val="auto"/>
          <w:sz w:val="24"/>
          <w:szCs w:val="24"/>
          <w:lang w:eastAsia="zh-CN"/>
        </w:rPr>
        <w:t>；</w:t>
      </w:r>
      <w:r>
        <w:rPr>
          <w:rFonts w:hint="default" w:ascii="Arial" w:hAnsi="Arial" w:cs="Arial"/>
          <w:color w:val="auto"/>
          <w:sz w:val="24"/>
          <w:szCs w:val="24"/>
        </w:rPr>
        <w:t>支持数据交换任务管理，实现对数据交换的安全控制，提供安全、稳定的传输通道，支持数据的重传、确认、压缩；可暂停、恢复、重启、终止数据交换过程中的采集、输出环节等等</w:t>
      </w:r>
      <w:r>
        <w:rPr>
          <w:rFonts w:hint="eastAsia" w:ascii="Arial" w:hAnsi="Arial" w:cs="Arial"/>
          <w:color w:val="auto"/>
          <w:sz w:val="24"/>
          <w:szCs w:val="24"/>
          <w:lang w:eastAsia="zh-CN"/>
        </w:rPr>
        <w:t>；</w:t>
      </w:r>
      <w:r>
        <w:rPr>
          <w:rFonts w:hint="default" w:ascii="Arial" w:hAnsi="Arial" w:cs="Arial"/>
          <w:color w:val="auto"/>
          <w:sz w:val="24"/>
          <w:szCs w:val="24"/>
        </w:rPr>
        <w:t>支持数据填报任务管理，实现针对数据填报的对应表单及任务的管理</w:t>
      </w:r>
      <w:r>
        <w:rPr>
          <w:rFonts w:hint="eastAsia" w:ascii="Arial" w:hAnsi="Arial" w:cs="Arial"/>
          <w:color w:val="auto"/>
          <w:sz w:val="24"/>
          <w:szCs w:val="24"/>
          <w:lang w:eastAsia="zh-CN"/>
        </w:rPr>
        <w:t>；</w:t>
      </w:r>
      <w:r>
        <w:rPr>
          <w:rFonts w:hint="default" w:ascii="Arial" w:hAnsi="Arial" w:cs="Arial"/>
          <w:color w:val="auto"/>
          <w:sz w:val="24"/>
          <w:szCs w:val="24"/>
        </w:rPr>
        <w:t>支持数据填报初级质控，在填报表单中实现对填报内容的初级质控。 数据清洗</w:t>
      </w:r>
      <w:r>
        <w:rPr>
          <w:rFonts w:hint="eastAsia" w:ascii="Arial" w:hAnsi="Arial" w:cs="Arial"/>
          <w:color w:val="auto"/>
          <w:sz w:val="24"/>
          <w:szCs w:val="24"/>
          <w:lang w:eastAsia="zh-CN"/>
        </w:rPr>
        <w:t>：</w:t>
      </w:r>
      <w:r>
        <w:rPr>
          <w:rFonts w:hint="default" w:ascii="Arial" w:hAnsi="Arial" w:cs="Arial"/>
          <w:color w:val="auto"/>
          <w:sz w:val="24"/>
          <w:szCs w:val="24"/>
        </w:rPr>
        <w:t>支持清洗规则管理，基于数据仓库及数据利用的要求，建立针对目标数据 的清洗规则管理，实现对清洗规则及相关方案的管理及维护，支撑对数据处理</w:t>
      </w:r>
      <w:r>
        <w:rPr>
          <w:rFonts w:hint="eastAsia" w:ascii="Arial" w:hAnsi="Arial" w:cs="Arial"/>
          <w:color w:val="auto"/>
          <w:sz w:val="24"/>
          <w:szCs w:val="24"/>
          <w:lang w:eastAsia="zh-CN"/>
        </w:rPr>
        <w:t>；</w:t>
      </w:r>
      <w:r>
        <w:rPr>
          <w:rFonts w:hint="default" w:ascii="Arial" w:hAnsi="Arial" w:cs="Arial"/>
          <w:color w:val="auto"/>
          <w:sz w:val="24"/>
          <w:szCs w:val="24"/>
        </w:rPr>
        <w:t>支持数据清洗任务管理，结合数据清洗规则实现对清洗任务触发条件、频率以及输入/输出的管理，可暂停、恢复、重启、终止针对特定数据清洗任务。支持数据完整性清洗，结合数据分析确定数据完整性存在的问题，确定清洗规则，基于标准补全及特殊值法对无效值和缺失值进行转化，使之符合数据分析要求</w:t>
      </w:r>
      <w:r>
        <w:rPr>
          <w:rFonts w:hint="eastAsia" w:ascii="Arial" w:hAnsi="Arial" w:cs="Arial"/>
          <w:color w:val="auto"/>
          <w:sz w:val="24"/>
          <w:szCs w:val="24"/>
          <w:lang w:eastAsia="zh-CN"/>
        </w:rPr>
        <w:t>；</w:t>
      </w:r>
      <w:r>
        <w:rPr>
          <w:rFonts w:hint="default" w:ascii="Arial" w:hAnsi="Arial" w:cs="Arial"/>
          <w:color w:val="auto"/>
          <w:sz w:val="24"/>
          <w:szCs w:val="24"/>
        </w:rPr>
        <w:t>支持数据一致性清洗，结合数据分析确定数据一致性存在的问题，确定清洗规则，解决各个数据域内身份信息的一致性，并引入生命周期的概念，即对每行数据添加生命周期开始时间和结束时间，对身份及时间逻辑存在问题的数据，参考一定的标准进行数据修复</w:t>
      </w:r>
      <w:r>
        <w:rPr>
          <w:rFonts w:hint="eastAsia" w:ascii="Arial" w:hAnsi="Arial" w:cs="Arial"/>
          <w:color w:val="auto"/>
          <w:sz w:val="24"/>
          <w:szCs w:val="24"/>
          <w:lang w:eastAsia="zh-CN"/>
        </w:rPr>
        <w:t>；</w:t>
      </w:r>
      <w:r>
        <w:rPr>
          <w:rFonts w:hint="default" w:ascii="Arial" w:hAnsi="Arial" w:cs="Arial"/>
          <w:color w:val="auto"/>
          <w:sz w:val="24"/>
          <w:szCs w:val="24"/>
        </w:rPr>
        <w:t>支持数据规范性清洗，结合数据分析确定数据规范性存在的问题，确定清洗规则，依托国家标准、地方标准、行业标准和术语规范，构建数据标准化的重构，实现对各条线数据的统一管理。</w:t>
      </w:r>
    </w:p>
    <w:p w14:paraId="53378D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rFonts w:hint="default" w:ascii="Arial" w:hAnsi="Arial" w:cs="Arial"/>
          <w:color w:val="auto"/>
          <w:sz w:val="24"/>
          <w:szCs w:val="24"/>
        </w:rPr>
      </w:pPr>
      <w:r>
        <w:rPr>
          <w:rFonts w:hint="default" w:ascii="Arial" w:hAnsi="Arial" w:cs="Arial"/>
          <w:color w:val="auto"/>
          <w:sz w:val="24"/>
          <w:szCs w:val="24"/>
        </w:rPr>
        <w:t>√数据转换</w:t>
      </w:r>
      <w:r>
        <w:rPr>
          <w:rFonts w:hint="eastAsia" w:ascii="Arial" w:hAnsi="Arial" w:cs="Arial"/>
          <w:color w:val="auto"/>
          <w:sz w:val="24"/>
          <w:szCs w:val="24"/>
          <w:lang w:eastAsia="zh-CN"/>
        </w:rPr>
        <w:t>：</w:t>
      </w:r>
      <w:r>
        <w:rPr>
          <w:rFonts w:hint="default" w:ascii="Arial" w:hAnsi="Arial" w:cs="Arial"/>
          <w:color w:val="auto"/>
          <w:sz w:val="24"/>
          <w:szCs w:val="24"/>
        </w:rPr>
        <w:t>支持数据映射规则管理，按照大数据中心等常用数据输出渠道的要求，建立数据标准化映射规范，实现对数据转换规则的管理。支持代码转换服务，基于既有数据要求确定常用的数据代码转换任务，包括对数据原始格式、原数据源、目标数据格式、目标数据地址等，满足对既有向大数据中心传输数据任务的前期处理要求。支持数据拆分管理，实现对不同条线来源地址等信息的拆分，建立对关键指标的结构化管理模式。支持数据汇总管理，基于数据应用要求，实现对数据的拼装、统计，以满足数据利用需求。</w:t>
      </w:r>
    </w:p>
    <w:p w14:paraId="1B7DA541">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临床数据中</w:t>
      </w:r>
      <w:r>
        <w:rPr>
          <w:b/>
          <w:color w:val="auto"/>
          <w:spacing w:val="-10"/>
          <w:sz w:val="24"/>
        </w:rPr>
        <w:t>心</w:t>
      </w:r>
    </w:p>
    <w:p w14:paraId="7FF20E7A">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临床数据中</w:t>
      </w:r>
      <w:r>
        <w:rPr>
          <w:b/>
          <w:color w:val="auto"/>
          <w:spacing w:val="-10"/>
          <w:sz w:val="24"/>
        </w:rPr>
        <w:t>心</w:t>
      </w:r>
    </w:p>
    <w:p w14:paraId="3706D3E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rFonts w:hint="default" w:ascii="Arial" w:hAnsi="Arial" w:cs="Arial"/>
          <w:color w:val="auto"/>
          <w:sz w:val="24"/>
          <w:szCs w:val="24"/>
        </w:rPr>
      </w:pPr>
      <w:r>
        <w:rPr>
          <w:rFonts w:hint="default" w:ascii="Arial" w:hAnsi="Arial" w:cs="Arial"/>
          <w:color w:val="auto"/>
          <w:sz w:val="24"/>
          <w:szCs w:val="24"/>
        </w:rPr>
        <w:t>√数据存储</w:t>
      </w:r>
      <w:r>
        <w:rPr>
          <w:rFonts w:hint="eastAsia" w:ascii="Arial" w:hAnsi="Arial" w:cs="Arial"/>
          <w:color w:val="auto"/>
          <w:sz w:val="24"/>
          <w:szCs w:val="24"/>
          <w:lang w:eastAsia="zh-CN"/>
        </w:rPr>
        <w:t>：</w:t>
      </w:r>
      <w:r>
        <w:rPr>
          <w:rFonts w:hint="default" w:ascii="Arial" w:hAnsi="Arial" w:cs="Arial"/>
          <w:color w:val="auto"/>
          <w:sz w:val="24"/>
          <w:szCs w:val="24"/>
        </w:rPr>
        <w:t>临床数据中心应参考、依据电子病历基本数据集进行建设，数据采集时需要经过多层的过滤和标准化处理，保证数据准确一致。建立的临床信息数据库应遵循国家《电子病历基本数据集》要求，至少包含标准要求的 16 类 58 个数据子集的内容；支持自定义扩展数据集。应支持非结构化数据的存储，如图片、pdf、html、word 等。应能提供可视化数据中心存储结构模型关系功能，同时对数据中心的存储提供分区、数据量、数据空间占用率的统计。</w:t>
      </w:r>
    </w:p>
    <w:p w14:paraId="39FD2E3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textAlignment w:val="auto"/>
        <w:rPr>
          <w:rFonts w:hint="default" w:ascii="Arial" w:hAnsi="Arial" w:cs="Arial"/>
          <w:color w:val="auto"/>
          <w:sz w:val="24"/>
          <w:szCs w:val="24"/>
        </w:rPr>
      </w:pPr>
      <w:r>
        <w:rPr>
          <w:rFonts w:hint="default" w:ascii="Arial" w:hAnsi="Arial" w:cs="Arial"/>
          <w:color w:val="auto"/>
          <w:sz w:val="24"/>
          <w:szCs w:val="24"/>
        </w:rPr>
        <w:t>√数据服务</w:t>
      </w:r>
      <w:r>
        <w:rPr>
          <w:rFonts w:hint="eastAsia" w:ascii="Arial" w:hAnsi="Arial" w:cs="Arial"/>
          <w:color w:val="auto"/>
          <w:sz w:val="24"/>
          <w:szCs w:val="24"/>
          <w:lang w:eastAsia="zh-CN"/>
        </w:rPr>
        <w:t>：</w:t>
      </w:r>
      <w:r>
        <w:rPr>
          <w:rFonts w:hint="default" w:ascii="Arial" w:hAnsi="Arial" w:cs="Arial"/>
          <w:color w:val="auto"/>
          <w:sz w:val="24"/>
          <w:szCs w:val="24"/>
        </w:rPr>
        <w:t>应能提供 CDR 文档数据的注册、更新服务。√应能提供 CDR 数据的查询、调阅服务。应能提供 CDR 数据的审计、权限管理。</w:t>
      </w:r>
    </w:p>
    <w:p w14:paraId="28423268">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过程数据中</w:t>
      </w:r>
      <w:r>
        <w:rPr>
          <w:b/>
          <w:color w:val="auto"/>
          <w:spacing w:val="-10"/>
          <w:sz w:val="24"/>
        </w:rPr>
        <w:t>心</w:t>
      </w:r>
    </w:p>
    <w:p w14:paraId="134086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3" w:firstLine="479"/>
        <w:jc w:val="both"/>
        <w:textAlignment w:val="auto"/>
        <w:rPr>
          <w:color w:val="auto"/>
        </w:rPr>
      </w:pPr>
      <w:r>
        <w:rPr>
          <w:rFonts w:hint="default" w:ascii="Arial" w:hAnsi="Arial" w:cs="Arial"/>
          <w:color w:val="auto"/>
          <w:spacing w:val="-2"/>
        </w:rPr>
        <w:t>√</w:t>
      </w:r>
      <w:r>
        <w:rPr>
          <w:color w:val="auto"/>
          <w:spacing w:val="-2"/>
        </w:rPr>
        <w:t xml:space="preserve">过程数据中心应能涵盖临床和管理数据，对数据即席查询、数据仓库、面向患者的公众信息服务以及区域卫生提供数据层支持。同时应支持整个医院范围内各业务系统的协同，可以与临床数据中心结合作为院内临床及其他业务驱动的数据，为医院内平台级别的应用(非 </w:t>
      </w:r>
      <w:r>
        <w:rPr>
          <w:color w:val="auto"/>
        </w:rPr>
        <w:t>POS</w:t>
      </w:r>
      <w:r>
        <w:rPr>
          <w:color w:val="auto"/>
          <w:spacing w:val="-5"/>
        </w:rPr>
        <w:t xml:space="preserve"> 应用)。</w:t>
      </w:r>
      <w:r>
        <w:rPr>
          <w:color w:val="auto"/>
          <w:spacing w:val="-2"/>
        </w:rPr>
        <w:t>应能实现对原生成系统进行数据作业，构建业务数据实时缓存集。该库的数据应为实时性，保证与源库数据保持一致，能够用于集成平台服务开放、查询、统计、数据中心等应用。数据结构应能同时收纳不同业务系统间的数据，并且可以为上层数据仓库提供综合的、面向不同主题域的明细数据。</w:t>
      </w:r>
    </w:p>
    <w:p w14:paraId="6FF1703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rFonts w:hint="eastAsia" w:ascii="宋体" w:hAnsi="宋体" w:eastAsia="宋体" w:cs="宋体"/>
          <w:b/>
          <w:color w:val="auto"/>
          <w:sz w:val="24"/>
        </w:rPr>
      </w:pPr>
      <w:r>
        <w:rPr>
          <w:rFonts w:hint="eastAsia" w:ascii="宋体" w:hAnsi="宋体" w:eastAsia="宋体" w:cs="宋体"/>
          <w:b/>
          <w:color w:val="auto"/>
          <w:sz w:val="24"/>
        </w:rPr>
        <w:t>CDC</w:t>
      </w:r>
      <w:r>
        <w:rPr>
          <w:rFonts w:hint="eastAsia" w:ascii="宋体" w:hAnsi="宋体" w:eastAsia="宋体" w:cs="宋体"/>
          <w:b/>
          <w:color w:val="auto"/>
          <w:spacing w:val="-12"/>
          <w:sz w:val="24"/>
        </w:rPr>
        <w:t xml:space="preserve"> </w:t>
      </w:r>
      <w:r>
        <w:rPr>
          <w:rFonts w:hint="eastAsia" w:ascii="宋体" w:hAnsi="宋体" w:eastAsia="宋体" w:cs="宋体"/>
          <w:b/>
          <w:color w:val="auto"/>
          <w:spacing w:val="-3"/>
          <w:sz w:val="24"/>
        </w:rPr>
        <w:t>数据同步</w:t>
      </w:r>
    </w:p>
    <w:p w14:paraId="2AAB23A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63" w:firstLine="479"/>
        <w:jc w:val="both"/>
        <w:textAlignment w:val="auto"/>
        <w:rPr>
          <w:color w:val="auto"/>
        </w:rPr>
      </w:pPr>
      <w:r>
        <w:rPr>
          <w:rFonts w:hint="default" w:ascii="Arial" w:hAnsi="Arial" w:cs="Arial"/>
          <w:color w:val="auto"/>
          <w:sz w:val="24"/>
          <w:szCs w:val="24"/>
        </w:rPr>
        <w:t>√</w:t>
      </w:r>
      <w:r>
        <w:rPr>
          <w:color w:val="auto"/>
          <w:spacing w:val="-4"/>
        </w:rPr>
        <w:t>CDC</w:t>
      </w:r>
      <w:r>
        <w:rPr>
          <w:color w:val="auto"/>
          <w:spacing w:val="-10"/>
        </w:rPr>
        <w:t xml:space="preserve"> 应能识别从上次提取之后发生变化的数据。通过 </w:t>
      </w:r>
      <w:r>
        <w:rPr>
          <w:color w:val="auto"/>
          <w:spacing w:val="-4"/>
        </w:rPr>
        <w:t>CDC</w:t>
      </w:r>
      <w:r>
        <w:rPr>
          <w:color w:val="auto"/>
          <w:spacing w:val="-9"/>
        </w:rPr>
        <w:t xml:space="preserve"> 可在对源表进行</w:t>
      </w:r>
      <w:r>
        <w:rPr>
          <w:color w:val="auto"/>
          <w:spacing w:val="-4"/>
        </w:rPr>
        <w:t xml:space="preserve"> INSERT、UPDATE</w:t>
      </w:r>
      <w:r>
        <w:rPr>
          <w:color w:val="auto"/>
          <w:spacing w:val="-13"/>
        </w:rPr>
        <w:t xml:space="preserve"> 或 </w:t>
      </w:r>
      <w:r>
        <w:rPr>
          <w:color w:val="auto"/>
          <w:spacing w:val="-4"/>
        </w:rPr>
        <w:t>DELETE</w:t>
      </w:r>
      <w:r>
        <w:rPr>
          <w:color w:val="auto"/>
          <w:spacing w:val="-7"/>
        </w:rPr>
        <w:t xml:space="preserve"> 等操作的同时提取数据，并且变化的数据被保存在</w:t>
      </w:r>
      <w:r>
        <w:rPr>
          <w:color w:val="auto"/>
          <w:spacing w:val="-2"/>
        </w:rPr>
        <w:t>数据库的变化表中。</w:t>
      </w:r>
      <w:r>
        <w:rPr>
          <w:color w:val="auto"/>
        </w:rPr>
        <w:t>应能支持使用读取数据库日志的非侵入式（CDC）数据增量、Triger 增量、</w:t>
      </w:r>
      <w:r>
        <w:rPr>
          <w:color w:val="auto"/>
          <w:spacing w:val="-2"/>
        </w:rPr>
        <w:t>标志位增量等模式获取应用系统实时数据。</w:t>
      </w:r>
      <w:r>
        <w:rPr>
          <w:color w:val="auto"/>
          <w:spacing w:val="-10"/>
        </w:rPr>
        <w:t xml:space="preserve">应能支持各类 </w:t>
      </w:r>
      <w:r>
        <w:rPr>
          <w:color w:val="auto"/>
          <w:spacing w:val="-2"/>
        </w:rPr>
        <w:t>DDL</w:t>
      </w:r>
      <w:r>
        <w:rPr>
          <w:color w:val="auto"/>
          <w:spacing w:val="-28"/>
        </w:rPr>
        <w:t xml:space="preserve"> 下的 </w:t>
      </w:r>
      <w:r>
        <w:rPr>
          <w:color w:val="auto"/>
          <w:spacing w:val="-2"/>
        </w:rPr>
        <w:t>DML</w:t>
      </w:r>
      <w:r>
        <w:rPr>
          <w:color w:val="auto"/>
          <w:spacing w:val="-10"/>
        </w:rPr>
        <w:t xml:space="preserve"> 复制同步功能，包括：新增、修改、删除等信</w:t>
      </w:r>
      <w:r>
        <w:rPr>
          <w:color w:val="auto"/>
          <w:spacing w:val="-6"/>
        </w:rPr>
        <w:t>息。</w:t>
      </w:r>
      <w:r>
        <w:rPr>
          <w:color w:val="auto"/>
          <w:spacing w:val="-2"/>
        </w:rPr>
        <w:t>应能支持桥接数据预处理：支持实例级、表级、字段级不同粒度的数据过滤、转换和函数处理。应能支持按应用系统处理事务的时间次序传输数据，保证业务数据的完整性和一致性。</w:t>
      </w:r>
    </w:p>
    <w:p w14:paraId="06F789F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源数据库有关系型、非关系型，应能对数据库在不同的操作系统下进行支</w:t>
      </w:r>
    </w:p>
    <w:p w14:paraId="5DD0DE0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3"/>
        <w:textAlignment w:val="auto"/>
        <w:rPr>
          <w:color w:val="auto"/>
        </w:rPr>
      </w:pPr>
      <w:r>
        <w:rPr>
          <w:color w:val="auto"/>
          <w:spacing w:val="-1"/>
        </w:rPr>
        <w:t xml:space="preserve">持，例如 </w:t>
      </w:r>
      <w:r>
        <w:rPr>
          <w:color w:val="auto"/>
        </w:rPr>
        <w:t>SQL</w:t>
      </w:r>
      <w:r>
        <w:rPr>
          <w:color w:val="auto"/>
          <w:spacing w:val="-2"/>
        </w:rPr>
        <w:t xml:space="preserve"> </w:t>
      </w:r>
      <w:r>
        <w:rPr>
          <w:color w:val="auto"/>
        </w:rPr>
        <w:t xml:space="preserve">Server、ORACLE、DB2、Informix、Mysql、PostgreSQL、Sybase、 </w:t>
      </w:r>
      <w:r>
        <w:rPr>
          <w:color w:val="auto"/>
          <w:spacing w:val="-2"/>
        </w:rPr>
        <w:t>Cache、达梦等数据库。应能基于现有业务库实现首次全量同步，同时具备实施增量同步能力，满足实时性要求。应能针对不同的数据库类型，能够实现数据类型转换存储，同时针对所有同步的数据需追加操作类型、变更时间戳字段。</w:t>
      </w:r>
      <w:r>
        <w:rPr>
          <w:color w:val="auto"/>
          <w:spacing w:val="-4"/>
        </w:rPr>
        <w:t xml:space="preserve">应能伴随业务的变更，能够实现 </w:t>
      </w:r>
      <w:r>
        <w:rPr>
          <w:color w:val="auto"/>
        </w:rPr>
        <w:t>ODS</w:t>
      </w:r>
      <w:r>
        <w:rPr>
          <w:color w:val="auto"/>
          <w:spacing w:val="-9"/>
        </w:rPr>
        <w:t xml:space="preserve"> 表的动态扩充表。</w:t>
      </w:r>
    </w:p>
    <w:p w14:paraId="6C91DBD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sz w:val="29"/>
        </w:rPr>
      </w:pPr>
    </w:p>
    <w:p w14:paraId="01C5AA6B">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rFonts w:hint="eastAsia" w:ascii="宋体" w:hAnsi="宋体" w:eastAsia="宋体" w:cs="宋体"/>
          <w:b/>
          <w:color w:val="auto"/>
          <w:sz w:val="24"/>
        </w:rPr>
      </w:pPr>
      <w:r>
        <w:rPr>
          <w:rFonts w:hint="eastAsia" w:ascii="宋体" w:hAnsi="宋体" w:eastAsia="宋体" w:cs="宋体"/>
          <w:b/>
          <w:color w:val="auto"/>
          <w:spacing w:val="-2"/>
          <w:sz w:val="24"/>
        </w:rPr>
        <w:t>运营管理数据中心</w:t>
      </w:r>
      <w:r>
        <w:rPr>
          <w:rFonts w:hint="eastAsia" w:ascii="宋体" w:hAnsi="宋体" w:eastAsia="宋体" w:cs="宋体"/>
          <w:b/>
          <w:color w:val="auto"/>
          <w:spacing w:val="-4"/>
          <w:sz w:val="24"/>
        </w:rPr>
        <w:t>（MDR）</w:t>
      </w:r>
    </w:p>
    <w:p w14:paraId="5F144A5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从临床诊疗、医疗管理及后台运营管理等业务系统中获取医院管理辅助决策所需要的数据，并对数据进行数据清理、转换，再按某种分析主题进行组织和展示，建立起符合医院运营管理的指标体系。医院管理决策支持数据库可以获取任意时间的任意即时数据，即实时分析处理数据，使用者可以随时了解到医院当时的各种情况，同时系统能从不同角度对数据进行分析，并快速高效的获得结果，有助于全面了解隐藏于数据中的有用信息，方便领导决策。</w:t>
      </w:r>
    </w:p>
    <w:p w14:paraId="2563364A">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维度中心</w:t>
      </w:r>
    </w:p>
    <w:p w14:paraId="4434B91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3" w:firstLine="479"/>
        <w:jc w:val="both"/>
        <w:textAlignment w:val="auto"/>
        <w:rPr>
          <w:color w:val="auto"/>
        </w:rPr>
      </w:pPr>
      <w:r>
        <w:rPr>
          <w:rFonts w:hint="default" w:ascii="Arial" w:hAnsi="Arial" w:cs="Arial"/>
          <w:color w:val="auto"/>
          <w:sz w:val="24"/>
          <w:szCs w:val="24"/>
        </w:rPr>
        <w:t>√</w:t>
      </w:r>
      <w:r>
        <w:rPr>
          <w:color w:val="auto"/>
          <w:spacing w:val="-2"/>
        </w:rPr>
        <w:t>维度中心作为管理数据中心的重要组成部分，在构建有效的数据分析架构中起到了集中管理和整合业务维度数据的作用。在维度中心可以预览所有维度与维度包含的数据，自下而上逐级配置层级链路</w:t>
      </w:r>
      <w:r>
        <w:rPr>
          <w:rFonts w:hint="eastAsia"/>
          <w:color w:val="auto"/>
          <w:spacing w:val="-2"/>
          <w:lang w:eastAsia="zh-CN"/>
        </w:rPr>
        <w:t>；</w:t>
      </w:r>
      <w:r>
        <w:rPr>
          <w:color w:val="auto"/>
          <w:spacing w:val="-2"/>
        </w:rPr>
        <w:t>指标的维度统一配置中心，包括配置层级链路、导入导出维度数据，编辑维度数据。提供统一的指标数据仓库；</w:t>
      </w:r>
      <w:r>
        <w:rPr>
          <w:color w:val="auto"/>
          <w:spacing w:val="-1"/>
        </w:rPr>
        <w:t>提供维度层级链路的配置；提供根据维度数据的查询服务；</w:t>
      </w:r>
    </w:p>
    <w:p w14:paraId="6B59C2C7">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指标中心</w:t>
      </w:r>
    </w:p>
    <w:p w14:paraId="764008CB">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rPr>
        <w:t>在处理较少的数据量时，我们通常会使用 Excel</w:t>
      </w:r>
      <w:r>
        <w:rPr>
          <w:color w:val="auto"/>
          <w:spacing w:val="-1"/>
        </w:rPr>
        <w:t xml:space="preserve"> 进行数据分析，先将数据</w:t>
      </w:r>
    </w:p>
    <w:p w14:paraId="5F398C6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1"/>
        <w:jc w:val="both"/>
        <w:textAlignment w:val="auto"/>
        <w:rPr>
          <w:color w:val="auto"/>
        </w:rPr>
      </w:pPr>
      <w:r>
        <w:rPr>
          <w:color w:val="auto"/>
          <w:spacing w:val="-2"/>
        </w:rPr>
        <w:t>导入工作表，选中要使用的数据，再通过图表功能生成一个分析结果。在处理</w:t>
      </w:r>
      <w:r>
        <w:rPr>
          <w:color w:val="auto"/>
          <w:spacing w:val="-4"/>
        </w:rPr>
        <w:t xml:space="preserve">较多的数据量时，我们使用 </w:t>
      </w:r>
      <w:r>
        <w:rPr>
          <w:color w:val="auto"/>
          <w:spacing w:val="-2"/>
        </w:rPr>
        <w:t>BI</w:t>
      </w:r>
      <w:r>
        <w:rPr>
          <w:color w:val="auto"/>
          <w:spacing w:val="-7"/>
        </w:rPr>
        <w:t xml:space="preserve"> 工具做分析，此时也是类似的一个过程，首先要</w:t>
      </w:r>
      <w:r>
        <w:rPr>
          <w:color w:val="auto"/>
          <w:spacing w:val="-2"/>
        </w:rPr>
        <w:t>连接数据源维护指标仓库，再将指标按相同维度进行建模，通过采集中心的维度映射将数据采上来，最后引入到指标中心，制作多个针对不同业务的分类目录，再在视图中心将这些指标展现出来。</w:t>
      </w:r>
    </w:p>
    <w:p w14:paraId="405D78D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指标的统一配置管理中心，指标仓库为指标中心的核心，项目上使用时从指标仓库中进行引用加工；</w:t>
      </w:r>
      <w:r>
        <w:rPr>
          <w:color w:val="auto"/>
          <w:spacing w:val="-1"/>
        </w:rPr>
        <w:t>支持在指标仓库中指标的新建、编辑功能；</w:t>
      </w:r>
      <w:r>
        <w:rPr>
          <w:color w:val="auto"/>
          <w:spacing w:val="-2"/>
        </w:rPr>
        <w:t>支持按需引用指标到指标中心业务目录的功能；</w:t>
      </w:r>
      <w:r>
        <w:rPr>
          <w:rFonts w:hint="default" w:ascii="Arial" w:hAnsi="Arial" w:cs="Arial"/>
          <w:color w:val="auto"/>
          <w:sz w:val="24"/>
          <w:szCs w:val="24"/>
        </w:rPr>
        <w:t>√</w:t>
      </w:r>
      <w:r>
        <w:rPr>
          <w:color w:val="auto"/>
          <w:spacing w:val="-2"/>
        </w:rPr>
        <w:t>支持指标的数据查询功能；</w:t>
      </w:r>
      <w:r>
        <w:rPr>
          <w:color w:val="auto"/>
          <w:spacing w:val="-1"/>
        </w:rPr>
        <w:t>支持指标明细数据管理、新增的功能。</w:t>
      </w:r>
    </w:p>
    <w:p w14:paraId="740068B8">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建模中心</w:t>
      </w:r>
    </w:p>
    <w:p w14:paraId="3FE6437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4" w:firstLine="479"/>
        <w:jc w:val="both"/>
        <w:textAlignment w:val="auto"/>
        <w:rPr>
          <w:color w:val="auto"/>
        </w:rPr>
      </w:pPr>
      <w:r>
        <w:rPr>
          <w:rFonts w:hint="default" w:ascii="Arial" w:hAnsi="Arial" w:cs="Arial"/>
          <w:color w:val="auto"/>
          <w:sz w:val="24"/>
          <w:szCs w:val="24"/>
        </w:rPr>
        <w:t>√</w:t>
      </w:r>
      <w:r>
        <w:rPr>
          <w:color w:val="auto"/>
          <w:spacing w:val="-2"/>
        </w:rPr>
        <w:t>建模中心构建了管理赋能模型，形成了数据驱动机制，为管理决策的科学化、精细化提供详实依据，实现了数据在不同管理环节、不同业务中的共享和</w:t>
      </w:r>
      <w:r>
        <w:rPr>
          <w:color w:val="auto"/>
          <w:spacing w:val="-4"/>
        </w:rPr>
        <w:t>复用</w:t>
      </w:r>
      <w:r>
        <w:rPr>
          <w:rFonts w:hint="eastAsia"/>
          <w:color w:val="auto"/>
          <w:spacing w:val="-4"/>
          <w:lang w:eastAsia="zh-CN"/>
        </w:rPr>
        <w:t>；</w:t>
      </w:r>
      <w:r>
        <w:rPr>
          <w:color w:val="auto"/>
          <w:spacing w:val="-2"/>
        </w:rPr>
        <w:t xml:space="preserve">建模中心按类型分为数据模型和实时查询，数据模型支持将指标按维度集成到同一个模型中，共同使用同一个 </w:t>
      </w:r>
      <w:r>
        <w:rPr>
          <w:color w:val="auto"/>
        </w:rPr>
        <w:t>SQL</w:t>
      </w:r>
      <w:r>
        <w:rPr>
          <w:color w:val="auto"/>
          <w:spacing w:val="-5"/>
        </w:rPr>
        <w:t xml:space="preserve"> 脚本，达到提升采集效率的目的；</w:t>
      </w:r>
      <w:r>
        <w:rPr>
          <w:color w:val="auto"/>
          <w:spacing w:val="-1"/>
        </w:rPr>
        <w:t>实时查询支持不通过采集中心，在使用此模型时实时查询数据；</w:t>
      </w:r>
      <w:r>
        <w:rPr>
          <w:color w:val="auto"/>
          <w:spacing w:val="-15"/>
        </w:rPr>
        <w:t xml:space="preserve">图形化 </w:t>
      </w:r>
      <w:r>
        <w:rPr>
          <w:color w:val="auto"/>
          <w:spacing w:val="-2"/>
        </w:rPr>
        <w:t>SQL</w:t>
      </w:r>
      <w:r>
        <w:rPr>
          <w:color w:val="auto"/>
          <w:spacing w:val="-13"/>
        </w:rPr>
        <w:t xml:space="preserve"> 可以通过可视化拖拽的方式，配置出 </w:t>
      </w:r>
      <w:r>
        <w:rPr>
          <w:color w:val="auto"/>
          <w:spacing w:val="-2"/>
        </w:rPr>
        <w:t>SQL</w:t>
      </w:r>
      <w:r>
        <w:rPr>
          <w:color w:val="auto"/>
          <w:spacing w:val="-10"/>
        </w:rPr>
        <w:t xml:space="preserve"> 脚本，支持过滤、关</w:t>
      </w:r>
      <w:r>
        <w:rPr>
          <w:color w:val="auto"/>
          <w:spacing w:val="-2"/>
        </w:rPr>
        <w:t>联、新增计算字段、分组和合并；</w:t>
      </w:r>
      <w:r>
        <w:rPr>
          <w:color w:val="auto"/>
          <w:spacing w:val="-1"/>
        </w:rPr>
        <w:t>模型数据支持按模型查询数据的功能。</w:t>
      </w:r>
    </w:p>
    <w:p w14:paraId="4F38D427">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采集中心</w:t>
      </w:r>
    </w:p>
    <w:p w14:paraId="33B181C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502" w:firstLine="479"/>
        <w:textAlignment w:val="auto"/>
        <w:rPr>
          <w:color w:val="auto"/>
        </w:rPr>
      </w:pPr>
      <w:r>
        <w:rPr>
          <w:rFonts w:hint="default" w:ascii="Arial" w:hAnsi="Arial" w:cs="Arial"/>
          <w:color w:val="auto"/>
          <w:sz w:val="24"/>
          <w:szCs w:val="24"/>
        </w:rPr>
        <w:t>√</w:t>
      </w:r>
      <w:r>
        <w:rPr>
          <w:color w:val="auto"/>
          <w:spacing w:val="-2"/>
        </w:rPr>
        <w:t>采集基站通过采集将数据集中管理和分析，在处理过程相互连接，可用于从多个来源获取和处理多种数据类型，从而实现更全面和综合的数据分析</w:t>
      </w:r>
      <w:r>
        <w:rPr>
          <w:rFonts w:hint="eastAsia"/>
          <w:color w:val="auto"/>
          <w:spacing w:val="-2"/>
          <w:lang w:eastAsia="zh-CN"/>
        </w:rPr>
        <w:t>；</w:t>
      </w:r>
      <w:r>
        <w:rPr>
          <w:color w:val="auto"/>
          <w:spacing w:val="-1"/>
        </w:rPr>
        <w:t>支持根据模型中的任务进行采集、配置采集策略、进行维度映射</w:t>
      </w:r>
      <w:r>
        <w:rPr>
          <w:rFonts w:hint="eastAsia"/>
          <w:color w:val="auto"/>
          <w:spacing w:val="-1"/>
          <w:lang w:eastAsia="zh-CN"/>
        </w:rPr>
        <w:t>；</w:t>
      </w:r>
      <w:r>
        <w:rPr>
          <w:color w:val="auto"/>
          <w:spacing w:val="-2"/>
        </w:rPr>
        <w:t>提供数据填报页面手工录入业务数据。包括分类构建、指标录入和指标审核三个模块</w:t>
      </w:r>
      <w:r>
        <w:rPr>
          <w:rFonts w:hint="eastAsia"/>
          <w:color w:val="auto"/>
          <w:spacing w:val="-2"/>
          <w:lang w:eastAsia="zh-CN"/>
        </w:rPr>
        <w:t>；</w:t>
      </w:r>
      <w:r>
        <w:rPr>
          <w:color w:val="auto"/>
          <w:spacing w:val="-1"/>
        </w:rPr>
        <w:t>分类构建支持动态选择需要录入的指标，配置分类名称；指标录入支持对指标数据录入与修改的功能，导入导出功能；指标审核支持对指标数据的确认、退回功能，同时支持多层级审核员设定。</w:t>
      </w:r>
    </w:p>
    <w:p w14:paraId="25C98ED3">
      <w:pPr>
        <w:pStyle w:val="24"/>
        <w:keepNext w:val="0"/>
        <w:keepLines w:val="0"/>
        <w:pageBreakBefore w:val="0"/>
        <w:widowControl w:val="0"/>
        <w:numPr>
          <w:ilvl w:val="4"/>
          <w:numId w:val="1"/>
        </w:numPr>
        <w:tabs>
          <w:tab w:val="left" w:pos="1198"/>
        </w:tabs>
        <w:kinsoku/>
        <w:wordWrap/>
        <w:overflowPunct/>
        <w:topLinePunct w:val="0"/>
        <w:autoSpaceDE w:val="0"/>
        <w:autoSpaceDN w:val="0"/>
        <w:bidi w:val="0"/>
        <w:adjustRightInd/>
        <w:snapToGrid/>
        <w:spacing w:before="0" w:line="360" w:lineRule="auto"/>
        <w:ind w:left="425" w:leftChars="0" w:right="6019" w:firstLine="0" w:firstLineChars="0"/>
        <w:jc w:val="right"/>
        <w:textAlignment w:val="auto"/>
        <w:rPr>
          <w:b/>
          <w:color w:val="auto"/>
          <w:sz w:val="24"/>
        </w:rPr>
      </w:pPr>
      <w:r>
        <w:rPr>
          <w:b/>
          <w:color w:val="auto"/>
          <w:spacing w:val="-4"/>
          <w:sz w:val="24"/>
        </w:rPr>
        <w:t>预警中</w:t>
      </w:r>
      <w:r>
        <w:rPr>
          <w:rFonts w:hint="eastAsia"/>
          <w:b/>
          <w:color w:val="auto"/>
          <w:spacing w:val="-4"/>
          <w:sz w:val="24"/>
          <w:lang w:val="en-US" w:eastAsia="zh-CN"/>
        </w:rPr>
        <w:t>心</w:t>
      </w:r>
    </w:p>
    <w:p w14:paraId="1D6E6FF9">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预警中心支持指标建立多个预警规则，支持预警关联维度，支持按时间周</w:t>
      </w:r>
    </w:p>
    <w:p w14:paraId="74283CB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5"/>
        <w:textAlignment w:val="auto"/>
        <w:rPr>
          <w:color w:val="auto"/>
        </w:rPr>
      </w:pPr>
      <w:r>
        <w:rPr>
          <w:color w:val="auto"/>
        </w:rPr>
        <w:t>期填入预警规则、多选维度的数据，支持设置时间维度的上下限，包括自定义、</w:t>
      </w:r>
      <w:r>
        <w:rPr>
          <w:color w:val="auto"/>
          <w:spacing w:val="-2"/>
        </w:rPr>
        <w:t>环比值、同比值、目标值</w:t>
      </w:r>
      <w:r>
        <w:rPr>
          <w:rFonts w:hint="eastAsia"/>
          <w:color w:val="auto"/>
          <w:spacing w:val="-2"/>
          <w:lang w:eastAsia="zh-CN"/>
        </w:rPr>
        <w:t>；</w:t>
      </w:r>
      <w:r>
        <w:rPr>
          <w:color w:val="auto"/>
          <w:spacing w:val="-2"/>
        </w:rPr>
        <w:t>预警数据支持上限下限阈值限制，用于标识潜在的紧急事件或重要变化；</w:t>
      </w:r>
      <w:r>
        <w:rPr>
          <w:color w:val="auto"/>
          <w:spacing w:val="-1"/>
        </w:rPr>
        <w:t>预警中心支持预警规则的设定，反馈于视图和报表，用于可视化显示当前</w:t>
      </w:r>
      <w:r>
        <w:rPr>
          <w:color w:val="auto"/>
          <w:spacing w:val="-2"/>
        </w:rPr>
        <w:t>的预警状态。</w:t>
      </w:r>
    </w:p>
    <w:p w14:paraId="502FE537">
      <w:pPr>
        <w:pStyle w:val="23"/>
        <w:keepNext w:val="0"/>
        <w:keepLines w:val="0"/>
        <w:pageBreakBefore w:val="0"/>
        <w:widowControl w:val="0"/>
        <w:numPr>
          <w:ilvl w:val="2"/>
          <w:numId w:val="1"/>
        </w:numPr>
        <w:tabs>
          <w:tab w:val="left" w:pos="773"/>
        </w:tabs>
        <w:kinsoku/>
        <w:wordWrap/>
        <w:overflowPunct/>
        <w:topLinePunct w:val="0"/>
        <w:autoSpaceDE w:val="0"/>
        <w:autoSpaceDN w:val="0"/>
        <w:bidi w:val="0"/>
        <w:adjustRightInd/>
        <w:snapToGrid/>
        <w:spacing w:before="0" w:line="360" w:lineRule="auto"/>
        <w:ind w:left="425" w:leftChars="0" w:right="6019" w:firstLine="0" w:firstLineChars="0"/>
        <w:jc w:val="left"/>
        <w:textAlignment w:val="auto"/>
        <w:rPr>
          <w:color w:val="auto"/>
        </w:rPr>
      </w:pPr>
      <w:bookmarkStart w:id="175" w:name="_bookmark26"/>
      <w:bookmarkEnd w:id="175"/>
      <w:r>
        <w:rPr>
          <w:color w:val="auto"/>
          <w:spacing w:val="-4"/>
        </w:rPr>
        <w:t>医疗管理</w:t>
      </w:r>
    </w:p>
    <w:p w14:paraId="6E1C3344">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数据上报管理系</w:t>
      </w:r>
      <w:r>
        <w:rPr>
          <w:b/>
          <w:color w:val="auto"/>
          <w:spacing w:val="-10"/>
          <w:sz w:val="24"/>
        </w:rPr>
        <w:t>统</w:t>
      </w:r>
    </w:p>
    <w:p w14:paraId="1A8129A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√利用统一上报管理工具，规范字典映射与上报流程管理、统一部分对外数据出口，可视化数据上报流程，方便整体信息化管理与后期运维，规范化部分管理医疗数据上报工作。</w:t>
      </w:r>
    </w:p>
    <w:p w14:paraId="187A979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√上报任务管理</w:t>
      </w:r>
      <w:r>
        <w:rPr>
          <w:rFonts w:hint="eastAsia" w:ascii="Arial" w:hAnsi="Arial" w:cs="Arial"/>
          <w:color w:val="auto"/>
          <w:sz w:val="24"/>
          <w:szCs w:val="24"/>
          <w:lang w:eastAsia="zh-CN"/>
        </w:rPr>
        <w:t>：</w:t>
      </w:r>
      <w:r>
        <w:rPr>
          <w:rFonts w:hint="default" w:ascii="Arial" w:hAnsi="Arial" w:cs="Arial"/>
          <w:color w:val="auto"/>
          <w:sz w:val="24"/>
          <w:szCs w:val="24"/>
        </w:rPr>
        <w:t>任务创建</w:t>
      </w:r>
      <w:r>
        <w:rPr>
          <w:rFonts w:hint="eastAsia" w:ascii="Arial" w:hAnsi="Arial" w:cs="Arial"/>
          <w:color w:val="auto"/>
          <w:sz w:val="24"/>
          <w:szCs w:val="24"/>
          <w:lang w:eastAsia="zh-CN"/>
        </w:rPr>
        <w:t>：</w:t>
      </w:r>
      <w:r>
        <w:rPr>
          <w:rFonts w:hint="default" w:ascii="Arial" w:hAnsi="Arial" w:cs="Arial"/>
          <w:color w:val="auto"/>
          <w:sz w:val="24"/>
          <w:szCs w:val="24"/>
        </w:rPr>
        <w:t>针对不同数据上报任务支持模块化分类统一处理；管理员支持对上报任务项目文件进行增、删、改的操作。信息维护</w:t>
      </w:r>
      <w:r>
        <w:rPr>
          <w:rFonts w:hint="eastAsia" w:ascii="Arial" w:hAnsi="Arial" w:cs="Arial"/>
          <w:color w:val="auto"/>
          <w:sz w:val="24"/>
          <w:szCs w:val="24"/>
          <w:lang w:eastAsia="zh-CN"/>
        </w:rPr>
        <w:t>：</w:t>
      </w:r>
      <w:r>
        <w:rPr>
          <w:rFonts w:hint="default" w:ascii="Arial" w:hAnsi="Arial" w:cs="Arial"/>
          <w:color w:val="auto"/>
          <w:sz w:val="24"/>
          <w:szCs w:val="24"/>
        </w:rPr>
        <w:t>支持维护上报任务基本信息、责任部门等信息。</w:t>
      </w:r>
    </w:p>
    <w:p w14:paraId="48EDBEB4">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数据采集管</w:t>
      </w:r>
      <w:r>
        <w:rPr>
          <w:b/>
          <w:color w:val="auto"/>
          <w:spacing w:val="-10"/>
          <w:sz w:val="24"/>
        </w:rPr>
        <w:t>理</w:t>
      </w:r>
    </w:p>
    <w:p w14:paraId="229C9A9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√数据库适配</w:t>
      </w:r>
      <w:r>
        <w:rPr>
          <w:rFonts w:hint="eastAsia" w:ascii="Arial" w:hAnsi="Arial" w:cs="Arial"/>
          <w:color w:val="auto"/>
          <w:sz w:val="24"/>
          <w:szCs w:val="24"/>
          <w:lang w:eastAsia="zh-CN"/>
        </w:rPr>
        <w:t>：</w:t>
      </w:r>
      <w:r>
        <w:rPr>
          <w:rFonts w:hint="default" w:ascii="Arial" w:hAnsi="Arial" w:cs="Arial"/>
          <w:color w:val="auto"/>
          <w:sz w:val="24"/>
          <w:szCs w:val="24"/>
        </w:rPr>
        <w:t>支持常见数据库适配。 连接管理</w:t>
      </w:r>
      <w:r>
        <w:rPr>
          <w:rFonts w:hint="eastAsia" w:ascii="Arial" w:hAnsi="Arial" w:cs="Arial"/>
          <w:color w:val="auto"/>
          <w:sz w:val="24"/>
          <w:szCs w:val="24"/>
          <w:lang w:eastAsia="zh-CN"/>
        </w:rPr>
        <w:t>：</w:t>
      </w:r>
      <w:r>
        <w:rPr>
          <w:rFonts w:hint="default" w:ascii="Arial" w:hAnsi="Arial" w:cs="Arial"/>
          <w:color w:val="auto"/>
          <w:sz w:val="24"/>
          <w:szCs w:val="24"/>
        </w:rPr>
        <w:t>支持可视化配置数据库连接；支持在线测试连接联通性；支持数据探测，直接在线查看数据库表、表结构、在线 SQL 查询。（需提供系统功能截图）视图管理</w:t>
      </w:r>
      <w:r>
        <w:rPr>
          <w:rFonts w:hint="eastAsia" w:ascii="Arial" w:hAnsi="Arial" w:cs="Arial"/>
          <w:color w:val="auto"/>
          <w:sz w:val="24"/>
          <w:szCs w:val="24"/>
          <w:lang w:eastAsia="zh-CN"/>
        </w:rPr>
        <w:t>：</w:t>
      </w:r>
      <w:r>
        <w:rPr>
          <w:rFonts w:hint="default" w:ascii="Arial" w:hAnsi="Arial" w:cs="Arial"/>
          <w:color w:val="auto"/>
          <w:sz w:val="24"/>
          <w:szCs w:val="24"/>
        </w:rPr>
        <w:t>支持在线编写 SQL 脚本设计视图逻辑；支持图形化点选设计视图逻辑；支持视图版本管理；支持根据已设计视图逻辑对应自动生成数据库视图；支持视图数据在线预览；支持数据库视图导入程序编辑管理。 采集设计</w:t>
      </w:r>
      <w:r>
        <w:rPr>
          <w:rFonts w:hint="eastAsia" w:ascii="Arial" w:hAnsi="Arial" w:cs="Arial"/>
          <w:color w:val="auto"/>
          <w:sz w:val="24"/>
          <w:szCs w:val="24"/>
          <w:lang w:eastAsia="zh-CN"/>
        </w:rPr>
        <w:t>：</w:t>
      </w:r>
      <w:r>
        <w:rPr>
          <w:rFonts w:hint="default" w:ascii="Arial" w:hAnsi="Arial" w:cs="Arial"/>
          <w:color w:val="auto"/>
          <w:sz w:val="24"/>
          <w:szCs w:val="24"/>
        </w:rPr>
        <w:t>支持全图形化界面配置，提供无代码、可拖拽的抽取流程和数据处理规则设计界面；支持数据转换和清洗功能配置，提供常用数据转换组件；提供用户自定义转换规则；支持源表数据预览；支持目标数据预览；支持在线删除、清空目标表。自动采集</w:t>
      </w:r>
      <w:r>
        <w:rPr>
          <w:rFonts w:hint="eastAsia" w:ascii="Arial" w:hAnsi="Arial" w:cs="Arial"/>
          <w:color w:val="auto"/>
          <w:sz w:val="24"/>
          <w:szCs w:val="24"/>
          <w:lang w:eastAsia="zh-CN"/>
        </w:rPr>
        <w:t>：</w:t>
      </w:r>
      <w:r>
        <w:rPr>
          <w:rFonts w:hint="default" w:ascii="Arial" w:hAnsi="Arial" w:cs="Arial"/>
          <w:color w:val="auto"/>
          <w:sz w:val="24"/>
          <w:szCs w:val="24"/>
        </w:rPr>
        <w:t>支持全量采集；支持时间戳、MD5、断点增量抽取；支持标识位数据采集；支持 CDC 数据采集。 批量操作</w:t>
      </w:r>
      <w:r>
        <w:rPr>
          <w:rFonts w:hint="eastAsia" w:ascii="Arial" w:hAnsi="Arial" w:cs="Arial"/>
          <w:color w:val="auto"/>
          <w:sz w:val="24"/>
          <w:szCs w:val="24"/>
          <w:lang w:eastAsia="zh-CN"/>
        </w:rPr>
        <w:t>：</w:t>
      </w:r>
      <w:r>
        <w:rPr>
          <w:rFonts w:hint="default" w:ascii="Arial" w:hAnsi="Arial" w:cs="Arial"/>
          <w:color w:val="auto"/>
          <w:sz w:val="24"/>
          <w:szCs w:val="24"/>
        </w:rPr>
        <w:t>支持全库/勾选批量生成数据库表同步 ETL 流程；√支持批量导入目标库表；支持批量清空、删除目标表； 支持批量建立 CDC 增量采集； √支持批量取消时间戳增量采集。离线数据：支持 Excel 数据导入。</w:t>
      </w:r>
    </w:p>
    <w:p w14:paraId="61562B61">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标准字典管</w:t>
      </w:r>
      <w:r>
        <w:rPr>
          <w:b/>
          <w:color w:val="auto"/>
          <w:spacing w:val="-10"/>
          <w:sz w:val="24"/>
        </w:rPr>
        <w:t>理</w:t>
      </w:r>
    </w:p>
    <w:p w14:paraId="7535B08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√院内字典维护：支持多方式维护院内数据字典信息及更新方式。字典映射管理:支持可视化在线映射管理，实现全院对外数据标准映射统一管理</w:t>
      </w:r>
      <w:r>
        <w:rPr>
          <w:rFonts w:hint="eastAsia" w:ascii="Arial" w:hAnsi="Arial" w:cs="Arial"/>
          <w:color w:val="auto"/>
          <w:sz w:val="24"/>
          <w:szCs w:val="24"/>
          <w:lang w:eastAsia="zh-CN"/>
        </w:rPr>
        <w:t>；</w:t>
      </w:r>
      <w:r>
        <w:rPr>
          <w:rFonts w:hint="default" w:ascii="Arial" w:hAnsi="Arial" w:cs="Arial"/>
          <w:color w:val="auto"/>
          <w:sz w:val="24"/>
          <w:szCs w:val="24"/>
        </w:rPr>
        <w:t>支持自动匹配；支持手工匹配、解绑；支持匹配任务分配； 支持匹配结果审核；支持匹配结果数据导出。自定义标准字典：支持自定义标准字典内容。</w:t>
      </w:r>
    </w:p>
    <w:p w14:paraId="69A1407D">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数据模型管</w:t>
      </w:r>
      <w:r>
        <w:rPr>
          <w:b/>
          <w:color w:val="auto"/>
          <w:spacing w:val="-10"/>
          <w:sz w:val="24"/>
        </w:rPr>
        <w:t>理</w:t>
      </w:r>
    </w:p>
    <w:p w14:paraId="2F9E59E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√支持模型导入、导出，根据数据库自动生成，也可手动添加；支持自定义源模型、上报数据集模型、标准字典模型等内容；支持模型在线查看，展示模型对应字段、备注、类型等信息。</w:t>
      </w:r>
    </w:p>
    <w:p w14:paraId="26FCED24">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数据质量校</w:t>
      </w:r>
      <w:r>
        <w:rPr>
          <w:b/>
          <w:color w:val="auto"/>
          <w:spacing w:val="-10"/>
          <w:sz w:val="24"/>
        </w:rPr>
        <w:t>验</w:t>
      </w:r>
    </w:p>
    <w:p w14:paraId="3B8265B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1)√校验规则</w:t>
      </w:r>
      <w:r>
        <w:rPr>
          <w:rFonts w:hint="eastAsia" w:ascii="Arial" w:hAnsi="Arial" w:cs="Arial"/>
          <w:color w:val="auto"/>
          <w:sz w:val="24"/>
          <w:szCs w:val="24"/>
          <w:lang w:eastAsia="zh-CN"/>
        </w:rPr>
        <w:t>：</w:t>
      </w:r>
      <w:r>
        <w:rPr>
          <w:rFonts w:hint="default" w:ascii="Arial" w:hAnsi="Arial" w:cs="Arial"/>
          <w:color w:val="auto"/>
          <w:sz w:val="24"/>
          <w:szCs w:val="24"/>
        </w:rPr>
        <w:t xml:space="preserve">内置非空校验、字段类型校验、字段长度校验、字符串时间格式校验、正则校验、数据值范围校验、字典值域校验等规则；支持自定义校验规则。 </w:t>
      </w:r>
    </w:p>
    <w:p w14:paraId="69FE2BF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2)√质量校验</w:t>
      </w:r>
      <w:r>
        <w:rPr>
          <w:rFonts w:hint="eastAsia" w:ascii="Arial" w:hAnsi="Arial" w:cs="Arial"/>
          <w:color w:val="auto"/>
          <w:sz w:val="24"/>
          <w:szCs w:val="24"/>
          <w:lang w:eastAsia="zh-CN"/>
        </w:rPr>
        <w:t>：</w:t>
      </w:r>
      <w:r>
        <w:rPr>
          <w:rFonts w:hint="default" w:ascii="Arial" w:hAnsi="Arial" w:cs="Arial"/>
          <w:color w:val="auto"/>
          <w:sz w:val="24"/>
          <w:szCs w:val="24"/>
        </w:rPr>
        <w:t>实时数据质量校验，支持源表数据量、目标表数据量、统计错误量、截止统计时间等信息统计展示；离线数据质量校验，对非空异常、类型异常、长度异常、字符串时间格式异常、正则异常、数据值范围异常、值域异常等信息展示；离线表数据量对比管理，支持对状态、监测表数量、对比表数量、相差数量及分段方式的展示。</w:t>
      </w:r>
    </w:p>
    <w:p w14:paraId="14672467">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对外数据上</w:t>
      </w:r>
      <w:r>
        <w:rPr>
          <w:b/>
          <w:color w:val="auto"/>
          <w:spacing w:val="-10"/>
          <w:sz w:val="24"/>
        </w:rPr>
        <w:t>报</w:t>
      </w:r>
    </w:p>
    <w:p w14:paraId="38B3A6C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流程设计：提供可视化设计界面，支持通过拖拽流控件组合完成上报流程设计；上报插件：提供多样上报插件，支持表对接、接口调用等多种上报对接方式；异常处理：支持异常处理操，提供内置异常管理、日志管理等功能；提供错误原因判断以及错误恢复功能；上报定时：支持灵活的任务调度配置，支持图形化调度配置，支持设定调度时间；版本管理：支持团队开发和版本控制（记录版本变更，并行开发）功能；上报日志：支持对上报执行状态、总行数、未上报数、上报成功、上报失败等日志进行监控展示。</w:t>
      </w:r>
    </w:p>
    <w:p w14:paraId="513ED01D">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上报监控分</w:t>
      </w:r>
      <w:r>
        <w:rPr>
          <w:b/>
          <w:color w:val="auto"/>
          <w:spacing w:val="-10"/>
          <w:sz w:val="24"/>
        </w:rPr>
        <w:t>析</w:t>
      </w:r>
    </w:p>
    <w:p w14:paraId="40010FD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√基础监控：集成流成功、失败、进行中数据监控统计； √CDC 数据库、表状态监测统计；数据库异常、表异常、采集作业异常数据量监测；√数据质量校验任务异常数据监测；码表映射任务未完成情况监测；对总体项目数、项目成功数、项目失败数、视图数、视图成功数、视图失败数进行监测统计；支持展示每一个数据上报模块的视图数、视图成功数、视图失败数。科室看板：需展示科室负责的上报任务取数、上报情况。</w:t>
      </w:r>
    </w:p>
    <w:p w14:paraId="4FCB72AA">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基础设置管</w:t>
      </w:r>
      <w:r>
        <w:rPr>
          <w:b/>
          <w:color w:val="auto"/>
          <w:spacing w:val="-10"/>
          <w:sz w:val="24"/>
        </w:rPr>
        <w:t>理</w:t>
      </w:r>
    </w:p>
    <w:p w14:paraId="0413E42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用户管理：支持对管理员用户、业务系统用户、安全管理员用户、审计管理员用户等人员的基本信息进行维护；部门管理：支持对部门架构维护；权限管理：支持管理码表对码、对码审核、数据编辑、上报审核等模块的权限；系统设置：支持对节点管理、插件管理、操作日志等进行设置；回收站：支持恢复已删除的操作。</w:t>
      </w:r>
    </w:p>
    <w:p w14:paraId="4D9924C0">
      <w:pPr>
        <w:pStyle w:val="24"/>
        <w:keepNext w:val="0"/>
        <w:keepLines w:val="0"/>
        <w:pageBreakBefore w:val="0"/>
        <w:widowControl w:val="0"/>
        <w:numPr>
          <w:ilvl w:val="0"/>
          <w:numId w:val="5"/>
        </w:numPr>
        <w:tabs>
          <w:tab w:val="left" w:pos="947"/>
        </w:tabs>
        <w:kinsoku/>
        <w:wordWrap/>
        <w:overflowPunct/>
        <w:topLinePunct w:val="0"/>
        <w:autoSpaceDE w:val="0"/>
        <w:autoSpaceDN w:val="0"/>
        <w:bidi w:val="0"/>
        <w:adjustRightInd/>
        <w:snapToGrid/>
        <w:spacing w:before="0" w:line="360" w:lineRule="auto"/>
        <w:ind w:hanging="245"/>
        <w:textAlignment w:val="auto"/>
        <w:rPr>
          <w:b/>
          <w:color w:val="auto"/>
          <w:sz w:val="24"/>
        </w:rPr>
      </w:pPr>
      <w:r>
        <w:rPr>
          <w:b/>
          <w:color w:val="auto"/>
          <w:spacing w:val="-2"/>
          <w:sz w:val="24"/>
        </w:rPr>
        <w:t>上报数据实施服</w:t>
      </w:r>
      <w:r>
        <w:rPr>
          <w:b/>
          <w:color w:val="auto"/>
          <w:spacing w:val="-10"/>
          <w:sz w:val="24"/>
        </w:rPr>
        <w:t>务</w:t>
      </w:r>
    </w:p>
    <w:p w14:paraId="44791C9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√数据采集：业务系统数据同步及视图脚本编写。上报开发：对应数据上报流程设计开发、上报联调。质量反馈：上报数据质量基础校验及问题反馈。统一管理：历史上报任务迁移至统一数据上报系统。上传设定</w:t>
      </w:r>
      <w:r>
        <w:rPr>
          <w:rFonts w:hint="eastAsia" w:ascii="Arial" w:hAnsi="Arial" w:cs="Arial"/>
          <w:color w:val="auto"/>
          <w:sz w:val="24"/>
          <w:szCs w:val="24"/>
          <w:lang w:eastAsia="zh-CN"/>
        </w:rPr>
        <w:t>：</w:t>
      </w:r>
      <w:r>
        <w:rPr>
          <w:rFonts w:hint="default" w:ascii="Arial" w:hAnsi="Arial" w:cs="Arial"/>
          <w:color w:val="auto"/>
          <w:sz w:val="24"/>
          <w:szCs w:val="24"/>
        </w:rPr>
        <w:t>增量数据上报设定、上报任务定时。历史数据补传。</w:t>
      </w:r>
    </w:p>
    <w:p w14:paraId="72DC50A5">
      <w:pPr>
        <w:pStyle w:val="24"/>
        <w:keepNext w:val="0"/>
        <w:keepLines w:val="0"/>
        <w:pageBreakBefore w:val="0"/>
        <w:widowControl w:val="0"/>
        <w:numPr>
          <w:ilvl w:val="0"/>
          <w:numId w:val="0"/>
        </w:numPr>
        <w:tabs>
          <w:tab w:val="left" w:pos="1062"/>
        </w:tabs>
        <w:kinsoku/>
        <w:wordWrap/>
        <w:overflowPunct/>
        <w:topLinePunct w:val="0"/>
        <w:autoSpaceDE w:val="0"/>
        <w:autoSpaceDN w:val="0"/>
        <w:bidi w:val="0"/>
        <w:adjustRightInd/>
        <w:snapToGrid/>
        <w:spacing w:before="0" w:line="360" w:lineRule="auto"/>
        <w:ind w:left="699" w:leftChars="0"/>
        <w:textAlignment w:val="auto"/>
        <w:rPr>
          <w:color w:val="auto"/>
        </w:rPr>
      </w:pPr>
    </w:p>
    <w:p w14:paraId="762BB72D">
      <w:pPr>
        <w:pStyle w:val="24"/>
        <w:keepNext w:val="0"/>
        <w:keepLines w:val="0"/>
        <w:pageBreakBefore w:val="0"/>
        <w:widowControl w:val="0"/>
        <w:numPr>
          <w:ilvl w:val="4"/>
          <w:numId w:val="6"/>
        </w:numPr>
        <w:tabs>
          <w:tab w:val="left" w:pos="1901"/>
        </w:tabs>
        <w:kinsoku/>
        <w:wordWrap/>
        <w:overflowPunct/>
        <w:topLinePunct w:val="0"/>
        <w:autoSpaceDE w:val="0"/>
        <w:autoSpaceDN w:val="0"/>
        <w:bidi w:val="0"/>
        <w:adjustRightInd/>
        <w:snapToGrid/>
        <w:spacing w:before="0" w:line="360" w:lineRule="auto"/>
        <w:ind w:hanging="1199"/>
        <w:textAlignment w:val="auto"/>
        <w:rPr>
          <w:b/>
          <w:color w:val="auto"/>
          <w:sz w:val="24"/>
        </w:rPr>
      </w:pPr>
      <w:r>
        <w:rPr>
          <w:b/>
          <w:color w:val="auto"/>
          <w:spacing w:val="-2"/>
          <w:sz w:val="24"/>
        </w:rPr>
        <w:t>医疗安全</w:t>
      </w:r>
      <w:r>
        <w:rPr>
          <w:rFonts w:ascii="等线" w:eastAsia="等线"/>
          <w:b/>
          <w:color w:val="auto"/>
          <w:spacing w:val="-2"/>
          <w:sz w:val="24"/>
        </w:rPr>
        <w:t>(</w:t>
      </w:r>
      <w:r>
        <w:rPr>
          <w:b/>
          <w:color w:val="auto"/>
          <w:spacing w:val="-2"/>
          <w:sz w:val="24"/>
        </w:rPr>
        <w:t>不良</w:t>
      </w:r>
      <w:r>
        <w:rPr>
          <w:rFonts w:ascii="等线" w:eastAsia="等线"/>
          <w:b/>
          <w:color w:val="auto"/>
          <w:spacing w:val="-2"/>
          <w:sz w:val="24"/>
        </w:rPr>
        <w:t>)</w:t>
      </w:r>
      <w:r>
        <w:rPr>
          <w:b/>
          <w:color w:val="auto"/>
          <w:spacing w:val="-2"/>
          <w:sz w:val="24"/>
        </w:rPr>
        <w:t>事件上</w:t>
      </w:r>
      <w:r>
        <w:rPr>
          <w:b/>
          <w:color w:val="auto"/>
          <w:spacing w:val="-10"/>
          <w:sz w:val="24"/>
        </w:rPr>
        <w:t>报</w:t>
      </w:r>
    </w:p>
    <w:p w14:paraId="03B937B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z w:val="24"/>
          <w:szCs w:val="24"/>
        </w:rPr>
        <w:t>√</w:t>
      </w:r>
      <w:r>
        <w:rPr>
          <w:color w:val="auto"/>
          <w:spacing w:val="-2"/>
        </w:rPr>
        <w:t>实现将上报业务融入到各临床工作站系统中（医生工作站、护士工作站），帮助医生护士及时上报不良事件；管理部门通过该系统及时收集医疗运行过程</w:t>
      </w:r>
      <w:r>
        <w:rPr>
          <w:color w:val="auto"/>
          <w:spacing w:val="40"/>
        </w:rPr>
        <w:t xml:space="preserve">  </w:t>
      </w:r>
      <w:r>
        <w:rPr>
          <w:color w:val="auto"/>
          <w:spacing w:val="-2"/>
        </w:rPr>
        <w:t>中的不良事件，通过数据汇总、分析研究，及时发现事故隐患或危险状况，及</w:t>
      </w:r>
      <w:r>
        <w:rPr>
          <w:color w:val="auto"/>
          <w:spacing w:val="40"/>
        </w:rPr>
        <w:t xml:space="preserve">  </w:t>
      </w:r>
      <w:r>
        <w:rPr>
          <w:color w:val="auto"/>
          <w:spacing w:val="-2"/>
        </w:rPr>
        <w:t>时介入临床行为，防止严重的不安全事件或医疗事故发生；医院管理决策部门</w:t>
      </w:r>
      <w:r>
        <w:rPr>
          <w:color w:val="auto"/>
          <w:spacing w:val="40"/>
        </w:rPr>
        <w:t xml:space="preserve">  </w:t>
      </w:r>
      <w:r>
        <w:rPr>
          <w:color w:val="auto"/>
        </w:rPr>
        <w:t>可依据 PDCA 持续改进理念，进步完善和改进相关医疗管理制度。</w:t>
      </w:r>
    </w:p>
    <w:p w14:paraId="098C810F">
      <w:pPr>
        <w:pStyle w:val="24"/>
        <w:keepNext w:val="0"/>
        <w:keepLines w:val="0"/>
        <w:pageBreakBefore w:val="0"/>
        <w:widowControl w:val="0"/>
        <w:numPr>
          <w:ilvl w:val="4"/>
          <w:numId w:val="6"/>
        </w:numPr>
        <w:tabs>
          <w:tab w:val="left" w:pos="1901"/>
        </w:tabs>
        <w:kinsoku/>
        <w:wordWrap/>
        <w:overflowPunct/>
        <w:topLinePunct w:val="0"/>
        <w:autoSpaceDE w:val="0"/>
        <w:autoSpaceDN w:val="0"/>
        <w:bidi w:val="0"/>
        <w:adjustRightInd/>
        <w:snapToGrid/>
        <w:spacing w:before="0" w:line="360" w:lineRule="auto"/>
        <w:ind w:hanging="1199"/>
        <w:textAlignment w:val="auto"/>
        <w:rPr>
          <w:b/>
          <w:color w:val="auto"/>
          <w:sz w:val="24"/>
        </w:rPr>
      </w:pPr>
      <w:r>
        <w:rPr>
          <w:b/>
          <w:color w:val="auto"/>
          <w:spacing w:val="-2"/>
          <w:sz w:val="24"/>
        </w:rPr>
        <w:t>传染病信息</w:t>
      </w:r>
      <w:r>
        <w:rPr>
          <w:b/>
          <w:color w:val="auto"/>
          <w:spacing w:val="-6"/>
          <w:sz w:val="24"/>
        </w:rPr>
        <w:t>上报</w:t>
      </w:r>
    </w:p>
    <w:p w14:paraId="3C38934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spacing w:val="-2"/>
        </w:rPr>
      </w:pPr>
      <w:r>
        <w:rPr>
          <w:rFonts w:hint="default" w:ascii="Arial" w:hAnsi="Arial" w:cs="Arial"/>
          <w:color w:val="auto"/>
          <w:sz w:val="24"/>
          <w:szCs w:val="24"/>
        </w:rPr>
        <w:t>√</w:t>
      </w:r>
      <w:r>
        <w:rPr>
          <w:color w:val="auto"/>
          <w:spacing w:val="-2"/>
        </w:rPr>
        <w:t>系统支持与省市级传染病网络直报系统的无缝对接功能，实现对符合传染</w:t>
      </w:r>
      <w:r>
        <w:rPr>
          <w:color w:val="auto"/>
          <w:spacing w:val="80"/>
          <w:w w:val="150"/>
        </w:rPr>
        <w:t xml:space="preserve"> </w:t>
      </w:r>
      <w:r>
        <w:rPr>
          <w:color w:val="auto"/>
          <w:spacing w:val="-2"/>
        </w:rPr>
        <w:t>病（包括法定报告传染病、突发急性传染病等）、疑似传染病诊断标准的患者，以及各类突发公共卫生事件提供传染病和突发公共卫生事件直接网络直报或数</w:t>
      </w:r>
      <w:r>
        <w:rPr>
          <w:color w:val="auto"/>
          <w:spacing w:val="80"/>
          <w:w w:val="150"/>
        </w:rPr>
        <w:t xml:space="preserve"> </w:t>
      </w:r>
      <w:r>
        <w:rPr>
          <w:color w:val="auto"/>
          <w:spacing w:val="-2"/>
        </w:rPr>
        <w:t>据交换，支持上报卡登记、审核、统计或直接网络上报。</w:t>
      </w:r>
      <w:r>
        <w:rPr>
          <w:rFonts w:hint="eastAsia"/>
          <w:color w:val="auto"/>
          <w:spacing w:val="-2"/>
        </w:rPr>
        <w:t>系统应与临床医生工作站一体化设计，方便医生便捷上报。</w:t>
      </w:r>
    </w:p>
    <w:p w14:paraId="55BCFDB4">
      <w:pPr>
        <w:pStyle w:val="24"/>
        <w:keepNext w:val="0"/>
        <w:keepLines w:val="0"/>
        <w:pageBreakBefore w:val="0"/>
        <w:widowControl w:val="0"/>
        <w:numPr>
          <w:ilvl w:val="4"/>
          <w:numId w:val="6"/>
        </w:numPr>
        <w:tabs>
          <w:tab w:val="left" w:pos="1901"/>
        </w:tabs>
        <w:kinsoku/>
        <w:wordWrap/>
        <w:overflowPunct/>
        <w:topLinePunct w:val="0"/>
        <w:autoSpaceDE w:val="0"/>
        <w:autoSpaceDN w:val="0"/>
        <w:bidi w:val="0"/>
        <w:adjustRightInd/>
        <w:snapToGrid/>
        <w:spacing w:before="0" w:line="360" w:lineRule="auto"/>
        <w:ind w:hanging="1199"/>
        <w:textAlignment w:val="auto"/>
        <w:rPr>
          <w:b/>
          <w:color w:val="auto"/>
          <w:sz w:val="24"/>
        </w:rPr>
      </w:pPr>
      <w:r>
        <w:rPr>
          <w:b/>
          <w:color w:val="auto"/>
          <w:spacing w:val="-2"/>
          <w:sz w:val="24"/>
        </w:rPr>
        <w:t>重大非传染性疾病及死亡信息上</w:t>
      </w:r>
      <w:r>
        <w:rPr>
          <w:b/>
          <w:color w:val="auto"/>
          <w:spacing w:val="-10"/>
          <w:sz w:val="24"/>
        </w:rPr>
        <w:t>报</w:t>
      </w:r>
    </w:p>
    <w:p w14:paraId="114F722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实现对重大非传染性疾病（包括严重精神障碍、恶性肿瘤、职业病、高血压、糖尿病、慢阻肺以及急性心梗，脑卒中，心脏性猝死等心脑血管事件等）患者信息及死亡登记信息的上报、审核、导出、数据交换等功能。</w:t>
      </w:r>
    </w:p>
    <w:p w14:paraId="355A1F89">
      <w:pPr>
        <w:pStyle w:val="24"/>
        <w:keepNext w:val="0"/>
        <w:keepLines w:val="0"/>
        <w:pageBreakBefore w:val="0"/>
        <w:widowControl w:val="0"/>
        <w:numPr>
          <w:ilvl w:val="4"/>
          <w:numId w:val="6"/>
        </w:numPr>
        <w:tabs>
          <w:tab w:val="left" w:pos="1901"/>
        </w:tabs>
        <w:kinsoku/>
        <w:wordWrap/>
        <w:overflowPunct/>
        <w:topLinePunct w:val="0"/>
        <w:autoSpaceDE w:val="0"/>
        <w:autoSpaceDN w:val="0"/>
        <w:bidi w:val="0"/>
        <w:adjustRightInd/>
        <w:snapToGrid/>
        <w:spacing w:before="0" w:line="360" w:lineRule="auto"/>
        <w:ind w:hanging="1199"/>
        <w:jc w:val="both"/>
        <w:textAlignment w:val="auto"/>
        <w:rPr>
          <w:b/>
          <w:color w:val="auto"/>
          <w:sz w:val="24"/>
        </w:rPr>
      </w:pPr>
      <w:r>
        <w:rPr>
          <w:b/>
          <w:color w:val="auto"/>
          <w:spacing w:val="-2"/>
          <w:sz w:val="24"/>
        </w:rPr>
        <w:t>食源性疾病</w:t>
      </w:r>
      <w:r>
        <w:rPr>
          <w:b/>
          <w:color w:val="auto"/>
          <w:spacing w:val="-4"/>
          <w:sz w:val="24"/>
        </w:rPr>
        <w:t>信息上报</w:t>
      </w:r>
    </w:p>
    <w:p w14:paraId="53725B0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实现对食源性疾病病例信息的规范上报，保证食源性疾病报告的时效性、可靠性准确性。</w:t>
      </w:r>
    </w:p>
    <w:p w14:paraId="54BD9A3F">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院感管理系</w:t>
      </w:r>
      <w:r>
        <w:rPr>
          <w:b/>
          <w:color w:val="auto"/>
          <w:spacing w:val="-10"/>
          <w:sz w:val="24"/>
        </w:rPr>
        <w:t>统</w:t>
      </w:r>
    </w:p>
    <w:p w14:paraId="57692AC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2" w:firstLine="479"/>
        <w:textAlignment w:val="auto"/>
        <w:rPr>
          <w:color w:val="auto"/>
        </w:rPr>
      </w:pPr>
      <w:r>
        <w:rPr>
          <w:rFonts w:hint="default" w:ascii="Arial" w:hAnsi="Arial" w:cs="Arial"/>
          <w:color w:val="auto"/>
          <w:sz w:val="24"/>
          <w:szCs w:val="24"/>
        </w:rPr>
        <w:t>√</w:t>
      </w:r>
      <w:r>
        <w:rPr>
          <w:color w:val="auto"/>
          <w:spacing w:val="-2"/>
        </w:rPr>
        <w:t>医院感染管理信息系统由医院感控人员使用，需临床医生密切配合，是电</w:t>
      </w:r>
      <w:r>
        <w:rPr>
          <w:color w:val="auto"/>
          <w:spacing w:val="80"/>
          <w:w w:val="150"/>
        </w:rPr>
        <w:t xml:space="preserve"> </w:t>
      </w:r>
      <w:r>
        <w:rPr>
          <w:color w:val="auto"/>
          <w:spacing w:val="-2"/>
        </w:rPr>
        <w:t>子病历系统的一个重要组成部分。它包含了“易感评估、院感监测、院感管理、统计分析”等主要功能。系统应具备以下功能：</w:t>
      </w:r>
      <w:r>
        <w:rPr>
          <w:color w:val="auto"/>
          <w:spacing w:val="-2"/>
          <w:sz w:val="24"/>
        </w:rPr>
        <w:t>入院易感评估</w:t>
      </w:r>
      <w:r>
        <w:rPr>
          <w:rFonts w:hint="eastAsia"/>
          <w:color w:val="auto"/>
          <w:spacing w:val="-2"/>
          <w:sz w:val="24"/>
          <w:lang w:eastAsia="zh-CN"/>
        </w:rPr>
        <w:t>：</w:t>
      </w:r>
      <w:r>
        <w:rPr>
          <w:color w:val="auto"/>
          <w:spacing w:val="-1"/>
        </w:rPr>
        <w:t>由感控人员对各科室新入院病人进行本次住院发生医院感染的倾向进行评估，感染管理人员可把预防处理措施及时反馈给临床医生。</w:t>
      </w:r>
      <w:r>
        <w:rPr>
          <w:color w:val="auto"/>
          <w:spacing w:val="-2"/>
          <w:sz w:val="24"/>
        </w:rPr>
        <w:t>疑似病例搜索</w:t>
      </w:r>
      <w:r>
        <w:rPr>
          <w:rFonts w:hint="eastAsia"/>
          <w:color w:val="auto"/>
          <w:spacing w:val="-2"/>
          <w:sz w:val="24"/>
          <w:lang w:eastAsia="zh-CN"/>
        </w:rPr>
        <w:t>：</w:t>
      </w:r>
      <w:r>
        <w:rPr>
          <w:color w:val="auto"/>
          <w:spacing w:val="-1"/>
        </w:rPr>
        <w:t>实时从医院在院病人中搜索出医院感染疑似病例。</w:t>
      </w:r>
      <w:r>
        <w:rPr>
          <w:color w:val="auto"/>
          <w:spacing w:val="-3"/>
          <w:sz w:val="24"/>
        </w:rPr>
        <w:t>院感上报</w:t>
      </w:r>
      <w:r>
        <w:rPr>
          <w:rFonts w:hint="eastAsia"/>
          <w:color w:val="auto"/>
          <w:spacing w:val="-3"/>
          <w:sz w:val="24"/>
          <w:lang w:eastAsia="zh-CN"/>
        </w:rPr>
        <w:t>：</w:t>
      </w:r>
      <w:r>
        <w:rPr>
          <w:color w:val="auto"/>
          <w:spacing w:val="-3"/>
        </w:rPr>
        <w:t xml:space="preserve">临床医生在发现感染病例后，应在 </w:t>
      </w:r>
      <w:r>
        <w:rPr>
          <w:color w:val="auto"/>
        </w:rPr>
        <w:t>24</w:t>
      </w:r>
      <w:r>
        <w:rPr>
          <w:color w:val="auto"/>
          <w:spacing w:val="-7"/>
        </w:rPr>
        <w:t xml:space="preserve"> 小时内上报到院感科，若诊断符合关</w:t>
      </w:r>
      <w:r>
        <w:rPr>
          <w:color w:val="auto"/>
        </w:rPr>
        <w:t>联的院感诊断名称时, 系统自动生成院感报告卡。</w:t>
      </w:r>
    </w:p>
    <w:p w14:paraId="03B5316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2" w:firstLine="479"/>
        <w:textAlignment w:val="auto"/>
        <w:rPr>
          <w:rFonts w:hint="default" w:ascii="Arial" w:hAnsi="Arial" w:cs="Arial"/>
          <w:color w:val="auto"/>
          <w:sz w:val="24"/>
          <w:szCs w:val="24"/>
        </w:rPr>
      </w:pPr>
      <w:r>
        <w:rPr>
          <w:rFonts w:hint="default" w:ascii="Arial" w:hAnsi="Arial" w:cs="Arial"/>
          <w:color w:val="auto"/>
          <w:sz w:val="24"/>
          <w:szCs w:val="24"/>
        </w:rPr>
        <w:t>√传染病上报</w:t>
      </w:r>
      <w:r>
        <w:rPr>
          <w:rFonts w:hint="eastAsia" w:ascii="Arial" w:hAnsi="Arial" w:cs="Arial"/>
          <w:color w:val="auto"/>
          <w:sz w:val="24"/>
          <w:szCs w:val="24"/>
          <w:lang w:eastAsia="zh-CN"/>
        </w:rPr>
        <w:t>：</w:t>
      </w:r>
      <w:r>
        <w:rPr>
          <w:rFonts w:hint="default" w:ascii="Arial" w:hAnsi="Arial" w:cs="Arial"/>
          <w:color w:val="auto"/>
          <w:sz w:val="24"/>
          <w:szCs w:val="24"/>
        </w:rPr>
        <w:t>确认患者为传染性疾病后，医生录入传染病诊断同时需填报传染病上报卡，完成传染病上报。上报病例管理</w:t>
      </w:r>
      <w:r>
        <w:rPr>
          <w:rFonts w:hint="eastAsia" w:ascii="Arial" w:hAnsi="Arial" w:cs="Arial"/>
          <w:color w:val="auto"/>
          <w:sz w:val="24"/>
          <w:szCs w:val="24"/>
          <w:lang w:eastAsia="zh-CN"/>
        </w:rPr>
        <w:t>：</w:t>
      </w:r>
      <w:r>
        <w:rPr>
          <w:rFonts w:hint="default" w:ascii="Arial" w:hAnsi="Arial" w:cs="Arial"/>
          <w:color w:val="auto"/>
          <w:sz w:val="24"/>
          <w:szCs w:val="24"/>
        </w:rPr>
        <w:t>感控人员对临床上报的院感病例进行确认，并指导院感病人的治疗，确认后的院感病例进行院感病例登记。现患率调查（横截面调查）</w:t>
      </w:r>
      <w:r>
        <w:rPr>
          <w:rFonts w:hint="eastAsia" w:ascii="Arial" w:hAnsi="Arial" w:cs="Arial"/>
          <w:color w:val="auto"/>
          <w:sz w:val="24"/>
          <w:szCs w:val="24"/>
          <w:lang w:eastAsia="zh-CN"/>
        </w:rPr>
        <w:t>：</w:t>
      </w:r>
      <w:r>
        <w:rPr>
          <w:rFonts w:hint="default" w:ascii="Arial" w:hAnsi="Arial" w:cs="Arial"/>
          <w:color w:val="auto"/>
          <w:sz w:val="24"/>
          <w:szCs w:val="24"/>
        </w:rPr>
        <w:t>利用普查和抽查的方式收集某一特定时期内调查病例中处于医院感染状态的病例数量，从而描述医院感染及其影响因素的关系。现患率调查可以在短时间内进行，比发病率调查节省人力、物力和时间，多次调查也可以判断医院感染的长期趋势。</w:t>
      </w:r>
    </w:p>
    <w:p w14:paraId="6AF3309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2" w:firstLine="479"/>
        <w:textAlignment w:val="auto"/>
        <w:rPr>
          <w:rFonts w:hint="default" w:ascii="Arial" w:hAnsi="Arial" w:cs="Arial"/>
          <w:color w:val="auto"/>
          <w:sz w:val="24"/>
          <w:szCs w:val="24"/>
        </w:rPr>
      </w:pPr>
      <w:r>
        <w:rPr>
          <w:rFonts w:hint="default" w:ascii="Arial" w:hAnsi="Arial" w:cs="Arial"/>
          <w:color w:val="auto"/>
          <w:sz w:val="24"/>
          <w:szCs w:val="24"/>
        </w:rPr>
        <w:t>√高危因素监测</w:t>
      </w:r>
      <w:r>
        <w:rPr>
          <w:rFonts w:hint="eastAsia" w:ascii="Arial" w:hAnsi="Arial" w:cs="Arial"/>
          <w:color w:val="auto"/>
          <w:sz w:val="24"/>
          <w:szCs w:val="24"/>
          <w:lang w:eastAsia="zh-CN"/>
        </w:rPr>
        <w:t>：</w:t>
      </w:r>
      <w:r>
        <w:rPr>
          <w:rFonts w:hint="default" w:ascii="Arial" w:hAnsi="Arial" w:cs="Arial"/>
          <w:color w:val="auto"/>
          <w:sz w:val="24"/>
          <w:szCs w:val="24"/>
        </w:rPr>
        <w:t>从医嘱系统中查询全院使用呼吸机（肺炎）、留置导尿管（尿路感染）、动静脉插管（血流感染）、血液透析患者；从手术麻醉系统中查询不同切口类型手术患者；从 HIS 系统中查询新生儿科、ICU 病人，对以上具有院感高危因素的人群进行重点监测。多重耐药菌监测</w:t>
      </w:r>
      <w:r>
        <w:rPr>
          <w:rFonts w:hint="eastAsia" w:ascii="Arial" w:hAnsi="Arial" w:cs="Arial"/>
          <w:color w:val="auto"/>
          <w:sz w:val="24"/>
          <w:szCs w:val="24"/>
          <w:lang w:eastAsia="zh-CN"/>
        </w:rPr>
        <w:t>：</w:t>
      </w:r>
      <w:r>
        <w:rPr>
          <w:rFonts w:hint="default" w:ascii="Arial" w:hAnsi="Arial" w:cs="Arial"/>
          <w:color w:val="auto"/>
          <w:sz w:val="24"/>
          <w:szCs w:val="24"/>
        </w:rPr>
        <w:t>通过 LIS 系统提供的检验报告数据搜索出多重耐药菌感染病例，并对这些病例进行监测。抗菌药物监测</w:t>
      </w:r>
      <w:r>
        <w:rPr>
          <w:rFonts w:hint="eastAsia" w:ascii="Arial" w:hAnsi="Arial" w:cs="Arial"/>
          <w:color w:val="auto"/>
          <w:sz w:val="24"/>
          <w:szCs w:val="24"/>
          <w:lang w:eastAsia="zh-CN"/>
        </w:rPr>
        <w:t>：</w:t>
      </w:r>
      <w:r>
        <w:rPr>
          <w:rFonts w:hint="default" w:ascii="Arial" w:hAnsi="Arial" w:cs="Arial"/>
          <w:color w:val="auto"/>
          <w:sz w:val="24"/>
          <w:szCs w:val="24"/>
        </w:rPr>
        <w:t>查询全院抗菌药物的使用情况，并且自动分析抗菌药物的联合用药情况。环境卫生学监测</w:t>
      </w:r>
      <w:r>
        <w:rPr>
          <w:rFonts w:hint="eastAsia" w:ascii="Arial" w:hAnsi="Arial" w:cs="Arial"/>
          <w:color w:val="auto"/>
          <w:sz w:val="24"/>
          <w:szCs w:val="24"/>
          <w:lang w:val="en-US" w:eastAsia="zh-CN"/>
        </w:rPr>
        <w:t>:</w:t>
      </w:r>
      <w:r>
        <w:rPr>
          <w:rFonts w:hint="default" w:ascii="Arial" w:hAnsi="Arial" w:cs="Arial"/>
          <w:color w:val="auto"/>
          <w:sz w:val="24"/>
          <w:szCs w:val="24"/>
        </w:rPr>
        <w:t>对各临床和功能科室的环境卫生进行登记和监测。暴露监测</w:t>
      </w:r>
      <w:r>
        <w:rPr>
          <w:rFonts w:hint="eastAsia" w:ascii="Arial" w:hAnsi="Arial" w:cs="Arial"/>
          <w:color w:val="auto"/>
          <w:sz w:val="24"/>
          <w:szCs w:val="24"/>
          <w:lang w:val="en-US" w:eastAsia="zh-CN"/>
        </w:rPr>
        <w:t>:</w:t>
      </w:r>
      <w:r>
        <w:rPr>
          <w:rFonts w:hint="default" w:ascii="Arial" w:hAnsi="Arial" w:cs="Arial"/>
          <w:color w:val="auto"/>
          <w:sz w:val="24"/>
          <w:szCs w:val="24"/>
        </w:rPr>
        <w:t>对院内针刺伤、血液、体液等职业暴露情况进行登记和监测。</w:t>
      </w:r>
    </w:p>
    <w:p w14:paraId="3958A201">
      <w:pPr>
        <w:pStyle w:val="24"/>
        <w:keepNext w:val="0"/>
        <w:keepLines w:val="0"/>
        <w:pageBreakBefore w:val="0"/>
        <w:widowControl w:val="0"/>
        <w:numPr>
          <w:ilvl w:val="0"/>
          <w:numId w:val="7"/>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爆发预警</w:t>
      </w:r>
    </w:p>
    <w:p w14:paraId="3C71115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color w:val="auto"/>
        </w:rPr>
      </w:pPr>
      <w:r>
        <w:rPr>
          <w:rFonts w:hint="default" w:ascii="Arial" w:hAnsi="Arial" w:cs="Arial"/>
          <w:color w:val="auto"/>
          <w:sz w:val="24"/>
          <w:szCs w:val="24"/>
        </w:rPr>
        <w:t>√</w:t>
      </w:r>
      <w:r>
        <w:rPr>
          <w:color w:val="auto"/>
          <w:spacing w:val="-2"/>
        </w:rPr>
        <w:t>实时监测全院的感染动态，一旦出现了预设时期内某科室发生了预设次数的感染情况，系统就会自动报警并显示出这些感染病例，让感控人员在第一时间内掌握感染暴发的详细情况。</w:t>
      </w:r>
    </w:p>
    <w:p w14:paraId="20BE3F01">
      <w:pPr>
        <w:pStyle w:val="24"/>
        <w:keepNext w:val="0"/>
        <w:keepLines w:val="0"/>
        <w:pageBreakBefore w:val="0"/>
        <w:widowControl w:val="0"/>
        <w:numPr>
          <w:ilvl w:val="3"/>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消毒供应追溯系</w:t>
      </w:r>
      <w:r>
        <w:rPr>
          <w:b/>
          <w:color w:val="auto"/>
          <w:spacing w:val="-10"/>
          <w:sz w:val="24"/>
        </w:rPr>
        <w:t>统</w:t>
      </w:r>
    </w:p>
    <w:p w14:paraId="5AD2F396">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回收管理</w:t>
      </w:r>
    </w:p>
    <w:p w14:paraId="71CF8EE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eastAsia" w:ascii="Arial" w:hAnsi="Arial" w:cs="Arial"/>
          <w:color w:val="auto"/>
          <w:sz w:val="24"/>
          <w:szCs w:val="24"/>
          <w:lang w:val="en-US" w:eastAsia="zh-CN"/>
        </w:rPr>
      </w:pPr>
      <w:r>
        <w:rPr>
          <w:rFonts w:hint="default" w:ascii="Arial" w:hAnsi="Arial" w:cs="Arial"/>
          <w:color w:val="auto"/>
          <w:sz w:val="24"/>
          <w:szCs w:val="24"/>
        </w:rPr>
        <w:t>√支持所有临床科室消毒灭菌物品包回收登记</w:t>
      </w:r>
      <w:r>
        <w:rPr>
          <w:rFonts w:hint="eastAsia" w:ascii="Arial" w:hAnsi="Arial" w:cs="Arial"/>
          <w:color w:val="auto"/>
          <w:sz w:val="24"/>
          <w:szCs w:val="24"/>
          <w:lang w:val="en-US" w:eastAsia="zh-CN"/>
        </w:rPr>
        <w:t>;</w:t>
      </w:r>
      <w:r>
        <w:rPr>
          <w:rFonts w:hint="default" w:ascii="Arial" w:hAnsi="Arial" w:cs="Arial"/>
          <w:color w:val="auto"/>
          <w:sz w:val="24"/>
          <w:szCs w:val="24"/>
        </w:rPr>
        <w:t>支持拼音首字母、物品类型、分类码和名称方式包含字符查找物品包</w:t>
      </w:r>
      <w:r>
        <w:rPr>
          <w:rFonts w:hint="eastAsia" w:ascii="Arial" w:hAnsi="Arial" w:cs="Arial"/>
          <w:color w:val="auto"/>
          <w:sz w:val="24"/>
          <w:szCs w:val="24"/>
          <w:lang w:eastAsia="zh-CN"/>
        </w:rPr>
        <w:t>。</w:t>
      </w:r>
    </w:p>
    <w:p w14:paraId="24387E8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eastAsia" w:ascii="Arial" w:hAnsi="Arial" w:cs="Arial"/>
          <w:color w:val="auto"/>
          <w:sz w:val="24"/>
          <w:szCs w:val="24"/>
        </w:rPr>
        <w:t>▲</w:t>
      </w:r>
      <w:r>
        <w:rPr>
          <w:rFonts w:hint="default" w:ascii="Arial" w:hAnsi="Arial" w:cs="Arial"/>
          <w:color w:val="auto"/>
          <w:sz w:val="24"/>
          <w:szCs w:val="24"/>
        </w:rPr>
        <w:t>支持展现包内器械明细，包图片，回收批次器械统计，回收器械丢失、报损、血渍等异常登记；</w:t>
      </w:r>
    </w:p>
    <w:p w14:paraId="23647AA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default" w:ascii="Arial" w:hAnsi="Arial" w:cs="Arial"/>
          <w:color w:val="auto"/>
          <w:sz w:val="24"/>
          <w:szCs w:val="24"/>
        </w:rPr>
        <w:t>√在出现丢失无菌包条码的情况，可进行人工无条码登记操作，可通过关联使用病人信息，追溯到丢失的无菌包条码，实现无条码的回收。</w:t>
      </w:r>
    </w:p>
    <w:p w14:paraId="388DD325">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清洗管理</w:t>
      </w:r>
    </w:p>
    <w:p w14:paraId="61484D8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default" w:ascii="Arial" w:hAnsi="Arial" w:cs="Arial"/>
          <w:color w:val="auto"/>
          <w:sz w:val="24"/>
          <w:szCs w:val="24"/>
        </w:rPr>
        <w:t>√支持物品包清洗智能分类提示，每批次关联记录清洗环节工序所有信息，包含清洗责任人员、网篮、清洗设备、开始时间、结束时间、清洗步骤、清洗器械等信息，支持双人审核机制，记录异常及处理结果。能够对接清洗设备，能够通过清洗设备对接实时获取设备运行参数，动态显示，智能预警，并核实清洗是否符合质量要求。对清洗消毒后的器械进行人工判断，判断清洗消毒是否合格，可选择部分合格，部分合格的情况可选择其中某一把器械不合格，并选择不合格原因，不合格原因可制作模板供选择；不合格器械有返回清洗提示。</w:t>
      </w:r>
    </w:p>
    <w:p w14:paraId="7E137470">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配包管理</w:t>
      </w:r>
    </w:p>
    <w:p w14:paraId="417D5DE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default" w:ascii="Arial" w:hAnsi="Arial" w:cs="Arial"/>
          <w:color w:val="auto"/>
          <w:sz w:val="24"/>
          <w:szCs w:val="24"/>
        </w:rPr>
        <w:t>√记录配包环节工序操作信息，包含配包人员、配包时间、灭菌包标识、外包装、包内器械清单、灭菌日期、失效日期以及审核人、审核时间等；根据科室预订量，系统自动统计需要配包的数量，配包人员查看系统即可知道当前所需配包任务量，并点击自动打印所需各条码标签。对于无回收动作，需要增加的配包任务，可在新增任务中进行添加。</w:t>
      </w:r>
    </w:p>
    <w:p w14:paraId="22A972A5">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灭菌管理</w:t>
      </w:r>
    </w:p>
    <w:p w14:paraId="12D94C3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eastAsia" w:ascii="Arial" w:hAnsi="Arial" w:cs="Arial"/>
          <w:color w:val="auto"/>
          <w:sz w:val="24"/>
          <w:szCs w:val="24"/>
        </w:rPr>
        <w:t>▲</w:t>
      </w:r>
      <w:r>
        <w:rPr>
          <w:rFonts w:hint="default" w:ascii="Arial" w:hAnsi="Arial" w:cs="Arial"/>
          <w:color w:val="auto"/>
          <w:sz w:val="24"/>
          <w:szCs w:val="24"/>
        </w:rPr>
        <w:t>每批次关联记录灭菌环节工序所有信息，包含灭菌责任人员、灭菌设备、开始时间、结束时间、灭菌程序等信息，支持灭菌操作规范提醒，双人审核机制，记录异常及处理结果；</w:t>
      </w:r>
    </w:p>
    <w:p w14:paraId="4CE7AE1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default" w:ascii="Arial" w:hAnsi="Arial" w:cs="Arial"/>
          <w:color w:val="auto"/>
          <w:sz w:val="24"/>
          <w:szCs w:val="24"/>
        </w:rPr>
        <w:t>√能够对接灭菌设备，能够通过灭菌设备对接实时获取设备运行参数，动态显示，智能预警，并核实灭菌是否符合质量要求。完成灭菌操作后，系统生成该灭菌设备该次灭菌总条码；支持登记灭菌审核结果、审核人、审核时间，并有灭菌不合格批量召回提示功能。</w:t>
      </w:r>
    </w:p>
    <w:p w14:paraId="6F60CB7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发放管理</w:t>
      </w:r>
    </w:p>
    <w:p w14:paraId="644CC46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rFonts w:hint="default" w:ascii="Arial" w:hAnsi="Arial" w:cs="Arial"/>
          <w:color w:val="auto"/>
          <w:sz w:val="24"/>
          <w:szCs w:val="24"/>
        </w:rPr>
      </w:pPr>
      <w:r>
        <w:rPr>
          <w:rFonts w:hint="default" w:ascii="Arial" w:hAnsi="Arial" w:cs="Arial"/>
          <w:color w:val="auto"/>
          <w:sz w:val="24"/>
          <w:szCs w:val="24"/>
        </w:rPr>
        <w:t>√根据临床申领情况进行物品包发放，可以批量发放；智能提示今天已灭菌、昨天已灭菌物品包，回收科室，通过扫描发货员标识条码、发放物品标识条码、送货人员标识条码，记录发货人员、发货时间、实际发货物品、物品金额、发放科室、送货人员；根据各科室包预订量进行无菌包发放，扫描科室条码，系统自动显示需要发放的科室名称及无菌包名称、数量（大字显示）。未能发放的无菌包另有显示转下次（自动），科室能查询选择科室名称，根据科室预订的一次性无菌物品数量，扫描科室条码系统自动显示该科室需要发放的一次性无菌物品的清单、名称、数量，发放人员选择点击发放，如缺货，则有标注，自动转下次发放，科室能查询。</w:t>
      </w:r>
    </w:p>
    <w:p w14:paraId="3E9B7C4A">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科室申领管</w:t>
      </w:r>
      <w:r>
        <w:rPr>
          <w:b/>
          <w:color w:val="auto"/>
          <w:spacing w:val="-10"/>
          <w:sz w:val="24"/>
        </w:rPr>
        <w:t>理</w:t>
      </w:r>
    </w:p>
    <w:p w14:paraId="3C5C0822">
      <w:pPr>
        <w:keepNext w:val="0"/>
        <w:keepLines w:val="0"/>
        <w:pageBreakBefore w:val="0"/>
        <w:widowControl w:val="0"/>
        <w:kinsoku/>
        <w:wordWrap/>
        <w:overflowPunct/>
        <w:topLinePunct w:val="0"/>
        <w:autoSpaceDE w:val="0"/>
        <w:autoSpaceDN w:val="0"/>
        <w:bidi w:val="0"/>
        <w:adjustRightInd/>
        <w:snapToGrid/>
        <w:spacing w:line="360" w:lineRule="auto"/>
        <w:ind w:firstLine="600" w:firstLineChars="250"/>
        <w:textAlignment w:val="auto"/>
        <w:rPr>
          <w:sz w:val="24"/>
          <w:szCs w:val="24"/>
        </w:rPr>
      </w:pPr>
      <w:r>
        <w:rPr>
          <w:rFonts w:hint="default" w:ascii="Arial" w:hAnsi="Arial" w:cs="Arial"/>
          <w:color w:val="auto"/>
          <w:sz w:val="24"/>
          <w:szCs w:val="24"/>
        </w:rPr>
        <w:t>√</w:t>
      </w:r>
      <w:r>
        <w:rPr>
          <w:sz w:val="24"/>
          <w:szCs w:val="24"/>
        </w:rPr>
        <w:t>支持根据还包情况，自动或手动生成申领计划使用登记</w:t>
      </w:r>
      <w:r>
        <w:rPr>
          <w:rFonts w:hint="eastAsia"/>
          <w:sz w:val="24"/>
          <w:szCs w:val="24"/>
          <w:lang w:eastAsia="zh-CN"/>
        </w:rPr>
        <w:t>：</w:t>
      </w:r>
      <w:r>
        <w:rPr>
          <w:sz w:val="24"/>
          <w:szCs w:val="24"/>
        </w:rPr>
        <w:t>确认手术患者，在系统中录入患者住院号，系统自动通过 HIS 系统识别患者信息，并显示患者姓名、性别、年龄、病区等信息</w:t>
      </w:r>
      <w:r>
        <w:rPr>
          <w:rFonts w:hint="eastAsia"/>
          <w:sz w:val="24"/>
          <w:szCs w:val="24"/>
          <w:lang w:eastAsia="zh-CN"/>
        </w:rPr>
        <w:t>；</w:t>
      </w:r>
      <w:r>
        <w:rPr>
          <w:sz w:val="24"/>
          <w:szCs w:val="24"/>
        </w:rPr>
        <w:t>对需要使用的无菌包，直接扫描包外条形码，系统自动识别包信息，包括包名称与包内明细，并且显示包图片可供核对。</w:t>
      </w:r>
    </w:p>
    <w:p w14:paraId="67A6BD9D">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科室库存查</w:t>
      </w:r>
      <w:r>
        <w:rPr>
          <w:b/>
          <w:color w:val="auto"/>
          <w:spacing w:val="-10"/>
          <w:sz w:val="24"/>
        </w:rPr>
        <w:t>询</w:t>
      </w:r>
    </w:p>
    <w:p w14:paraId="4E7B107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支持实时查询科室当前消毒包库存情况</w:t>
      </w:r>
    </w:p>
    <w:p w14:paraId="147337E8">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有效期管</w:t>
      </w:r>
      <w:r>
        <w:rPr>
          <w:b/>
          <w:color w:val="auto"/>
          <w:spacing w:val="-10"/>
          <w:sz w:val="24"/>
        </w:rPr>
        <w:t>理</w:t>
      </w:r>
    </w:p>
    <w:p w14:paraId="5A0398D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z w:val="24"/>
          <w:szCs w:val="24"/>
        </w:rPr>
        <w:t>√</w:t>
      </w:r>
      <w:r>
        <w:rPr>
          <w:color w:val="auto"/>
          <w:spacing w:val="-2"/>
        </w:rPr>
        <w:t>各科室人员可登陆系统，查库存内的无菌物品信息，包括名称、生产日期、失效日期等，对于已经过期的无菌物品，系统将进行颜色区分；对无菌物品有效期可进行预警设置，在到达预警时间时，每次登陆系统时，系统将自动提示距离失效日期在预警值内的所有无菌物品，包括名称、生产日</w:t>
      </w:r>
      <w:r>
        <w:rPr>
          <w:color w:val="auto"/>
          <w:spacing w:val="40"/>
        </w:rPr>
        <w:t xml:space="preserve">  </w:t>
      </w:r>
      <w:r>
        <w:rPr>
          <w:color w:val="auto"/>
          <w:spacing w:val="-2"/>
        </w:rPr>
        <w:t>期、失效日期；人员根据提示寻找到该包，然后优先使用。</w:t>
      </w:r>
    </w:p>
    <w:p w14:paraId="0C70FAE4">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追溯管理</w:t>
      </w:r>
    </w:p>
    <w:p w14:paraId="7FE89885">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112"/>
        <w:textAlignment w:val="auto"/>
        <w:rPr>
          <w:color w:val="auto"/>
        </w:rPr>
      </w:pPr>
      <w:r>
        <w:rPr>
          <w:rFonts w:hint="default" w:ascii="Arial" w:hAnsi="Arial" w:cs="Arial"/>
          <w:color w:val="auto"/>
          <w:sz w:val="24"/>
          <w:szCs w:val="24"/>
        </w:rPr>
        <w:t>√</w:t>
      </w:r>
      <w:r>
        <w:rPr>
          <w:color w:val="auto"/>
          <w:spacing w:val="-2"/>
        </w:rPr>
        <w:t>通过患者唯一编码（病历号）追溯患者就诊期间所使用的所有无菌包信息；</w:t>
      </w:r>
      <w:r>
        <w:rPr>
          <w:rFonts w:hint="eastAsia" w:ascii="冬青黑体简体中文" w:hAnsi="冬青黑体简体中文" w:eastAsia="冬青黑体简体中文" w:cs="冬青黑体简体中文"/>
          <w:color w:val="auto"/>
          <w:spacing w:val="-2"/>
        </w:rPr>
        <w:t>▲</w:t>
      </w:r>
      <w:r>
        <w:rPr>
          <w:color w:val="auto"/>
          <w:spacing w:val="-2"/>
        </w:rPr>
        <w:t>通过设备锅次、锅号、批次追溯到设备运行时清洗消毒、灭菌的器械、无</w:t>
      </w:r>
    </w:p>
    <w:p w14:paraId="313D9C18">
      <w:pPr>
        <w:pStyle w:val="4"/>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color w:val="auto"/>
        </w:rPr>
      </w:pPr>
      <w:r>
        <w:rPr>
          <w:color w:val="auto"/>
          <w:spacing w:val="-2"/>
        </w:rPr>
        <w:t>菌包信息。</w:t>
      </w:r>
    </w:p>
    <w:p w14:paraId="523ED534">
      <w:pPr>
        <w:pStyle w:val="24"/>
        <w:keepNext w:val="0"/>
        <w:keepLines w:val="0"/>
        <w:pageBreakBefore w:val="0"/>
        <w:widowControl w:val="0"/>
        <w:numPr>
          <w:ilvl w:val="4"/>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数据统计分析功</w:t>
      </w:r>
      <w:r>
        <w:rPr>
          <w:b/>
          <w:color w:val="auto"/>
          <w:spacing w:val="-10"/>
          <w:sz w:val="24"/>
        </w:rPr>
        <w:t>能</w:t>
      </w:r>
    </w:p>
    <w:p w14:paraId="24EFE6E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支持对工作任务完成情况、清洗质量不合格统计、设备运行状况统计、灭菌监测状况统计、人员工作量统计、消毒包状况统计、外来器械收费统计、科室支出统计、人员特殊操作统计和使用科室接收、关联病人统计。</w:t>
      </w:r>
      <w:r>
        <w:rPr>
          <w:color w:val="auto"/>
          <w:spacing w:val="-8"/>
        </w:rPr>
        <w:t xml:space="preserve">支持与 </w:t>
      </w:r>
      <w:r>
        <w:rPr>
          <w:color w:val="auto"/>
        </w:rPr>
        <w:t>HRP</w:t>
      </w:r>
      <w:r>
        <w:rPr>
          <w:color w:val="auto"/>
          <w:spacing w:val="-11"/>
        </w:rPr>
        <w:t xml:space="preserve"> 对接、与 </w:t>
      </w:r>
      <w:r>
        <w:rPr>
          <w:color w:val="auto"/>
        </w:rPr>
        <w:t>HIS</w:t>
      </w:r>
      <w:r>
        <w:rPr>
          <w:color w:val="auto"/>
          <w:spacing w:val="-6"/>
        </w:rPr>
        <w:t xml:space="preserve"> 对接、与手机业务平台对接、与大数据平台对接</w:t>
      </w:r>
      <w:r>
        <w:rPr>
          <w:color w:val="auto"/>
          <w:spacing w:val="-2"/>
        </w:rPr>
        <w:t>需求，并具有设备参数实时获取功能。</w:t>
      </w:r>
    </w:p>
    <w:p w14:paraId="506D1846">
      <w:pPr>
        <w:pStyle w:val="24"/>
        <w:keepNext w:val="0"/>
        <w:keepLines w:val="0"/>
        <w:pageBreakBefore w:val="0"/>
        <w:widowControl w:val="0"/>
        <w:numPr>
          <w:ilvl w:val="3"/>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药品管理系</w:t>
      </w:r>
      <w:r>
        <w:rPr>
          <w:b/>
          <w:color w:val="auto"/>
          <w:spacing w:val="-10"/>
          <w:sz w:val="24"/>
        </w:rPr>
        <w:t>统</w:t>
      </w:r>
    </w:p>
    <w:p w14:paraId="091EBA1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6"/>
        </w:rPr>
      </w:pPr>
    </w:p>
    <w:p w14:paraId="5F258D51">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门急诊中</w:t>
      </w:r>
      <w:r>
        <w:rPr>
          <w:rFonts w:ascii="等线" w:eastAsia="等线"/>
          <w:b/>
          <w:color w:val="auto"/>
          <w:spacing w:val="-2"/>
          <w:sz w:val="24"/>
        </w:rPr>
        <w:t>/</w:t>
      </w:r>
      <w:r>
        <w:rPr>
          <w:b/>
          <w:color w:val="auto"/>
          <w:spacing w:val="-2"/>
          <w:sz w:val="24"/>
        </w:rPr>
        <w:t>西药房管理</w:t>
      </w:r>
      <w:r>
        <w:rPr>
          <w:b/>
          <w:color w:val="auto"/>
          <w:spacing w:val="-6"/>
          <w:sz w:val="24"/>
        </w:rPr>
        <w:t>系统</w:t>
      </w:r>
    </w:p>
    <w:p w14:paraId="3D3EAB3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w:t>
      </w:r>
      <w:r>
        <w:rPr>
          <w:color w:val="auto"/>
          <w:spacing w:val="-2"/>
        </w:rPr>
        <w:t>门急诊中西药房信息系统是对门急诊处方发发药处理、对药品价格划价，以及库房药品的入库和出库、药品数量的盘点、药房药品库存及维护药品的基本信息和药品使用权限。系统主要功能应包括：</w:t>
      </w:r>
      <w:r>
        <w:rPr>
          <w:color w:val="auto"/>
          <w:spacing w:val="-3"/>
          <w:sz w:val="24"/>
        </w:rPr>
        <w:t>发药处理</w:t>
      </w:r>
      <w:r>
        <w:rPr>
          <w:rFonts w:hint="eastAsia"/>
          <w:color w:val="auto"/>
          <w:spacing w:val="-3"/>
          <w:sz w:val="24"/>
          <w:lang w:eastAsia="zh-CN"/>
        </w:rPr>
        <w:t>：</w:t>
      </w:r>
      <w:r>
        <w:rPr>
          <w:color w:val="auto"/>
          <w:spacing w:val="-2"/>
        </w:rPr>
        <w:t>提供处方审核、门诊窗口发药、窗口取消发药、处方划价、退药处理等功能。发药方式可分为配药模式和直接发药式。支持处方发药窗口转移。</w:t>
      </w:r>
      <w:r>
        <w:rPr>
          <w:color w:val="auto"/>
          <w:spacing w:val="-3"/>
          <w:sz w:val="24"/>
        </w:rPr>
        <w:t>药品入库</w:t>
      </w:r>
      <w:r>
        <w:rPr>
          <w:rFonts w:hint="eastAsia"/>
          <w:color w:val="auto"/>
          <w:spacing w:val="-3"/>
          <w:sz w:val="24"/>
          <w:lang w:eastAsia="zh-CN"/>
        </w:rPr>
        <w:t>：</w:t>
      </w:r>
      <w:r>
        <w:rPr>
          <w:color w:val="auto"/>
          <w:spacing w:val="-1"/>
        </w:rPr>
        <w:t>提供门诊中西药房向药库申领药品、其它方式入库等功能。</w:t>
      </w:r>
      <w:r>
        <w:rPr>
          <w:color w:val="auto"/>
          <w:spacing w:val="-3"/>
          <w:sz w:val="24"/>
        </w:rPr>
        <w:t>药品出库</w:t>
      </w:r>
      <w:r>
        <w:rPr>
          <w:rFonts w:hint="eastAsia"/>
          <w:color w:val="auto"/>
          <w:spacing w:val="-3"/>
          <w:sz w:val="24"/>
          <w:lang w:eastAsia="zh-CN"/>
        </w:rPr>
        <w:t>：</w:t>
      </w:r>
      <w:r>
        <w:rPr>
          <w:color w:val="auto"/>
          <w:spacing w:val="-1"/>
        </w:rPr>
        <w:t>提供门诊中西药房其它方式的出库处理。</w:t>
      </w:r>
      <w:r>
        <w:rPr>
          <w:rFonts w:hint="default" w:ascii="Arial" w:hAnsi="Arial" w:cs="Arial"/>
          <w:color w:val="auto"/>
          <w:sz w:val="24"/>
          <w:szCs w:val="24"/>
        </w:rPr>
        <w:t>调拨处理</w:t>
      </w:r>
      <w:r>
        <w:rPr>
          <w:rFonts w:hint="eastAsia" w:ascii="Arial" w:hAnsi="Arial" w:cs="Arial"/>
          <w:color w:val="auto"/>
          <w:sz w:val="24"/>
          <w:szCs w:val="24"/>
          <w:lang w:eastAsia="zh-CN"/>
        </w:rPr>
        <w:t>：</w:t>
      </w:r>
      <w:r>
        <w:rPr>
          <w:rFonts w:hint="default" w:ascii="Arial" w:hAnsi="Arial" w:cs="Arial"/>
          <w:color w:val="auto"/>
          <w:sz w:val="24"/>
          <w:szCs w:val="24"/>
        </w:rPr>
        <w:t>提供门诊中西药房间的调拨申请、调拨退药、调拨出库处理等功能，系统支持特殊情况的借药、还药。调拨退药</w:t>
      </w:r>
      <w:r>
        <w:rPr>
          <w:rFonts w:hint="eastAsia" w:ascii="Arial" w:hAnsi="Arial" w:cs="Arial"/>
          <w:color w:val="auto"/>
          <w:sz w:val="24"/>
          <w:szCs w:val="24"/>
          <w:lang w:eastAsia="zh-CN"/>
        </w:rPr>
        <w:t>：</w:t>
      </w:r>
      <w:r>
        <w:rPr>
          <w:rFonts w:hint="default" w:ascii="Arial" w:hAnsi="Arial" w:cs="Arial"/>
          <w:color w:val="auto"/>
          <w:sz w:val="24"/>
          <w:szCs w:val="24"/>
        </w:rPr>
        <w:t>提供病区药房向调拨目标药房进行退药的功能，支持退药原因系统录入，如药品不良反应，医生开错，医生开多，住院退药，检查不做退药等，便于统计原因分析。</w:t>
      </w:r>
    </w:p>
    <w:p w14:paraId="4EC0020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过敏药品维护</w:t>
      </w:r>
      <w:r>
        <w:rPr>
          <w:rFonts w:hint="eastAsia" w:ascii="Arial" w:hAnsi="Arial" w:cs="Arial"/>
          <w:color w:val="auto"/>
          <w:sz w:val="24"/>
          <w:szCs w:val="24"/>
          <w:lang w:val="en-US" w:eastAsia="zh-CN"/>
        </w:rPr>
        <w:t>：</w:t>
      </w:r>
    </w:p>
    <w:p w14:paraId="3CD0713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eastAsia" w:ascii="Arial" w:hAnsi="Arial" w:cs="Arial"/>
          <w:color w:val="auto"/>
          <w:sz w:val="24"/>
          <w:szCs w:val="24"/>
          <w:lang w:val="en-US" w:eastAsia="zh-CN"/>
        </w:rPr>
        <w:t>★提供过敏控制方法的维护，可支持同分类过敏控制方法、同大类过敏控制方法、作为关联分类时过敏控制方法、皮试阳性后再次皮试最小间隔时间/小时。</w:t>
      </w:r>
    </w:p>
    <w:p w14:paraId="4E925D0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√盘点处理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完成门诊中西药房库存的盘点处理。月结处理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完成门诊中西药房的月结处理。特殊药品日报</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提供贵重、麻醉、毒等特殊药品的药房日报统计功能</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药房汇总月报</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统计查询门诊药房药品各种入出库方式下的入出库金额</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发药统计</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统计各个门诊科室的发药、退药情况</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统计查询</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提供门诊中西药房库存查询、药品最新价格查询、调价历史查询、高/低储报警、失效报警、药房账册查询、药房汇总月报表等功能。</w:t>
      </w:r>
    </w:p>
    <w:p w14:paraId="3591DA70">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病区中心药房管理系</w:t>
      </w:r>
      <w:r>
        <w:rPr>
          <w:b/>
          <w:color w:val="auto"/>
          <w:spacing w:val="-10"/>
          <w:sz w:val="24"/>
        </w:rPr>
        <w:t>统</w:t>
      </w:r>
    </w:p>
    <w:p w14:paraId="280F918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√住院药房信息维护</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维护各种类型的摆药单，如：大输液摆药单、毒麻药摆药单、口服摆药单，并维护各个药房的摆药台，以及摆药台中有哪些摆药单。设定各病区科室对应的取药药房，可以指定取药时间和取药类别。设定药品品种或药品剂型发药时的拆分方式，有：不可拆分、可拆分不取整，如果不维护默认是不可拆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药品批费</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要求提供按患者住院号选择药品进行批费</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药品退费</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要求提供按患者住院号选择已收费的药品进行退费。住院药房直接摆药</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要求提供选择病区对列出的待摆的药品确认摆药。住院医嘱摆药</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要求提供摆药时可以看到各病区、病区下的摆药单和各个摆药单下的患者，选择其一保存进行摆药。确认护士退药</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要求提供护士站根据退药申请确认退药。查询统计</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要求提供药房发药退药统计、住院发药工作量统计。</w:t>
      </w:r>
    </w:p>
    <w:p w14:paraId="5B45D20B">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中西药库管理系</w:t>
      </w:r>
      <w:r>
        <w:rPr>
          <w:b/>
          <w:color w:val="auto"/>
          <w:spacing w:val="-10"/>
          <w:sz w:val="24"/>
        </w:rPr>
        <w:t>统</w:t>
      </w:r>
    </w:p>
    <w:p w14:paraId="283E1C4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药库管理系统应实现对药品的进货管理、库存管理和发出，药品从厂家直接进货，支持多种入库方式，自动根据临床药品的使用情况来自动生成药品采购计划单，对多个库房申请单进行发药处理，并支持对账功能，多种维度来统计相关药品的使用情况等。入库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支持入库单处理及库房验收、财务验收子功能、付款处理、采购历史查询等功能；提供进货价格，批发价格，零售价格三种方式供选择；支持对某一采购单进行整体退回功能，即自动产生退库单</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支持允许修改发票号码和货到票未到；</w:t>
      </w:r>
      <w:r>
        <w:rPr>
          <w:rFonts w:hint="eastAsia" w:ascii="Arial" w:hAnsi="Arial" w:cs="Arial"/>
          <w:color w:val="auto"/>
          <w:sz w:val="24"/>
          <w:szCs w:val="24"/>
          <w:lang w:val="en-US" w:eastAsia="zh-CN"/>
        </w:rPr>
        <w:t>药品入库</w:t>
      </w:r>
      <w:r>
        <w:rPr>
          <w:rFonts w:hint="default" w:ascii="Arial" w:hAnsi="Arial" w:cs="Arial"/>
          <w:color w:val="auto"/>
          <w:sz w:val="24"/>
          <w:szCs w:val="24"/>
          <w:lang w:val="en-US" w:eastAsia="zh-CN"/>
        </w:rPr>
        <w:t>中</w:t>
      </w:r>
      <w:r>
        <w:rPr>
          <w:rFonts w:hint="eastAsia" w:ascii="Arial" w:hAnsi="Arial" w:cs="Arial"/>
          <w:color w:val="auto"/>
          <w:sz w:val="24"/>
          <w:szCs w:val="24"/>
          <w:lang w:val="en-US" w:eastAsia="zh-CN"/>
        </w:rPr>
        <w:t>的其它入库</w:t>
      </w:r>
      <w:r>
        <w:rPr>
          <w:rFonts w:hint="default" w:ascii="Arial" w:hAnsi="Arial" w:cs="Arial"/>
          <w:color w:val="auto"/>
          <w:sz w:val="24"/>
          <w:szCs w:val="24"/>
          <w:lang w:val="en-US" w:eastAsia="zh-CN"/>
        </w:rPr>
        <w:t>方式</w:t>
      </w:r>
      <w:r>
        <w:rPr>
          <w:rFonts w:hint="eastAsia" w:ascii="Arial" w:hAnsi="Arial" w:cs="Arial"/>
          <w:color w:val="auto"/>
          <w:sz w:val="24"/>
          <w:szCs w:val="24"/>
          <w:lang w:val="en-US" w:eastAsia="zh-CN"/>
        </w:rPr>
        <w:t>，支持同时按照多种单位进行入库操作；</w:t>
      </w:r>
    </w:p>
    <w:p w14:paraId="31D686A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√出库处理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对药品进行出库处理（科室领用、盘亏等），药房退回药库药品的出库处理，出库方式的汇总、科室消耗的汇总等功能；支持药库出库零库存单子可以录入保存，但不允许出库功能；√支持引入入库单，无需人员再次输入；调价处理调价主要包括调价处理、调价历史、调价差额汇总三个子功能，调价方式有：国家调价、企业调价、进货调价；调价支持实时调价和定时调价，调价后将药品信息和药库、药房在库药品价格进行调整；支持零售价调价、进货价调价、批发价调价等；提供相关的调价报表，便于统计查询</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采购计划</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支持根据药库实际情况进行采购计划的制定，包括计划编制、计划审批、计划执行、计划评估四个子功能；支持根据每周销量情况生成采购计划单；库存管理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提供药库药品的养护、盘点，药品养护包括按库位与类别对药品进行养护</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药品的盘点支持 ABC 分类法，随机抽样法两种盘点方法；支持对不同状态的药品库存动态管理；月结处理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支持统计药库所有药品当月的结存数量与结存金额，将本月结存作为下一月的上月结存，下一月的发生金额从零开始</w:t>
      </w:r>
    </w:p>
    <w:p w14:paraId="419BE98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√综合查询</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提供各药库与全院药品库存查询，以及采购历史、会计账簿、保管员账簿、财务月报、收发存表、采购销售分析、失效药品查询、基本药物统计、特殊药  品统计、抗生素统计等统计查询功能；支持财务账和实物账的分开处理，对应账簿分别为会计账簿与保管员账簿；√提供药品周转率统计功能；提供全院药品滞销与畅销报表，统计长期不用的药品；系统维护</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提供药品信息可维护自选产地，特殊人群用药以及用药限制，药品政策等，药品政策可手动添加，政策可维护其限制条件（提醒和控制）。此外，药库、账簿、剂型类别，生产厂家，供货单位，药库、库位编码等均可维护；药品信息</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药品的属性支持大小包装转换；支持国家基础药品目录；提供药品附加信息管理；提供增加新药通知功能；支持辅助用药控制功能</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药库账薄对账处理</w:t>
      </w: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支持药库对账功能，方便药库人员有效管理；提供前台错误单据查询功能；</w:t>
      </w:r>
    </w:p>
    <w:p w14:paraId="65DA0581">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处方点评管理系</w:t>
      </w:r>
      <w:r>
        <w:rPr>
          <w:b/>
          <w:color w:val="auto"/>
          <w:spacing w:val="-10"/>
          <w:sz w:val="24"/>
        </w:rPr>
        <w:t>统</w:t>
      </w:r>
    </w:p>
    <w:p w14:paraId="1614615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支持针对抗菌药物、输液药物、国家基本药物、中药注射剂等处方进行专项点评。医院处方点评小组选择一种处方抽样方法抽取足够数量的专项处方作为点评样本，然后进行点评，点评方法可应用于门诊处方点评和住院医嘱点评。支持对住院医嘱进行综合点评，医院医嘱点评小组选择一种抽样方法抽取足够数量的出院病例作为点评样本，结合电子病历和病人的实际情况对本次诊疗过程中药物治疗情况进行综合点评，并记录用药不合理的问题，可发送消息给相应医生。支持对所有门诊处方进行处方点评，医院处方点评小组选择一种处方抽样方法（简单随机抽样、等距抽样、分层抽样、分群抽样、配额抽样和自定义抽样）抽取足够数量的处方作为点评样本，每月点评处方绝对数不应少于 100 张，并按照《处方点评表》对门诊处方进行点评。抽样维度管理：创建管理多种抽样方案中使用的维度，添加维度选择筛选类型的同时赋予数据项，在创建抽样方案的时候可以调用。问题项管理：问题项字典，配置点评项及细化项。</w:t>
      </w:r>
    </w:p>
    <w:p w14:paraId="7A500692">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right="5057" w:firstLine="0" w:firstLineChars="0"/>
        <w:textAlignment w:val="auto"/>
        <w:rPr>
          <w:color w:val="auto"/>
          <w:sz w:val="24"/>
        </w:rPr>
      </w:pPr>
      <w:r>
        <w:rPr>
          <w:b/>
          <w:color w:val="auto"/>
          <w:spacing w:val="-2"/>
          <w:sz w:val="24"/>
        </w:rPr>
        <w:t>抗菌药物管理系统</w:t>
      </w:r>
    </w:p>
    <w:p w14:paraId="07A9006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支持抗菌药物分级管理；支持按医师职级抗菌药物分级权限管理，并进行使用控制；对于住院医师开立特殊使用级抗菌药物支持申请、审批流程的权限管理；对于医师开立抗菌药物使用，支持使用情况的统计；支持医师、药剂、管理科室查看抗菌药物使用情况。</w:t>
      </w:r>
    </w:p>
    <w:p w14:paraId="7EE303A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eastAsia" w:ascii="Arial" w:hAnsi="Arial" w:cs="Arial"/>
          <w:color w:val="auto"/>
          <w:sz w:val="24"/>
          <w:szCs w:val="24"/>
          <w:lang w:val="en-US" w:eastAsia="zh-CN"/>
        </w:rPr>
        <w:t>★</w:t>
      </w:r>
      <w:r>
        <w:rPr>
          <w:rFonts w:hint="default" w:ascii="Arial" w:hAnsi="Arial" w:cs="Arial"/>
          <w:color w:val="auto"/>
          <w:sz w:val="24"/>
          <w:szCs w:val="24"/>
          <w:lang w:val="en-US" w:eastAsia="zh-CN"/>
        </w:rPr>
        <w:t>针对不同的用药指征、用药理由，支持定义用药时限，当超时限医嘱未停嘱时，提醒医生停嘱或续用操作。</w:t>
      </w:r>
    </w:p>
    <w:p w14:paraId="2BD1C20C">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合理用药管理系</w:t>
      </w:r>
      <w:r>
        <w:rPr>
          <w:b/>
          <w:color w:val="auto"/>
          <w:spacing w:val="-10"/>
          <w:sz w:val="24"/>
        </w:rPr>
        <w:t>统</w:t>
      </w:r>
    </w:p>
    <w:p w14:paraId="4E7FAA18">
      <w:pPr>
        <w:pStyle w:val="24"/>
        <w:keepNext w:val="0"/>
        <w:keepLines w:val="0"/>
        <w:pageBreakBefore w:val="0"/>
        <w:widowControl w:val="0"/>
        <w:numPr>
          <w:ilvl w:val="5"/>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z w:val="24"/>
        </w:rPr>
      </w:pPr>
      <w:r>
        <w:rPr>
          <w:color w:val="auto"/>
          <w:sz w:val="24"/>
        </w:rPr>
        <w:t>处方（医嘱）</w:t>
      </w:r>
      <w:r>
        <w:rPr>
          <w:color w:val="auto"/>
          <w:spacing w:val="-2"/>
          <w:sz w:val="24"/>
        </w:rPr>
        <w:t>用药审查功能</w:t>
      </w:r>
    </w:p>
    <w:p w14:paraId="1035E86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√系统应能对处方（医嘱）用药进行剂量审查、累积剂量审查、超多日用量审查、给药途径审查、相互作用审查、体外注射剂配伍审查、配伍浓度审查、钾离子监测、TPN 处方审查、门诊输液审查、禁忌症审查、不良反应审查、特殊人群（儿童、成人、老人、妊娠、哺乳、性别）用药审查、重复用药（重复成分、重复治疗）审查、适应症审查、药物过敏审查、药物检验值审查、规范性审查、医保审查、监测指标审查、越权用药审查、围术期用药审查，并提示医生。住院医嘱支持用药天数预警。可为医生提供 TPN 处方的营养均衡性、肠外营养浓度、溶液中渗透压浓度计算功能。</w:t>
      </w:r>
    </w:p>
    <w:p w14:paraId="376D8FB3">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2"/>
          <w:sz w:val="24"/>
        </w:rPr>
        <w:t>药品信息提示功能</w:t>
      </w:r>
    </w:p>
    <w:p w14:paraId="1C6F656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可快捷查看药品相关重要信息；药品厂家说明书，并可查看药监局发布的说明书修订勘误，修改和新增药品说明书内容；查询相应药品的中药材专论信</w:t>
      </w:r>
      <w:r>
        <w:rPr>
          <w:color w:val="auto"/>
          <w:spacing w:val="-6"/>
        </w:rPr>
        <w:t>息。</w:t>
      </w:r>
    </w:p>
    <w:p w14:paraId="19799163">
      <w:pPr>
        <w:pStyle w:val="24"/>
        <w:keepNext w:val="0"/>
        <w:keepLines w:val="0"/>
        <w:pageBreakBefore w:val="0"/>
        <w:widowControl w:val="0"/>
        <w:numPr>
          <w:ilvl w:val="5"/>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z w:val="24"/>
        </w:rPr>
      </w:pPr>
      <w:r>
        <w:rPr>
          <w:color w:val="auto"/>
          <w:spacing w:val="-1"/>
          <w:sz w:val="24"/>
        </w:rPr>
        <w:t>质子泵抑制剂专项管控</w:t>
      </w:r>
    </w:p>
    <w:p w14:paraId="11E6FEF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 xml:space="preserve">√系统可针对质子泵抑制剂提供药品专项管控，具体要求如下：医生开具质子泵抑制剂药品时，需填写用药评估单。提供评估单专项统计分析。“系统”可评估患者病生状态，若存在应激性溃疡风险，提供质子泵抑制剂用药建议。围术期不合理使用质子泵抑制剂时，“系统”可警示医生。提供质子泵抑制剂医保相关项目审查，如限定适应症、限二线用药等。 </w:t>
      </w:r>
    </w:p>
    <w:p w14:paraId="138CAA0E">
      <w:pPr>
        <w:pStyle w:val="24"/>
        <w:keepNext w:val="0"/>
        <w:keepLines w:val="0"/>
        <w:pageBreakBefore w:val="0"/>
        <w:widowControl w:val="0"/>
        <w:numPr>
          <w:ilvl w:val="5"/>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pacing w:val="-1"/>
          <w:sz w:val="24"/>
        </w:rPr>
      </w:pPr>
      <w:r>
        <w:rPr>
          <w:color w:val="auto"/>
          <w:spacing w:val="-1"/>
          <w:sz w:val="24"/>
        </w:rPr>
        <w:t>用药指导单</w:t>
      </w:r>
    </w:p>
    <w:p w14:paraId="179BF24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√可生成并打印用药指导单，并可自定义维护用药指导单的内容。</w:t>
      </w:r>
    </w:p>
    <w:p w14:paraId="4E2A4B24">
      <w:pPr>
        <w:pStyle w:val="24"/>
        <w:keepNext w:val="0"/>
        <w:keepLines w:val="0"/>
        <w:pageBreakBefore w:val="0"/>
        <w:widowControl w:val="0"/>
        <w:numPr>
          <w:ilvl w:val="5"/>
          <w:numId w:val="1"/>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pacing w:val="-1"/>
          <w:sz w:val="24"/>
        </w:rPr>
      </w:pPr>
      <w:r>
        <w:rPr>
          <w:color w:val="auto"/>
          <w:spacing w:val="-1"/>
          <w:sz w:val="24"/>
        </w:rPr>
        <w:t xml:space="preserve"> </w:t>
      </w:r>
      <w:r>
        <w:rPr>
          <w:rFonts w:hint="eastAsia"/>
          <w:color w:val="auto"/>
          <w:spacing w:val="-1"/>
          <w:sz w:val="24"/>
          <w:lang w:val="en-US" w:eastAsia="zh-CN"/>
        </w:rPr>
        <w:t>审</w:t>
      </w:r>
      <w:r>
        <w:rPr>
          <w:color w:val="auto"/>
          <w:spacing w:val="-1"/>
          <w:sz w:val="24"/>
        </w:rPr>
        <w:t>查提示屏蔽功能</w:t>
      </w:r>
    </w:p>
    <w:p w14:paraId="4FAC60A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rPr>
          <w:color w:val="auto"/>
          <w:spacing w:val="-2"/>
          <w:sz w:val="24"/>
        </w:rPr>
        <w:t>审查规则自定义功能（医院专家知识库）系统</w:t>
      </w:r>
      <w:r>
        <w:rPr>
          <w:rFonts w:hint="default" w:ascii="Arial" w:hAnsi="Arial" w:cs="Arial"/>
          <w:color w:val="auto"/>
          <w:sz w:val="24"/>
          <w:szCs w:val="24"/>
          <w:lang w:val="en-US" w:eastAsia="zh-CN"/>
        </w:rPr>
        <w:t>√可以提供多种自定义方式：基于系统审查数据自定义方式，节省药师工作量；可完全由用户新建审查规则包括审查要素和审查逻辑。用户可自定义药品警示、拦截规则，被拦截的问题处方必须返回修改，否则不可进行下一步操作。</w:t>
      </w:r>
    </w:p>
    <w:p w14:paraId="17B468E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其中部分审查项目可支持以下功能：剂量：可显示某个药品在本院近一个月医嘱用量统计，查看不同科室的剂量使用情况。用户只需维护药品一种给药单位的剂量审查规则，系统可自动将规则匹配到该药品其余给药单位。超多日用量可对门、急诊处方药品、麻醉药品和精一药品超多日用量天数进行设置，可针对慢病（区分医保、自费）、非慢病处方、特殊患者分别设置用药天数，并可根据超出天数设置不同的警示级别。支持用户维护参与联合审查的历史处方时间范围。针对特定药品可设置是否拆零参与审查。中药饮片剂量：支持以系统数据高值和低值的整数倍分别自定义设置中药饮片剂量标准，支持针对医生、科室设置中药饮片剂量规则。体外注射剂配伍：可设置小剂量胰岛素不参与体外配伍审查，具体剂量标准可由用户自行设置。药品专项管控：可设置应激性溃疡风险的预警规则；支持设置可预防使用质子泵抑制剂的手术、质子泵抑制剂药品及术后质子泵抑制剂用药疗程。规则复制功能：系统支持将其它药品已有的自定义规则分模块复制到被选择的药品上。豁免对象：可根据药品、医生、科室等条件设置特定对象不参与某些模块审查，并可按照模块查看对各种豁免情况的统计。自定义规则查询：可查询药品、科室以及各模块的自定义规则。</w:t>
      </w:r>
    </w:p>
    <w:p w14:paraId="3C7958AD">
      <w:pPr>
        <w:pStyle w:val="24"/>
        <w:keepNext w:val="0"/>
        <w:keepLines w:val="0"/>
        <w:pageBreakBefore w:val="0"/>
        <w:widowControl w:val="0"/>
        <w:numPr>
          <w:ilvl w:val="5"/>
          <w:numId w:val="8"/>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3"/>
          <w:sz w:val="24"/>
        </w:rPr>
        <w:t>通讯功能</w:t>
      </w:r>
    </w:p>
    <w:p w14:paraId="6640B8C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z w:val="24"/>
          <w:szCs w:val="24"/>
        </w:rPr>
        <w:t>√</w:t>
      </w:r>
      <w:r>
        <w:rPr>
          <w:color w:val="auto"/>
          <w:spacing w:val="-2"/>
        </w:rPr>
        <w:t>系统应提供药师和医生的在线沟通平台，提供截图、发送图片、文件传输、消息撤回、消息已读提示功能。</w:t>
      </w:r>
    </w:p>
    <w:p w14:paraId="61286EA7">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前置审方系</w:t>
      </w:r>
      <w:r>
        <w:rPr>
          <w:b/>
          <w:color w:val="auto"/>
          <w:spacing w:val="-10"/>
          <w:sz w:val="24"/>
        </w:rPr>
        <w:t>统</w:t>
      </w:r>
    </w:p>
    <w:p w14:paraId="78FEF4E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color w:val="auto"/>
          <w:spacing w:val="-2"/>
        </w:rPr>
        <w:t>前置审方系统是以知识库为核心，辅助临床药师对医生所开处方进行审核。主要功能应包括：</w:t>
      </w:r>
    </w:p>
    <w:p w14:paraId="76F73719">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2"/>
          <w:sz w:val="24"/>
        </w:rPr>
        <w:t>门急诊处方审核</w:t>
      </w:r>
    </w:p>
    <w:p w14:paraId="4EB28BD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z w:val="24"/>
          <w:szCs w:val="24"/>
        </w:rPr>
      </w:pPr>
      <w:r>
        <w:rPr>
          <w:rFonts w:hint="default" w:ascii="Arial" w:hAnsi="Arial" w:cs="Arial"/>
          <w:color w:val="auto"/>
          <w:sz w:val="24"/>
          <w:szCs w:val="24"/>
        </w:rPr>
        <w:t>√门诊处方审核包括对门诊和急诊的处方进行审核。审核的重点关注药品的适应症、用法用量以及药物的配伍禁忌和相互作用等。门急诊处方审核支持自动审核模式，医院可以根据自身管理要求，对需要纳入自动审核药品、科室、医生进行管理。对于被纳入自动审核范围的处方，如果药品知识库系统未发现问题，由系统自动审核通过，无需审核人员进行人工审核。主要提供以下功能：根据选择的药品查看药品说明书信息；药师对处方进行合理性审查；根据自动审核策略对处方实现自动审核；</w:t>
      </w:r>
    </w:p>
    <w:p w14:paraId="6736BB04">
      <w:pPr>
        <w:pStyle w:val="24"/>
        <w:keepNext w:val="0"/>
        <w:keepLines w:val="0"/>
        <w:pageBreakBefore w:val="0"/>
        <w:widowControl w:val="0"/>
        <w:numPr>
          <w:ilvl w:val="5"/>
          <w:numId w:val="1"/>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2"/>
          <w:sz w:val="24"/>
        </w:rPr>
        <w:t>住院医嘱审核</w:t>
      </w:r>
    </w:p>
    <w:p w14:paraId="696C69C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z w:val="24"/>
          <w:szCs w:val="24"/>
        </w:rPr>
      </w:pPr>
      <w:r>
        <w:rPr>
          <w:rFonts w:hint="default" w:ascii="Arial" w:hAnsi="Arial" w:cs="Arial"/>
          <w:color w:val="auto"/>
          <w:sz w:val="24"/>
          <w:szCs w:val="24"/>
        </w:rPr>
        <w:t>√住院普通医嘱主要包括对口服类药品的审核。审核重点关注药品的配伍禁忌、相互作用、用法用量等。主要实现以下功能：根据选择的药品查看药品说明书；药师对住院医嘱进行合理性审查；根据自动审核策略对处方实现自动审核；</w:t>
      </w:r>
    </w:p>
    <w:p w14:paraId="703886CF">
      <w:pPr>
        <w:pStyle w:val="24"/>
        <w:keepNext w:val="0"/>
        <w:keepLines w:val="0"/>
        <w:pageBreakBefore w:val="0"/>
        <w:widowControl w:val="0"/>
        <w:numPr>
          <w:ilvl w:val="4"/>
          <w:numId w:val="1"/>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制剂室信息管理及流转</w:t>
      </w:r>
      <w:r>
        <w:rPr>
          <w:b/>
          <w:color w:val="auto"/>
          <w:spacing w:val="-6"/>
          <w:sz w:val="24"/>
        </w:rPr>
        <w:t>系统</w:t>
      </w:r>
    </w:p>
    <w:p w14:paraId="3110653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针对医院制剂配制全过程，通过信息化手段，进行规范性审核，规范制剂配制管理。制剂生产工艺流程作为主要设计思路，将制剂生产全过程分解物料采购、仓储、配制、质量检验，通过对制剂管理系统功能模块的设计，赋予各</w:t>
      </w:r>
      <w:r>
        <w:rPr>
          <w:color w:val="auto"/>
          <w:spacing w:val="-1"/>
        </w:rPr>
        <w:t>个部门负责人和操作人员的不同权限，结合自身需求，采集和记录相关数据，</w:t>
      </w:r>
    </w:p>
    <w:p w14:paraId="61B61F6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60"/>
        <w:textAlignment w:val="auto"/>
        <w:rPr>
          <w:color w:val="auto"/>
        </w:rPr>
      </w:pPr>
      <w:r>
        <w:rPr>
          <w:color w:val="auto"/>
          <w:spacing w:val="-2"/>
        </w:rPr>
        <w:t>实现制剂生产过程可视、实时、精细、可追溯的目标。主要功能:物料采购、仓储、配制、质量控制、成品出入库管理。</w:t>
      </w:r>
      <w:r>
        <w:rPr>
          <w:color w:val="auto"/>
          <w:spacing w:val="-3"/>
          <w:sz w:val="24"/>
        </w:rPr>
        <w:t>制剂计划</w:t>
      </w:r>
      <w:r>
        <w:rPr>
          <w:rFonts w:hint="eastAsia"/>
          <w:color w:val="auto"/>
          <w:spacing w:val="-3"/>
          <w:sz w:val="24"/>
          <w:lang w:val="en-US" w:eastAsia="zh-CN"/>
        </w:rPr>
        <w:t>:</w:t>
      </w:r>
      <w:r>
        <w:rPr>
          <w:color w:val="auto"/>
          <w:spacing w:val="-1"/>
        </w:rPr>
        <w:t xml:space="preserve">根据当前库存量、月使用量，系统计算、预警库存 </w:t>
      </w:r>
      <w:r>
        <w:rPr>
          <w:color w:val="auto"/>
        </w:rPr>
        <w:t>1</w:t>
      </w:r>
      <w:r>
        <w:rPr>
          <w:color w:val="auto"/>
          <w:spacing w:val="-2"/>
        </w:rPr>
        <w:t xml:space="preserve"> 个月库存量给予提示，形成制剂计划单制单。</w:t>
      </w:r>
      <w:r>
        <w:rPr>
          <w:color w:val="auto"/>
          <w:spacing w:val="-1"/>
          <w:sz w:val="24"/>
        </w:rPr>
        <w:t>原料请领、生产指令制单、审核</w:t>
      </w:r>
      <w:r>
        <w:rPr>
          <w:rFonts w:hint="eastAsia"/>
          <w:color w:val="auto"/>
          <w:spacing w:val="-1"/>
          <w:sz w:val="24"/>
          <w:lang w:val="en-US" w:eastAsia="zh-CN"/>
        </w:rPr>
        <w:t>:</w:t>
      </w:r>
      <w:r>
        <w:rPr>
          <w:color w:val="auto"/>
          <w:spacing w:val="-2"/>
        </w:rPr>
        <w:t>根据制剂计划单，制作生产指令制单，经过审核，制作原料、辅料、包装材料请领单，通过系统指令，到达仓库管理。系统根据配方生成批指令领料单包含（批号、品名、规格、数量、物料名称、物料编码、请发量）等相关信息。</w:t>
      </w:r>
    </w:p>
    <w:p w14:paraId="1C87FB5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√物料采购、仓储流程</w:t>
      </w:r>
      <w:r>
        <w:rPr>
          <w:rFonts w:hint="eastAsia" w:ascii="Arial" w:hAnsi="Arial" w:cs="Arial"/>
          <w:color w:val="auto"/>
          <w:sz w:val="24"/>
          <w:szCs w:val="24"/>
          <w:lang w:val="en-US" w:eastAsia="zh-CN"/>
        </w:rPr>
        <w:t>:</w:t>
      </w:r>
      <w:r>
        <w:rPr>
          <w:rFonts w:hint="default" w:ascii="Arial" w:hAnsi="Arial" w:cs="Arial"/>
          <w:color w:val="auto"/>
          <w:sz w:val="24"/>
          <w:szCs w:val="24"/>
        </w:rPr>
        <w:t>系统提供在库制剂配制原、辅材料，包装材料信息，包括生产厂家资料、产品信息、批次管理、价格管理、库存量等；设置库存预警，形成采购单信息；进入采购审批流程，采购入库。 √在库物品的出、入库管理。制剂工序执行、制剂生产</w:t>
      </w:r>
      <w:r>
        <w:rPr>
          <w:rFonts w:hint="eastAsia" w:ascii="Arial" w:hAnsi="Arial" w:cs="Arial"/>
          <w:color w:val="auto"/>
          <w:sz w:val="24"/>
          <w:szCs w:val="24"/>
          <w:lang w:eastAsia="zh-CN"/>
        </w:rPr>
        <w:t>：</w:t>
      </w:r>
      <w:r>
        <w:rPr>
          <w:rFonts w:hint="default" w:ascii="Arial" w:hAnsi="Arial" w:cs="Arial"/>
          <w:color w:val="auto"/>
          <w:sz w:val="24"/>
          <w:szCs w:val="24"/>
        </w:rPr>
        <w:t>制剂中心对工艺生产线和公用设备（制水系统、空调系统）进行管理记录，包括设备工作状态、净化房间压差、温湿度等关键参数。物料请领：根据批生产指令、领料单包含（批号、品名、规格、数量、物料名称、物料编码、请发量）等相关信息。制剂生产组领料员收到物料后确认物料。以上全部按照物料请领标准操作规程进行操作。制剂的配制</w:t>
      </w:r>
      <w:r>
        <w:rPr>
          <w:rFonts w:hint="eastAsia" w:ascii="Arial" w:hAnsi="Arial" w:cs="Arial"/>
          <w:color w:val="auto"/>
          <w:sz w:val="24"/>
          <w:szCs w:val="24"/>
          <w:lang w:eastAsia="zh-CN"/>
        </w:rPr>
        <w:t>：</w:t>
      </w:r>
      <w:r>
        <w:rPr>
          <w:rFonts w:hint="default" w:ascii="Arial" w:hAnsi="Arial" w:cs="Arial"/>
          <w:color w:val="auto"/>
          <w:sz w:val="24"/>
          <w:szCs w:val="24"/>
        </w:rPr>
        <w:t>制剂生产组配制人员进行物料信息确认，进行记录后根据物料分类，按照标准操作规程进行操作，配制完成后提取中间品送至质检部门进行检测。中间体检验合格后，按操作规程进行内包装、外包装，并及时记录成品送检。质量检验</w:t>
      </w:r>
      <w:r>
        <w:rPr>
          <w:rFonts w:hint="eastAsia" w:ascii="Arial" w:hAnsi="Arial" w:cs="Arial"/>
          <w:color w:val="auto"/>
          <w:sz w:val="24"/>
          <w:szCs w:val="24"/>
          <w:lang w:eastAsia="zh-CN"/>
        </w:rPr>
        <w:t>：</w:t>
      </w:r>
      <w:r>
        <w:rPr>
          <w:rFonts w:hint="default" w:ascii="Arial" w:hAnsi="Arial" w:cs="Arial"/>
          <w:color w:val="auto"/>
          <w:sz w:val="24"/>
          <w:szCs w:val="24"/>
        </w:rPr>
        <w:t>药检室对制剂配制的原、辅料，中间体、成品进行取样、登记、检验及检验记录录入，形成检验报告，上传审批。成品出、入库</w:t>
      </w:r>
      <w:r>
        <w:rPr>
          <w:rFonts w:hint="eastAsia" w:ascii="Arial" w:hAnsi="Arial" w:cs="Arial"/>
          <w:color w:val="auto"/>
          <w:sz w:val="24"/>
          <w:szCs w:val="24"/>
          <w:lang w:eastAsia="zh-CN"/>
        </w:rPr>
        <w:t>：</w:t>
      </w:r>
      <w:r>
        <w:rPr>
          <w:rFonts w:hint="default" w:ascii="Arial" w:hAnsi="Arial" w:cs="Arial"/>
          <w:color w:val="auto"/>
          <w:sz w:val="24"/>
          <w:szCs w:val="24"/>
        </w:rPr>
        <w:t>制剂成品按照医院药品库药品管理，纳入医院药品库系统。</w:t>
      </w:r>
    </w:p>
    <w:p w14:paraId="2F823BA0">
      <w:pPr>
        <w:pStyle w:val="24"/>
        <w:keepNext w:val="0"/>
        <w:keepLines w:val="0"/>
        <w:pageBreakBefore w:val="0"/>
        <w:widowControl w:val="0"/>
        <w:numPr>
          <w:ilvl w:val="3"/>
          <w:numId w:val="9"/>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护理管理系</w:t>
      </w:r>
      <w:r>
        <w:rPr>
          <w:b/>
          <w:color w:val="auto"/>
          <w:spacing w:val="-10"/>
          <w:sz w:val="24"/>
        </w:rPr>
        <w:t>统</w:t>
      </w:r>
    </w:p>
    <w:p w14:paraId="4C79F18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护理管理应通过对护士的护理业务质量进行质控评估、分析、统计，全面支撑临床护理、护理管理、护理教学、护理科研等护理业务管理信息化。主要功能应包括：</w:t>
      </w:r>
      <w:r>
        <w:rPr>
          <w:color w:val="auto"/>
          <w:spacing w:val="-2"/>
          <w:sz w:val="24"/>
        </w:rPr>
        <w:t>护士长手册管理</w:t>
      </w:r>
      <w:r>
        <w:rPr>
          <w:rFonts w:hint="eastAsia"/>
          <w:color w:val="auto"/>
          <w:spacing w:val="-2"/>
          <w:sz w:val="24"/>
          <w:lang w:eastAsia="zh-CN"/>
        </w:rPr>
        <w:t>：</w:t>
      </w:r>
      <w:r>
        <w:rPr>
          <w:color w:val="auto"/>
          <w:spacing w:val="-2"/>
        </w:rPr>
        <w:t>护士长手册管理，模拟医院纸质护士长手册，记录内容可提交、上传护理部，护理部可以对护士长手册的书写进行反馈，并可以对往年的护士长手册进行归档操作。</w:t>
      </w:r>
      <w:r>
        <w:rPr>
          <w:color w:val="auto"/>
          <w:spacing w:val="-2"/>
          <w:sz w:val="24"/>
        </w:rPr>
        <w:t>护理质控管理</w:t>
      </w:r>
      <w:r>
        <w:rPr>
          <w:rFonts w:hint="eastAsia"/>
          <w:color w:val="auto"/>
          <w:spacing w:val="-2"/>
          <w:sz w:val="24"/>
          <w:lang w:eastAsia="zh-CN"/>
        </w:rPr>
        <w:t>：</w:t>
      </w:r>
      <w:r>
        <w:rPr>
          <w:color w:val="auto"/>
          <w:spacing w:val="-2"/>
        </w:rPr>
        <w:t>可维护符合医院护理质控检查标准评分基础数据库，并能够记录护理质量检查评分情况。实现质量检查汇总与分析。实现质量问题汇总及跟踪。针对护理质控中发现的问题，管理层可以发起质量持续改进项目。</w:t>
      </w:r>
      <w:r>
        <w:rPr>
          <w:color w:val="auto"/>
          <w:spacing w:val="-2"/>
          <w:sz w:val="24"/>
        </w:rPr>
        <w:t>护理安全管理</w:t>
      </w:r>
      <w:r>
        <w:rPr>
          <w:rFonts w:hint="eastAsia"/>
          <w:color w:val="auto"/>
          <w:spacing w:val="-2"/>
          <w:sz w:val="24"/>
          <w:lang w:eastAsia="zh-CN"/>
        </w:rPr>
        <w:t>：</w:t>
      </w:r>
      <w:r>
        <w:rPr>
          <w:color w:val="auto"/>
          <w:spacing w:val="-2"/>
        </w:rPr>
        <w:t>能够通过对影响护理安全的事件进行记录并根据事先制定的上报流程上报到相应的管理者，妥善解决。</w:t>
      </w:r>
      <w:r>
        <w:rPr>
          <w:color w:val="auto"/>
          <w:spacing w:val="-2"/>
          <w:sz w:val="24"/>
        </w:rPr>
        <w:t>护理查房管理</w:t>
      </w:r>
      <w:r>
        <w:rPr>
          <w:rFonts w:hint="eastAsia"/>
          <w:color w:val="auto"/>
          <w:spacing w:val="-2"/>
          <w:sz w:val="24"/>
          <w:lang w:eastAsia="zh-CN"/>
        </w:rPr>
        <w:t>：</w:t>
      </w:r>
      <w:r>
        <w:rPr>
          <w:color w:val="auto"/>
          <w:spacing w:val="-2"/>
        </w:rPr>
        <w:t>护理查房管理功能能够实现护士长对特殊的病人，组织护士进行护理查房</w:t>
      </w:r>
      <w:r>
        <w:rPr>
          <w:color w:val="auto"/>
          <w:spacing w:val="-4"/>
        </w:rPr>
        <w:t>会议。</w:t>
      </w:r>
    </w:p>
    <w:p w14:paraId="20CB499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√工作讨论管理</w:t>
      </w:r>
      <w:r>
        <w:rPr>
          <w:rFonts w:hint="eastAsia" w:ascii="Arial" w:hAnsi="Arial" w:cs="Arial"/>
          <w:color w:val="auto"/>
          <w:sz w:val="24"/>
          <w:szCs w:val="24"/>
          <w:lang w:eastAsia="zh-CN"/>
        </w:rPr>
        <w:t>：</w:t>
      </w:r>
      <w:r>
        <w:rPr>
          <w:rFonts w:hint="default" w:ascii="Arial" w:hAnsi="Arial" w:cs="Arial"/>
          <w:color w:val="auto"/>
          <w:sz w:val="24"/>
          <w:szCs w:val="24"/>
        </w:rPr>
        <w:t>工作讨论管理功能实现记录护士长对护士护理过程中发生的不良事件及隐患事件的来安排护士沟通的讨论情况。工休座谈管理</w:t>
      </w:r>
      <w:r>
        <w:rPr>
          <w:rFonts w:hint="eastAsia" w:ascii="Arial" w:hAnsi="Arial" w:cs="Arial"/>
          <w:color w:val="auto"/>
          <w:sz w:val="24"/>
          <w:szCs w:val="24"/>
          <w:lang w:eastAsia="zh-CN"/>
        </w:rPr>
        <w:t>：</w:t>
      </w:r>
      <w:r>
        <w:rPr>
          <w:rFonts w:hint="default" w:ascii="Arial" w:hAnsi="Arial" w:cs="Arial"/>
          <w:color w:val="auto"/>
          <w:sz w:val="24"/>
          <w:szCs w:val="24"/>
        </w:rPr>
        <w:t>工作座谈管理功能实现对讨论病区的环境管理，健康教育内容，护士的服务质量，患者对医院护理的意见等进行记录与反馈。护理档案管理</w:t>
      </w:r>
      <w:r>
        <w:rPr>
          <w:rFonts w:hint="eastAsia" w:ascii="Arial" w:hAnsi="Arial" w:cs="Arial"/>
          <w:color w:val="auto"/>
          <w:sz w:val="24"/>
          <w:szCs w:val="24"/>
          <w:lang w:eastAsia="zh-CN"/>
        </w:rPr>
        <w:t>：</w:t>
      </w:r>
      <w:r>
        <w:rPr>
          <w:rFonts w:hint="default" w:ascii="Arial" w:hAnsi="Arial" w:cs="Arial"/>
          <w:color w:val="auto"/>
          <w:sz w:val="24"/>
          <w:szCs w:val="24"/>
        </w:rPr>
        <w:t>档案管理功能实现记录与查询护理人员基本信息管理、学历学位信息、工作经历信息、职称与晋升管理、获奖信息、继续教育、科室人员配备和护士调动等信息，实现护士基本情况和业务技术档案的无纸化管理，避免手工记录产生的误差。行政管理档案（电子文档）的管理，并支持上传、下载操作。系统还可以针对护理档案的人员分布情况生成表单，进行统计分析。护理排班管理</w:t>
      </w:r>
      <w:r>
        <w:rPr>
          <w:rFonts w:hint="eastAsia" w:ascii="Arial" w:hAnsi="Arial" w:cs="Arial"/>
          <w:color w:val="auto"/>
          <w:sz w:val="24"/>
          <w:szCs w:val="24"/>
          <w:lang w:eastAsia="zh-CN"/>
        </w:rPr>
        <w:t>：</w:t>
      </w:r>
      <w:r>
        <w:rPr>
          <w:rFonts w:hint="default" w:ascii="Arial" w:hAnsi="Arial" w:cs="Arial"/>
          <w:color w:val="auto"/>
          <w:sz w:val="24"/>
          <w:szCs w:val="24"/>
        </w:rPr>
        <w:t>实现护士排班与责任制，不同护理层级享有不同权限与功能。实现多元化数据的统计分析功能。多人值班，可单独查询导出每一人的值班情况。支持护士长对病区护士按月进行排班，方便护士长对人员的管理。人员动态管理</w:t>
      </w:r>
      <w:r>
        <w:rPr>
          <w:rFonts w:hint="eastAsia" w:ascii="Arial" w:hAnsi="Arial" w:cs="Arial"/>
          <w:color w:val="auto"/>
          <w:sz w:val="24"/>
          <w:szCs w:val="24"/>
          <w:lang w:eastAsia="zh-CN"/>
        </w:rPr>
        <w:t>：</w:t>
      </w:r>
      <w:r>
        <w:rPr>
          <w:rFonts w:hint="default" w:ascii="Arial" w:hAnsi="Arial" w:cs="Arial"/>
          <w:color w:val="auto"/>
          <w:sz w:val="24"/>
          <w:szCs w:val="24"/>
        </w:rPr>
        <w:t>人员动态管理能够实现对病区护士考勤、护理人员的增减调入调出、进修情况等进行记录。针对护理人员调动情况处理，包括调动新增申请、待处理申请及审核等情况进行记录跟踪。三基考试管理</w:t>
      </w:r>
      <w:r>
        <w:rPr>
          <w:rFonts w:hint="eastAsia" w:ascii="Arial" w:hAnsi="Arial" w:cs="Arial"/>
          <w:color w:val="auto"/>
          <w:sz w:val="24"/>
          <w:szCs w:val="24"/>
          <w:lang w:eastAsia="zh-CN"/>
        </w:rPr>
        <w:t>：</w:t>
      </w:r>
      <w:r>
        <w:rPr>
          <w:rFonts w:hint="default" w:ascii="Arial" w:hAnsi="Arial" w:cs="Arial"/>
          <w:color w:val="auto"/>
          <w:sz w:val="24"/>
          <w:szCs w:val="24"/>
        </w:rPr>
        <w:t>三基考试管理功能能够实现对基础理论、基本知识、基本技能考核。功能具备安排考试人员、考试成绩录入、通知人员及所在科室和查询所有科室人员成绩情况等功能。支持各级管理人员对考试结果进行统计分析。</w:t>
      </w:r>
    </w:p>
    <w:p w14:paraId="3808743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√晨间提问管理</w:t>
      </w:r>
      <w:r>
        <w:rPr>
          <w:rFonts w:hint="eastAsia" w:ascii="Arial" w:hAnsi="Arial" w:cs="Arial"/>
          <w:color w:val="auto"/>
          <w:sz w:val="24"/>
          <w:szCs w:val="24"/>
          <w:lang w:eastAsia="zh-CN"/>
        </w:rPr>
        <w:t>：</w:t>
      </w:r>
      <w:r>
        <w:rPr>
          <w:rFonts w:hint="default" w:ascii="Arial" w:hAnsi="Arial" w:cs="Arial"/>
          <w:color w:val="auto"/>
          <w:sz w:val="24"/>
          <w:szCs w:val="24"/>
        </w:rPr>
        <w:t>晨间提问功能能够实现对晨间所提问的护理题目、回答人、答案评价等信息进行记录与汇总统计。业务学习管理</w:t>
      </w:r>
      <w:r>
        <w:rPr>
          <w:rFonts w:hint="eastAsia" w:ascii="Arial" w:hAnsi="Arial" w:cs="Arial"/>
          <w:color w:val="auto"/>
          <w:sz w:val="24"/>
          <w:szCs w:val="24"/>
          <w:lang w:eastAsia="zh-CN"/>
        </w:rPr>
        <w:t>：</w:t>
      </w:r>
      <w:r>
        <w:rPr>
          <w:rFonts w:hint="default" w:ascii="Arial" w:hAnsi="Arial" w:cs="Arial"/>
          <w:color w:val="auto"/>
          <w:sz w:val="24"/>
          <w:szCs w:val="24"/>
        </w:rPr>
        <w:t>业务学习管理功能实现对护理人员各种业务学习（如科内、院内等）详细情况的记录，包括学习内容的主讲人、主办单位、学时、学分种类及时间等。支持管理人员对结果进行统计查询。科研论文管理</w:t>
      </w:r>
      <w:r>
        <w:rPr>
          <w:rFonts w:hint="eastAsia" w:ascii="Arial" w:hAnsi="Arial" w:cs="Arial"/>
          <w:color w:val="auto"/>
          <w:sz w:val="24"/>
          <w:szCs w:val="24"/>
          <w:lang w:eastAsia="zh-CN"/>
        </w:rPr>
        <w:t>：</w:t>
      </w:r>
      <w:r>
        <w:rPr>
          <w:rFonts w:hint="default" w:ascii="Arial" w:hAnsi="Arial" w:cs="Arial"/>
          <w:color w:val="auto"/>
          <w:sz w:val="24"/>
          <w:szCs w:val="24"/>
        </w:rPr>
        <w:t>科研论文管理能够实现记录护理人员的科研项目及在发表上刊物上的论文记录，包括发表日期、科研项目、论文题目、承担者/作者、项目级别及编号/发表刊物名称、及项目经费等。护理制度管理</w:t>
      </w:r>
      <w:r>
        <w:rPr>
          <w:rFonts w:hint="eastAsia" w:ascii="Arial" w:hAnsi="Arial" w:cs="Arial"/>
          <w:color w:val="auto"/>
          <w:sz w:val="24"/>
          <w:szCs w:val="24"/>
          <w:lang w:eastAsia="zh-CN"/>
        </w:rPr>
        <w:t>：</w:t>
      </w:r>
      <w:r>
        <w:rPr>
          <w:rFonts w:hint="default" w:ascii="Arial" w:hAnsi="Arial" w:cs="Arial"/>
          <w:color w:val="auto"/>
          <w:sz w:val="24"/>
          <w:szCs w:val="24"/>
        </w:rPr>
        <w:t>对护理部制定医院护理人员制度规范文件进行管理，护理人员可以通过该功能进行下载、查看护理规章制度。同时系统还支持对制度文件的上传时间、上传人员、历史版本进行记录。护理敏感指标管理</w:t>
      </w:r>
      <w:r>
        <w:rPr>
          <w:rFonts w:hint="eastAsia" w:ascii="Arial" w:hAnsi="Arial" w:cs="Arial"/>
          <w:color w:val="auto"/>
          <w:sz w:val="24"/>
          <w:szCs w:val="24"/>
          <w:lang w:eastAsia="zh-CN"/>
        </w:rPr>
        <w:t>：</w:t>
      </w:r>
      <w:r>
        <w:rPr>
          <w:rFonts w:hint="default" w:ascii="Arial" w:hAnsi="Arial" w:cs="Arial"/>
          <w:color w:val="auto"/>
          <w:sz w:val="24"/>
          <w:szCs w:val="24"/>
        </w:rPr>
        <w:t>医院可根据实际需求预先设定敏感指标。系统可结合相关数据进行指标结果的自动分析统计。做到由管理层主动发起的“事务管理”向由系统自动跟踪的“智能管理”转变。绩效考核管理</w:t>
      </w:r>
      <w:r>
        <w:rPr>
          <w:rFonts w:hint="eastAsia" w:ascii="Arial" w:hAnsi="Arial" w:cs="Arial"/>
          <w:color w:val="auto"/>
          <w:sz w:val="24"/>
          <w:szCs w:val="24"/>
          <w:lang w:eastAsia="zh-CN"/>
        </w:rPr>
        <w:t>：</w:t>
      </w:r>
      <w:r>
        <w:rPr>
          <w:rFonts w:hint="default" w:ascii="Arial" w:hAnsi="Arial" w:cs="Arial"/>
          <w:color w:val="auto"/>
          <w:sz w:val="24"/>
          <w:szCs w:val="24"/>
        </w:rPr>
        <w:t>绩效考核管理功能能够实现记录护理质控管理、护理安全事件，以及日常不规范事件等方面情况来考核护士的工作绩效及工作成果。</w:t>
      </w:r>
    </w:p>
    <w:p w14:paraId="4CD869CC">
      <w:pPr>
        <w:pStyle w:val="24"/>
        <w:keepNext w:val="0"/>
        <w:keepLines w:val="0"/>
        <w:pageBreakBefore w:val="0"/>
        <w:widowControl w:val="0"/>
        <w:numPr>
          <w:ilvl w:val="3"/>
          <w:numId w:val="9"/>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医务管理</w:t>
      </w:r>
    </w:p>
    <w:p w14:paraId="5DA2E87D">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病历质控系</w:t>
      </w:r>
      <w:r>
        <w:rPr>
          <w:b/>
          <w:color w:val="auto"/>
          <w:spacing w:val="-10"/>
          <w:sz w:val="24"/>
        </w:rPr>
        <w:t>统</w:t>
      </w:r>
    </w:p>
    <w:p w14:paraId="4D0278FA">
      <w:pPr>
        <w:pStyle w:val="24"/>
        <w:keepNext w:val="0"/>
        <w:keepLines w:val="0"/>
        <w:pageBreakBefore w:val="0"/>
        <w:widowControl w:val="0"/>
        <w:numPr>
          <w:ilvl w:val="0"/>
          <w:numId w:val="10"/>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门诊病历质控</w:t>
      </w:r>
    </w:p>
    <w:p w14:paraId="4C1104B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门诊病历提交与退回审批：提供门诊病历的提交和退回审批流程，即已经完成的病历会自动提交，若修改需医生发起退回申请，质控审批通过可允许修</w:t>
      </w:r>
      <w:r>
        <w:rPr>
          <w:color w:val="auto"/>
        </w:rPr>
        <w:t>改。24</w:t>
      </w:r>
      <w:r>
        <w:rPr>
          <w:color w:val="auto"/>
          <w:spacing w:val="-7"/>
        </w:rPr>
        <w:t xml:space="preserve"> 小时内未打印的病历无需审批，退回申请时自动审批通过。</w:t>
      </w:r>
      <w:r>
        <w:rPr>
          <w:color w:val="auto"/>
          <w:spacing w:val="-2"/>
        </w:rPr>
        <w:t>病历操作日志：对门诊电子病历的创建、修改、删除等任何操作自动生成、保存审计日志（包括操作时间、操作者、操作内容等），并提供按单份文书或</w:t>
      </w:r>
      <w:r>
        <w:rPr>
          <w:color w:val="auto"/>
          <w:spacing w:val="40"/>
        </w:rPr>
        <w:t xml:space="preserve">  </w:t>
      </w:r>
      <w:r>
        <w:rPr>
          <w:color w:val="auto"/>
          <w:spacing w:val="-2"/>
        </w:rPr>
        <w:t>某个患者追踪查看其所有操作者及操作内容、按操作者追踪查看其所有操作等</w:t>
      </w:r>
      <w:r>
        <w:rPr>
          <w:color w:val="auto"/>
          <w:spacing w:val="40"/>
        </w:rPr>
        <w:t xml:space="preserve">  </w:t>
      </w:r>
      <w:r>
        <w:rPr>
          <w:color w:val="auto"/>
          <w:spacing w:val="-2"/>
        </w:rPr>
        <w:t>功能，以确保运行病历书写始终被监控直至入库。操作事件记录有：文书查看、创建、修改、签名、打印、提交等各个环节。病历修改痕迹：门诊病历提供文书的修改痕迹记录，同时提供痕迹比对功能，针对两次修改的文书内容进行比对，直观知晓每次新增或者删除的内容。</w:t>
      </w:r>
    </w:p>
    <w:p w14:paraId="3CC3D3F7">
      <w:pPr>
        <w:pStyle w:val="24"/>
        <w:keepNext w:val="0"/>
        <w:keepLines w:val="0"/>
        <w:pageBreakBefore w:val="0"/>
        <w:widowControl w:val="0"/>
        <w:numPr>
          <w:ilvl w:val="0"/>
          <w:numId w:val="10"/>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住院病历质控</w:t>
      </w:r>
    </w:p>
    <w:p w14:paraId="72EEA5F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z w:val="24"/>
          <w:szCs w:val="24"/>
        </w:rPr>
        <w:t>√</w:t>
      </w:r>
      <w:r>
        <w:rPr>
          <w:color w:val="auto"/>
          <w:spacing w:val="-2"/>
        </w:rPr>
        <w:t>实现自动校验病历的完整性，并对病历当中未书写的内容进行提示。具备关键字校验，进行自动校验提示的功能。实现根据专科病历、诊断等进行差别化质量控制，对时限等明确、固定要求内容进行自动判断处理并产生相应控制报告内容，记录病历内容缺陷。</w:t>
      </w:r>
    </w:p>
    <w:p w14:paraId="4819773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eastAsia" w:ascii="冬青黑体简体中文" w:hAnsi="冬青黑体简体中文" w:eastAsia="冬青黑体简体中文" w:cs="冬青黑体简体中文"/>
          <w:color w:val="auto"/>
        </w:rPr>
        <w:t>★</w:t>
      </w:r>
      <w:r>
        <w:rPr>
          <w:rFonts w:hint="eastAsia"/>
          <w:color w:val="auto"/>
        </w:rPr>
        <w:t>向质控人员提供整改进度追踪功能。质控人员可查看发送的整改通知哪些已改哪些未改哪些有申诉，可查阅病历修改痕迹，对已整改和申诉的项目可进行通过、退回等操作。</w:t>
      </w:r>
    </w:p>
    <w:p w14:paraId="321C5C2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25A2B0EA">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病案管理信息系</w:t>
      </w:r>
      <w:r>
        <w:rPr>
          <w:b/>
          <w:color w:val="auto"/>
          <w:spacing w:val="-10"/>
          <w:sz w:val="24"/>
        </w:rPr>
        <w:t>统</w:t>
      </w:r>
    </w:p>
    <w:p w14:paraId="31AF55D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pacing w:val="-2"/>
        </w:rPr>
        <w:t>√</w:t>
      </w:r>
      <w:r>
        <w:rPr>
          <w:color w:val="auto"/>
          <w:spacing w:val="-2"/>
        </w:rPr>
        <w:t>病案管理-病案首页录入：首页数据保存时要具有病案信息校验功能，并能对错误信息进行提示和定位，实现门诊医师诊断、医生病理诊断、多次转科记录的多条数据录入。病案管理-病案查询及修改：对已完成录入的病案按条件查询并对首页信息</w:t>
      </w:r>
      <w:r>
        <w:rPr>
          <w:color w:val="auto"/>
          <w:spacing w:val="-4"/>
        </w:rPr>
        <w:t>修改。</w:t>
      </w:r>
      <w:r>
        <w:rPr>
          <w:color w:val="auto"/>
          <w:spacing w:val="-2"/>
        </w:rPr>
        <w:t>病案管理-接口费用重导入：自动清空某一时间段的费用数据并重新导入费用信息，实现新版费用合入老版费用。收回管理-收回处理：按条件查询未回收的病案，并进行收回操作；记录病案回收的日期和人员等信息，方便清楚掌握病案的回收情况。收回管理-收回情况统计：统计回收病案的归档情况，并实现统计结果打印；查询已录入未回收病案的情况；查询逾期回收病案的情况。</w:t>
      </w:r>
      <w:r>
        <w:rPr>
          <w:color w:val="auto"/>
          <w:spacing w:val="-1"/>
        </w:rPr>
        <w:t>收回管理-条码号打印：按病案号打印条码。</w:t>
      </w:r>
      <w:r>
        <w:rPr>
          <w:color w:val="auto"/>
          <w:spacing w:val="-2"/>
        </w:rPr>
        <w:t>借阅管理-病案借出：对已录入病案的借阅；对历史病案的借阅；查询和修改历史借阅单，并可查询修改记录。</w:t>
      </w:r>
      <w:r>
        <w:rPr>
          <w:color w:val="auto"/>
          <w:spacing w:val="-1"/>
        </w:rPr>
        <w:t>借阅管理-病案还入：归还借阅的病案。</w:t>
      </w:r>
      <w:r>
        <w:rPr>
          <w:color w:val="auto"/>
          <w:spacing w:val="-2"/>
        </w:rPr>
        <w:t>借阅管理-借阅查询：查询已借阅未归还的病案；查询逾期未归还的病案。</w:t>
      </w:r>
      <w:r>
        <w:rPr>
          <w:rFonts w:hint="default" w:ascii="Arial" w:hAnsi="Arial" w:cs="Arial"/>
          <w:color w:val="auto"/>
          <w:sz w:val="24"/>
          <w:szCs w:val="24"/>
        </w:rPr>
        <w:t>√</w:t>
      </w:r>
      <w:r>
        <w:rPr>
          <w:color w:val="auto"/>
          <w:spacing w:val="-1"/>
        </w:rPr>
        <w:t>借阅管理-借阅信息维护与设置：对借阅人员、部门、事由、还入状态等</w:t>
      </w:r>
      <w:r>
        <w:rPr>
          <w:rFonts w:hint="eastAsia"/>
          <w:color w:val="auto"/>
          <w:spacing w:val="-1"/>
          <w:lang w:eastAsia="zh-CN"/>
        </w:rPr>
        <w:t>。</w:t>
      </w:r>
      <w:r>
        <w:rPr>
          <w:color w:val="auto"/>
          <w:spacing w:val="-1"/>
        </w:rPr>
        <w:t>项目维护；数据来源、提供功能、借阅单打印等设置。</w:t>
      </w:r>
      <w:r>
        <w:rPr>
          <w:color w:val="auto"/>
          <w:spacing w:val="-2"/>
        </w:rPr>
        <w:t>统计管理-工作量录入：为统计报表提供数据来源，并且为一些综合报表提供某些数据入口，可以录入门诊、住院数据；对门诊、住院录入界面提供自定</w:t>
      </w:r>
      <w:r>
        <w:rPr>
          <w:color w:val="auto"/>
          <w:spacing w:val="-4"/>
        </w:rPr>
        <w:t>义功能。</w:t>
      </w:r>
      <w:r>
        <w:rPr>
          <w:color w:val="auto"/>
          <w:spacing w:val="-2"/>
        </w:rPr>
        <w:t>统计管理-工作量修改：对于已存在的工作量数据，提供数据逻辑审核校验和修改功能。统计管理-数据查询：查看门诊、住院、病区出入院的数据、医技科室月报数据抓取。</w:t>
      </w:r>
      <w:r>
        <w:rPr>
          <w:color w:val="auto"/>
          <w:spacing w:val="-1"/>
        </w:rPr>
        <w:t>统计管理-统计设置：设置统计的各类筛选条件。</w:t>
      </w:r>
      <w:r>
        <w:rPr>
          <w:color w:val="auto"/>
          <w:spacing w:val="-2"/>
        </w:rPr>
        <w:t>检索查询：快速、简单检索、复合检索、数据运算分析、其他信息检索、统计与病案的出院人数对比。</w:t>
      </w:r>
      <w:r>
        <w:rPr>
          <w:color w:val="auto"/>
          <w:spacing w:val="-1"/>
        </w:rPr>
        <w:t>卫统上报-数据审核：根据卫统的数据标准进行数据审核，展示详细错误信息和错误归类；修改并保存有错误的病案，直至审核通过；管理上报规则。</w:t>
      </w:r>
      <w:r>
        <w:rPr>
          <w:color w:val="auto"/>
          <w:spacing w:val="-2"/>
        </w:rPr>
        <w:t xml:space="preserve">卫统上报-数据导出：实现综合医院、中医院的卫统上报；自动生成国家卫统 </w:t>
      </w:r>
      <w:r>
        <w:rPr>
          <w:color w:val="auto"/>
        </w:rPr>
        <w:t>4</w:t>
      </w:r>
      <w:r>
        <w:rPr>
          <w:color w:val="auto"/>
          <w:spacing w:val="-2"/>
        </w:rPr>
        <w:t xml:space="preserve"> 所需的上报文件，实现卫计委最新版上报的格式需求，并且实现三年以上的历史数据导出；将首页录入的数据标准按照卫统平台要求在后台自动对应转换，不影响医院原始录入的数据标准和规则；实现设置定时任务导出数据。报表管理：包含常用报表、病案报表、统计报表、卫统报表、手术报表、指标报表（包括同期对比、台账）、中医报表、妇幼报表、管理报表等；维护报表信息，包含卫统疾病分类代码、卫统病伤死亡原因类目、三十病种基本情况取值、医院报表取值、地方报表汇总科室、门诊及病区同期比项目、月份显示格式、损伤与中毒外部原因代码等。</w:t>
      </w:r>
    </w:p>
    <w:p w14:paraId="5542419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w:t>
      </w:r>
      <w:r>
        <w:rPr>
          <w:color w:val="auto"/>
          <w:spacing w:val="-2"/>
        </w:rPr>
        <w:t>汇总上报：基于医院集团统一门户平台，实现统一身份认证，拥有完善的分院数据处理机制，人员权限区分明确。数据查询、报表汇总、数据上报实现分院单独处理、总院数据汇总。病案首页标准管理：病案首页按照全国统一病案首页标准，各项目的数据</w:t>
      </w:r>
      <w:r>
        <w:rPr>
          <w:color w:val="auto"/>
          <w:spacing w:val="80"/>
          <w:w w:val="150"/>
        </w:rPr>
        <w:t xml:space="preserve"> </w:t>
      </w:r>
      <w:r>
        <w:rPr>
          <w:color w:val="auto"/>
          <w:spacing w:val="-2"/>
        </w:rPr>
        <w:t>标准预设和标准首页一致；实现医院自定义增加部分信息，实现病案首页扩展，能够提供首页项目外的其他项目录入；根据国家标准文件内容，制定病案首页</w:t>
      </w:r>
      <w:r>
        <w:rPr>
          <w:color w:val="auto"/>
          <w:spacing w:val="80"/>
          <w:w w:val="150"/>
        </w:rPr>
        <w:t xml:space="preserve"> </w:t>
      </w:r>
      <w:r>
        <w:rPr>
          <w:color w:val="auto"/>
          <w:spacing w:val="-2"/>
        </w:rPr>
        <w:t>数据质量管理审核标准。能提供最新的疾病编码和手术编码库，包括国家和地</w:t>
      </w:r>
      <w:r>
        <w:rPr>
          <w:color w:val="auto"/>
          <w:spacing w:val="80"/>
          <w:w w:val="150"/>
        </w:rPr>
        <w:t xml:space="preserve"> </w:t>
      </w:r>
      <w:r>
        <w:rPr>
          <w:color w:val="auto"/>
        </w:rPr>
        <w:t xml:space="preserve">方发布的编码标准，可根据实际需要自行选择；提供 ICD10 电子词典功能，对 </w:t>
      </w:r>
      <w:r>
        <w:rPr>
          <w:color w:val="auto"/>
          <w:spacing w:val="-2"/>
        </w:rPr>
        <w:t>类目、亚目、临床常用疾病具有详细描述。系统维护：基于医院集成平台的基础上，同步平台基础数据、国家标准、</w:t>
      </w:r>
      <w:r>
        <w:rPr>
          <w:color w:val="auto"/>
          <w:spacing w:val="80"/>
          <w:w w:val="150"/>
        </w:rPr>
        <w:t xml:space="preserve"> </w:t>
      </w:r>
      <w:r>
        <w:rPr>
          <w:color w:val="auto"/>
          <w:spacing w:val="-2"/>
        </w:rPr>
        <w:t>值域字典、临床字典、临床术语等，包括标准编码、病案基础、卫统基础、科</w:t>
      </w:r>
      <w:r>
        <w:rPr>
          <w:color w:val="auto"/>
          <w:spacing w:val="80"/>
          <w:w w:val="150"/>
        </w:rPr>
        <w:t xml:space="preserve"> </w:t>
      </w:r>
      <w:r>
        <w:rPr>
          <w:color w:val="auto"/>
          <w:spacing w:val="-2"/>
        </w:rPr>
        <w:t>室、人员、医疗小组，专科、报表设置定义、职业、关系、组织机构分类代码、出生地、国别、民族等。</w:t>
      </w:r>
      <w:r>
        <w:rPr>
          <w:color w:val="auto"/>
          <w:spacing w:val="-1"/>
        </w:rPr>
        <w:t>病案回收：使用条形码技术实现批量签收的功能。</w:t>
      </w:r>
      <w:r>
        <w:rPr>
          <w:color w:val="auto"/>
          <w:spacing w:val="-2"/>
        </w:rPr>
        <w:t>医护交接：根绝所属科室/所属病区/所属医疗小组权限签出签收，进行医</w:t>
      </w:r>
      <w:r>
        <w:rPr>
          <w:color w:val="auto"/>
          <w:spacing w:val="80"/>
          <w:w w:val="150"/>
        </w:rPr>
        <w:t xml:space="preserve"> </w:t>
      </w:r>
      <w:r>
        <w:rPr>
          <w:color w:val="auto"/>
          <w:spacing w:val="-2"/>
        </w:rPr>
        <w:t>生护士之间的病历交接，可查看当日已签出、已签出未签收数量、未签收列表，</w:t>
      </w:r>
      <w:r>
        <w:rPr>
          <w:color w:val="auto"/>
          <w:spacing w:val="-1"/>
        </w:rPr>
        <w:t>能够根据出院日期、出院科室、住院号提供需操作患者信息。可进行当面签收。</w:t>
      </w:r>
      <w:r>
        <w:rPr>
          <w:color w:val="auto"/>
          <w:spacing w:val="-2"/>
        </w:rPr>
        <w:t>护士签出：根据当前节点签出病案到目的节点，可查看当日签出、已签收、未签收数量，能够根据住院号、出院日期、入院科室提供出院患者列表；已签</w:t>
      </w:r>
      <w:r>
        <w:rPr>
          <w:color w:val="auto"/>
          <w:spacing w:val="-1"/>
        </w:rPr>
        <w:t>出列表，包括记住操作、重置、当面签收、当日签出、清除列表快捷操作。</w:t>
      </w:r>
      <w:r>
        <w:rPr>
          <w:color w:val="auto"/>
          <w:spacing w:val="-2"/>
        </w:rPr>
        <w:t>病案流</w:t>
      </w:r>
      <w:r>
        <w:rPr>
          <w:rFonts w:hint="default" w:ascii="Arial" w:hAnsi="Arial" w:cs="Arial"/>
          <w:color w:val="auto"/>
          <w:sz w:val="24"/>
          <w:szCs w:val="24"/>
        </w:rPr>
        <w:t>通：根据当前节点、时间显示出已签收，当时已签出，已签出未签收数量，能够显示出待签出/签收病案列表、已签出/签收病案列表。并双击详细病案后能够显示出病案示踪时间轴。病案直接签收：省略医护交接、护士签出等流程，直接签收归档。能够根据住院号、出院日期、入院科室提供出院患者列表。可查看当日签收列表。可单条、批量签收。病案追踪：速定位到当前所在位置，并以时间轴的方式显示病案流通过程。病案封存：解封至节点，解封至用户。显示待解封病案列表，已封存/解封病案列表，并且提供病案解封、病案封存的快捷方式，同时双击详细病案后能够显示出病案示踪时间轴。退档申请：根据住院号，病人姓名，出院日期进行查询、申请功能，能够列出病案信息/待退档病案列表。退档处理：根据申请日期、申请人、审核部门显示出当前流程、申请人、申请日期、住院号、住院次数、病人姓名、退档原因、退档人、审核部门、审核人、审核时间、审核驳回理由。病案转科：病案进行住院科室内部的交接转科处理，能够根据当前科室和目的科室自动显示待签收、已签出/签收列表，能够根据日期显示已转入数量，当日已转出，已转出未转入数量，提供病案转入、转出快捷操作。直接借阅：直接登记借阅病案人的信息，同时实现扫码登记借阅的病案。借阅申请：根据住院号、次数、出院日期、身份证号、出院主诊断、入院科室、离院方式、医疗小组、主治医师、住院医师、手术医师进行病案查询，并提交借阅申请。借阅审核：对提交的借阅申请进行审核，可进行审核通过和驳回处理。</w:t>
      </w:r>
    </w:p>
    <w:p w14:paraId="598A2A5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借阅处理：对归还的病案进行扫码归还、续借、挂失等处理。借阅查询：自动显示逾期未归还的病案清单，其中包含住院号、病人姓名、借阅人、当前流程、逾期天数、借阅单位、借阅日期、借阅人电话、借阅事由、借阅天数、病案号、次数、出院日期、出院科室等。借阅人次统计：根据时间段统计病案的借阅次数和借出天数。借阅各事由分析统计：根绝借阅日期、借阅类型统计各借阅事由对应的借阅份数、在借份数、已还份数。各借阅者借阅量统计：根据借阅日期、借阅单位、借阅类型统计各借阅者工号、姓名、借阅单位、借阅份数、在借份数、已还份数。病案复印：复印申请、复印处理、复印收费、复印工作量统计、复印收费结账、复印收费账单明细。统计查询：归档率统计、回收天数绩效考核统计、已出院逾期查询、各节点回收时间统计、各科室逾期统计、已收回未录入查询、已录入未收回查询、病历迟交考核（科室）、各节点回收时间统计、各节点签收、签出汇总、入库率统计、全院医生归档率统计。基础维护：封皮打印、节点维护、库位维护、节假日管理、复印内容维护、条码打印、病案标记、流通撤销。管理与安全：基于医院集团统一门户平台，实现统一身份认证，同步科室、权限、用户、密码策略。</w:t>
      </w:r>
    </w:p>
    <w:p w14:paraId="7E23EEB9">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病案首页数据质量管</w:t>
      </w:r>
      <w:r>
        <w:rPr>
          <w:b/>
          <w:color w:val="auto"/>
          <w:spacing w:val="-10"/>
          <w:sz w:val="24"/>
        </w:rPr>
        <w:t>理</w:t>
      </w:r>
    </w:p>
    <w:p w14:paraId="16B3ED9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具有病案质量审核功能，审核类型分为强制、合理和逻辑性；按照卫统、卫统(中医)、绩效考核等校验标准进行自动审核，提示错误病案及错误信息，实现查看、错误定位和修改；自动保存错误信息，根据错误信息查询窗口对审核的错误进行归类，显示归类错误总例数，实现将错误信息按照科室、审核类型等分类条件，查看校验后的首页情况。</w:t>
      </w:r>
    </w:p>
    <w:p w14:paraId="38596CD2">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rFonts w:hint="eastAsia" w:ascii="宋体" w:hAnsi="宋体" w:eastAsia="宋体" w:cs="宋体"/>
          <w:b/>
          <w:color w:val="auto"/>
          <w:sz w:val="24"/>
        </w:rPr>
      </w:pPr>
      <w:r>
        <w:rPr>
          <w:rFonts w:hint="eastAsia" w:ascii="宋体" w:hAnsi="宋体" w:eastAsia="宋体" w:cs="宋体"/>
          <w:b/>
          <w:color w:val="auto"/>
          <w:sz w:val="24"/>
        </w:rPr>
        <w:t>HQMS\DRG</w:t>
      </w:r>
      <w:r>
        <w:rPr>
          <w:rFonts w:hint="eastAsia" w:ascii="宋体" w:hAnsi="宋体" w:eastAsia="宋体" w:cs="宋体"/>
          <w:b/>
          <w:color w:val="auto"/>
          <w:spacing w:val="-12"/>
          <w:sz w:val="24"/>
        </w:rPr>
        <w:t xml:space="preserve"> </w:t>
      </w:r>
      <w:r>
        <w:rPr>
          <w:rFonts w:hint="eastAsia" w:ascii="宋体" w:hAnsi="宋体" w:eastAsia="宋体" w:cs="宋体"/>
          <w:b/>
          <w:color w:val="auto"/>
          <w:sz w:val="24"/>
        </w:rPr>
        <w:t>上</w:t>
      </w:r>
      <w:r>
        <w:rPr>
          <w:rFonts w:hint="eastAsia" w:ascii="宋体" w:hAnsi="宋体" w:eastAsia="宋体" w:cs="宋体"/>
          <w:b/>
          <w:color w:val="auto"/>
          <w:spacing w:val="-10"/>
          <w:sz w:val="24"/>
        </w:rPr>
        <w:t>报</w:t>
      </w:r>
    </w:p>
    <w:p w14:paraId="4611D3B2">
      <w:pPr>
        <w:pStyle w:val="24"/>
        <w:keepNext w:val="0"/>
        <w:keepLines w:val="0"/>
        <w:pageBreakBefore w:val="0"/>
        <w:widowControl w:val="0"/>
        <w:numPr>
          <w:ilvl w:val="5"/>
          <w:numId w:val="9"/>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z w:val="24"/>
        </w:rPr>
      </w:pPr>
      <w:r>
        <w:rPr>
          <w:color w:val="auto"/>
          <w:spacing w:val="-3"/>
          <w:sz w:val="24"/>
        </w:rPr>
        <w:t>病案归档</w:t>
      </w:r>
    </w:p>
    <w:p w14:paraId="0072135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8" w:firstLine="479"/>
        <w:jc w:val="both"/>
        <w:textAlignment w:val="auto"/>
        <w:rPr>
          <w:color w:val="auto"/>
        </w:rPr>
      </w:pPr>
      <w:r>
        <w:rPr>
          <w:rFonts w:hint="default" w:ascii="Arial" w:hAnsi="Arial" w:cs="Arial"/>
          <w:color w:val="auto"/>
          <w:sz w:val="24"/>
          <w:szCs w:val="24"/>
        </w:rPr>
        <w:t>√</w:t>
      </w:r>
      <w:r>
        <w:rPr>
          <w:color w:val="auto"/>
          <w:spacing w:val="-2"/>
        </w:rPr>
        <w:t>提供对临床归档的电子病案进行接收和确认的功能，或对在规定时间内未归档的电子病案进行强制完结，归档的电子病历病案首页内容由病案室人员审核后作为上报数据的来源。归档时，按照上报接口的要求将归档病案的病案首页自动转换成上报数据，数据转换过程中会根据《数据对接接口校验规则》完</w:t>
      </w:r>
      <w:r>
        <w:rPr>
          <w:color w:val="auto"/>
          <w:spacing w:val="-4"/>
        </w:rPr>
        <w:t>成校验。</w:t>
      </w:r>
    </w:p>
    <w:p w14:paraId="5CE40BB8">
      <w:pPr>
        <w:pStyle w:val="24"/>
        <w:keepNext w:val="0"/>
        <w:keepLines w:val="0"/>
        <w:pageBreakBefore w:val="0"/>
        <w:widowControl w:val="0"/>
        <w:numPr>
          <w:ilvl w:val="5"/>
          <w:numId w:val="9"/>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sz w:val="24"/>
        </w:rPr>
      </w:pPr>
      <w:r>
        <w:rPr>
          <w:color w:val="auto"/>
          <w:spacing w:val="-3"/>
          <w:sz w:val="24"/>
        </w:rPr>
        <w:t>数据上报</w:t>
      </w:r>
    </w:p>
    <w:p w14:paraId="4FD173C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在数据上报前，提供对由病案首页生成的上报数据进行审核的功能。并可以对修改后的病案单独进行上报。提供数据转换和数据上报的自动化功能，定时自动转换并上报已完结的病案首页数据包。实现无人工干预地自动化上报功能。</w:t>
      </w:r>
    </w:p>
    <w:p w14:paraId="250D262B">
      <w:pPr>
        <w:pStyle w:val="24"/>
        <w:keepNext w:val="0"/>
        <w:keepLines w:val="0"/>
        <w:pageBreakBefore w:val="0"/>
        <w:widowControl w:val="0"/>
        <w:numPr>
          <w:ilvl w:val="5"/>
          <w:numId w:val="9"/>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3"/>
          <w:sz w:val="24"/>
        </w:rPr>
        <w:t>统计报表</w:t>
      </w:r>
    </w:p>
    <w:p w14:paraId="5F86DF3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6" w:firstLine="479"/>
        <w:textAlignment w:val="auto"/>
        <w:rPr>
          <w:color w:val="auto"/>
        </w:rPr>
      </w:pPr>
      <w:r>
        <w:rPr>
          <w:rFonts w:hint="default" w:ascii="Arial" w:hAnsi="Arial" w:cs="Arial"/>
          <w:color w:val="auto"/>
          <w:sz w:val="24"/>
          <w:szCs w:val="24"/>
        </w:rPr>
        <w:t>√</w:t>
      </w:r>
      <w:r>
        <w:rPr>
          <w:color w:val="auto"/>
          <w:spacing w:val="-2"/>
        </w:rPr>
        <w:t>提供已上报的病案首页数据统计功能，按时间生成或打印上报数据统计表，方便统计和追溯上报数据记录。</w:t>
      </w:r>
    </w:p>
    <w:p w14:paraId="11CFFB0B">
      <w:pPr>
        <w:pStyle w:val="24"/>
        <w:keepNext w:val="0"/>
        <w:keepLines w:val="0"/>
        <w:pageBreakBefore w:val="0"/>
        <w:widowControl w:val="0"/>
        <w:numPr>
          <w:ilvl w:val="5"/>
          <w:numId w:val="9"/>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sz w:val="24"/>
        </w:rPr>
      </w:pPr>
      <w:r>
        <w:rPr>
          <w:color w:val="auto"/>
          <w:spacing w:val="-3"/>
          <w:sz w:val="24"/>
        </w:rPr>
        <w:t>系统维护</w:t>
      </w:r>
    </w:p>
    <w:p w14:paraId="0B6EB41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6" w:firstLine="479"/>
        <w:textAlignment w:val="auto"/>
        <w:rPr>
          <w:rFonts w:hint="default" w:ascii="Arial" w:hAnsi="Arial" w:cs="Arial"/>
          <w:color w:val="auto"/>
          <w:sz w:val="24"/>
          <w:szCs w:val="24"/>
        </w:rPr>
      </w:pPr>
      <w:r>
        <w:rPr>
          <w:rFonts w:hint="default" w:ascii="Arial" w:hAnsi="Arial" w:cs="Arial"/>
          <w:color w:val="auto"/>
          <w:sz w:val="24"/>
          <w:szCs w:val="24"/>
        </w:rPr>
        <w:t>√提供本项目所使用到的系统参数设置功能。根据监测中心提供的数据对接接口标准，提供存在值域范围项目的字典维护功能，并与病案首页中使用的字典作对照。根据监测中心提供的《RC020-ICD-10 诊断编码》提供诊断编码的维护</w:t>
      </w:r>
      <w:r>
        <w:rPr>
          <w:rFonts w:hint="eastAsia" w:ascii="Arial" w:hAnsi="Arial" w:cs="Arial"/>
          <w:color w:val="auto"/>
          <w:sz w:val="24"/>
          <w:szCs w:val="24"/>
          <w:lang w:eastAsia="zh-CN"/>
        </w:rPr>
        <w:t>。</w:t>
      </w:r>
      <w:r>
        <w:rPr>
          <w:rFonts w:hint="default" w:ascii="Arial" w:hAnsi="Arial" w:cs="Arial"/>
          <w:color w:val="auto"/>
          <w:sz w:val="24"/>
          <w:szCs w:val="24"/>
        </w:rPr>
        <w:t>提供根据本项目诊断编码与医院使用的疾病编码进行对照，并可实现自动对照功能。根据监测中心提供的《RC022-ICD-9 手术编码》实现手术编码的维护。实现根据本项目手术编码与医院使用的手术编码进行对照，并可实现自动对照功能。根据监测中心提供的《RC021-ICD-10 形态学编码》实现形态学编码的维护。提供住院病案首页中需要上报项目的维护。</w:t>
      </w:r>
    </w:p>
    <w:p w14:paraId="0393251F">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危急值管理</w:t>
      </w:r>
      <w:r>
        <w:rPr>
          <w:b/>
          <w:color w:val="auto"/>
          <w:spacing w:val="-6"/>
          <w:sz w:val="24"/>
        </w:rPr>
        <w:t>系统</w:t>
      </w:r>
    </w:p>
    <w:p w14:paraId="0819491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危急值管理系统建设应实现仪器测试过程出现了异常值，提醒检验科医生尽快复查发布并；检验科医生审核标本时，系统自动判断危急值，遇危急值标本系统自动提醒检验科医生，确需核发该报告时，检验科医生输入工号和密码后，系统自动将标本结果危急情况发送到标本采集的病区；病区工作站收到检验报告危急值信息后，提醒该病区，直到病区医生查看该危急值情况，并通过输入工号及密码确认；由检验系统提供危急值通报情况，可查看接收医生、接收时间等信息，进行查询、统计分析。</w:t>
      </w:r>
      <w:r>
        <w:rPr>
          <w:color w:val="auto"/>
          <w:spacing w:val="-1"/>
        </w:rPr>
        <w:t>危急值分类按产生的时间分：通讯级危急值、审核危急值通。仪器传输过</w:t>
      </w:r>
      <w:r>
        <w:rPr>
          <w:color w:val="auto"/>
          <w:spacing w:val="-2"/>
        </w:rPr>
        <w:t>来时，根据危急值设置自动报警，可根据系统参数设置是否播报审核；审核报告的时候，根据危急值设置自动报警，可根据系统参数设置是否播报，按标本类别分：门诊、住院、体检、其他。</w:t>
      </w:r>
      <w:r>
        <w:rPr>
          <w:color w:val="auto"/>
        </w:rPr>
        <w:t>危急值发布：检验结果出现危急值时，Lis 系统自动报警提示检验者进一</w:t>
      </w:r>
      <w:r>
        <w:rPr>
          <w:color w:val="auto"/>
          <w:spacing w:val="-2"/>
        </w:rPr>
        <w:t>步识别和处理。确认无误后提交给临床。危急值需要按需发布：针对疾病类别、科室，设置是否进行二次发布。对</w:t>
      </w:r>
      <w:r>
        <w:rPr>
          <w:color w:val="auto"/>
        </w:rPr>
        <w:t>于已发布的危急值，科室未及时处理（超过 5</w:t>
      </w:r>
      <w:r>
        <w:rPr>
          <w:color w:val="auto"/>
          <w:spacing w:val="-2"/>
        </w:rPr>
        <w:t xml:space="preserve"> 分钟</w:t>
      </w:r>
      <w:r>
        <w:rPr>
          <w:color w:val="auto"/>
        </w:rPr>
        <w:t>）的危急值，反馈给检验科</w:t>
      </w:r>
      <w:r>
        <w:rPr>
          <w:color w:val="auto"/>
          <w:spacing w:val="-2"/>
        </w:rPr>
        <w:t>进行人工处理，输入通知方式及通知人员。</w:t>
      </w:r>
    </w:p>
    <w:p w14:paraId="656E0C18">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手术分级管</w:t>
      </w:r>
      <w:r>
        <w:rPr>
          <w:b/>
          <w:color w:val="auto"/>
          <w:spacing w:val="-10"/>
          <w:sz w:val="24"/>
        </w:rPr>
        <w:t>理</w:t>
      </w:r>
    </w:p>
    <w:p w14:paraId="36EB5D1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具备手术分级管理功能：手术分级权限设置及管理、手术分级审核及流程</w:t>
      </w:r>
      <w:r>
        <w:rPr>
          <w:color w:val="auto"/>
          <w:spacing w:val="-4"/>
        </w:rPr>
        <w:t>管理。</w:t>
      </w:r>
    </w:p>
    <w:p w14:paraId="7A15970C">
      <w:pPr>
        <w:pStyle w:val="24"/>
        <w:keepNext w:val="0"/>
        <w:keepLines w:val="0"/>
        <w:pageBreakBefore w:val="0"/>
        <w:widowControl w:val="0"/>
        <w:numPr>
          <w:ilvl w:val="3"/>
          <w:numId w:val="9"/>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医保管理</w:t>
      </w:r>
    </w:p>
    <w:p w14:paraId="1086FBE4">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7"/>
        </w:rPr>
      </w:pPr>
    </w:p>
    <w:p w14:paraId="0ED92828">
      <w:pPr>
        <w:pStyle w:val="24"/>
        <w:keepNext w:val="0"/>
        <w:keepLines w:val="0"/>
        <w:pageBreakBefore w:val="0"/>
        <w:widowControl w:val="0"/>
        <w:numPr>
          <w:ilvl w:val="4"/>
          <w:numId w:val="9"/>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rFonts w:hint="eastAsia" w:ascii="宋体" w:hAnsi="宋体" w:eastAsia="宋体" w:cs="宋体"/>
          <w:b/>
          <w:color w:val="auto"/>
          <w:sz w:val="24"/>
        </w:rPr>
      </w:pPr>
      <w:r>
        <w:rPr>
          <w:rFonts w:hint="eastAsia" w:ascii="宋体" w:hAnsi="宋体" w:eastAsia="宋体" w:cs="宋体"/>
          <w:b/>
          <w:color w:val="auto"/>
          <w:sz w:val="24"/>
        </w:rPr>
        <w:t>DRG</w:t>
      </w:r>
      <w:r>
        <w:rPr>
          <w:rFonts w:hint="eastAsia" w:ascii="宋体" w:hAnsi="宋体" w:eastAsia="宋体" w:cs="宋体"/>
          <w:b/>
          <w:color w:val="auto"/>
          <w:spacing w:val="-7"/>
          <w:sz w:val="24"/>
        </w:rPr>
        <w:t xml:space="preserve"> </w:t>
      </w:r>
      <w:r>
        <w:rPr>
          <w:rFonts w:hint="eastAsia" w:ascii="宋体" w:hAnsi="宋体" w:eastAsia="宋体" w:cs="宋体"/>
          <w:b/>
          <w:color w:val="auto"/>
          <w:sz w:val="24"/>
        </w:rPr>
        <w:t>系</w:t>
      </w:r>
      <w:r>
        <w:rPr>
          <w:rFonts w:hint="eastAsia" w:ascii="宋体" w:hAnsi="宋体" w:eastAsia="宋体" w:cs="宋体"/>
          <w:b/>
          <w:color w:val="auto"/>
          <w:spacing w:val="-10"/>
          <w:sz w:val="24"/>
        </w:rPr>
        <w:t>统</w:t>
      </w:r>
    </w:p>
    <w:p w14:paraId="02E4C2A2">
      <w:pPr>
        <w:pStyle w:val="24"/>
        <w:keepNext w:val="0"/>
        <w:keepLines w:val="0"/>
        <w:pageBreakBefore w:val="0"/>
        <w:widowControl w:val="0"/>
        <w:numPr>
          <w:ilvl w:val="0"/>
          <w:numId w:val="1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多质控模式</w:t>
      </w:r>
    </w:p>
    <w:p w14:paraId="1A44FB9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√文件导入：支持卫统四、hqms 等标准格式的病案首页数据手动导入；前端调用模块：提供 webservice 或 webapi 接口，支持嵌入电子病历、HIS或病案首页系统实时传入首页数据，并实时反馈质控结果。</w:t>
      </w:r>
    </w:p>
    <w:p w14:paraId="456C55EF">
      <w:pPr>
        <w:pStyle w:val="24"/>
        <w:keepNext w:val="0"/>
        <w:keepLines w:val="0"/>
        <w:pageBreakBefore w:val="0"/>
        <w:widowControl w:val="0"/>
        <w:numPr>
          <w:ilvl w:val="0"/>
          <w:numId w:val="11"/>
        </w:numPr>
        <w:tabs>
          <w:tab w:val="left" w:pos="1302"/>
        </w:tabs>
        <w:kinsoku/>
        <w:wordWrap/>
        <w:overflowPunct/>
        <w:topLinePunct w:val="0"/>
        <w:autoSpaceDE w:val="0"/>
        <w:autoSpaceDN w:val="0"/>
        <w:bidi w:val="0"/>
        <w:adjustRightInd/>
        <w:snapToGrid/>
        <w:spacing w:before="0" w:line="360" w:lineRule="auto"/>
        <w:ind w:hanging="602"/>
        <w:jc w:val="both"/>
        <w:textAlignment w:val="auto"/>
        <w:rPr>
          <w:color w:val="auto"/>
          <w:sz w:val="24"/>
        </w:rPr>
      </w:pPr>
      <w:r>
        <w:rPr>
          <w:color w:val="auto"/>
          <w:sz w:val="24"/>
        </w:rPr>
        <w:t>DRG</w:t>
      </w:r>
      <w:r>
        <w:rPr>
          <w:color w:val="auto"/>
          <w:spacing w:val="-14"/>
          <w:sz w:val="24"/>
        </w:rPr>
        <w:t xml:space="preserve"> 分组功能</w:t>
      </w:r>
    </w:p>
    <w:p w14:paraId="372624C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√DRG 预分组：对每份病案进行 DRG 实时分组，展现分组信息，根据预分组情况判断病案分组是否准确，编码填写是否合理，灰码排除功能，是否存在遗漏疾病诊断和手术操作编码或是否存在主要疾病诊断选择错误等问题；标杆值比对：展示该组的标杆值，如住院天数、费用等信息，超出阈值进行提醒；低风险死亡：提示是否为低风险死亡病例；重点监控病种：提示是否为重点监控病种或术种；高编、低编提示：根据预分组情况与标杆值对比分析，判断病案是否存在高编、低编问题。</w:t>
      </w:r>
    </w:p>
    <w:p w14:paraId="519927B7">
      <w:pPr>
        <w:pStyle w:val="24"/>
        <w:keepNext w:val="0"/>
        <w:keepLines w:val="0"/>
        <w:pageBreakBefore w:val="0"/>
        <w:widowControl w:val="0"/>
        <w:numPr>
          <w:ilvl w:val="0"/>
          <w:numId w:val="1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病案评分功能</w:t>
      </w:r>
    </w:p>
    <w:p w14:paraId="1A59991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√病案评分标准设置：提供合理的病案评分标准，按照患者信息、住院信息、诊疗信息、费用信息、其他信息进行分类。各部分设置相应分值，并能根据实  际情况进行调整。病案评分情况报告：对每份病历依据评分标准计算最终得分，并标记病案是否合格。可查看每份病案的扣分项以及扣分原因。</w:t>
      </w:r>
    </w:p>
    <w:p w14:paraId="47D3EA1A">
      <w:pPr>
        <w:pStyle w:val="24"/>
        <w:keepNext w:val="0"/>
        <w:keepLines w:val="0"/>
        <w:pageBreakBefore w:val="0"/>
        <w:widowControl w:val="0"/>
        <w:numPr>
          <w:ilvl w:val="0"/>
          <w:numId w:val="1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综合分析功能</w:t>
      </w:r>
    </w:p>
    <w:p w14:paraId="181E45C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质控监测：图表形式综合体现某时间段内病案质控的各项结果包含：总病例数、质控病例数、合格率、平均得分等；问题分析：统计全院及各科室病例常见错误分布情况并细化到具体医生；√对比分析：展现全院及各科的病案质控情况的环比、合格率增长情况、各科之间的病案合格率，平均得分排名情况等；质控结果分析：展现全院及各科室病例质控结果以及合格率得分等。</w:t>
      </w:r>
    </w:p>
    <w:p w14:paraId="5F3FD65A">
      <w:pPr>
        <w:pStyle w:val="24"/>
        <w:keepNext w:val="0"/>
        <w:keepLines w:val="0"/>
        <w:pageBreakBefore w:val="0"/>
        <w:widowControl w:val="0"/>
        <w:numPr>
          <w:ilvl w:val="0"/>
          <w:numId w:val="1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数据导出功能</w:t>
      </w:r>
    </w:p>
    <w:p w14:paraId="1C05714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√质控结果导出：可分科室导出质控结果、错误情况等信息</w:t>
      </w:r>
    </w:p>
    <w:p w14:paraId="25E7C0C6">
      <w:pPr>
        <w:pStyle w:val="23"/>
        <w:keepNext w:val="0"/>
        <w:keepLines w:val="0"/>
        <w:pageBreakBefore w:val="0"/>
        <w:widowControl w:val="0"/>
        <w:numPr>
          <w:ilvl w:val="2"/>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76" w:name="_bookmark27"/>
      <w:bookmarkEnd w:id="176"/>
      <w:r>
        <w:rPr>
          <w:color w:val="auto"/>
          <w:spacing w:val="-4"/>
        </w:rPr>
        <w:t>医疗服务</w:t>
      </w:r>
    </w:p>
    <w:p w14:paraId="3B3B7AB1">
      <w:pPr>
        <w:pStyle w:val="24"/>
        <w:keepNext w:val="0"/>
        <w:keepLines w:val="0"/>
        <w:pageBreakBefore w:val="0"/>
        <w:widowControl w:val="0"/>
        <w:numPr>
          <w:ilvl w:val="3"/>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临床医生</w:t>
      </w:r>
    </w:p>
    <w:p w14:paraId="04E7C8A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7"/>
        </w:rPr>
      </w:pPr>
    </w:p>
    <w:p w14:paraId="4495D3CD">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门</w:t>
      </w:r>
      <w:r>
        <w:rPr>
          <w:rFonts w:ascii="等线" w:eastAsia="等线"/>
          <w:b/>
          <w:color w:val="auto"/>
          <w:spacing w:val="-2"/>
          <w:sz w:val="24"/>
        </w:rPr>
        <w:t>/</w:t>
      </w:r>
      <w:r>
        <w:rPr>
          <w:b/>
          <w:color w:val="auto"/>
          <w:spacing w:val="-2"/>
          <w:sz w:val="24"/>
        </w:rPr>
        <w:t>急诊医</w:t>
      </w:r>
      <w:r>
        <w:rPr>
          <w:b/>
          <w:color w:val="auto"/>
          <w:spacing w:val="-4"/>
          <w:sz w:val="24"/>
        </w:rPr>
        <w:t>生工作站</w:t>
      </w:r>
    </w:p>
    <w:p w14:paraId="2117BB1E">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z w:val="24"/>
        </w:rPr>
        <w:t>门/急诊医生工作站</w:t>
      </w:r>
    </w:p>
    <w:p w14:paraId="149480E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基于医院信息集成平台，打造完善检验闭环、检查闭环、治疗闭环等临床质量管理体系，形成完整的检验闭环，检验申请、标本情况能够随时跟踪。</w:t>
      </w:r>
    </w:p>
    <w:p w14:paraId="47B9ABC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支持在门诊医生工作站内集成门诊所有业务事项，在门诊接诊中，支持在同屏下展示并操作门诊病历、门诊诊断、门诊各类医嘱界面缩放，不需要进行界面的下拉、左右拖曳或操作页切换。</w:t>
      </w:r>
    </w:p>
    <w:p w14:paraId="61AE34E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支持多患者业务处理，支持在门诊医生工作站中，同时打开多个患者的业务处理界面，进行跨患者的业务操作。</w:t>
      </w:r>
    </w:p>
    <w:p w14:paraId="13CCFC68">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患者接诊管理</w:t>
      </w:r>
    </w:p>
    <w:p w14:paraId="0CB0EBB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color w:val="auto"/>
        </w:rPr>
      </w:pPr>
      <w:r>
        <w:rPr>
          <w:rFonts w:hint="default" w:ascii="Arial" w:hAnsi="Arial" w:cs="Arial"/>
          <w:color w:val="auto"/>
          <w:sz w:val="24"/>
          <w:szCs w:val="24"/>
        </w:rPr>
        <w:t>√</w:t>
      </w:r>
      <w:r>
        <w:rPr>
          <w:color w:val="auto"/>
          <w:spacing w:val="-2"/>
        </w:rPr>
        <w:t>实现就诊队列查看，叫号就诊；实现多种方式快速检索定位患者；提供门诊患者基本信息的查看和补充修改功能，包含过敏信息等。提供患者诊前管理功能。提供门诊日志模式，前置诊疗流程，在医生接诊患者前，提供预问诊流程，对患者基本病情进行了解。提供分诊台模式，配合诊前分诊台，支持对接体征采集设备，采集患者体征，并在病历创建时自动引</w:t>
      </w:r>
      <w:r>
        <w:rPr>
          <w:color w:val="auto"/>
          <w:spacing w:val="-3"/>
        </w:rPr>
        <w:t xml:space="preserve">用体征数据，方便医生获取患者就诊信息。若患者体温超过设定值(如 </w:t>
      </w:r>
      <w:r>
        <w:rPr>
          <w:color w:val="auto"/>
          <w:spacing w:val="-2"/>
        </w:rPr>
        <w:t>38</w:t>
      </w:r>
      <w:r>
        <w:rPr>
          <w:color w:val="auto"/>
          <w:spacing w:val="-8"/>
        </w:rPr>
        <w:t xml:space="preserve"> 度)则</w:t>
      </w:r>
      <w:r>
        <w:rPr>
          <w:color w:val="auto"/>
          <w:spacing w:val="-2"/>
        </w:rPr>
        <w:t>会提供门诊发热病人登记功能，支持在体征录入时自动弹窗登记。提供接诊操作功能。在接诊患者时，系统提供各种接诊模式，包括刷就诊</w:t>
      </w:r>
      <w:r>
        <w:rPr>
          <w:color w:val="auto"/>
          <w:spacing w:val="80"/>
          <w:w w:val="150"/>
        </w:rPr>
        <w:t xml:space="preserve"> </w:t>
      </w:r>
      <w:r>
        <w:rPr>
          <w:color w:val="auto"/>
          <w:spacing w:val="-2"/>
        </w:rPr>
        <w:t>卡、医保卡、身份证等其他电子凭证，或输入病历号调入接诊患者，或从待诊、诊中、诊毕、本科室患者病人列表中选择患者调入接诊，并集成排队叫号系统功能管理患者接诊顺序。在接诊病人管理中，支持多病人接诊操作，可在同一</w:t>
      </w:r>
      <w:r>
        <w:rPr>
          <w:color w:val="auto"/>
          <w:spacing w:val="40"/>
        </w:rPr>
        <w:t xml:space="preserve"> </w:t>
      </w:r>
      <w:r>
        <w:rPr>
          <w:color w:val="auto"/>
          <w:spacing w:val="-2"/>
        </w:rPr>
        <w:t>页面同时调入多个病人。提供快速录入功能。支持门诊患者在接诊时进行关键信息的快速录入，实</w:t>
      </w:r>
      <w:r>
        <w:rPr>
          <w:color w:val="auto"/>
          <w:spacing w:val="80"/>
          <w:w w:val="150"/>
        </w:rPr>
        <w:t xml:space="preserve"> </w:t>
      </w:r>
      <w:r>
        <w:rPr>
          <w:color w:val="auto"/>
          <w:spacing w:val="-2"/>
        </w:rPr>
        <w:t>现在同一页面进行如下操作：支持患者基本信息、过敏史的历史信息自动获取，支持生命体征的快速录入，支持按科室、医生进行高频诊断的快速录入，支持</w:t>
      </w:r>
      <w:r>
        <w:rPr>
          <w:color w:val="auto"/>
          <w:spacing w:val="80"/>
          <w:w w:val="150"/>
        </w:rPr>
        <w:t xml:space="preserve"> </w:t>
      </w:r>
      <w:r>
        <w:rPr>
          <w:color w:val="auto"/>
          <w:spacing w:val="-2"/>
        </w:rPr>
        <w:t>患者历史诊断的查看。</w:t>
      </w:r>
    </w:p>
    <w:p w14:paraId="2EA7B4D1">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组套维护</w:t>
      </w:r>
    </w:p>
    <w:p w14:paraId="60BF4D6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rFonts w:hint="default" w:ascii="Arial" w:hAnsi="Arial" w:cs="Arial"/>
          <w:color w:val="auto"/>
          <w:sz w:val="24"/>
          <w:szCs w:val="24"/>
        </w:rPr>
      </w:pPr>
      <w:r>
        <w:rPr>
          <w:rFonts w:hint="default" w:ascii="Arial" w:hAnsi="Arial" w:cs="Arial"/>
          <w:color w:val="auto"/>
          <w:sz w:val="24"/>
          <w:szCs w:val="24"/>
        </w:rPr>
        <w:t>√提供常用药品及处置医嘱组套维护功能。</w:t>
      </w:r>
    </w:p>
    <w:p w14:paraId="795D330E">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诊断管理</w:t>
      </w:r>
    </w:p>
    <w:p w14:paraId="606B680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rFonts w:hint="default" w:ascii="Arial" w:hAnsi="Arial" w:cs="Arial"/>
          <w:color w:val="auto"/>
          <w:sz w:val="24"/>
          <w:szCs w:val="24"/>
        </w:rPr>
      </w:pPr>
      <w:r>
        <w:rPr>
          <w:rFonts w:hint="default" w:ascii="Arial" w:hAnsi="Arial" w:cs="Arial"/>
          <w:color w:val="auto"/>
          <w:sz w:val="24"/>
          <w:szCs w:val="24"/>
        </w:rPr>
        <w:t>√支持诊断规范化管理，对标 ICD-10 标准编码及自定义临床诊断名称描述</w:t>
      </w:r>
      <w:r>
        <w:rPr>
          <w:rFonts w:hint="eastAsia" w:ascii="Arial" w:hAnsi="Arial" w:cs="Arial"/>
          <w:color w:val="auto"/>
          <w:sz w:val="24"/>
          <w:szCs w:val="24"/>
          <w:lang w:eastAsia="zh-CN"/>
        </w:rPr>
        <w:t>。</w:t>
      </w:r>
      <w:r>
        <w:rPr>
          <w:rFonts w:hint="default" w:ascii="Arial" w:hAnsi="Arial" w:cs="Arial"/>
          <w:color w:val="auto"/>
          <w:sz w:val="24"/>
          <w:szCs w:val="24"/>
        </w:rPr>
        <w:t>支持诊断栏缩放功能，并在展开式诊断管理中，提供患者诊断助手功能，包括患者历史诊断、常用诊断、高频诊断等内容，方便医生录入。支持疫病报卡并与诊断关联，实现诊断下达的同时实现疫病登记。支持诊断与病历信息对接，实现诊断录入完成后病历诊断数据自动导入。支持门诊诊断证明管理，在门诊中提供患者门诊诊断证明开立功能，可定制打印格式；提供死亡医学证明开立功能，由代办人使用已死亡人员的身份信息挂号，到指定科室由医生开具死亡医学证明；提供门诊请假证明开立功能，可为患者开立请假证明书并打印。</w:t>
      </w:r>
    </w:p>
    <w:p w14:paraId="222AB636">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既往病史</w:t>
      </w:r>
    </w:p>
    <w:p w14:paraId="2CDB3B6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rFonts w:hint="default" w:ascii="Arial" w:hAnsi="Arial" w:cs="Arial"/>
          <w:color w:val="auto"/>
          <w:sz w:val="24"/>
          <w:szCs w:val="24"/>
        </w:rPr>
      </w:pPr>
      <w:r>
        <w:rPr>
          <w:rFonts w:hint="default" w:ascii="Arial" w:hAnsi="Arial" w:cs="Arial"/>
          <w:color w:val="auto"/>
          <w:sz w:val="24"/>
          <w:szCs w:val="24"/>
        </w:rPr>
        <w:t>√提供患者既往病史的快速浏览，包含用药、检验、检查、处置、治疗等历史记录，并可快速引用到当前诊疗记录中。</w:t>
      </w:r>
    </w:p>
    <w:p w14:paraId="1BF8F7F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rFonts w:hint="default" w:ascii="Arial" w:hAnsi="Arial" w:cs="Arial"/>
          <w:color w:val="auto"/>
          <w:sz w:val="24"/>
          <w:szCs w:val="24"/>
        </w:rPr>
      </w:pPr>
      <w:r>
        <w:rPr>
          <w:rFonts w:hint="eastAsia" w:ascii="Arial" w:hAnsi="Arial" w:cs="Arial"/>
          <w:color w:val="auto"/>
          <w:sz w:val="24"/>
          <w:szCs w:val="24"/>
        </w:rPr>
        <w:t>▲</w:t>
      </w:r>
      <w:r>
        <w:rPr>
          <w:rFonts w:hint="default" w:ascii="Arial" w:hAnsi="Arial" w:cs="Arial"/>
          <w:color w:val="auto"/>
          <w:sz w:val="24"/>
          <w:szCs w:val="24"/>
        </w:rPr>
        <w:t>实现患者诊疗数据在电子病历进行同屏引用，将患者全流程医疗数据（包含门诊及住院数据），如历史病历引用、历史医技数据等进行同屏式数据引用。</w:t>
      </w:r>
    </w:p>
    <w:p w14:paraId="3A73777C">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医嘱管理</w:t>
      </w:r>
    </w:p>
    <w:p w14:paraId="0E5B778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rFonts w:hint="eastAsia" w:ascii="Arial" w:hAnsi="Arial" w:cs="Arial"/>
          <w:color w:val="auto"/>
          <w:sz w:val="24"/>
          <w:szCs w:val="24"/>
        </w:rPr>
      </w:pPr>
      <w:r>
        <w:rPr>
          <w:rFonts w:hint="default" w:ascii="Arial" w:hAnsi="Arial" w:cs="Arial"/>
          <w:color w:val="auto"/>
          <w:sz w:val="24"/>
          <w:szCs w:val="24"/>
        </w:rPr>
        <w:t>√</w:t>
      </w:r>
      <w:r>
        <w:rPr>
          <w:rFonts w:hint="eastAsia" w:ascii="Arial" w:hAnsi="Arial" w:cs="Arial"/>
          <w:color w:val="auto"/>
          <w:sz w:val="24"/>
          <w:szCs w:val="24"/>
        </w:rPr>
        <w:t>提供门诊医嘱录入模式功能。支持西成药、草药、检查、检验、手术、嘱托等医嘱集中录入功能，通过分类前缀实现自动分类输入。支持以临床为核心的专业医疗单开单模式，提供单一西成药医疗单、成组西成药医疗单、草药医疗单、检验医疗单、检查医疗单、护理医疗单、手术医疗单等医疗单模式。提供门诊医嘱规范管理功能。规范化门诊医嘱状态管理，提供已开医嘱的集中预览和补充修改功能，支持图表化展现，利用图标有效呈现医嘱执行、皮试、审核、报告等状态，可按全部、药品、检验、检查、诊疗分类管理；并在医嘱中实现自动分方与打印功能，按处方拆分规则进行处方拆分，并可进行集中预览和打印。在用药安全性方面，系统需内置临床知识库接口，根据就诊诊断、检查、检验结果智能推荐治疗方案，并支持与审方系统、处方点评系统对接，在诊中与诊后全流程闭环以确保医嘱安全质量。门诊医嘱中需引入抗菌药物、精神毒麻等特殊药品医嘱的开立权限控制，以满足医疗质量安全监管。提供门诊医嘱助手录入功能。实现临床医嘱的快速开立。支持门诊医生可通过医嘱模板、患者历史、常用个人医嘱、高频推荐等多种形式快速开立医嘱。提供门诊医嘱智能化记费功能。支持医嘱附加项目自动关联，且允许人工补充修改。且支持医嘱费用处理智能化，检查项目按部位自动加收费用，检验项目按指标自动加收费用，会诊费用按会诊个数自动加收等等。支持医嘱默认用法、默认频次、默认剂量自带入，减轻医嘱录入工作量。实现门诊药品闭环（口服+注射+大输液）、检验闭环（门诊）、检查闭环(门诊)等闭环管理。</w:t>
      </w:r>
    </w:p>
    <w:p w14:paraId="01487BDF">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合理用药</w:t>
      </w:r>
    </w:p>
    <w:p w14:paraId="76A904F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实现与合理用药系统对接，在开处方时可以获得药品说明书、药物剂量、药物相互作用和配伍禁忌等提示。</w:t>
      </w:r>
    </w:p>
    <w:p w14:paraId="7F5C62AC">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历史处方</w:t>
      </w:r>
    </w:p>
    <w:p w14:paraId="135490B9">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实现历史处方查阅及调用。</w:t>
      </w:r>
    </w:p>
    <w:p w14:paraId="1F52B7AE">
      <w:pPr>
        <w:pStyle w:val="24"/>
        <w:keepNext w:val="0"/>
        <w:keepLines w:val="0"/>
        <w:pageBreakBefore w:val="0"/>
        <w:widowControl w:val="0"/>
        <w:numPr>
          <w:ilvl w:val="0"/>
          <w:numId w:val="1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危急值处理</w:t>
      </w:r>
    </w:p>
    <w:p w14:paraId="65C73E38">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基于十八项医务核心制度管理，门诊提供检查、检验危急值处理消息提醒，</w:t>
      </w:r>
    </w:p>
    <w:p w14:paraId="25B0165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textAlignment w:val="auto"/>
        <w:rPr>
          <w:color w:val="auto"/>
        </w:rPr>
      </w:pPr>
      <w:r>
        <w:rPr>
          <w:color w:val="auto"/>
          <w:spacing w:val="-2"/>
        </w:rPr>
        <w:t>默认登录医生站时自动弹窗处理。并支持与移动端对接，满足医生通过移动端处理患者危机值需求。</w:t>
      </w:r>
    </w:p>
    <w:p w14:paraId="6C80D67C">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5"/>
          <w:sz w:val="24"/>
        </w:rPr>
        <w:t>转科</w:t>
      </w:r>
    </w:p>
    <w:p w14:paraId="44A8425A">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实现可在诊间对患者进行转科。</w:t>
      </w:r>
    </w:p>
    <w:p w14:paraId="0986A44C">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报告查询</w:t>
      </w:r>
    </w:p>
    <w:p w14:paraId="136E512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rPr>
      </w:pPr>
      <w:r>
        <w:rPr>
          <w:rFonts w:hint="default" w:ascii="Arial" w:hAnsi="Arial" w:cs="Arial"/>
          <w:color w:val="auto"/>
          <w:sz w:val="24"/>
          <w:szCs w:val="24"/>
        </w:rPr>
        <w:t>√</w:t>
      </w:r>
      <w:r>
        <w:rPr>
          <w:color w:val="auto"/>
          <w:spacing w:val="-2"/>
        </w:rPr>
        <w:t>基于电子病历评价标准，实现门诊、住院患者就诊信息互通，在门诊医生站中有且不限于检验、检查、病理、电子病历数据报告查询，也支持历史某段时间内就诊报告的查询。支持图文报告查看以及内嵌式影像浏览器接口查看。</w:t>
      </w:r>
      <w:r>
        <w:rPr>
          <w:color w:val="auto"/>
          <w:spacing w:val="80"/>
          <w:w w:val="150"/>
        </w:rPr>
        <w:t xml:space="preserve"> </w:t>
      </w:r>
      <w:r>
        <w:rPr>
          <w:color w:val="auto"/>
          <w:spacing w:val="-2"/>
        </w:rPr>
        <w:t>支持医联体、医疗集团模式可跨机构、跨院区查看患者所有检验检查结果报告。在检验结果中支持检验定量指标的趋势图分析，分单指标趋势图和多指标趋势</w:t>
      </w:r>
      <w:r>
        <w:rPr>
          <w:color w:val="auto"/>
          <w:spacing w:val="-6"/>
        </w:rPr>
        <w:t>图。</w:t>
      </w:r>
    </w:p>
    <w:p w14:paraId="3D668949">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打印管理</w:t>
      </w:r>
    </w:p>
    <w:p w14:paraId="0E5851D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实现开具和打印住院通知单、病假单、疾病证明等。支持门诊单据集中打印功能，可选择麻醉处方、精一处方、精二处方、西药处方、草药处方、检查指引单、或检验指引单进行打印，也可一键快速打印全部。</w:t>
      </w:r>
    </w:p>
    <w:p w14:paraId="43ECC692">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诊间业务管理</w:t>
      </w:r>
    </w:p>
    <w:p w14:paraId="2703BA9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诊间预约：通过全院统一资源池管理，在诊间为患者提供复诊预约功能，可为患者预约当前医生、本科室、本机构、所有机构号源；且对标电子病历评级要求提供诊间医技检查预约、诊间住院床位预约、诊间门诊手术预约功能。并提供便捷的医生诊间加号功能，可加普通号源、锁定患者号源。</w:t>
      </w:r>
    </w:p>
    <w:p w14:paraId="6926A62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5" w:firstLine="479"/>
        <w:textAlignment w:val="auto"/>
        <w:rPr>
          <w:color w:val="auto"/>
        </w:rPr>
      </w:pPr>
      <w:r>
        <w:rPr>
          <w:rFonts w:hint="default" w:ascii="Arial" w:hAnsi="Arial" w:cs="Arial"/>
          <w:color w:val="auto"/>
          <w:sz w:val="24"/>
          <w:szCs w:val="24"/>
        </w:rPr>
        <w:t>√</w:t>
      </w:r>
      <w:r>
        <w:rPr>
          <w:color w:val="auto"/>
          <w:spacing w:val="-2"/>
        </w:rPr>
        <w:t>诊间记账、结算、退费管理：提供诊间记账功能，业务场景如日间手术、</w:t>
      </w:r>
      <w:r>
        <w:rPr>
          <w:color w:val="auto"/>
          <w:spacing w:val="80"/>
          <w:w w:val="150"/>
        </w:rPr>
        <w:t xml:space="preserve"> </w:t>
      </w:r>
      <w:r>
        <w:rPr>
          <w:color w:val="auto"/>
          <w:spacing w:val="-2"/>
        </w:rPr>
        <w:t>急诊留观、急诊无身份人员，使用医院账户的储值金余额先进行授信记账；提</w:t>
      </w:r>
      <w:r>
        <w:rPr>
          <w:color w:val="auto"/>
          <w:spacing w:val="80"/>
          <w:w w:val="150"/>
        </w:rPr>
        <w:t xml:space="preserve"> </w:t>
      </w:r>
      <w:r>
        <w:rPr>
          <w:color w:val="auto"/>
          <w:spacing w:val="-2"/>
        </w:rPr>
        <w:t>供诊间结算功能，医生医嘱开立后可立即完成结算，结算方式支持医院账户、</w:t>
      </w:r>
      <w:r>
        <w:rPr>
          <w:color w:val="auto"/>
          <w:spacing w:val="80"/>
          <w:w w:val="150"/>
        </w:rPr>
        <w:t xml:space="preserve"> </w:t>
      </w:r>
      <w:r>
        <w:rPr>
          <w:color w:val="auto"/>
          <w:spacing w:val="-2"/>
        </w:rPr>
        <w:t>医保账户、银联卡、支付宝、微信等，也可多种方式混合支付；提供电子退费</w:t>
      </w:r>
      <w:r>
        <w:rPr>
          <w:color w:val="auto"/>
          <w:spacing w:val="80"/>
          <w:w w:val="150"/>
        </w:rPr>
        <w:t xml:space="preserve"> </w:t>
      </w:r>
      <w:r>
        <w:rPr>
          <w:color w:val="auto"/>
          <w:spacing w:val="-2"/>
        </w:rPr>
        <w:t>申请，由开嘱医生提交患者退费申请，医技科室审批后才能退费；提供电子退</w:t>
      </w:r>
      <w:r>
        <w:rPr>
          <w:color w:val="auto"/>
          <w:spacing w:val="80"/>
          <w:w w:val="150"/>
        </w:rPr>
        <w:t xml:space="preserve"> </w:t>
      </w:r>
      <w:r>
        <w:rPr>
          <w:color w:val="auto"/>
          <w:spacing w:val="-2"/>
        </w:rPr>
        <w:t>药申请，由开嘱医生提交患者退药申请，患者需先到药房退药再到收费处退费。</w:t>
      </w:r>
    </w:p>
    <w:p w14:paraId="4A76637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诊间住院证开立：提供门急诊医生下达住院证功能，并支持检查、检验医嘱预开立功能；支持住院证保存完毕时自动打印住院证。"</w:t>
      </w:r>
    </w:p>
    <w:p w14:paraId="36470B8F">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查询功能</w:t>
      </w:r>
    </w:p>
    <w:p w14:paraId="4268158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提供药品字典、诊疗字典、诊断字典、手术记录查询、住院情况查询、住院预约查询、复诊预约查询、门诊就诊记录查询、门诊详细资料等查询功能。</w:t>
      </w:r>
    </w:p>
    <w:p w14:paraId="0C23F294">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会诊管理</w:t>
      </w:r>
    </w:p>
    <w:p w14:paraId="361312B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支持会诊信息化、系统化管理，提供电子会诊申请、会诊集中管理、会诊费用自动绑定功能。支持门诊会诊单与门诊电子病历关联，在会诊单填写完毕后，系统会自动生成相应会诊病历文书集成支病历夹中。</w:t>
      </w:r>
    </w:p>
    <w:p w14:paraId="3B5C27EF">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700" w:right="5544" w:firstLine="0"/>
        <w:textAlignment w:val="auto"/>
        <w:rPr>
          <w:color w:val="auto"/>
          <w:sz w:val="24"/>
        </w:rPr>
      </w:pPr>
      <w:r>
        <w:rPr>
          <w:color w:val="auto"/>
          <w:spacing w:val="-2"/>
          <w:sz w:val="24"/>
        </w:rPr>
        <w:t>诊疗不良事件上报</w:t>
      </w:r>
      <w:r>
        <w:rPr>
          <w:rFonts w:hint="default" w:ascii="Arial" w:hAnsi="Arial" w:cs="Arial"/>
          <w:color w:val="auto"/>
          <w:sz w:val="24"/>
          <w:szCs w:val="24"/>
        </w:rPr>
        <w:t>√</w:t>
      </w:r>
      <w:r>
        <w:rPr>
          <w:color w:val="auto"/>
          <w:spacing w:val="-1"/>
          <w:sz w:val="24"/>
        </w:rPr>
        <w:t>具备不良事件上报功能。</w:t>
      </w:r>
    </w:p>
    <w:p w14:paraId="081720D6">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病历检索</w:t>
      </w:r>
    </w:p>
    <w:p w14:paraId="3ED7FC2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实现根据设定的查询条件检索病历数据并进行统计分析。</w:t>
      </w:r>
    </w:p>
    <w:p w14:paraId="4244762E">
      <w:pPr>
        <w:pStyle w:val="24"/>
        <w:keepNext w:val="0"/>
        <w:keepLines w:val="0"/>
        <w:pageBreakBefore w:val="0"/>
        <w:widowControl w:val="0"/>
        <w:numPr>
          <w:ilvl w:val="0"/>
          <w:numId w:val="1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5"/>
          <w:sz w:val="24"/>
        </w:rPr>
        <w:t>其他</w:t>
      </w:r>
    </w:p>
    <w:p w14:paraId="43A4F1D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sz w:val="29"/>
        </w:rPr>
      </w:pPr>
      <w:r>
        <w:rPr>
          <w:rFonts w:hint="default" w:ascii="Arial" w:hAnsi="Arial" w:cs="Arial"/>
          <w:color w:val="auto"/>
          <w:sz w:val="24"/>
          <w:szCs w:val="24"/>
        </w:rPr>
        <w:t>√</w:t>
      </w:r>
      <w:r>
        <w:rPr>
          <w:color w:val="auto"/>
          <w:spacing w:val="-2"/>
        </w:rPr>
        <w:t>套餐执行：支持产科、计划生育、儿童保健等套餐病人按当次检查执行本</w:t>
      </w:r>
      <w:r>
        <w:rPr>
          <w:color w:val="auto"/>
          <w:spacing w:val="-4"/>
        </w:rPr>
        <w:t>次项目。</w:t>
      </w:r>
      <w:r>
        <w:rPr>
          <w:color w:val="auto"/>
          <w:spacing w:val="-2"/>
        </w:rPr>
        <w:t>支持妇幼管理：孕妇建卡；针对当前就诊病人进行预期快速建卡；建卡孕妇信息查询；孕妇产后儿童信息查询；计划生育登记；计划生育登记列表；妇幼系统用户密码管理；妇幼系统用户管理；支持妇幼系统浏览器设置，可以设置全局和本地启用浏览器。</w:t>
      </w:r>
      <w:r>
        <w:rPr>
          <w:color w:val="auto"/>
        </w:rPr>
        <w:t>住院切换：支持医生可以同时打开门诊医生站和住院医生站界面，以 TAB</w:t>
      </w:r>
      <w:r>
        <w:rPr>
          <w:color w:val="auto"/>
          <w:spacing w:val="-2"/>
        </w:rPr>
        <w:t>页方式或其他方式进行切换，界面切换不需要重新登录或切换业务角色。支持开立医嘱后自动创建知情同意书，以满足病历书写基本规范。医生开立相应医嘱后，可自动创建相应知情同意书。同意书会收录患者病历夹，后续就诊流程均可查看。支持一体化医生站，医生一次登录后可同时打开门诊医生站与住院医生站进行业务处理。</w:t>
      </w:r>
      <w:r>
        <w:rPr>
          <w:rFonts w:hint="eastAsia" w:ascii="宋体" w:hAnsi="宋体" w:eastAsia="宋体" w:cs="宋体"/>
          <w:color w:val="auto"/>
          <w:spacing w:val="-2"/>
        </w:rPr>
        <w:t>门/急诊医生站可以支持同时接诊多个患者。系统应满足国卫办医政发【2024】16号文要求。</w:t>
      </w:r>
    </w:p>
    <w:p w14:paraId="7146DDE2">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门</w:t>
      </w:r>
      <w:r>
        <w:rPr>
          <w:rFonts w:ascii="等线" w:eastAsia="等线"/>
          <w:b/>
          <w:color w:val="auto"/>
          <w:spacing w:val="-2"/>
          <w:sz w:val="24"/>
        </w:rPr>
        <w:t>/</w:t>
      </w:r>
      <w:r>
        <w:rPr>
          <w:b/>
          <w:color w:val="auto"/>
          <w:spacing w:val="-2"/>
          <w:sz w:val="24"/>
        </w:rPr>
        <w:t>急诊电子病</w:t>
      </w:r>
      <w:r>
        <w:rPr>
          <w:b/>
          <w:color w:val="auto"/>
          <w:spacing w:val="-10"/>
          <w:sz w:val="24"/>
        </w:rPr>
        <w:t>历</w:t>
      </w:r>
    </w:p>
    <w:p w14:paraId="6B05D633">
      <w:pPr>
        <w:pStyle w:val="24"/>
        <w:keepNext w:val="0"/>
        <w:keepLines w:val="0"/>
        <w:pageBreakBefore w:val="0"/>
        <w:widowControl w:val="0"/>
        <w:numPr>
          <w:ilvl w:val="0"/>
          <w:numId w:val="14"/>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门/急诊电子病历</w:t>
      </w:r>
    </w:p>
    <w:p w14:paraId="6E3FB03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z w:val="24"/>
          <w:szCs w:val="24"/>
        </w:rPr>
        <w:t>√</w:t>
      </w:r>
      <w:r>
        <w:rPr>
          <w:color w:val="auto"/>
          <w:spacing w:val="-2"/>
        </w:rPr>
        <w:t>门/急诊病历跟医生站一体化集成，满足界面集成、数据集成、应用集成的整合效果，方便医生看诊，提高就诊效率，并按要求完成全结构化电子病历的</w:t>
      </w:r>
      <w:r>
        <w:rPr>
          <w:color w:val="auto"/>
          <w:spacing w:val="-4"/>
        </w:rPr>
        <w:t>工作。</w:t>
      </w:r>
      <w:r>
        <w:rPr>
          <w:color w:val="auto"/>
          <w:spacing w:val="-2"/>
        </w:rPr>
        <w:t>病历权限管理：提供门诊病历操作权限控制，根据角色控制某个角色操作某一类病历，操作权限区分查看权、创建权、签名权、打印权、导出权。针对每份病历的签名也有控制，可以控制某个元素由哪一类职级的医生签名。病历创建：提供门急诊病历创建、签名、打印、删除等基本功能。病历书</w:t>
      </w:r>
      <w:r>
        <w:rPr>
          <w:color w:val="auto"/>
        </w:rPr>
        <w:t>写类 word 书写界面风格，结构化书写，所见即所得。支持文本元素、日期元</w:t>
      </w:r>
      <w:r>
        <w:rPr>
          <w:color w:val="auto"/>
          <w:spacing w:val="-2"/>
        </w:rPr>
        <w:t>素、单选元素、多选元素等多种书写格式，支持病历书写时元素的快速跳转。</w:t>
      </w:r>
    </w:p>
    <w:p w14:paraId="43EF8C2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9" w:firstLine="479"/>
        <w:jc w:val="both"/>
        <w:textAlignment w:val="auto"/>
        <w:rPr>
          <w:color w:val="auto"/>
        </w:rPr>
      </w:pPr>
      <w:r>
        <w:rPr>
          <w:rFonts w:hint="eastAsia" w:ascii="冬青黑体简体中文" w:hAnsi="冬青黑体简体中文" w:eastAsia="冬青黑体简体中文" w:cs="冬青黑体简体中文"/>
          <w:color w:val="auto"/>
          <w:spacing w:val="-1"/>
        </w:rPr>
        <w:t>★</w:t>
      </w:r>
      <w:r>
        <w:rPr>
          <w:color w:val="auto"/>
          <w:spacing w:val="-1"/>
        </w:rPr>
        <w:t xml:space="preserve">病历续写：支持门诊病历续写功能。比如上午 </w:t>
      </w:r>
      <w:r>
        <w:rPr>
          <w:color w:val="auto"/>
        </w:rPr>
        <w:t>A</w:t>
      </w:r>
      <w:r>
        <w:rPr>
          <w:color w:val="auto"/>
          <w:spacing w:val="-2"/>
        </w:rPr>
        <w:t xml:space="preserve"> 医生接诊病人，下午同科</w:t>
      </w:r>
      <w:r>
        <w:rPr>
          <w:color w:val="auto"/>
        </w:rPr>
        <w:t xml:space="preserve"> B</w:t>
      </w:r>
      <w:r>
        <w:rPr>
          <w:color w:val="auto"/>
          <w:spacing w:val="-8"/>
        </w:rPr>
        <w:t xml:space="preserve"> 医生接诊，可以在 </w:t>
      </w:r>
      <w:r>
        <w:rPr>
          <w:color w:val="auto"/>
        </w:rPr>
        <w:t>A</w:t>
      </w:r>
      <w:r>
        <w:rPr>
          <w:color w:val="auto"/>
          <w:spacing w:val="-8"/>
        </w:rPr>
        <w:t xml:space="preserve"> 医生病历后面续写内容，并与 </w:t>
      </w:r>
      <w:r>
        <w:rPr>
          <w:color w:val="auto"/>
        </w:rPr>
        <w:t>A</w:t>
      </w:r>
      <w:r>
        <w:rPr>
          <w:color w:val="auto"/>
          <w:spacing w:val="-6"/>
        </w:rPr>
        <w:t xml:space="preserve"> 医生的病历形成一份完</w:t>
      </w:r>
      <w:r>
        <w:rPr>
          <w:color w:val="auto"/>
          <w:spacing w:val="-2"/>
        </w:rPr>
        <w:t>整的病历。续写病历与主病历一起显示、一起打印。</w:t>
      </w:r>
    </w:p>
    <w:p w14:paraId="409F04F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z w:val="24"/>
          <w:szCs w:val="24"/>
        </w:rPr>
        <w:t>√</w:t>
      </w:r>
      <w:r>
        <w:rPr>
          <w:color w:val="auto"/>
          <w:spacing w:val="-2"/>
        </w:rPr>
        <w:t>病历书写助手：病历书写助手，即当次就诊的诊疗数据中心，按需布局助手展示界面，常用语、我的模板、检验、检查报告、历史病历、特殊符号、医学图片等。方便医疗在一个页面了解患者病情，同时根据不同项目定制了结构化引用内容，方便回写到文书。</w:t>
      </w:r>
    </w:p>
    <w:p w14:paraId="6B1156C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eastAsia" w:ascii="冬青黑体简体中文" w:hAnsi="冬青黑体简体中文" w:eastAsia="冬青黑体简体中文" w:cs="冬青黑体简体中文"/>
          <w:color w:val="auto"/>
        </w:rPr>
        <w:t>★</w:t>
      </w:r>
      <w:r>
        <w:rPr>
          <w:rFonts w:hint="eastAsia"/>
          <w:color w:val="auto"/>
        </w:rPr>
        <w:t>实现门诊病历和门诊医嘱的信息自动更新和签名流程闭环。在医生站录入医嘱和诊断自动更新到本人创建/签署的病历中，当切换病历或者诊毕时引导医生一键签署或重新签署病历，保证门诊病历中的医嘱和诊断信息不丢失。</w:t>
      </w:r>
    </w:p>
    <w:p w14:paraId="7F7A7B0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z w:val="24"/>
          <w:szCs w:val="24"/>
        </w:rPr>
        <w:t>√</w:t>
      </w:r>
      <w:r>
        <w:rPr>
          <w:color w:val="auto"/>
          <w:spacing w:val="-2"/>
        </w:rPr>
        <w:t>病历数据的自动引用：提供对本次就诊的生命体征、诊断、医嘱等第三方的患者个人信息动引用，减少重复性文书工作，同时智能适应病历文书的格式要求，避免不同平台复制导致的医疗信息错漏。</w:t>
      </w:r>
    </w:p>
    <w:p w14:paraId="74FACCF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支持病历章节收缩功能。允许医生将不重要的章节内容收起，方便聚焦关键内容。</w:t>
      </w:r>
    </w:p>
    <w:p w14:paraId="7A201C9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1"/>
        </w:rPr>
      </w:pPr>
      <w:r>
        <w:rPr>
          <w:rFonts w:hint="default" w:ascii="Arial" w:hAnsi="Arial" w:cs="Arial"/>
          <w:color w:val="auto"/>
          <w:sz w:val="24"/>
          <w:szCs w:val="24"/>
        </w:rPr>
        <w:t>√</w:t>
      </w:r>
      <w:r>
        <w:rPr>
          <w:color w:val="auto"/>
          <w:spacing w:val="-2"/>
        </w:rPr>
        <w:t>病历打印与导出：提供门诊病历打印，提供诊室、服务台、自助机等多种</w:t>
      </w:r>
      <w:r>
        <w:rPr>
          <w:color w:val="auto"/>
        </w:rPr>
        <w:t>打印方式，支持选择近 3</w:t>
      </w:r>
      <w:r>
        <w:rPr>
          <w:color w:val="auto"/>
          <w:spacing w:val="-1"/>
        </w:rPr>
        <w:t xml:space="preserve"> 个月、半年内、一年内的病历进行批量打印。</w:t>
      </w:r>
    </w:p>
    <w:p w14:paraId="7891914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eastAsia" w:ascii="冬青黑体简体中文" w:hAnsi="冬青黑体简体中文" w:eastAsia="冬青黑体简体中文" w:cs="冬青黑体简体中文"/>
          <w:color w:val="auto"/>
          <w:spacing w:val="-1"/>
        </w:rPr>
        <w:t>★</w:t>
      </w:r>
      <w:r>
        <w:rPr>
          <w:color w:val="auto"/>
          <w:spacing w:val="-1"/>
        </w:rPr>
        <w:t>支持门</w:t>
      </w:r>
      <w:r>
        <w:rPr>
          <w:color w:val="auto"/>
          <w:spacing w:val="-2"/>
        </w:rPr>
        <w:t>诊病历的分离打印，书写格式和打印格式要分离。需要在病历书写格式中保持单选按钮、复选框、表格等多种结构化编辑，在打印时自动输出成自然语言文本，并且只打印必要内容。</w:t>
      </w:r>
    </w:p>
    <w:p w14:paraId="4B9BF77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eastAsia" w:ascii="冬青黑体简体中文" w:hAnsi="冬青黑体简体中文" w:eastAsia="冬青黑体简体中文" w:cs="冬青黑体简体中文"/>
          <w:color w:val="auto"/>
        </w:rPr>
        <w:t>★</w:t>
      </w:r>
      <w:r>
        <w:rPr>
          <w:rFonts w:hint="eastAsia"/>
          <w:color w:val="auto"/>
        </w:rPr>
        <w:t>支持门诊病历的提交和退回审批流程，即已经打印的病历会自动提交并锁定。医生如果要修改需要先退回申请，由主管部门审批通过才允许修改。24小时内未打印的病历无需审批，会自动退回。</w:t>
      </w:r>
    </w:p>
    <w:p w14:paraId="2FC11DB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60" w:firstLine="479"/>
        <w:jc w:val="both"/>
        <w:textAlignment w:val="auto"/>
        <w:rPr>
          <w:color w:val="auto"/>
        </w:rPr>
      </w:pPr>
      <w:r>
        <w:rPr>
          <w:rFonts w:hint="default" w:ascii="Arial" w:hAnsi="Arial" w:cs="Arial"/>
          <w:color w:val="auto"/>
          <w:sz w:val="24"/>
          <w:szCs w:val="24"/>
        </w:rPr>
        <w:t>√</w:t>
      </w:r>
      <w:r>
        <w:rPr>
          <w:color w:val="auto"/>
          <w:spacing w:val="-10"/>
        </w:rPr>
        <w:t xml:space="preserve">对接 </w:t>
      </w:r>
      <w:r>
        <w:rPr>
          <w:color w:val="auto"/>
        </w:rPr>
        <w:t>CA</w:t>
      </w:r>
      <w:r>
        <w:rPr>
          <w:color w:val="auto"/>
          <w:spacing w:val="-8"/>
        </w:rPr>
        <w:t xml:space="preserve"> 签名：门诊病历支持对接三方 </w:t>
      </w:r>
      <w:r>
        <w:rPr>
          <w:color w:val="auto"/>
        </w:rPr>
        <w:t>CA</w:t>
      </w:r>
      <w:r>
        <w:rPr>
          <w:color w:val="auto"/>
          <w:spacing w:val="-6"/>
        </w:rPr>
        <w:t xml:space="preserve"> 签名，医生和患者签名形式根据</w:t>
      </w:r>
      <w:r>
        <w:rPr>
          <w:color w:val="auto"/>
        </w:rPr>
        <w:t xml:space="preserve"> CA</w:t>
      </w:r>
      <w:r>
        <w:rPr>
          <w:color w:val="auto"/>
          <w:spacing w:val="-8"/>
        </w:rPr>
        <w:t xml:space="preserve"> 要求提供，比如医护端的扫码签名、</w:t>
      </w:r>
      <w:r>
        <w:rPr>
          <w:color w:val="auto"/>
        </w:rPr>
        <w:t>UKEY</w:t>
      </w:r>
      <w:r>
        <w:rPr>
          <w:color w:val="auto"/>
          <w:spacing w:val="-9"/>
        </w:rPr>
        <w:t xml:space="preserve"> 签名，患者端的手写板签名、移动</w:t>
      </w:r>
      <w:r>
        <w:rPr>
          <w:color w:val="auto"/>
          <w:spacing w:val="-3"/>
        </w:rPr>
        <w:t>签名等。</w:t>
      </w:r>
    </w:p>
    <w:p w14:paraId="6998A094">
      <w:pPr>
        <w:pStyle w:val="24"/>
        <w:keepNext w:val="0"/>
        <w:keepLines w:val="0"/>
        <w:pageBreakBefore w:val="0"/>
        <w:widowControl w:val="0"/>
        <w:numPr>
          <w:ilvl w:val="0"/>
          <w:numId w:val="14"/>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门/急诊病历模板</w:t>
      </w:r>
    </w:p>
    <w:p w14:paraId="31DD77C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60" w:firstLine="479"/>
        <w:jc w:val="both"/>
        <w:textAlignment w:val="auto"/>
        <w:rPr>
          <w:color w:val="auto"/>
          <w:spacing w:val="-10"/>
        </w:rPr>
      </w:pPr>
      <w:r>
        <w:rPr>
          <w:rFonts w:hint="default" w:ascii="Arial" w:hAnsi="Arial" w:cs="Arial"/>
          <w:color w:val="auto"/>
          <w:sz w:val="24"/>
          <w:szCs w:val="24"/>
        </w:rPr>
        <w:t>√</w:t>
      </w:r>
      <w:r>
        <w:rPr>
          <w:color w:val="auto"/>
          <w:spacing w:val="-10"/>
        </w:rPr>
        <w:t>系统需内置一套门/急诊病历模板，同时也支持模板自定义，支持公共级模 板、科室级模板以及医生的个人模板。创建模板时默认科室模板，也支持医生 选择全院模板或者其他科室模板。提供章节模板引用，医生根据不同的病种快 速引用章节小模板，章节内容显示该病种的相关信息。提供医生在病历书写时，对个人常用语、常用模板进行收藏或导出的功能，便于类似病人或者病种的病 历书写时引入。提供病历模板编辑及管理功能。在门诊操作过程中，支持模版 收藏功能管理，按照收藏类别可分为医嘱模版收藏、常用诊断收藏、就诊模版 收藏、门诊病历常用短语收藏。</w:t>
      </w:r>
    </w:p>
    <w:p w14:paraId="51A3268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color w:val="auto"/>
          <w:sz w:val="24"/>
          <w:szCs w:val="24"/>
        </w:rPr>
      </w:pPr>
      <w:r>
        <w:rPr>
          <w:rFonts w:hint="eastAsia" w:ascii="冬青黑体简体中文" w:hAnsi="冬青黑体简体中文" w:eastAsia="冬青黑体简体中文" w:cs="冬青黑体简体中文"/>
          <w:color w:val="auto"/>
          <w:sz w:val="24"/>
          <w:szCs w:val="24"/>
        </w:rPr>
        <w:t>★</w:t>
      </w:r>
      <w:r>
        <w:rPr>
          <w:rFonts w:hint="eastAsia"/>
          <w:color w:val="auto"/>
          <w:sz w:val="24"/>
          <w:szCs w:val="24"/>
        </w:rPr>
        <w:t>实现全院格式模板的统一管理，个人数据模板继承自全院格式模板并受母板管控，修改母板后所有相关模板能自动更新，包括增删改文本、元素、表格等操作。</w:t>
      </w:r>
    </w:p>
    <w:p w14:paraId="00716F23">
      <w:pPr>
        <w:pStyle w:val="24"/>
        <w:keepNext w:val="0"/>
        <w:keepLines w:val="0"/>
        <w:pageBreakBefore w:val="0"/>
        <w:widowControl w:val="0"/>
        <w:numPr>
          <w:ilvl w:val="0"/>
          <w:numId w:val="14"/>
        </w:numPr>
        <w:tabs>
          <w:tab w:val="left" w:pos="1302"/>
        </w:tabs>
        <w:kinsoku/>
        <w:wordWrap/>
        <w:overflowPunct/>
        <w:topLinePunct w:val="0"/>
        <w:autoSpaceDE w:val="0"/>
        <w:autoSpaceDN w:val="0"/>
        <w:bidi w:val="0"/>
        <w:adjustRightInd/>
        <w:snapToGrid/>
        <w:spacing w:before="0" w:line="360" w:lineRule="auto"/>
        <w:ind w:left="700" w:right="5544" w:firstLine="0"/>
        <w:textAlignment w:val="auto"/>
        <w:rPr>
          <w:color w:val="auto"/>
          <w:sz w:val="24"/>
        </w:rPr>
      </w:pPr>
      <w:r>
        <w:rPr>
          <w:color w:val="auto"/>
          <w:spacing w:val="-2"/>
          <w:sz w:val="24"/>
        </w:rPr>
        <w:t>门诊专科电子病历</w:t>
      </w:r>
    </w:p>
    <w:p w14:paraId="6F161937">
      <w:pPr>
        <w:pStyle w:val="24"/>
        <w:keepNext w:val="0"/>
        <w:keepLines w:val="0"/>
        <w:pageBreakBefore w:val="0"/>
        <w:widowControl w:val="0"/>
        <w:numPr>
          <w:ilvl w:val="0"/>
          <w:numId w:val="0"/>
        </w:numPr>
        <w:tabs>
          <w:tab w:val="left" w:pos="1302"/>
        </w:tabs>
        <w:kinsoku/>
        <w:wordWrap/>
        <w:overflowPunct/>
        <w:topLinePunct w:val="0"/>
        <w:autoSpaceDE w:val="0"/>
        <w:autoSpaceDN w:val="0"/>
        <w:bidi w:val="0"/>
        <w:adjustRightInd/>
        <w:snapToGrid/>
        <w:spacing w:before="0" w:line="360" w:lineRule="auto"/>
        <w:ind w:left="700" w:leftChars="0" w:right="5544" w:rightChars="0"/>
        <w:textAlignment w:val="auto"/>
        <w:rPr>
          <w:color w:val="auto"/>
          <w:sz w:val="24"/>
        </w:rPr>
      </w:pPr>
      <w:r>
        <w:rPr>
          <w:rFonts w:hint="default" w:ascii="Arial" w:hAnsi="Arial" w:cs="Arial"/>
          <w:color w:val="auto"/>
          <w:sz w:val="24"/>
          <w:szCs w:val="24"/>
        </w:rPr>
        <w:t>√</w:t>
      </w:r>
      <w:r>
        <w:rPr>
          <w:color w:val="auto"/>
          <w:spacing w:val="-1"/>
          <w:sz w:val="24"/>
        </w:rPr>
        <w:t>提供门诊专科特色模块。</w:t>
      </w:r>
    </w:p>
    <w:p w14:paraId="4AB61B4C">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急诊预检分诊系</w:t>
      </w:r>
      <w:r>
        <w:rPr>
          <w:b/>
          <w:color w:val="auto"/>
          <w:spacing w:val="-10"/>
          <w:sz w:val="24"/>
        </w:rPr>
        <w:t>统</w:t>
      </w:r>
    </w:p>
    <w:p w14:paraId="41B61F13">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患者信息登记、患者检伤分级、患者分诊、分诊工作量统计</w:t>
      </w:r>
    </w:p>
    <w:p w14:paraId="5A120D82">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急诊护理工</w:t>
      </w:r>
      <w:r>
        <w:rPr>
          <w:b/>
          <w:color w:val="auto"/>
          <w:spacing w:val="-6"/>
          <w:sz w:val="24"/>
        </w:rPr>
        <w:t>作站</w:t>
      </w:r>
    </w:p>
    <w:p w14:paraId="6C9AD75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z w:val="24"/>
          <w:szCs w:val="24"/>
        </w:rPr>
        <w:t>√</w:t>
      </w:r>
      <w:r>
        <w:rPr>
          <w:color w:val="auto"/>
          <w:spacing w:val="-2"/>
        </w:rPr>
        <w:t>对急诊病人进行集中管理，可对急诊（濒危）危重病人进行快速体征记录、护理评估、医嘱执行、费用处理、完成护理记录等。</w:t>
      </w:r>
    </w:p>
    <w:p w14:paraId="2609DAC0">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留观医护工</w:t>
      </w:r>
      <w:r>
        <w:rPr>
          <w:b/>
          <w:color w:val="auto"/>
          <w:spacing w:val="-6"/>
          <w:sz w:val="24"/>
        </w:rPr>
        <w:t>作站</w:t>
      </w:r>
    </w:p>
    <w:p w14:paraId="0DFF3C9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留观登记与床位管理、电子医嘱开立、病历书写、病情评估、留观转归记</w:t>
      </w:r>
    </w:p>
    <w:p w14:paraId="70DA0BFF">
      <w:pPr>
        <w:pStyle w:val="4"/>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color w:val="auto"/>
        </w:rPr>
      </w:pPr>
      <w:r>
        <w:rPr>
          <w:color w:val="auto"/>
        </w:rPr>
        <w:t>录</w:t>
      </w:r>
    </w:p>
    <w:p w14:paraId="78DEED35">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住院医生工</w:t>
      </w:r>
      <w:r>
        <w:rPr>
          <w:b/>
          <w:color w:val="auto"/>
          <w:spacing w:val="-6"/>
          <w:sz w:val="24"/>
        </w:rPr>
        <w:t>作站</w:t>
      </w:r>
    </w:p>
    <w:p w14:paraId="4D18590D">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住院医生工作站</w:t>
      </w:r>
    </w:p>
    <w:p w14:paraId="128DE1B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优化完善住院医嘱、检验、检查、输血、手术等的闭环管理能力，能够实</w:t>
      </w:r>
    </w:p>
    <w:p w14:paraId="2B5FCEF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5"/>
        <w:textAlignment w:val="auto"/>
        <w:rPr>
          <w:color w:val="auto"/>
        </w:rPr>
      </w:pPr>
      <w:r>
        <w:rPr>
          <w:color w:val="auto"/>
          <w:spacing w:val="-2"/>
        </w:rPr>
        <w:t>时掌握医嘱执行各环节的状态，形成完整的检验闭环，可随时查看标本状态、</w:t>
      </w:r>
      <w:r>
        <w:rPr>
          <w:color w:val="auto"/>
          <w:spacing w:val="80"/>
          <w:w w:val="150"/>
        </w:rPr>
        <w:t xml:space="preserve"> </w:t>
      </w:r>
      <w:r>
        <w:rPr>
          <w:color w:val="auto"/>
          <w:spacing w:val="-2"/>
        </w:rPr>
        <w:t>检验进程状态，对于危急检验结果，能够主动通知（如系统弹窗）医师、护士。</w:t>
      </w:r>
    </w:p>
    <w:p w14:paraId="0F11C97C">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主页管理</w:t>
      </w:r>
    </w:p>
    <w:p w14:paraId="7E489C9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rPr>
      </w:pPr>
      <w:r>
        <w:rPr>
          <w:rFonts w:hint="default" w:ascii="Arial" w:hAnsi="Arial" w:cs="Arial"/>
          <w:color w:val="auto"/>
          <w:spacing w:val="-2"/>
        </w:rPr>
        <w:t>√</w:t>
      </w:r>
      <w:r>
        <w:rPr>
          <w:color w:val="auto"/>
          <w:spacing w:val="-2"/>
        </w:rPr>
        <w:t>今日病人：根据医生今日病人管理，为医生提供病人主页内容。通过后台配置化操作提供医生今日病人列表，包括“科室今日入院病人、今日出院病人、今日手术病人”等信息。流转处理：提供系统病人流转业务处理，将业务流转病人处理事项进行集</w:t>
      </w:r>
      <w:r>
        <w:rPr>
          <w:color w:val="auto"/>
          <w:spacing w:val="-1"/>
        </w:rPr>
        <w:t>成，内容包括：会诊管理、手术管理、他科治疗管理等。例如在会诊管理中，</w:t>
      </w:r>
      <w:r>
        <w:rPr>
          <w:color w:val="auto"/>
          <w:spacing w:val="-2"/>
        </w:rPr>
        <w:t>能第一时间接收到会诊消息，且能及时查看到病人详情和病历等资料，系统应能提供快速显示界面，提供医生查询，并且具有独立会诊患者列表，能显示会诊的紧急情况，医生可快速查看资料，在会诊消息界面书写会诊意见，会诊单书写完毕后会自动生成在电子病历会诊记录中。日常业务处理：基于后台配置化主页内容，将医生日常业务交互工作集成</w:t>
      </w:r>
      <w:r>
        <w:rPr>
          <w:color w:val="auto"/>
          <w:spacing w:val="80"/>
          <w:w w:val="150"/>
        </w:rPr>
        <w:t xml:space="preserve"> </w:t>
      </w:r>
      <w:r>
        <w:rPr>
          <w:color w:val="auto"/>
          <w:spacing w:val="-2"/>
        </w:rPr>
        <w:t>至主页，方便集中查看处理及统计。集成内容可由后台进行界面配置管理，内</w:t>
      </w:r>
      <w:r>
        <w:rPr>
          <w:color w:val="auto"/>
          <w:spacing w:val="80"/>
          <w:w w:val="150"/>
        </w:rPr>
        <w:t xml:space="preserve"> </w:t>
      </w:r>
      <w:r>
        <w:rPr>
          <w:color w:val="auto"/>
          <w:spacing w:val="-2"/>
        </w:rPr>
        <w:t>容包含且不限于：与护士站信息流转的问题医嘱处理、今日转入转出病人提示、基于业务权限所管辖的待审批申请、与事后处方管理对接的医嘱点评等内容。</w:t>
      </w:r>
    </w:p>
    <w:p w14:paraId="4457FACB">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患者信息列表</w:t>
      </w:r>
    </w:p>
    <w:p w14:paraId="0B9823F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color w:val="auto"/>
        </w:rPr>
      </w:pPr>
      <w:r>
        <w:rPr>
          <w:rFonts w:hint="default" w:ascii="Arial" w:hAnsi="Arial" w:cs="Arial"/>
          <w:color w:val="auto"/>
          <w:sz w:val="24"/>
          <w:szCs w:val="24"/>
        </w:rPr>
        <w:t>√</w:t>
      </w:r>
      <w:r>
        <w:rPr>
          <w:color w:val="auto"/>
          <w:spacing w:val="-2"/>
        </w:rPr>
        <w:t>系统为医护人员提供科室在院、出院及全部患者列表。界面中较为全面地显示患者信息，其中包括患者姓名、年龄、床号、住院号码、护理等级、主治医师、入院日期、诊断信息、临床路径患者、问题医嘱信息、质控消息、欠费患者、医院感染、待手术、手术后以及抗菌药物应用等信息并可通过这些信息定位或过滤病例。以列表、床头卡、简卡形式对患者信息进行管理，支持在界面中展示患者基本信息、床位基本信息和实时状态跟踪，并通过图形化形式提供临床路径病人、重点病人、手术病人、欠费、护理等级、过敏信息等可配置的患者标识。提供病人检索管理，系统支持通过各种形式对病人进行筛选处理，如根据患者床号、病案号、姓名等条件快速定位患者；根据科室、诊疗组、我手术患者等条件快速筛选患者；根据已转科、已出院、已归档等类别，对患者快速分类、过滤显示；根据病人护理等级及危重情况的标注与快速筛选。提供快捷病人详卡展示操作，点击病人姓名，即可展示病人详细信息，并</w:t>
      </w:r>
      <w:r>
        <w:rPr>
          <w:color w:val="auto"/>
          <w:spacing w:val="-1"/>
        </w:rPr>
        <w:t xml:space="preserve">在界面中对标电子病历评审要求，集成 </w:t>
      </w:r>
      <w:r>
        <w:rPr>
          <w:color w:val="auto"/>
        </w:rPr>
        <w:t>360 集成视图，展现病人全过程诊疗记</w:t>
      </w:r>
      <w:r>
        <w:rPr>
          <w:color w:val="auto"/>
          <w:spacing w:val="-6"/>
        </w:rPr>
        <w:t>录。</w:t>
      </w:r>
    </w:p>
    <w:p w14:paraId="2EDC3180">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医生查房</w:t>
      </w:r>
    </w:p>
    <w:p w14:paraId="1C8C3A0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color w:val="auto"/>
        </w:rPr>
      </w:pPr>
      <w:r>
        <w:rPr>
          <w:rFonts w:hint="default" w:ascii="Arial" w:hAnsi="Arial" w:cs="Arial"/>
          <w:color w:val="auto"/>
          <w:sz w:val="24"/>
          <w:szCs w:val="24"/>
        </w:rPr>
        <w:t>√</w:t>
      </w:r>
      <w:r>
        <w:rPr>
          <w:color w:val="auto"/>
          <w:spacing w:val="-2"/>
        </w:rPr>
        <w:t xml:space="preserve">系统提供患者资料综合查阅功能，包括患者既往病史、体温单、体征记录、护理记录、病案首页、病历索引、病情变化、过敏药物、诊断资料、手术资料、 </w:t>
      </w:r>
      <w:r>
        <w:rPr>
          <w:color w:val="auto"/>
        </w:rPr>
        <w:t>APACHE</w:t>
      </w:r>
      <w:r>
        <w:rPr>
          <w:color w:val="auto"/>
          <w:spacing w:val="-7"/>
        </w:rPr>
        <w:t xml:space="preserve"> 评分、单病种质控、多重耐药实施记录等内容。</w:t>
      </w:r>
    </w:p>
    <w:p w14:paraId="0C8BBBE8">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诊断管理</w:t>
      </w:r>
    </w:p>
    <w:p w14:paraId="6EDEC68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z w:val="24"/>
          <w:szCs w:val="24"/>
        </w:rPr>
      </w:pPr>
      <w:r>
        <w:rPr>
          <w:rFonts w:hint="default" w:ascii="Arial" w:hAnsi="Arial" w:cs="Arial"/>
          <w:color w:val="auto"/>
          <w:spacing w:val="-2"/>
        </w:rPr>
        <w:t>√</w:t>
      </w:r>
      <w:r>
        <w:rPr>
          <w:rFonts w:hint="default" w:ascii="Arial" w:hAnsi="Arial" w:cs="Arial"/>
          <w:color w:val="auto"/>
          <w:sz w:val="24"/>
          <w:szCs w:val="24"/>
        </w:rPr>
        <w:t>住院诊断提供对病人诊断进行集中管理的模式。在同一界面中提供初步诊断、入院诊断、修正诊断、补充诊断、出院诊断等多种诊断过程管理功能。并支持住院诊断规范化管理，对标 ICD-10 标准编码及自定义临床诊断名称描述</w:t>
      </w:r>
      <w:r>
        <w:rPr>
          <w:rFonts w:hint="eastAsia" w:ascii="Arial" w:hAnsi="Arial" w:cs="Arial"/>
          <w:color w:val="auto"/>
          <w:sz w:val="24"/>
          <w:szCs w:val="24"/>
          <w:lang w:eastAsia="zh-CN"/>
        </w:rPr>
        <w:t>。</w:t>
      </w:r>
      <w:r>
        <w:rPr>
          <w:rFonts w:hint="default" w:ascii="Arial" w:hAnsi="Arial" w:cs="Arial"/>
          <w:color w:val="auto"/>
          <w:sz w:val="24"/>
          <w:szCs w:val="24"/>
        </w:rPr>
        <w:t>通过诊断中对主诊断、副诊断的关联，将传染病报卡、临床路径与诊断关联，实现诊断下达的同时实现传染病登记及临床路径导入功能。并支持诊断与病历信息对接，实现诊断录入完成后病历诊断数据自动导入。临床路径操作：支持对患者临床路径的进行执行监控、叠加路径、转换路径等操作并能按照国家上传临床路径相关要求提取数据。</w:t>
      </w:r>
    </w:p>
    <w:p w14:paraId="2D6E89A6">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电子医嘱</w:t>
      </w:r>
    </w:p>
    <w:p w14:paraId="02A2EFA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pacing w:val="-2"/>
        </w:rPr>
      </w:pPr>
      <w:r>
        <w:rPr>
          <w:rFonts w:hint="eastAsia" w:ascii="Arial" w:hAnsi="Arial" w:cs="Arial"/>
          <w:color w:val="auto"/>
          <w:spacing w:val="-2"/>
        </w:rPr>
        <w:t>▲</w:t>
      </w:r>
      <w:r>
        <w:rPr>
          <w:rFonts w:hint="default" w:ascii="Arial" w:hAnsi="Arial" w:cs="Arial"/>
          <w:color w:val="auto"/>
          <w:spacing w:val="-2"/>
        </w:rPr>
        <w:t>具备电子医嘱功能，支持医嘱的下达并提供医嘱作废、停嘱等功能，医嘱类型包括药品医嘱、诊疗医嘱、嘱托等多种形式。</w:t>
      </w:r>
    </w:p>
    <w:p w14:paraId="725D43C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pacing w:val="-2"/>
        </w:rPr>
      </w:pPr>
      <w:r>
        <w:rPr>
          <w:rFonts w:hint="default" w:ascii="Arial" w:hAnsi="Arial" w:cs="Arial"/>
          <w:color w:val="auto"/>
          <w:spacing w:val="-2"/>
        </w:rPr>
        <w:t>√医嘱信息由护士复核、提交、执行，对于退回的医嘱，系统支持对退回原因的归纳、统计分析，提高医嘱质量。提供住院医嘱录入模式功能。提供西成药、草药、检查、检验、手术、护理、文字等医嘱集中录入功能，支持分类前缀实现自动分类输入，打破医嘱和申请单分离录入模式。支持以临床为核心的专业医疗单开单模式，提供单一西成药医疗单、成组西成药医疗单、草药医疗单、检验医疗单、检查医疗单、护理医疗单、手术医疗单等模式。支持专科医疗单定制。并在医疗单中支持开立长期、临时、急诊、出院带药等药品医嘱功能。除单医嘱录入形式外，系统支持检查、检验、病理项目的集中开单，根据检验类别、检验类型、标本类型、检查类别、检查部位等进行项目选择。提供住院医嘱规范管理。提供医嘱录入和管理功能，实现医嘱的开立、删除、签署、停嘱、作废、打印等功能。并在业务逻辑上支持医药分离模式，医生按通用名(服务项目)开立医嘱，在商品绑定时机再指定到具体药品。支持药品医嘱首日时点。支持药品医嘱的首日时点和剂量的自定义。针对住院药品医嘱，支持开立医嘱时自定义首日时点，支持自定义首日用药剂量和长期医嘱剂量。支持自定义药品剂量功能，例如对于胰岛素，支持早中晚不同剂量自定义剂量录入。支持住院医嘱质量安全性监管。提供已开医嘱的集中预览和补充修改功能，支持图表化展现，利用图标完美呈现医嘱执行、皮试、审核、报告等状态，可  按医嘱类型（如全部、药品、检验、检查、手术、护理等）、医嘱状态（如开  立、签署、有效医嘱、结束等）和开单科室进行医嘱类别的筛选查看与管理。  并在医嘱用药安全性上支持临床知识库、临床决策、合理用药、处方点评等系  统接口，根据就诊诊断、检查、检验结果审查医嘱安全性，并支持智能推荐治  疗方案。系统还应基于电子病历评审规范，在医嘱中内嵌式的增加医嘱闭环管  理，提供医嘱权限功能。系统基于国家相关规定提供抗菌药物、精神毒麻等特殊药品医嘱的开立权限控制。</w:t>
      </w:r>
    </w:p>
    <w:p w14:paraId="1DB68F0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pacing w:val="-2"/>
        </w:rPr>
      </w:pPr>
      <w:r>
        <w:rPr>
          <w:rFonts w:hint="default" w:ascii="Arial" w:hAnsi="Arial" w:cs="Arial"/>
          <w:color w:val="auto"/>
          <w:spacing w:val="-2"/>
        </w:rPr>
        <w:t>√支持智能化判断医嘱类型，通过不同医疗单形式完善医嘱详细内容。如在开 CT 单时，对普通 CT 单，医疗单包含 CT 部位选择内容；但对有明确定位的 CT 单，如 CT 甲状腺平扫+增强，无需选择部位。支持住院医嘱助手录入。住院医生站提供医嘱助手功能，快速实现临床医嘱的快速开立。在医嘱助手中，支持医嘱模板、患者历史医嘱、高频检查、高频药品、高频处置、常用个嘱引用，为医生医嘱录入提供便利。</w:t>
      </w:r>
    </w:p>
    <w:p w14:paraId="32013C6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eastAsia" w:ascii="Arial" w:hAnsi="Arial" w:cs="Arial"/>
          <w:color w:val="auto"/>
          <w:spacing w:val="-2"/>
          <w:lang w:eastAsia="zh-CN"/>
        </w:rPr>
      </w:pPr>
      <w:r>
        <w:rPr>
          <w:rFonts w:hint="eastAsia" w:ascii="Arial" w:hAnsi="Arial" w:cs="Arial"/>
          <w:color w:val="auto"/>
          <w:spacing w:val="-2"/>
        </w:rPr>
        <w:t>★支持医嘱文书联动功能。医生开特检、特药医嘱时自动生成患者同意书，删除医嘱时自动删除对应的病历文书</w:t>
      </w:r>
      <w:r>
        <w:rPr>
          <w:rFonts w:hint="eastAsia" w:ascii="Arial" w:hAnsi="Arial" w:cs="Arial"/>
          <w:color w:val="auto"/>
          <w:spacing w:val="-2"/>
          <w:lang w:eastAsia="zh-CN"/>
        </w:rPr>
        <w:t>。</w:t>
      </w:r>
    </w:p>
    <w:p w14:paraId="14CBD82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pacing w:val="-2"/>
        </w:rPr>
      </w:pPr>
      <w:r>
        <w:rPr>
          <w:rFonts w:hint="default" w:ascii="Arial" w:hAnsi="Arial" w:cs="Arial"/>
          <w:color w:val="auto"/>
          <w:spacing w:val="-2"/>
        </w:rPr>
        <w:t>√支持住院医嘱智能记费。支持医嘱费用处理智能化，检查项目按部位自动 加收费用，检验项目按指标自动加收费用，会诊费用按会诊个数自动加收等等，且支持医嘱附加项目自动关联，允许人工补充修改。支持医技集中开单。支持各类别的医技集中开单模式。例如检查、检验集中开单，在该模式下，根据医生所需医技项目对同类别医嘱集中展示，方便医生开单处理。支持检查医嘱关联收费。支持在开立检查医嘱时，自动生成关联医技用药及其他收费项目，并在检查申请单的同一界面显示，支持医生自定义添加其他收费项目，确认后生成到医嘱列表中，同时可以在住院医生站界面同屏查看。支持住院医嘱精细化管理。支持医嘱精细化管理。通过长期药品医嘱医疗单，根据当前时间、给药频次、停止时间，实现首（末）日时点自动勾选，并支持时点和不同时点用药剂量的调整。支持住院医嘱数据集成。支持检查、检验等医疗单自动获取患者病情摘要</w:t>
      </w:r>
    </w:p>
    <w:p w14:paraId="3BB3638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jc w:val="both"/>
        <w:textAlignment w:val="auto"/>
        <w:rPr>
          <w:rFonts w:hint="default" w:ascii="Arial" w:hAnsi="Arial" w:cs="Arial"/>
          <w:color w:val="auto"/>
          <w:spacing w:val="-2"/>
        </w:rPr>
      </w:pPr>
      <w:r>
        <w:rPr>
          <w:rFonts w:hint="default" w:ascii="Arial" w:hAnsi="Arial" w:cs="Arial"/>
          <w:color w:val="auto"/>
          <w:spacing w:val="-2"/>
        </w:rPr>
        <w:t>√信息和患者诊断</w:t>
      </w:r>
      <w:r>
        <w:rPr>
          <w:rFonts w:hint="eastAsia" w:ascii="Arial" w:hAnsi="Arial" w:cs="Arial"/>
          <w:color w:val="auto"/>
          <w:spacing w:val="-2"/>
          <w:lang w:eastAsia="zh-CN"/>
        </w:rPr>
        <w:t>：</w:t>
      </w:r>
      <w:r>
        <w:rPr>
          <w:rFonts w:hint="default" w:ascii="Arial" w:hAnsi="Arial" w:cs="Arial"/>
          <w:color w:val="auto"/>
          <w:spacing w:val="-2"/>
        </w:rPr>
        <w:t>支持住院医嘱打印管理。提供医嘱的打印功能，能够根据医院现有的医嘱单样式，定制打印模版，直接进行医嘱的打印、医生签名即可。提供长期、临时医嘱打印，可以实现开嘱打印和停嘱打印，打印方式支持续打、按页打、制定行打印、重整打印、重整清空等方式。支持一体化医嘱闭环查看。支持一体化医嘱闭环查看，针对住院患者的药 品等医嘱，可以查询医嘱闭环及医嘱执行计划的闭环状态，包括医嘱的状态、 执行科室、执行人、执行时间等信息，并支持跟踪每一条医嘱计划的闭环信息。</w:t>
      </w:r>
    </w:p>
    <w:p w14:paraId="2F5A420E">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电子申请单</w:t>
      </w:r>
    </w:p>
    <w:p w14:paraId="57B94CA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具备电子申请单功能，包括检验、检查、治疗、输血、手术、会诊等项目；具备查阅相应检验检查报告的功能等。</w:t>
      </w:r>
    </w:p>
    <w:p w14:paraId="245F3EB9">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left="700" w:right="6504" w:firstLine="0"/>
        <w:textAlignment w:val="auto"/>
        <w:rPr>
          <w:color w:val="auto"/>
          <w:sz w:val="24"/>
        </w:rPr>
      </w:pPr>
      <w:r>
        <w:rPr>
          <w:color w:val="auto"/>
          <w:spacing w:val="-4"/>
          <w:sz w:val="24"/>
        </w:rPr>
        <w:t>提醒功能</w:t>
      </w:r>
    </w:p>
    <w:p w14:paraId="44782D71">
      <w:pPr>
        <w:pStyle w:val="24"/>
        <w:keepNext w:val="0"/>
        <w:keepLines w:val="0"/>
        <w:pageBreakBefore w:val="0"/>
        <w:widowControl w:val="0"/>
        <w:numPr>
          <w:ilvl w:val="0"/>
          <w:numId w:val="0"/>
        </w:numPr>
        <w:tabs>
          <w:tab w:val="left" w:pos="1302"/>
        </w:tabs>
        <w:kinsoku/>
        <w:wordWrap/>
        <w:overflowPunct/>
        <w:topLinePunct w:val="0"/>
        <w:autoSpaceDE w:val="0"/>
        <w:autoSpaceDN w:val="0"/>
        <w:bidi w:val="0"/>
        <w:adjustRightInd/>
        <w:snapToGrid/>
        <w:spacing w:before="0" w:line="360" w:lineRule="auto"/>
        <w:ind w:left="700" w:leftChars="0" w:right="6504" w:rightChars="0"/>
        <w:textAlignment w:val="auto"/>
        <w:rPr>
          <w:color w:val="auto"/>
          <w:sz w:val="24"/>
        </w:rPr>
      </w:pPr>
      <w:r>
        <w:rPr>
          <w:rFonts w:hint="default" w:ascii="Arial" w:hAnsi="Arial" w:cs="Arial"/>
          <w:color w:val="auto"/>
          <w:sz w:val="24"/>
          <w:szCs w:val="24"/>
        </w:rPr>
        <w:t>√</w:t>
      </w:r>
      <w:r>
        <w:rPr>
          <w:color w:val="auto"/>
          <w:spacing w:val="-2"/>
          <w:sz w:val="24"/>
        </w:rPr>
        <w:t>具备提醒功能。</w:t>
      </w:r>
    </w:p>
    <w:p w14:paraId="3884EC03">
      <w:pPr>
        <w:pStyle w:val="24"/>
        <w:keepNext w:val="0"/>
        <w:keepLines w:val="0"/>
        <w:pageBreakBefore w:val="0"/>
        <w:widowControl w:val="0"/>
        <w:numPr>
          <w:ilvl w:val="0"/>
          <w:numId w:val="15"/>
        </w:numPr>
        <w:tabs>
          <w:tab w:val="left" w:pos="1302"/>
        </w:tabs>
        <w:kinsoku/>
        <w:wordWrap/>
        <w:overflowPunct/>
        <w:topLinePunct w:val="0"/>
        <w:autoSpaceDE w:val="0"/>
        <w:autoSpaceDN w:val="0"/>
        <w:bidi w:val="0"/>
        <w:adjustRightInd/>
        <w:snapToGrid/>
        <w:spacing w:before="0" w:line="360" w:lineRule="auto"/>
        <w:ind w:left="700" w:right="5184" w:firstLine="0"/>
        <w:textAlignment w:val="auto"/>
        <w:rPr>
          <w:color w:val="auto"/>
          <w:sz w:val="24"/>
        </w:rPr>
      </w:pPr>
      <w:r>
        <w:rPr>
          <w:color w:val="auto"/>
          <w:spacing w:val="-2"/>
          <w:sz w:val="24"/>
        </w:rPr>
        <w:t>住院诊疗不良事件上报</w:t>
      </w:r>
      <w:r>
        <w:rPr>
          <w:rFonts w:hint="default" w:ascii="Arial" w:hAnsi="Arial" w:cs="Arial"/>
          <w:color w:val="auto"/>
          <w:sz w:val="24"/>
          <w:szCs w:val="24"/>
        </w:rPr>
        <w:t>√</w:t>
      </w:r>
      <w:r>
        <w:rPr>
          <w:color w:val="auto"/>
          <w:spacing w:val="-2"/>
          <w:sz w:val="24"/>
        </w:rPr>
        <w:t>具备不良事件上报功能。</w:t>
      </w:r>
    </w:p>
    <w:p w14:paraId="5F606189">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日常业务服务</w:t>
      </w:r>
    </w:p>
    <w:p w14:paraId="2278D2D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包括患者入院处理、待完成事项、危急值管理、质控消息提醒查询、出院处理、批量打印出院患者病历等业务。</w:t>
      </w:r>
    </w:p>
    <w:p w14:paraId="7663444D">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图片和特殊符号引用</w:t>
      </w:r>
    </w:p>
    <w:p w14:paraId="2E3E068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书写病历时可以直接加入各种所需要的图片，并且可以对图片进行编辑。加入了多种特殊符号与格式的处理。</w:t>
      </w:r>
    </w:p>
    <w:p w14:paraId="0F03FE8D">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病历内容引用</w:t>
      </w:r>
    </w:p>
    <w:p w14:paraId="3B9F4572">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病历书写中实现患者以前记录的引用与相同诊断类似记录的引用功能。</w:t>
      </w:r>
    </w:p>
    <w:p w14:paraId="1FC6F8C8">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临床数据引用</w:t>
      </w:r>
    </w:p>
    <w:p w14:paraId="7363D6A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实现在病历内容中引入患者的临床，包括手术资料、医嘱信息、检验报告数据、检查报告、特殊符号、常用字典等。</w:t>
      </w:r>
    </w:p>
    <w:p w14:paraId="5DD28823">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1"/>
          <w:sz w:val="24"/>
        </w:rPr>
        <w:t>个人模板、常用语设置</w:t>
      </w:r>
    </w:p>
    <w:p w14:paraId="77E348B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实现将常用的病历模板导成个人模板，并且也可将常用的书写内容设置成常用语，便于书写调用，可以对个人模板及常用语进行修改。</w:t>
      </w:r>
    </w:p>
    <w:p w14:paraId="59932BF7">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修改留痕功能</w:t>
      </w:r>
    </w:p>
    <w:p w14:paraId="7957671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实现修改留痕。身份识别、保存历次修改痕迹、标记准确的修改时间和修改人信息。</w:t>
      </w:r>
    </w:p>
    <w:p w14:paraId="367C79C1">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打印服务</w:t>
      </w:r>
    </w:p>
    <w:p w14:paraId="4FF9E12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可实现原样打印（有修改痕迹）和清洁打印（修改后打印）。可定制打印格式。提供灵活的续打功能。</w:t>
      </w:r>
    </w:p>
    <w:p w14:paraId="4838311B">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1"/>
          <w:sz w:val="24"/>
        </w:rPr>
        <w:t>医学表达式及评分表管理</w:t>
      </w:r>
    </w:p>
    <w:p w14:paraId="0D42DEC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编辑病历中存在的医学表达式，通过维护功能预定义表达式格式，预留内容填写位置，可以点击病历中的表达式进行修改；实现在病历中插入已定义的</w:t>
      </w:r>
      <w:r>
        <w:rPr>
          <w:color w:val="auto"/>
          <w:spacing w:val="-4"/>
        </w:rPr>
        <w:t>评分表。</w:t>
      </w:r>
    </w:p>
    <w:p w14:paraId="3F7BFBE8">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病历完成提醒</w:t>
      </w:r>
    </w:p>
    <w:p w14:paraId="77F86D6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病历书写完成时，系统自动校验病历的完整性，并对病历当中未书写的内容进行提示。同时，校验病历当中是否有不正当的用词，</w:t>
      </w:r>
    </w:p>
    <w:p w14:paraId="07E13FCA">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病历关键元素检查</w:t>
      </w:r>
    </w:p>
    <w:p w14:paraId="41660E3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实现关键字校验，进行自动校验提示；对非法值、异常值等予以监控。</w:t>
      </w:r>
    </w:p>
    <w:p w14:paraId="2EC195E6">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病历差别化质控</w:t>
      </w:r>
    </w:p>
    <w:p w14:paraId="6554B7C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实现根据专科病历、诊断等进行差别化质量控制，对时限等明确、固定要求内容进行自动判断处理并产生相应控制报告内容，能够记录病历内容缺陷。</w:t>
      </w:r>
    </w:p>
    <w:p w14:paraId="09D05B23">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权限维护管理</w:t>
      </w:r>
    </w:p>
    <w:p w14:paraId="53C7250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基于医院集团统一门户平台，实现统一身份认证，采用多维权限管理：实现角色组、角色及用户的授权同步，可以根据角色、地点以及时间三种条件的改变实现权限控制；其权限控制不但包括应用功能权限控制，而且包括功能范围权限控制，包括对药品、手术、病历权限的设置。</w:t>
      </w:r>
    </w:p>
    <w:p w14:paraId="302C6737">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电子交接班</w:t>
      </w:r>
    </w:p>
    <w:p w14:paraId="2BD245E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支持在统一入口快捷处理病区的交接单，包括待处理、已处理交接单。满足不同类型交接单的交接书写工作：系统后台自由配置模板，自由定义书写权</w:t>
      </w:r>
      <w:r>
        <w:rPr>
          <w:color w:val="auto"/>
          <w:spacing w:val="-6"/>
        </w:rPr>
        <w:t>限。</w:t>
      </w:r>
    </w:p>
    <w:p w14:paraId="3F5E2E81">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1"/>
          <w:sz w:val="24"/>
        </w:rPr>
        <w:t>自动计算患者当天已开立医嘱的液体总量</w:t>
      </w:r>
    </w:p>
    <w:p w14:paraId="367219D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firstLine="238" w:firstLineChars="100"/>
        <w:textAlignment w:val="auto"/>
        <w:rPr>
          <w:color w:val="auto"/>
        </w:rPr>
      </w:pPr>
      <w:r>
        <w:rPr>
          <w:rFonts w:hint="eastAsia" w:ascii="冬青黑体简体中文" w:hAnsi="冬青黑体简体中文" w:eastAsia="冬青黑体简体中文" w:cs="冬青黑体简体中文"/>
          <w:color w:val="auto"/>
          <w:spacing w:val="-1"/>
        </w:rPr>
        <w:t>★</w:t>
      </w:r>
      <w:r>
        <w:rPr>
          <w:color w:val="auto"/>
          <w:spacing w:val="-1"/>
        </w:rPr>
        <w:t>支持开立输液医嘱时，自动计算患者当天已开立医嘱的液体总量，并可以</w:t>
      </w:r>
    </w:p>
    <w:p w14:paraId="2415E7F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textAlignment w:val="auto"/>
        <w:rPr>
          <w:color w:val="auto"/>
        </w:rPr>
      </w:pPr>
      <w:r>
        <w:rPr>
          <w:color w:val="auto"/>
          <w:spacing w:val="-2"/>
        </w:rPr>
        <w:t>查询患者历史用量。用法为静滴时，自动计算出患者当天所有已开立医嘱的液体总量，并可以查询历史用量。</w:t>
      </w:r>
    </w:p>
    <w:p w14:paraId="455190DD">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1"/>
          <w:sz w:val="24"/>
        </w:rPr>
        <w:t>手术申请开立时自动导入手术医嘱模板医嘱</w:t>
      </w:r>
    </w:p>
    <w:p w14:paraId="6A6386A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支持在手术申请医嘱开立时，自动导入关联的手术医嘱模板。住院手术、门诊手术、日间手术申请单开立保存时自动弹出手术项关联医嘱模板，可直接选择手术医嘱模板中医嘱进行开立。</w:t>
      </w:r>
    </w:p>
    <w:p w14:paraId="781B8FE0">
      <w:pPr>
        <w:pStyle w:val="24"/>
        <w:keepNext w:val="0"/>
        <w:keepLines w:val="0"/>
        <w:pageBreakBefore w:val="0"/>
        <w:widowControl w:val="0"/>
        <w:numPr>
          <w:ilvl w:val="0"/>
          <w:numId w:val="1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跨院区他科治疗</w:t>
      </w:r>
    </w:p>
    <w:p w14:paraId="4F02BC9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支持跨院区他科治疗，并且有他科治疗申请、他科治疗接收、他科治疗结束等全过程管理。</w:t>
      </w:r>
    </w:p>
    <w:p w14:paraId="3BC84ACC">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62CDBFDA">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住院电子病</w:t>
      </w:r>
      <w:r>
        <w:rPr>
          <w:b/>
          <w:color w:val="auto"/>
          <w:spacing w:val="-10"/>
          <w:sz w:val="24"/>
        </w:rPr>
        <w:t>历</w:t>
      </w:r>
    </w:p>
    <w:p w14:paraId="0BD4AB6C">
      <w:pPr>
        <w:pStyle w:val="24"/>
        <w:keepNext w:val="0"/>
        <w:keepLines w:val="0"/>
        <w:pageBreakBefore w:val="0"/>
        <w:widowControl w:val="0"/>
        <w:numPr>
          <w:ilvl w:val="0"/>
          <w:numId w:val="1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住院电子病历</w:t>
      </w:r>
    </w:p>
    <w:p w14:paraId="083A9C9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z w:val="24"/>
          <w:szCs w:val="24"/>
        </w:rPr>
        <w:t>√</w:t>
      </w:r>
      <w:r>
        <w:rPr>
          <w:color w:val="auto"/>
          <w:spacing w:val="-2"/>
        </w:rPr>
        <w:t>支持在病历主页中提供病历总览功能，且能查看病历的签名进度和实时跟踪，如住院医生书写完病历后，该病历如果要上级医生签名的，可以发送签名通知给上级医生，做到病历签名的流程质管。支持对整体病历数据的管理与服务操作须限制在指定位置，操作行为可记</w:t>
      </w:r>
      <w:r>
        <w:rPr>
          <w:color w:val="auto"/>
          <w:spacing w:val="80"/>
          <w:w w:val="150"/>
        </w:rPr>
        <w:t xml:space="preserve"> </w:t>
      </w:r>
      <w:r>
        <w:rPr>
          <w:color w:val="auto"/>
          <w:spacing w:val="-2"/>
        </w:rPr>
        <w:t>录、追溯；病历数据的使用须有完整的访问控制，申请、授权、使用均须有记</w:t>
      </w:r>
      <w:r>
        <w:rPr>
          <w:color w:val="auto"/>
          <w:spacing w:val="80"/>
          <w:w w:val="150"/>
        </w:rPr>
        <w:t xml:space="preserve"> </w:t>
      </w:r>
      <w:r>
        <w:rPr>
          <w:color w:val="auto"/>
          <w:spacing w:val="-2"/>
        </w:rPr>
        <w:t>录且过程可监控；针对不同的使用对象，应能控制授权使用病历中的指定内容；具备对电子病历数据的封存处理功能。支持住院病历闭环：患者住院过程中，病历从创建到审阅的整个流程步骤，主要包括：创建病历、整改通知发出、整改提交、修改病历、签名病历、打印</w:t>
      </w:r>
      <w:r>
        <w:rPr>
          <w:color w:val="auto"/>
          <w:spacing w:val="40"/>
        </w:rPr>
        <w:t xml:space="preserve">  </w:t>
      </w:r>
      <w:r>
        <w:rPr>
          <w:color w:val="auto"/>
          <w:spacing w:val="-2"/>
        </w:rPr>
        <w:t>病历、审阅病历等节点。</w:t>
      </w:r>
    </w:p>
    <w:p w14:paraId="07A9832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spacing w:val="-2"/>
        </w:rPr>
      </w:pPr>
      <w:r>
        <w:rPr>
          <w:rFonts w:hint="eastAsia" w:ascii="冬青黑体简体中文" w:hAnsi="冬青黑体简体中文" w:eastAsia="冬青黑体简体中文" w:cs="冬青黑体简体中文"/>
          <w:color w:val="auto"/>
        </w:rPr>
        <w:t>★</w:t>
      </w:r>
      <w:r>
        <w:rPr>
          <w:rFonts w:hint="eastAsia"/>
          <w:color w:val="auto"/>
        </w:rPr>
        <w:t>支持住院病历多级医师签名规则的动态配置，不同类别设置不同签名规则。对各类文书的修改权、签名权以及签名顺序进行配置。支持非数字文字签名、非数字图片签名、CA签名等多种方式。</w:t>
      </w:r>
    </w:p>
    <w:p w14:paraId="1617588B">
      <w:pPr>
        <w:pStyle w:val="24"/>
        <w:keepNext w:val="0"/>
        <w:keepLines w:val="0"/>
        <w:pageBreakBefore w:val="0"/>
        <w:widowControl w:val="0"/>
        <w:numPr>
          <w:ilvl w:val="0"/>
          <w:numId w:val="1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住院病历模板</w:t>
      </w:r>
    </w:p>
    <w:p w14:paraId="39265FC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eastAsia" w:ascii="Arial" w:hAnsi="Arial" w:cs="Arial"/>
          <w:color w:val="auto"/>
          <w:sz w:val="24"/>
          <w:szCs w:val="24"/>
        </w:rPr>
      </w:pPr>
      <w:r>
        <w:rPr>
          <w:rFonts w:hint="default" w:ascii="Arial" w:hAnsi="Arial" w:cs="Arial"/>
          <w:color w:val="auto"/>
          <w:sz w:val="24"/>
          <w:szCs w:val="24"/>
        </w:rPr>
        <w:t>√</w:t>
      </w:r>
      <w:r>
        <w:rPr>
          <w:rFonts w:hint="eastAsia" w:ascii="Arial" w:hAnsi="Arial" w:cs="Arial"/>
          <w:color w:val="auto"/>
          <w:sz w:val="24"/>
          <w:szCs w:val="24"/>
        </w:rPr>
        <w:t>具备编辑管理功能，形成结构化模板，方便用户快速定制。支持全结构化选择录入、模板输入、表格式、自然语言、文本等多种录入方式。模板权限管理：提供模板管理员创建和授权功能，管理员可以授权不同的诊疗科目，授权后管理员只看到其有权限科室的病历模板。提供管理员业务应用授权，包括门诊、急诊、住院系统管理员权限等。实现各管理员业务间的数据隔离，避免数据泄露。标准信息维护：提供电子病历数据集、值域字典维护功能。系统可以定义每个数据集的章节、数据元、数据元属性等。系统维护的数据集可以与国家标准电子病历数据集能对照。电子病历数据集维护后作为病历模板制作的标准，用户可以直接使用。病历模板制作与审批：提供结构化病历模板制作功能，支持全院、科室、医生个人模板。病历模板制作完成后需审批通过才能使用。可以根据不同的科室设置不同的病历模板。</w:t>
      </w:r>
    </w:p>
    <w:p w14:paraId="270F2DF2">
      <w:pPr>
        <w:pStyle w:val="24"/>
        <w:keepNext w:val="0"/>
        <w:keepLines w:val="0"/>
        <w:pageBreakBefore w:val="0"/>
        <w:widowControl w:val="0"/>
        <w:numPr>
          <w:ilvl w:val="0"/>
          <w:numId w:val="1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病历书写管理</w:t>
      </w:r>
    </w:p>
    <w:p w14:paraId="65F5B6E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8" w:firstLine="479"/>
        <w:textAlignment w:val="auto"/>
        <w:rPr>
          <w:color w:val="auto"/>
        </w:rPr>
      </w:pPr>
      <w:r>
        <w:rPr>
          <w:rFonts w:hint="default" w:ascii="Arial" w:hAnsi="Arial" w:cs="Arial"/>
          <w:color w:val="auto"/>
          <w:spacing w:val="-2"/>
        </w:rPr>
        <w:t>√</w:t>
      </w:r>
      <w:r>
        <w:rPr>
          <w:color w:val="auto"/>
          <w:spacing w:val="-2"/>
        </w:rPr>
        <w:t>根据《病历书写规范》的要求，将各类病历资料进行结构化处理，并按要</w:t>
      </w:r>
      <w:r>
        <w:rPr>
          <w:color w:val="auto"/>
          <w:spacing w:val="80"/>
          <w:w w:val="150"/>
        </w:rPr>
        <w:t xml:space="preserve"> </w:t>
      </w:r>
      <w:r>
        <w:rPr>
          <w:color w:val="auto"/>
          <w:spacing w:val="-2"/>
        </w:rPr>
        <w:t>求完成全结构化电子病历的工作。提供入院记录、首次病程、手术记录等全套</w:t>
      </w:r>
      <w:r>
        <w:rPr>
          <w:color w:val="auto"/>
          <w:spacing w:val="40"/>
        </w:rPr>
        <w:t xml:space="preserve">  </w:t>
      </w:r>
      <w:r>
        <w:rPr>
          <w:color w:val="auto"/>
          <w:spacing w:val="1"/>
        </w:rPr>
        <w:t xml:space="preserve">病历创建、签名、打印、删除等基本功能。病历书写类 </w:t>
      </w:r>
      <w:r>
        <w:rPr>
          <w:color w:val="auto"/>
        </w:rPr>
        <w:t>WORD</w:t>
      </w:r>
      <w:r>
        <w:rPr>
          <w:color w:val="auto"/>
          <w:spacing w:val="3"/>
        </w:rPr>
        <w:t xml:space="preserve"> 书写界面风格，</w:t>
      </w:r>
      <w:r>
        <w:rPr>
          <w:color w:val="auto"/>
        </w:rPr>
        <w:t xml:space="preserve"> </w:t>
      </w:r>
      <w:r>
        <w:rPr>
          <w:color w:val="auto"/>
          <w:spacing w:val="-2"/>
        </w:rPr>
        <w:t>结构化书写，所见即所得。支持文本元素、日期元素、单选元素、多选元素等</w:t>
      </w:r>
      <w:r>
        <w:rPr>
          <w:color w:val="auto"/>
          <w:spacing w:val="40"/>
        </w:rPr>
        <w:t xml:space="preserve">  </w:t>
      </w:r>
      <w:r>
        <w:rPr>
          <w:color w:val="auto"/>
          <w:spacing w:val="-2"/>
        </w:rPr>
        <w:t>多种书写格式，支持病历书写时元素的快速跳转等。病历创建时支持病历内容</w:t>
      </w:r>
      <w:r>
        <w:rPr>
          <w:color w:val="auto"/>
          <w:spacing w:val="40"/>
        </w:rPr>
        <w:t xml:space="preserve">  </w:t>
      </w:r>
      <w:r>
        <w:rPr>
          <w:color w:val="auto"/>
          <w:spacing w:val="-2"/>
        </w:rPr>
        <w:t>相互引用、三方数据的自动引用，比如首次病程引用入院记录的主诉、现病史，比如生命体征自动从移动护理获取等。病案首页书写：提供符合国家要求的病案首页，并可自动获取患者信息、</w:t>
      </w:r>
      <w:r>
        <w:rPr>
          <w:color w:val="auto"/>
          <w:spacing w:val="80"/>
          <w:w w:val="150"/>
        </w:rPr>
        <w:t xml:space="preserve"> </w:t>
      </w:r>
      <w:r>
        <w:rPr>
          <w:color w:val="auto"/>
        </w:rPr>
        <w:t xml:space="preserve">临床信息。对于必填字段、关联性数据进行校验。需提供符合 HQMS、绩效考核 </w:t>
      </w:r>
      <w:r>
        <w:rPr>
          <w:color w:val="auto"/>
          <w:spacing w:val="-2"/>
        </w:rPr>
        <w:t>质控规则要求的质控规则校验病案首页数据。提供结构化病案首页书写功能，</w:t>
      </w:r>
      <w:r>
        <w:rPr>
          <w:color w:val="auto"/>
          <w:spacing w:val="40"/>
        </w:rPr>
        <w:t xml:space="preserve">  </w:t>
      </w:r>
      <w:r>
        <w:rPr>
          <w:color w:val="auto"/>
          <w:spacing w:val="-2"/>
        </w:rPr>
        <w:t>病历模板根据国家标准进行制作，同时附页支持医院的个性化信息添加（比如</w:t>
      </w:r>
      <w:r>
        <w:rPr>
          <w:color w:val="auto"/>
          <w:spacing w:val="80"/>
          <w:w w:val="150"/>
        </w:rPr>
        <w:t xml:space="preserve"> </w:t>
      </w:r>
      <w:r>
        <w:rPr>
          <w:color w:val="auto"/>
        </w:rPr>
        <w:t>国考相关）。病案首页 90%以上内容自动引入，比如患者基本档案、出院诊断、</w:t>
      </w:r>
      <w:r>
        <w:rPr>
          <w:color w:val="auto"/>
          <w:spacing w:val="-2"/>
        </w:rPr>
        <w:t>手术操作、病理信息、费用等。自动引用的信息也允许编辑，比如手术操作信</w:t>
      </w:r>
      <w:r>
        <w:rPr>
          <w:color w:val="auto"/>
          <w:spacing w:val="40"/>
        </w:rPr>
        <w:t xml:space="preserve">  </w:t>
      </w:r>
      <w:r>
        <w:rPr>
          <w:color w:val="auto"/>
          <w:spacing w:val="-2"/>
        </w:rPr>
        <w:t>息等，允许调整手术顺序或者手术记录数量。首页签名完成时，对接首页质控</w:t>
      </w:r>
      <w:r>
        <w:rPr>
          <w:color w:val="auto"/>
          <w:spacing w:val="40"/>
        </w:rPr>
        <w:t xml:space="preserve">  </w:t>
      </w:r>
      <w:r>
        <w:rPr>
          <w:color w:val="auto"/>
          <w:spacing w:val="-2"/>
        </w:rPr>
        <w:t>系统校验信息的完整性、一致性、合规性等。</w:t>
      </w:r>
    </w:p>
    <w:p w14:paraId="363FA31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具备病案首页录入功能，包括标准病案首页和附页录入，自动采集诊疗数据、实时质控。提供病历医嘱文书的自动创建功能，支持会诊完成后自动创建会诊记录、输血完成自动创建书写病程录、危急值处理后自动创建危急值病程录等。同时</w:t>
      </w:r>
      <w:r>
        <w:rPr>
          <w:color w:val="auto"/>
          <w:spacing w:val="-1"/>
        </w:rPr>
        <w:t>自动生成的文书能跟医嘱关联，但医嘱发生变更时，相关文书信息也会自动变更。比如删除或者作废会诊医嘱时，自动删除医嘱关联的会诊文书。</w:t>
      </w:r>
      <w:r>
        <w:rPr>
          <w:color w:val="auto"/>
          <w:spacing w:val="-2"/>
        </w:rPr>
        <w:t>病历书写助手，即当次就诊的诊疗数据中心，按需布局助手展示界面，常用语、我的模板、检验、检查报告、历史病历、特殊符号、医学图片等。方便医疗在一个页面了解患者病情，同时根据不同项目定制了结构化引用内容，方便回写到文书。</w:t>
      </w:r>
      <w:r>
        <w:rPr>
          <w:color w:val="auto"/>
          <w:spacing w:val="-1"/>
        </w:rPr>
        <w:t>支持病历回收站功能，医生可以将删除的文书找回。</w:t>
      </w:r>
      <w:r>
        <w:rPr>
          <w:color w:val="auto"/>
          <w:spacing w:val="-2"/>
        </w:rPr>
        <w:t>提供病历文书的打印，支持单份文书打印、多份批量打印以及病程记录的</w:t>
      </w:r>
      <w:r>
        <w:rPr>
          <w:color w:val="auto"/>
          <w:spacing w:val="9"/>
        </w:rPr>
        <w:t>续打。同时也支持住院病历的导出，支持选择一个或者多个病人导出相关的</w:t>
      </w:r>
      <w:r>
        <w:rPr>
          <w:color w:val="auto"/>
        </w:rPr>
        <w:t xml:space="preserve"> PDF</w:t>
      </w:r>
      <w:r>
        <w:rPr>
          <w:color w:val="auto"/>
          <w:spacing w:val="-12"/>
        </w:rPr>
        <w:t xml:space="preserve"> 文档。</w:t>
      </w:r>
    </w:p>
    <w:p w14:paraId="685CB2E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提供给医生使用的电子病历归档整理页面，页面集成患者在院内的全部文书，含医生文书、护理文书、检查、检验、医嘱、病理等，医生在一个页面对文书进行整理，确认后提交到病案室。病历封存，对有争议的文书进行封存，封存后不允许医生修改文书内容。争议解除后，再进行解封处理，解封后病历文书操作同普通文书一致。病历封存和解封均由质控科处理。</w:t>
      </w:r>
      <w:r>
        <w:rPr>
          <w:color w:val="auto"/>
          <w:spacing w:val="-3"/>
        </w:rPr>
        <w:t xml:space="preserve">住院病历支持对接三方 </w:t>
      </w:r>
      <w:r>
        <w:rPr>
          <w:color w:val="auto"/>
        </w:rPr>
        <w:t>CA</w:t>
      </w:r>
      <w:r>
        <w:rPr>
          <w:color w:val="auto"/>
          <w:spacing w:val="-8"/>
        </w:rPr>
        <w:t xml:space="preserve"> 签名，医生和患者签名形式根据 </w:t>
      </w:r>
      <w:r>
        <w:rPr>
          <w:color w:val="auto"/>
        </w:rPr>
        <w:t>CA</w:t>
      </w:r>
      <w:r>
        <w:rPr>
          <w:color w:val="auto"/>
          <w:spacing w:val="-6"/>
        </w:rPr>
        <w:t xml:space="preserve"> 要求提供，</w:t>
      </w:r>
      <w:r>
        <w:rPr>
          <w:color w:val="auto"/>
        </w:rPr>
        <w:t>比如医护端的扫码签名、UKEY</w:t>
      </w:r>
      <w:r>
        <w:rPr>
          <w:color w:val="auto"/>
          <w:spacing w:val="-7"/>
        </w:rPr>
        <w:t xml:space="preserve"> 签名，患者端的手写板签名、移动签名等。</w:t>
      </w:r>
      <w:r>
        <w:rPr>
          <w:color w:val="auto"/>
          <w:spacing w:val="-2"/>
        </w:rPr>
        <w:t>住院医生病历书写完成并且签名后，可以通知到上级医生，上级医生可以</w:t>
      </w:r>
      <w:r>
        <w:rPr>
          <w:color w:val="auto"/>
          <w:spacing w:val="-1"/>
        </w:rPr>
        <w:t xml:space="preserve">在手机端或者 </w:t>
      </w:r>
      <w:r>
        <w:rPr>
          <w:color w:val="auto"/>
        </w:rPr>
        <w:t>HIS 系统端进行文书签名，页面筛选出待签名文书，上级可以方便查看（</w:t>
      </w:r>
      <w:r>
        <w:rPr>
          <w:color w:val="auto"/>
          <w:spacing w:val="-3"/>
        </w:rPr>
        <w:t xml:space="preserve">手机端签名需 </w:t>
      </w:r>
      <w:r>
        <w:rPr>
          <w:color w:val="auto"/>
        </w:rPr>
        <w:t>CA</w:t>
      </w:r>
      <w:r>
        <w:rPr>
          <w:color w:val="auto"/>
          <w:spacing w:val="-8"/>
        </w:rPr>
        <w:t xml:space="preserve"> 支持</w:t>
      </w:r>
      <w:r>
        <w:rPr>
          <w:color w:val="auto"/>
        </w:rPr>
        <w:t>）。</w:t>
      </w:r>
      <w:r>
        <w:rPr>
          <w:color w:val="auto"/>
          <w:spacing w:val="-2"/>
        </w:rPr>
        <w:t>提供病历操作日志功能，包括住院电子病历的创建、修改、删除等任何操作自动生成、保存审计日志（包括操作时间、操作者、操作内容等），并提供按单份文书或某个患者追踪查看其所有操作者及操作内容、按操作者追踪查看其所有操作等功能，以确保运行病历书写始终被监控直至入库。操作事件记录有：文书查看、创建、修改、签名、打印、归档等各个环节。提供住院病历订阅的功能，当第三方系统需要获取住院病历结构化内容时，通过结构化订阅的方式实现。</w:t>
      </w:r>
    </w:p>
    <w:p w14:paraId="27FFB71C">
      <w:pPr>
        <w:pStyle w:val="24"/>
        <w:keepNext w:val="0"/>
        <w:keepLines w:val="0"/>
        <w:pageBreakBefore w:val="0"/>
        <w:widowControl w:val="0"/>
        <w:numPr>
          <w:ilvl w:val="0"/>
          <w:numId w:val="1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住院专科病种模板</w:t>
      </w:r>
    </w:p>
    <w:p w14:paraId="4CD866D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√根据卫生部以及各省份的病历书写规范，基于“专科病种模板”的理念来构建住院病历模板体系，实现根据患者的病种（诊断）信息来动态构建病历模板，提供不同病种对应的专科病种模板。</w:t>
      </w:r>
    </w:p>
    <w:p w14:paraId="0C85E6C3">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right="350" w:firstLine="0" w:firstLineChars="0"/>
        <w:textAlignment w:val="auto"/>
        <w:rPr>
          <w:color w:val="auto"/>
          <w:sz w:val="24"/>
        </w:rPr>
      </w:pPr>
      <w:r>
        <w:rPr>
          <w:b/>
          <w:color w:val="auto"/>
          <w:spacing w:val="-2"/>
          <w:sz w:val="24"/>
        </w:rPr>
        <w:t>院内会诊管理</w:t>
      </w:r>
      <w:r>
        <w:rPr>
          <w:b/>
          <w:color w:val="auto"/>
          <w:spacing w:val="4908"/>
          <w:sz w:val="24"/>
        </w:rPr>
        <w:t xml:space="preserve"> </w:t>
      </w:r>
    </w:p>
    <w:p w14:paraId="77B8A7E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lang w:val="en-US" w:eastAsia="zh-CN"/>
        </w:rPr>
      </w:pPr>
      <w:r>
        <w:rPr>
          <w:rFonts w:hint="default" w:ascii="Arial" w:hAnsi="Arial" w:cs="Arial"/>
          <w:color w:val="auto"/>
          <w:sz w:val="24"/>
          <w:szCs w:val="24"/>
        </w:rPr>
        <w:t>√</w:t>
      </w:r>
      <w:r>
        <w:rPr>
          <w:rFonts w:hint="default" w:ascii="Arial" w:hAnsi="Arial" w:cs="Arial"/>
          <w:color w:val="auto"/>
          <w:sz w:val="24"/>
          <w:szCs w:val="24"/>
          <w:lang w:val="en-US" w:eastAsia="zh-CN"/>
        </w:rPr>
        <w:t>“院内会诊管理系统”是电子病历系统的一个重要组成部分。该系统需支持通过“会诊管理”，帮助医院和医生建立一套完整严密的会诊管理机制来提高会诊效率和质量、保障医疗安全和病患利益，帮助医院进行实施监督管理和进行数据统计。</w:t>
      </w:r>
    </w:p>
    <w:p w14:paraId="402F366E">
      <w:pPr>
        <w:pStyle w:val="24"/>
        <w:keepNext w:val="0"/>
        <w:keepLines w:val="0"/>
        <w:pageBreakBefore w:val="0"/>
        <w:widowControl w:val="0"/>
        <w:numPr>
          <w:ilvl w:val="0"/>
          <w:numId w:val="1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门诊会诊</w:t>
      </w:r>
    </w:p>
    <w:p w14:paraId="4D11D6B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√支持门诊会诊，以及会诊记录的快速响应，保证会诊记录的完整性、可追溯性。在会诊类型中，系统提供门诊科内会诊、住院协同会诊、科间会诊、院外会诊等多种会诊情况，支持会诊的响应时间控制，急会诊 10 分钟，普通会诊24 小时；提供会诊与病历强关联管理模式，即会诊发起医生保存会诊医疗单时自动 创建并在医嘱开立页面直接打开会诊病历，只有发起会诊医生完成病历签名后，方可流转会诊医嘱。在会诊单流程完成之后，会诊单会自动生成相应会诊病历文书，集成在门诊病历夹中。</w:t>
      </w:r>
    </w:p>
    <w:p w14:paraId="046FD88F">
      <w:pPr>
        <w:pStyle w:val="24"/>
        <w:keepNext w:val="0"/>
        <w:keepLines w:val="0"/>
        <w:pageBreakBefore w:val="0"/>
        <w:widowControl w:val="0"/>
        <w:numPr>
          <w:ilvl w:val="0"/>
          <w:numId w:val="1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住院会诊</w:t>
      </w:r>
    </w:p>
    <w:p w14:paraId="2CCF9FD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住院会诊。住院医生在工作站发起会诊申请单，填写参加会诊科室、医生，会诊紧急程度等；在会诊类型中，系统提供住院科内会诊、科间会诊、院外会诊等多种会诊情况，支持会诊的响应时间控制，急会诊 10 分钟，普通会诊 24 小时；提供会诊与病历强关联管理模式，即会诊发起医生保存会诊医疗单时自动 创建并在医嘱开立页面直接打开会诊病历，只有发起会诊医生完成病历签名后，方可流转会诊医嘱。在会诊单流程完成之后，会诊单会自动生成相应会诊病历 文书，集成在住院病历夹中。</w:t>
      </w:r>
    </w:p>
    <w:p w14:paraId="6C97EBAD">
      <w:pPr>
        <w:pStyle w:val="24"/>
        <w:keepNext w:val="0"/>
        <w:keepLines w:val="0"/>
        <w:pageBreakBefore w:val="0"/>
        <w:widowControl w:val="0"/>
        <w:numPr>
          <w:ilvl w:val="0"/>
          <w:numId w:val="1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会诊管理</w:t>
      </w:r>
    </w:p>
    <w:p w14:paraId="77D59CA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提供完善的会诊查询功能，根据多维度，例如申请时间、病人科室、执行状态、会诊类型、就诊类型等条件查询会诊查询情况。并且可以查看会诊申请单详情以及该病人的所有病历记录；在完善会诊监管体系后，系统支持基于会诊情况进行数据分析，对所有类</w:t>
      </w:r>
      <w:r>
        <w:rPr>
          <w:color w:val="auto"/>
          <w:spacing w:val="80"/>
          <w:w w:val="150"/>
        </w:rPr>
        <w:t xml:space="preserve"> </w:t>
      </w:r>
      <w:r>
        <w:rPr>
          <w:color w:val="auto"/>
          <w:spacing w:val="-2"/>
        </w:rPr>
        <w:t>型会诊内容通过受邀会诊统计分析、科室申请会诊统计、医生申请会诊统计等，反映院内外会诊情况。提供会诊与病历强关联管理模式，即会诊发起医生保存会诊医疗单时自动</w:t>
      </w:r>
      <w:r>
        <w:rPr>
          <w:color w:val="auto"/>
          <w:spacing w:val="80"/>
          <w:w w:val="150"/>
        </w:rPr>
        <w:t xml:space="preserve"> </w:t>
      </w:r>
      <w:r>
        <w:rPr>
          <w:color w:val="auto"/>
          <w:spacing w:val="-2"/>
        </w:rPr>
        <w:t>创建并在医嘱开立页面直接打开会诊病历，只有发起会诊医生完成病历签名后，方可流转会诊医嘱。在会诊单流程完成之后，会诊单会自动生成相应会诊病历文书，集成在住院病历夹中。</w:t>
      </w:r>
    </w:p>
    <w:p w14:paraId="5E4F2215">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7F1651E4">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临床路径管</w:t>
      </w:r>
      <w:r>
        <w:rPr>
          <w:b/>
          <w:color w:val="auto"/>
          <w:spacing w:val="-10"/>
          <w:sz w:val="24"/>
        </w:rPr>
        <w:t>理</w:t>
      </w:r>
    </w:p>
    <w:p w14:paraId="74FE1CB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√临床路径系统应具有专家配置，临床执行，统计分析等模块，紧密结合 EMR、HIS、LIS 等其它信息系统。提供增加和修改临床路径的工具，具有统计分析功能，不断提升临床路径的合理性。主要功能应包括：专家配置管理</w:t>
      </w:r>
      <w:r>
        <w:rPr>
          <w:rFonts w:hint="eastAsia" w:ascii="Arial" w:hAnsi="Arial" w:cs="Arial"/>
          <w:color w:val="auto"/>
          <w:sz w:val="24"/>
          <w:szCs w:val="24"/>
          <w:lang w:eastAsia="zh-CN"/>
        </w:rPr>
        <w:t>：</w:t>
      </w:r>
      <w:r>
        <w:rPr>
          <w:rFonts w:hint="default" w:ascii="Arial" w:hAnsi="Arial" w:cs="Arial"/>
          <w:color w:val="auto"/>
          <w:sz w:val="24"/>
          <w:szCs w:val="24"/>
        </w:rPr>
        <w:t>提供专家配置临床路径功能，可遴选受控病种并关联疾病、手术、医嘱项目，定义临床路径包括时点定义、活动维护、评估指标意义、变异原因定义、费用的上下限、对应的病历、医嘱的对照等。允许复制临床路径，并可导出上报。临床路径执行</w:t>
      </w:r>
      <w:r>
        <w:rPr>
          <w:rFonts w:hint="eastAsia" w:ascii="Arial" w:hAnsi="Arial" w:cs="Arial"/>
          <w:color w:val="auto"/>
          <w:sz w:val="24"/>
          <w:szCs w:val="24"/>
          <w:lang w:eastAsia="zh-CN"/>
        </w:rPr>
        <w:t>：</w:t>
      </w:r>
      <w:r>
        <w:rPr>
          <w:rFonts w:hint="default" w:ascii="Arial" w:hAnsi="Arial" w:cs="Arial"/>
          <w:color w:val="auto"/>
          <w:sz w:val="24"/>
          <w:szCs w:val="24"/>
        </w:rPr>
        <w:t>提供临床医生执行临床路径功能，包括路径自动、手动导入，路径项目提醒执行，路径变异监控，退径/出径处理，路径自动更新，路径手术选择，路径出径日期调整，分支路径，串行路径等。统计查询</w:t>
      </w:r>
      <w:r>
        <w:rPr>
          <w:rFonts w:hint="eastAsia" w:ascii="Arial" w:hAnsi="Arial" w:cs="Arial"/>
          <w:color w:val="auto"/>
          <w:sz w:val="24"/>
          <w:szCs w:val="24"/>
          <w:lang w:eastAsia="zh-CN"/>
        </w:rPr>
        <w:t>：</w:t>
      </w:r>
      <w:r>
        <w:rPr>
          <w:rFonts w:hint="default" w:ascii="Arial" w:hAnsi="Arial" w:cs="Arial"/>
          <w:color w:val="auto"/>
          <w:sz w:val="24"/>
          <w:szCs w:val="24"/>
        </w:rPr>
        <w:t>提供临床路径报表，包括路径病人查询管理、单病种相关非特异性指标评估表、临床路径实施汇总表、临床路径变异统计表等。临床路径分析改进</w:t>
      </w:r>
      <w:r>
        <w:rPr>
          <w:rFonts w:hint="eastAsia" w:ascii="Arial" w:hAnsi="Arial" w:cs="Arial"/>
          <w:color w:val="auto"/>
          <w:sz w:val="24"/>
          <w:szCs w:val="24"/>
          <w:lang w:eastAsia="zh-CN"/>
        </w:rPr>
        <w:t>：</w:t>
      </w:r>
      <w:r>
        <w:rPr>
          <w:rFonts w:hint="default" w:ascii="Arial" w:hAnsi="Arial" w:cs="Arial"/>
          <w:color w:val="auto"/>
          <w:sz w:val="24"/>
          <w:szCs w:val="24"/>
        </w:rPr>
        <w:t>提供分析工具，统计分析路径执行情况，变异情况，可辅助医院不断改进临床路径。临床路径系统扩展</w:t>
      </w:r>
      <w:r>
        <w:rPr>
          <w:rFonts w:hint="eastAsia" w:ascii="Arial" w:hAnsi="Arial" w:cs="Arial"/>
          <w:color w:val="auto"/>
          <w:sz w:val="24"/>
          <w:szCs w:val="24"/>
          <w:lang w:eastAsia="zh-CN"/>
        </w:rPr>
        <w:t>：</w:t>
      </w:r>
      <w:r>
        <w:rPr>
          <w:rFonts w:hint="default" w:ascii="Arial" w:hAnsi="Arial" w:cs="Arial"/>
          <w:color w:val="auto"/>
          <w:sz w:val="24"/>
          <w:szCs w:val="24"/>
        </w:rPr>
        <w:t>系统应支持临床路径的不断拓展，支持新增更多病种。支持单个部门、多个部门审核需求，支持分级流转审核、平级审核模式，支持二次审核流程优化、支持审核留言/回复功能等；</w:t>
      </w:r>
    </w:p>
    <w:p w14:paraId="624B5055">
      <w:pPr>
        <w:pStyle w:val="24"/>
        <w:keepNext w:val="0"/>
        <w:keepLines w:val="0"/>
        <w:pageBreakBefore w:val="0"/>
        <w:widowControl w:val="0"/>
        <w:numPr>
          <w:ilvl w:val="4"/>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临床辅助决策系</w:t>
      </w:r>
      <w:r>
        <w:rPr>
          <w:b/>
          <w:color w:val="auto"/>
          <w:spacing w:val="-10"/>
          <w:sz w:val="24"/>
        </w:rPr>
        <w:t>统</w:t>
      </w:r>
    </w:p>
    <w:p w14:paraId="570DFBB6">
      <w:pPr>
        <w:pStyle w:val="24"/>
        <w:keepNext w:val="0"/>
        <w:keepLines w:val="0"/>
        <w:pageBreakBefore w:val="0"/>
        <w:widowControl w:val="0"/>
        <w:numPr>
          <w:ilvl w:val="5"/>
          <w:numId w:val="12"/>
        </w:numPr>
        <w:tabs>
          <w:tab w:val="left" w:pos="2321"/>
        </w:tabs>
        <w:kinsoku/>
        <w:wordWrap/>
        <w:overflowPunct/>
        <w:topLinePunct w:val="0"/>
        <w:autoSpaceDE w:val="0"/>
        <w:autoSpaceDN w:val="0"/>
        <w:bidi w:val="0"/>
        <w:adjustRightInd/>
        <w:snapToGrid/>
        <w:spacing w:before="0" w:line="360" w:lineRule="auto"/>
        <w:ind w:left="2321" w:leftChars="0" w:hanging="1621" w:firstLineChars="0"/>
        <w:jc w:val="both"/>
        <w:textAlignment w:val="auto"/>
        <w:rPr>
          <w:color w:val="auto"/>
          <w:sz w:val="24"/>
        </w:rPr>
      </w:pPr>
      <w:r>
        <w:rPr>
          <w:color w:val="auto"/>
          <w:spacing w:val="-3"/>
          <w:sz w:val="24"/>
        </w:rPr>
        <w:t>决策支持</w:t>
      </w:r>
    </w:p>
    <w:p w14:paraId="7DB4037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需提供临床诊断和治疗的全程临床决策支持功能，支持对常见的复杂症状进行分类和方向推导，结合病人的各种并发症状体征和辅助检查检验结果，逐步缩小疑似诊断的范围，并提供疑似诊断的诊断和鉴别要点，提示鉴别诊断的必要的检查检验项目，明确诊断后提示对应的治疗方案。</w:t>
      </w:r>
    </w:p>
    <w:p w14:paraId="5B9BC2E9">
      <w:pPr>
        <w:pStyle w:val="24"/>
        <w:keepNext w:val="0"/>
        <w:keepLines w:val="0"/>
        <w:pageBreakBefore w:val="0"/>
        <w:widowControl w:val="0"/>
        <w:numPr>
          <w:ilvl w:val="5"/>
          <w:numId w:val="12"/>
        </w:numPr>
        <w:tabs>
          <w:tab w:val="left" w:pos="2321"/>
        </w:tabs>
        <w:kinsoku/>
        <w:wordWrap/>
        <w:overflowPunct/>
        <w:topLinePunct w:val="0"/>
        <w:autoSpaceDE w:val="0"/>
        <w:autoSpaceDN w:val="0"/>
        <w:bidi w:val="0"/>
        <w:adjustRightInd/>
        <w:snapToGrid/>
        <w:spacing w:before="0" w:line="360" w:lineRule="auto"/>
        <w:ind w:left="2321" w:leftChars="0" w:hanging="1621" w:firstLineChars="0"/>
        <w:jc w:val="both"/>
        <w:textAlignment w:val="auto"/>
        <w:rPr>
          <w:color w:val="auto"/>
          <w:sz w:val="24"/>
        </w:rPr>
      </w:pPr>
      <w:r>
        <w:rPr>
          <w:color w:val="auto"/>
          <w:spacing w:val="-3"/>
          <w:sz w:val="24"/>
        </w:rPr>
        <w:t>辅助诊断</w:t>
      </w:r>
    </w:p>
    <w:p w14:paraId="41F9DF2D">
      <w:pPr>
        <w:pStyle w:val="24"/>
        <w:keepNext w:val="0"/>
        <w:keepLines w:val="0"/>
        <w:pageBreakBefore w:val="0"/>
        <w:widowControl w:val="0"/>
        <w:numPr>
          <w:ilvl w:val="0"/>
          <w:numId w:val="18"/>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辅助诊断推导</w:t>
      </w:r>
    </w:p>
    <w:p w14:paraId="195CD23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z w:val="24"/>
          <w:szCs w:val="24"/>
        </w:rPr>
        <w:t>√</w:t>
      </w:r>
      <w:r>
        <w:rPr>
          <w:color w:val="auto"/>
          <w:spacing w:val="-2"/>
        </w:rPr>
        <w:t>辅助诊断推导能根据患者全面的临床症状和体征信息自动提供疑似的诊断、并提供该疑似诊断病种的鉴别方法和对应的诊疗指南。</w:t>
      </w:r>
    </w:p>
    <w:p w14:paraId="351D87FD">
      <w:pPr>
        <w:pStyle w:val="24"/>
        <w:keepNext w:val="0"/>
        <w:keepLines w:val="0"/>
        <w:pageBreakBefore w:val="0"/>
        <w:widowControl w:val="0"/>
        <w:numPr>
          <w:ilvl w:val="0"/>
          <w:numId w:val="18"/>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临床鉴别诊断</w:t>
      </w:r>
    </w:p>
    <w:p w14:paraId="16C6BD0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right="985"/>
        <w:textAlignment w:val="auto"/>
        <w:rPr>
          <w:color w:val="auto"/>
        </w:rPr>
      </w:pPr>
      <w:r>
        <w:rPr>
          <w:rFonts w:hint="default" w:ascii="Arial" w:hAnsi="Arial" w:cs="Arial"/>
          <w:color w:val="auto"/>
          <w:sz w:val="24"/>
          <w:szCs w:val="24"/>
        </w:rPr>
        <w:t>√</w:t>
      </w:r>
      <w:r>
        <w:rPr>
          <w:color w:val="auto"/>
          <w:spacing w:val="-2"/>
        </w:rPr>
        <w:t xml:space="preserve">需根据病人的当前诊断提示该疾病和其他相似疾病的鉴别诊断要点。 </w:t>
      </w:r>
      <w:r>
        <w:rPr>
          <w:color w:val="auto"/>
        </w:rPr>
        <w:t>5.1.5.1.10.3 辅助治疗</w:t>
      </w:r>
    </w:p>
    <w:p w14:paraId="02C4ADE9">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高钾血症治疗策略</w:t>
      </w:r>
    </w:p>
    <w:p w14:paraId="63DE1C9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需提供高钾血症危险分层、严重程度评估和对应治疗策略的功能，帮助医生快速鉴别和治疗高钾血症。</w:t>
      </w:r>
    </w:p>
    <w:p w14:paraId="6A6204A5">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低钠血症治疗策略</w:t>
      </w:r>
    </w:p>
    <w:p w14:paraId="45A5DBD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需提供低钠血症判断真假、危险分层、程度评估和对应治疗策略的功能，帮助医生快速鉴别和治疗低钠血症。</w:t>
      </w:r>
    </w:p>
    <w:p w14:paraId="4AB9F8A2">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高钠血症治疗策略</w:t>
      </w:r>
    </w:p>
    <w:p w14:paraId="3A8E40F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4" w:firstLine="479"/>
        <w:textAlignment w:val="auto"/>
        <w:rPr>
          <w:color w:val="auto"/>
        </w:rPr>
      </w:pPr>
      <w:r>
        <w:rPr>
          <w:rFonts w:hint="default" w:ascii="Arial" w:hAnsi="Arial" w:cs="Arial"/>
          <w:color w:val="auto"/>
          <w:sz w:val="24"/>
          <w:szCs w:val="24"/>
        </w:rPr>
        <w:t>√</w:t>
      </w:r>
      <w:r>
        <w:rPr>
          <w:color w:val="auto"/>
          <w:spacing w:val="-2"/>
        </w:rPr>
        <w:t>需提供高钠血症危险分层、分类分型、计算补液量和对应治疗策略的功能，帮助医生快速鉴别和治疗高钠血症。</w:t>
      </w:r>
    </w:p>
    <w:p w14:paraId="5051595A">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1"/>
          <w:sz w:val="24"/>
        </w:rPr>
        <w:t>全髋膝关节置换术后静脉血栓栓塞性疾病的预防策略</w:t>
      </w:r>
    </w:p>
    <w:p w14:paraId="51692B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需提供针对人工关节置换术后的患者机械预防禁忌筛查、药物预防禁忌筛查和对应的具体预防措施的功能。</w:t>
      </w:r>
    </w:p>
    <w:p w14:paraId="27CDF081">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12"/>
          <w:sz w:val="24"/>
        </w:rPr>
        <w:t xml:space="preserve">创伤骨科 </w:t>
      </w:r>
      <w:r>
        <w:rPr>
          <w:color w:val="auto"/>
          <w:sz w:val="24"/>
        </w:rPr>
        <w:t>VTE</w:t>
      </w:r>
      <w:r>
        <w:rPr>
          <w:color w:val="auto"/>
          <w:spacing w:val="-14"/>
          <w:sz w:val="24"/>
        </w:rPr>
        <w:t xml:space="preserve"> 预防策略</w:t>
      </w:r>
    </w:p>
    <w:p w14:paraId="326BD2E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需提供针对骨伤科患者危险分层、预防时机、禁忌症筛查和对应的具体预</w:t>
      </w:r>
    </w:p>
    <w:p w14:paraId="60E1E0ED">
      <w:pPr>
        <w:pStyle w:val="4"/>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color w:val="auto"/>
        </w:rPr>
      </w:pPr>
      <w:r>
        <w:rPr>
          <w:color w:val="auto"/>
          <w:spacing w:val="-3"/>
        </w:rPr>
        <w:t xml:space="preserve">防措施的功能，帮助骨伤科医生快速鉴别和预防 </w:t>
      </w:r>
      <w:r>
        <w:rPr>
          <w:color w:val="auto"/>
        </w:rPr>
        <w:t>VTE</w:t>
      </w:r>
      <w:r>
        <w:rPr>
          <w:color w:val="auto"/>
          <w:spacing w:val="-14"/>
        </w:rPr>
        <w:t xml:space="preserve"> 的发生。</w:t>
      </w:r>
    </w:p>
    <w:p w14:paraId="2F383940">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12"/>
          <w:sz w:val="24"/>
        </w:rPr>
        <w:t xml:space="preserve">内科患者 </w:t>
      </w:r>
      <w:r>
        <w:rPr>
          <w:color w:val="auto"/>
          <w:sz w:val="24"/>
        </w:rPr>
        <w:t>VTE</w:t>
      </w:r>
      <w:r>
        <w:rPr>
          <w:color w:val="auto"/>
          <w:spacing w:val="-14"/>
          <w:sz w:val="24"/>
        </w:rPr>
        <w:t xml:space="preserve"> 预防策略</w:t>
      </w:r>
    </w:p>
    <w:p w14:paraId="1372C9B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需提供针对内科患者危险因素评分、出血风险评估、禁忌症筛查和对应的</w:t>
      </w:r>
      <w:r>
        <w:rPr>
          <w:color w:val="auto"/>
          <w:spacing w:val="-1"/>
        </w:rPr>
        <w:t xml:space="preserve">具体预防措施的功能，帮助内科医生快速鉴别和预防 </w:t>
      </w:r>
      <w:r>
        <w:rPr>
          <w:color w:val="auto"/>
        </w:rPr>
        <w:t>VTE</w:t>
      </w:r>
      <w:r>
        <w:rPr>
          <w:color w:val="auto"/>
          <w:spacing w:val="-5"/>
        </w:rPr>
        <w:t xml:space="preserve"> 的发生。</w:t>
      </w:r>
    </w:p>
    <w:p w14:paraId="3D95D5B9">
      <w:pPr>
        <w:pStyle w:val="24"/>
        <w:keepNext w:val="0"/>
        <w:keepLines w:val="0"/>
        <w:pageBreakBefore w:val="0"/>
        <w:widowControl w:val="0"/>
        <w:numPr>
          <w:ilvl w:val="0"/>
          <w:numId w:val="1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12"/>
          <w:sz w:val="24"/>
        </w:rPr>
        <w:t xml:space="preserve">外科手术 </w:t>
      </w:r>
      <w:r>
        <w:rPr>
          <w:color w:val="auto"/>
          <w:sz w:val="24"/>
        </w:rPr>
        <w:t>VTE</w:t>
      </w:r>
      <w:r>
        <w:rPr>
          <w:color w:val="auto"/>
          <w:spacing w:val="-14"/>
          <w:sz w:val="24"/>
        </w:rPr>
        <w:t xml:space="preserve"> 预防策略</w:t>
      </w:r>
    </w:p>
    <w:p w14:paraId="1C2EBC3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需提供针对外科手术患者危险因素评分、出血风险评估、禁忌症筛查和对</w:t>
      </w:r>
      <w:r>
        <w:rPr>
          <w:color w:val="auto"/>
          <w:spacing w:val="-1"/>
        </w:rPr>
        <w:t xml:space="preserve">应的具体预防措施的功能，帮助外科医生快速鉴别和预防 </w:t>
      </w:r>
      <w:r>
        <w:rPr>
          <w:color w:val="auto"/>
        </w:rPr>
        <w:t>VTE</w:t>
      </w:r>
      <w:r>
        <w:rPr>
          <w:color w:val="auto"/>
          <w:spacing w:val="-5"/>
        </w:rPr>
        <w:t xml:space="preserve"> 的发生。</w:t>
      </w:r>
    </w:p>
    <w:p w14:paraId="574947FE">
      <w:pPr>
        <w:pStyle w:val="24"/>
        <w:keepNext w:val="0"/>
        <w:keepLines w:val="0"/>
        <w:pageBreakBefore w:val="0"/>
        <w:widowControl w:val="0"/>
        <w:numPr>
          <w:ilvl w:val="5"/>
          <w:numId w:val="20"/>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相似病例</w:t>
      </w:r>
    </w:p>
    <w:p w14:paraId="0FEE6BB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根据病例相似度权重的排序，推荐与当前病例最相近的历史病例供用户参考和学习，为当前病例的诊疗工作提供决策支持。</w:t>
      </w:r>
    </w:p>
    <w:p w14:paraId="0942DA54">
      <w:pPr>
        <w:pStyle w:val="24"/>
        <w:keepNext w:val="0"/>
        <w:keepLines w:val="0"/>
        <w:pageBreakBefore w:val="0"/>
        <w:widowControl w:val="0"/>
        <w:numPr>
          <w:ilvl w:val="5"/>
          <w:numId w:val="20"/>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用药决策</w:t>
      </w:r>
    </w:p>
    <w:p w14:paraId="658FD9E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根据《抗菌药物临床应用指导原则》的要求来推荐符合当前病例特点的抗菌药物供选择使用。</w:t>
      </w:r>
    </w:p>
    <w:p w14:paraId="4A2CB0F3">
      <w:pPr>
        <w:pStyle w:val="24"/>
        <w:keepNext w:val="0"/>
        <w:keepLines w:val="0"/>
        <w:pageBreakBefore w:val="0"/>
        <w:widowControl w:val="0"/>
        <w:numPr>
          <w:ilvl w:val="5"/>
          <w:numId w:val="20"/>
        </w:numPr>
        <w:tabs>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医学工具</w:t>
      </w:r>
    </w:p>
    <w:p w14:paraId="71FEE26B">
      <w:pPr>
        <w:pStyle w:val="24"/>
        <w:keepNext w:val="0"/>
        <w:keepLines w:val="0"/>
        <w:pageBreakBefore w:val="0"/>
        <w:widowControl w:val="0"/>
        <w:numPr>
          <w:ilvl w:val="0"/>
          <w:numId w:val="2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医学计算公式</w:t>
      </w:r>
    </w:p>
    <w:p w14:paraId="1A376E9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需包含各类医学计算公式，在诊疗过程中医生随时可调用合适的换算工具进行各类指标的换算。</w:t>
      </w:r>
    </w:p>
    <w:p w14:paraId="089478CC">
      <w:pPr>
        <w:pStyle w:val="24"/>
        <w:keepNext w:val="0"/>
        <w:keepLines w:val="0"/>
        <w:pageBreakBefore w:val="0"/>
        <w:widowControl w:val="0"/>
        <w:numPr>
          <w:ilvl w:val="0"/>
          <w:numId w:val="2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临床评分工具</w:t>
      </w:r>
    </w:p>
    <w:p w14:paraId="7D92F5D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需包含各类临床评分工具，在诊疗过程中医生随时可调用合适的临床医学评分工具为患者进行评分，并提示各分值的临床意义。</w:t>
      </w:r>
    </w:p>
    <w:p w14:paraId="7479D219">
      <w:pPr>
        <w:pStyle w:val="24"/>
        <w:keepNext w:val="0"/>
        <w:keepLines w:val="0"/>
        <w:pageBreakBefore w:val="0"/>
        <w:widowControl w:val="0"/>
        <w:numPr>
          <w:ilvl w:val="0"/>
          <w:numId w:val="21"/>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单位剂量换算</w:t>
      </w:r>
    </w:p>
    <w:p w14:paraId="52A8136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需提供常用的单位和剂量的换算功能。</w:t>
      </w:r>
    </w:p>
    <w:p w14:paraId="72373CF0">
      <w:pPr>
        <w:pStyle w:val="24"/>
        <w:keepNext w:val="0"/>
        <w:keepLines w:val="0"/>
        <w:pageBreakBefore w:val="0"/>
        <w:widowControl w:val="0"/>
        <w:numPr>
          <w:ilvl w:val="4"/>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临床知识库</w:t>
      </w:r>
      <w:r>
        <w:rPr>
          <w:b/>
          <w:color w:val="auto"/>
          <w:spacing w:val="-6"/>
          <w:sz w:val="24"/>
        </w:rPr>
        <w:t>系统</w:t>
      </w:r>
    </w:p>
    <w:p w14:paraId="011210A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z w:val="24"/>
          <w:szCs w:val="24"/>
        </w:rPr>
      </w:pPr>
      <w:r>
        <w:rPr>
          <w:rFonts w:hint="default" w:ascii="Arial" w:hAnsi="Arial" w:cs="Arial"/>
          <w:color w:val="auto"/>
          <w:sz w:val="24"/>
          <w:szCs w:val="24"/>
        </w:rPr>
        <w:t>√本次临床决策支持系统需符合《医疗机构临床决策支持系统应用管理规范</w:t>
      </w:r>
    </w:p>
    <w:p w14:paraId="5E775A9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z w:val="24"/>
          <w:szCs w:val="24"/>
        </w:rPr>
      </w:pPr>
      <w:r>
        <w:rPr>
          <w:rFonts w:hint="default" w:ascii="Arial" w:hAnsi="Arial" w:cs="Arial"/>
          <w:color w:val="auto"/>
          <w:sz w:val="24"/>
          <w:szCs w:val="24"/>
        </w:rPr>
        <w:t>（试行）》文件要求。知识库分类管理：提供疾病知识库、诊断知识库、药品知识库、检验检查知识库、体征知识库、手术知识库、护理知识库、过敏史等各类知识库。知识库内容管理：提供常见疾病的详细知识库内容，包括：疾病详情、相 关诊断及鉴别诊断、处置建议、用药建议、检查建议、患者指导等知识库内容；提供诊断标准、诊疗路径等体系的专业知识；通过大数据分析，在医生诊疗过程中精确推送相关医学知识及风险提醒，为医生提供诊疗实现工具；利用多渠道交流、最新科研进展、技术实现，打造医学知识库。</w:t>
      </w:r>
    </w:p>
    <w:p w14:paraId="4090F71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z w:val="24"/>
          <w:szCs w:val="24"/>
        </w:rPr>
      </w:pPr>
      <w:r>
        <w:rPr>
          <w:rFonts w:hint="default" w:ascii="Arial" w:hAnsi="Arial" w:cs="Arial"/>
          <w:color w:val="auto"/>
          <w:sz w:val="24"/>
          <w:szCs w:val="24"/>
        </w:rPr>
        <w:t>√药品说明书：提供中西药药品说明书，实现医生快速在线查看药品适应症、用法用量及使用注意，嵌入医生工作站的方式与医生工作无缝结合，在医生开  立医嘱时能快速调取查看</w:t>
      </w:r>
      <w:r>
        <w:rPr>
          <w:rFonts w:hint="eastAsia" w:ascii="Arial" w:hAnsi="Arial" w:cs="Arial"/>
          <w:color w:val="auto"/>
          <w:sz w:val="24"/>
          <w:szCs w:val="24"/>
          <w:lang w:eastAsia="zh-CN"/>
        </w:rPr>
        <w:t>；</w:t>
      </w:r>
      <w:r>
        <w:rPr>
          <w:rFonts w:hint="default" w:ascii="Arial" w:hAnsi="Arial" w:cs="Arial"/>
          <w:color w:val="auto"/>
          <w:sz w:val="24"/>
          <w:szCs w:val="24"/>
        </w:rPr>
        <w:t>知识库检索：实现检索功能，医生根据需要实时查询需要的知识库内容。包含疾病诊断、药品说明书、最新指南、评估表等。实现共享知识库内容，与各相关业务系统实现互联互通。实现医院门诊、住院以及医院各部门医护人员共享知识库内容，知识互联互通。自建知识库：实现医院在现有医学知识库的基础上，根据自身、临床专科 的特点对知识库进行自建、完善、维护，帮助医院加强知识的获取与管理，以 建设起具有医院/科室诊疗特色和优势的疾病知识体系。实现医院自行维护知识，维护的知识内容可以与院内知识库相结合，并可以直接提供给院内业务系统应用。字典对应：实现医院自行维护知识，维护的知识内容可以与院内知识库相结合，并可以直接在提供给医院的产品中应用。应用规则：提供医院相关应用规则的自建，自建知识库提供的合理性规则可对医疗过程中的检验检查项目、手术医嘱等进行合理性审查。</w:t>
      </w:r>
    </w:p>
    <w:p w14:paraId="34EC2986">
      <w:pPr>
        <w:pStyle w:val="24"/>
        <w:keepNext w:val="0"/>
        <w:keepLines w:val="0"/>
        <w:pageBreakBefore w:val="0"/>
        <w:widowControl w:val="0"/>
        <w:numPr>
          <w:ilvl w:val="3"/>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临床护理</w:t>
      </w:r>
    </w:p>
    <w:p w14:paraId="0609E52B">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住院护士工</w:t>
      </w:r>
      <w:r>
        <w:rPr>
          <w:b/>
          <w:color w:val="auto"/>
          <w:spacing w:val="-6"/>
          <w:sz w:val="24"/>
        </w:rPr>
        <w:t>作站</w:t>
      </w:r>
    </w:p>
    <w:p w14:paraId="7F221F8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pacing w:val="-2"/>
        </w:rPr>
        <w:t>√</w:t>
      </w:r>
      <w:r>
        <w:rPr>
          <w:color w:val="auto"/>
          <w:spacing w:val="-1"/>
        </w:rPr>
        <w:t xml:space="preserve">支持护理白板、移动 </w:t>
      </w:r>
      <w:r>
        <w:rPr>
          <w:color w:val="auto"/>
        </w:rPr>
        <w:t>PDA</w:t>
      </w:r>
      <w:r>
        <w:rPr>
          <w:color w:val="auto"/>
          <w:spacing w:val="-2"/>
        </w:rPr>
        <w:t xml:space="preserve"> 等设备与医院集成平台交互，实现数据交换与共享。协助病房护士完成日常的护理工作，支持病区护理白板、床位管理、患者临床入出转管理、医嘱执行、日常记费、日间病人管理、出院病人随访等功能。</w:t>
      </w:r>
    </w:p>
    <w:p w14:paraId="7F3B990E">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主页管理</w:t>
      </w:r>
    </w:p>
    <w:p w14:paraId="624E682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提供在院患者、已转科患者、他科治疗患者、已出院患者等列表，标识待复核、待执行患者。可提供基于患者的所有功能集成，包括医嘱操作、费用操作、护理操作等。提供业务消息“一体化”处理，护士可快速处理业务流转、业务待办、业务异常消息等消息。提供病人在不同科室之间流转业务的申请提醒，包括病人入院确认、病人</w:t>
      </w:r>
      <w:r>
        <w:rPr>
          <w:color w:val="auto"/>
          <w:spacing w:val="80"/>
          <w:w w:val="150"/>
        </w:rPr>
        <w:t xml:space="preserve"> </w:t>
      </w:r>
      <w:r>
        <w:rPr>
          <w:color w:val="auto"/>
          <w:spacing w:val="-2"/>
        </w:rPr>
        <w:t>科室转出确认、病人科室转入接收、换病区申请、换病区接收、他科治疗申请、他科治疗接收、待通知出院、病区会诊申请、病区会诊接收，支持对提醒业务</w:t>
      </w:r>
      <w:r>
        <w:rPr>
          <w:color w:val="auto"/>
          <w:spacing w:val="80"/>
          <w:w w:val="150"/>
        </w:rPr>
        <w:t xml:space="preserve"> </w:t>
      </w:r>
      <w:r>
        <w:rPr>
          <w:color w:val="auto"/>
          <w:spacing w:val="-2"/>
        </w:rPr>
        <w:t>的直接处理功能。提供病区护士的待办事务提醒，包括待复核医嘱、待检查指引单打印、待退药处理、待退费处理、待催款、待皮试、已转科病人待完成、已换病区病人待完成，支持对提醒业务的直接处理功能。提供病区护士的异常事务提醒，指各类超过设定指标范围产生的异常值，需要人员马上处理的事件。支持异常流程提醒，包括医嘱复核异常、转科异常、换病区异常、他科治疗异常、待退药异常、待退费异常、待皮试异常、已转科异常。支持异常事件提醒，包括检验危急值提醒、检查危急值提醒、药品提交被退回、医技提交被退回、体征记录异常。支持对未完成的护理相关评估单有提醒业务及直接处理功能。护士有权限在病案首页进行质控并签名。</w:t>
      </w:r>
    </w:p>
    <w:p w14:paraId="25FEF008">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患者入出转管理</w:t>
      </w:r>
    </w:p>
    <w:p w14:paraId="2FB171A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支持护士按照流程完成患者床位分配、转科治疗、出院办理事务，并对患者相关信息进行补充完善。</w:t>
      </w:r>
      <w:r>
        <w:rPr>
          <w:color w:val="auto"/>
        </w:rPr>
        <w:t>支持床位费自动累加，可按半天累加，12</w:t>
      </w:r>
      <w:r>
        <w:rPr>
          <w:color w:val="auto"/>
          <w:spacing w:val="-10"/>
        </w:rPr>
        <w:t xml:space="preserve"> 点前入院，按 </w:t>
      </w:r>
      <w:r>
        <w:rPr>
          <w:color w:val="auto"/>
        </w:rPr>
        <w:t>1</w:t>
      </w:r>
      <w:r>
        <w:rPr>
          <w:color w:val="auto"/>
          <w:spacing w:val="-6"/>
        </w:rPr>
        <w:t xml:space="preserve"> 天床位费计算，</w:t>
      </w:r>
      <w:r>
        <w:rPr>
          <w:color w:val="auto"/>
        </w:rPr>
        <w:t xml:space="preserve"> 12</w:t>
      </w:r>
      <w:r>
        <w:rPr>
          <w:color w:val="auto"/>
          <w:spacing w:val="-7"/>
        </w:rPr>
        <w:t xml:space="preserve"> 点后入院按半天床位费计算。</w:t>
      </w:r>
      <w:r>
        <w:rPr>
          <w:color w:val="auto"/>
          <w:spacing w:val="-2"/>
        </w:rPr>
        <w:t>提供床位病人的搜索功用，按全部、空床、病人，出院，过敏，护理级别，科室，病情过滤功能，提供不同的床位（或病人）展视视图。</w:t>
      </w:r>
      <w:r>
        <w:rPr>
          <w:color w:val="auto"/>
          <w:spacing w:val="-1"/>
        </w:rPr>
        <w:t>支持根据住院号、床号、病人姓名等条件精确定位病人。</w:t>
      </w:r>
      <w:r>
        <w:rPr>
          <w:color w:val="auto"/>
          <w:spacing w:val="-2"/>
        </w:rPr>
        <w:t>提供床位细卡、床位简卡及病人列表，床位根据显示分辨率自动调整部局，按床位显示床号进行排序。</w:t>
      </w:r>
      <w:r>
        <w:rPr>
          <w:color w:val="auto"/>
        </w:rPr>
        <w:t>提供普通床位、加床、虚床、婴儿床（空床不显示）</w:t>
      </w:r>
      <w:r>
        <w:rPr>
          <w:color w:val="auto"/>
          <w:spacing w:val="-10"/>
        </w:rPr>
        <w:t>。</w:t>
      </w:r>
      <w:r>
        <w:rPr>
          <w:color w:val="auto"/>
          <w:spacing w:val="-1"/>
        </w:rPr>
        <w:t>提供床位的状态管理、备注信息管理、管床医生设置、管床护士设置。支持床位背景色自定义维护，并可指定优先级顺序。</w:t>
      </w:r>
      <w:r>
        <w:rPr>
          <w:color w:val="auto"/>
          <w:spacing w:val="11"/>
        </w:rPr>
        <w:t>支持床位明细卡上护理标志</w:t>
      </w:r>
      <w:r>
        <w:rPr>
          <w:color w:val="auto"/>
          <w:spacing w:val="12"/>
        </w:rPr>
        <w:t>（</w:t>
      </w:r>
      <w:r>
        <w:rPr>
          <w:color w:val="auto"/>
          <w:spacing w:val="10"/>
        </w:rPr>
        <w:t>一级护理、二级护理、三级护理、特级护</w:t>
      </w:r>
      <w:r>
        <w:rPr>
          <w:color w:val="auto"/>
          <w:spacing w:val="-2"/>
        </w:rPr>
        <w:t>理），过敏药物标志，转科标志，入院诊断标志，出院结算标志、新生儿标志等图标自定义维护。支持直接拖拽床位进行转床，包床、退床、换床等操作，方便快捷。支持通过床卡直接打印患者腕带。</w:t>
      </w:r>
    </w:p>
    <w:p w14:paraId="25AF08D6">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医嘱管理</w:t>
      </w:r>
    </w:p>
    <w:p w14:paraId="0D5B060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eastAsia" w:ascii="冬青黑体简体中文" w:hAnsi="冬青黑体简体中文" w:eastAsia="冬青黑体简体中文" w:cs="冬青黑体简体中文"/>
          <w:color w:val="auto"/>
          <w:spacing w:val="-2"/>
        </w:rPr>
        <w:t>▲</w:t>
      </w:r>
      <w:r>
        <w:rPr>
          <w:color w:val="auto"/>
          <w:spacing w:val="-2"/>
        </w:rPr>
        <w:t>医嘱复核：对医生医嘱、护理医嘱进行复核处理及附加计价录入。支持对本病区的病人待复核的医嘱可批量复核。</w:t>
      </w:r>
    </w:p>
    <w:p w14:paraId="651B5D0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医嘱录入：提供护理医嘱及医嘱组套录入功能。文字医嘱（应包括护理医嘱）结构化。医嘱计划：对复核过的医生医嘱、护理医嘱按照频次自动分解出执行计划。医嘱执行：药品医嘱提交、执行，项目医嘱、附加医嘱、嘱托医嘱执行及</w:t>
      </w:r>
      <w:r>
        <w:rPr>
          <w:color w:val="auto"/>
          <w:spacing w:val="-4"/>
        </w:rPr>
        <w:t>计费。</w:t>
      </w:r>
      <w:r>
        <w:rPr>
          <w:color w:val="auto"/>
          <w:spacing w:val="-1"/>
        </w:rPr>
        <w:t>医嘱退药：具备退药申请功能。</w:t>
      </w:r>
      <w:r>
        <w:rPr>
          <w:color w:val="auto"/>
          <w:spacing w:val="-2"/>
        </w:rPr>
        <w:t>医嘱查询：对患者所有医嘱（含历史医嘱）和医嘱附加项、医嘱计费及医嘱计划进行查询。</w:t>
      </w:r>
    </w:p>
    <w:p w14:paraId="0ABBC5AD">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账户管理</w:t>
      </w:r>
    </w:p>
    <w:p w14:paraId="420AB38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账户查询：对患者住院账户明细费用进行查询。催款管理：对患者余额符合设置值内的患者进行催款处理。支持催款消息推送。费用清单：提供患者每日费用清单。支持清单消息推送。√费用核对：对患者在院期间应收费用进行核对。</w:t>
      </w:r>
    </w:p>
    <w:p w14:paraId="56DBB502">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各类单据打印</w:t>
      </w:r>
    </w:p>
    <w:p w14:paraId="2B64439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√支持输液、注射、口服、雾吸等各类执行单、治疗单打印</w:t>
      </w:r>
      <w:r>
        <w:rPr>
          <w:rFonts w:hint="eastAsia" w:ascii="Arial" w:hAnsi="Arial" w:cs="Arial"/>
          <w:color w:val="auto"/>
          <w:spacing w:val="-2"/>
          <w:lang w:eastAsia="zh-CN"/>
        </w:rPr>
        <w:t>。</w:t>
      </w:r>
      <w:r>
        <w:rPr>
          <w:rFonts w:hint="default" w:ascii="Arial" w:hAnsi="Arial" w:cs="Arial"/>
          <w:color w:val="auto"/>
          <w:spacing w:val="-2"/>
        </w:rPr>
        <w:t>支持领药单、退药单打印。支持各类检查预约单打印。</w:t>
      </w:r>
    </w:p>
    <w:p w14:paraId="18B03691">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危急值提醒</w:t>
      </w:r>
    </w:p>
    <w:p w14:paraId="55A75FAA">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具备接收医技系统发出的危急值提醒信息功能，确认人、确认时间等信息</w:t>
      </w:r>
    </w:p>
    <w:p w14:paraId="1C017CDE">
      <w:pPr>
        <w:pStyle w:val="4"/>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color w:val="auto"/>
        </w:rPr>
      </w:pPr>
      <w:r>
        <w:rPr>
          <w:color w:val="auto"/>
          <w:spacing w:val="-3"/>
        </w:rPr>
        <w:t>可反馈。</w:t>
      </w:r>
    </w:p>
    <w:p w14:paraId="0089EB24">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退回撤销功能</w:t>
      </w:r>
    </w:p>
    <w:p w14:paraId="2E8D73B4">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提供各类退回撤销功能，包括出院取消、转科取消、医嘱退回等。</w:t>
      </w:r>
    </w:p>
    <w:p w14:paraId="47EDB46D">
      <w:pPr>
        <w:pStyle w:val="24"/>
        <w:keepNext w:val="0"/>
        <w:keepLines w:val="0"/>
        <w:pageBreakBefore w:val="0"/>
        <w:widowControl w:val="0"/>
        <w:numPr>
          <w:ilvl w:val="0"/>
          <w:numId w:val="2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5"/>
          <w:sz w:val="24"/>
        </w:rPr>
        <w:t>其他</w:t>
      </w:r>
    </w:p>
    <w:p w14:paraId="0F9CD07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√不良事件报告：具备不良事件上报功能</w:t>
      </w:r>
      <w:r>
        <w:rPr>
          <w:rFonts w:hint="eastAsia" w:ascii="Arial" w:hAnsi="Arial" w:cs="Arial"/>
          <w:color w:val="auto"/>
          <w:spacing w:val="-2"/>
          <w:lang w:eastAsia="zh-CN"/>
        </w:rPr>
        <w:t>。</w:t>
      </w:r>
      <w:r>
        <w:rPr>
          <w:rFonts w:hint="default" w:ascii="Arial" w:hAnsi="Arial" w:cs="Arial"/>
          <w:color w:val="auto"/>
          <w:spacing w:val="-2"/>
        </w:rPr>
        <w:t>护理交接班：实现交接班报告。住院业务查询功能：具备各类住院业务相关信息查询功能。病人药箱：支持自备药、大包装、整量发药等药品管理；病区药品核收：病区对药房所发的药品进行核对签收，核对签收可按已发药的提交单，在提交表中增加签收标志，可选择多张提交单同时核对，再按药品或病人进行分类核对。三级库房：对病区的三级药房进行操作。可将一个药房设置为病区的三级药房。医嘱录入是发药属性为病区发药的药品医嘱在三级药房发药。</w:t>
      </w:r>
    </w:p>
    <w:p w14:paraId="563E7AA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eastAsia" w:ascii="Arial" w:hAnsi="Arial" w:cs="Arial"/>
          <w:color w:val="auto"/>
          <w:spacing w:val="-2"/>
        </w:rPr>
        <w:t>★</w:t>
      </w:r>
      <w:r>
        <w:rPr>
          <w:rFonts w:hint="default" w:ascii="Arial" w:hAnsi="Arial" w:cs="Arial"/>
          <w:color w:val="auto"/>
          <w:spacing w:val="-2"/>
        </w:rPr>
        <w:t>支持住院患者未完成工作“一体化”处理界面，可处理未复核医嘱、发药未提交、退药未提交、医技未提交、未记费、记费未确认、退费未确认等未完成工作，通过页面切换到相关业务进行操作，支持查看患者在其他病区未完成工作；用于当前病区未完成工作，显示出未复核医嘱、发药未发送、退药未发送、医技未提交、未计费、计费未确认、退费未确认等未完成工作的数据，提供页面弹出功能，以弹出相应的操作页面。不仅支持查看本病区未完成工作，还支持查看其他病区未完成工作。</w:t>
      </w:r>
    </w:p>
    <w:p w14:paraId="4AD69C99">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护理记录</w:t>
      </w:r>
    </w:p>
    <w:p w14:paraId="56D3427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rPr>
      </w:pPr>
      <w:r>
        <w:rPr>
          <w:rFonts w:hint="default" w:ascii="Arial" w:hAnsi="Arial" w:cs="Arial"/>
          <w:color w:val="auto"/>
          <w:spacing w:val="-2"/>
        </w:rPr>
        <w:t>√</w:t>
      </w:r>
      <w:r>
        <w:rPr>
          <w:color w:val="auto"/>
          <w:spacing w:val="-2"/>
        </w:rPr>
        <w:t>支持护士书写护理病历的业务操作，采取全结构化的护理病历和表单式的</w:t>
      </w:r>
      <w:r>
        <w:rPr>
          <w:color w:val="auto"/>
          <w:spacing w:val="80"/>
          <w:w w:val="150"/>
        </w:rPr>
        <w:t xml:space="preserve"> </w:t>
      </w:r>
      <w:r>
        <w:rPr>
          <w:color w:val="auto"/>
          <w:spacing w:val="-2"/>
        </w:rPr>
        <w:t>护理记录，支持多种多样的个人或者科室模版，支持自定义符号，支持各系统</w:t>
      </w:r>
      <w:r>
        <w:rPr>
          <w:color w:val="auto"/>
          <w:spacing w:val="80"/>
          <w:w w:val="150"/>
        </w:rPr>
        <w:t xml:space="preserve"> </w:t>
      </w:r>
      <w:r>
        <w:rPr>
          <w:color w:val="auto"/>
          <w:spacing w:val="-2"/>
        </w:rPr>
        <w:t>之间的数据连通，支持数据的相互引用，支持查看患者病历文书、检查、检验、病理等。提供护士书写的护理资料包括：体温单、入院评估单、专项评估记录、护理记录单、转科记录单、各类交接单以及其他特殊护理记录单等。</w:t>
      </w:r>
    </w:p>
    <w:p w14:paraId="1B890588">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护理病历模板管理</w:t>
      </w:r>
    </w:p>
    <w:p w14:paraId="4EA9190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8" w:firstLine="479"/>
        <w:textAlignment w:val="auto"/>
        <w:rPr>
          <w:color w:val="auto"/>
        </w:rPr>
      </w:pPr>
      <w:r>
        <w:rPr>
          <w:rFonts w:hint="default" w:ascii="Arial" w:hAnsi="Arial" w:cs="Arial"/>
          <w:color w:val="auto"/>
          <w:spacing w:val="-2"/>
        </w:rPr>
        <w:t>√</w:t>
      </w:r>
      <w:r>
        <w:rPr>
          <w:color w:val="auto"/>
          <w:spacing w:val="-2"/>
        </w:rPr>
        <w:t>实现多种多样的个人或者科室模版，实现自定义符号。实现对护理病历模板进行配置管理，实现进行模板元素和样式的配置。</w:t>
      </w:r>
    </w:p>
    <w:p w14:paraId="66F2B404">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权限管理</w:t>
      </w:r>
    </w:p>
    <w:p w14:paraId="2F76D17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基于医院集团统一门户平台，实现统一身份认证，实现对护理病历的操作权限进行同步管理，实现按照角色对人员操作护理病历的权限进行指定，实现对护士电子签名进行同步管理。</w:t>
      </w:r>
    </w:p>
    <w:p w14:paraId="1B2AA8B1">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患者分类管理</w:t>
      </w:r>
    </w:p>
    <w:p w14:paraId="2879A86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实现在院患者一览，近期出院患者一览、近期转出患者一览及授权患者一览，实现对病区患者的分类管理并具备质控管理。对出院病人一定时限内有质</w:t>
      </w:r>
      <w:r>
        <w:rPr>
          <w:color w:val="auto"/>
          <w:spacing w:val="-4"/>
        </w:rPr>
        <w:t>控权限。</w:t>
      </w:r>
    </w:p>
    <w:p w14:paraId="31CA6A1D">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护理病历书写</w:t>
      </w:r>
    </w:p>
    <w:p w14:paraId="417CF43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pacing w:val="-2"/>
        </w:rPr>
      </w:pPr>
      <w:r>
        <w:rPr>
          <w:rFonts w:hint="default" w:ascii="Arial" w:hAnsi="Arial" w:cs="Arial"/>
          <w:color w:val="auto"/>
          <w:spacing w:val="-2"/>
        </w:rPr>
        <w:t>√支持患者生命体征录入；支持各类护理记录录入。支持在护理文书书写过程中，同屏查看患者临床诊疗信息，包括但不限于电子病历、医嘱等。①生命体征记录</w:t>
      </w:r>
      <w:r>
        <w:rPr>
          <w:rFonts w:hint="eastAsia" w:ascii="Arial" w:hAnsi="Arial" w:cs="Arial"/>
          <w:color w:val="auto"/>
          <w:spacing w:val="-2"/>
          <w:lang w:eastAsia="zh-CN"/>
        </w:rPr>
        <w:t>：</w:t>
      </w:r>
      <w:r>
        <w:rPr>
          <w:rFonts w:hint="default" w:ascii="Arial" w:hAnsi="Arial" w:cs="Arial"/>
          <w:color w:val="auto"/>
          <w:spacing w:val="-2"/>
        </w:rPr>
        <w:t>体温单主要用于记录患者的生命体征及有关情况，内容包括患者姓名、年龄、性别、科别、床号、入院日期、住院号、日期、住院天数、脉搏、呼吸、体温、血压、出入量、体重、身高、页码等。系统预填部分内容：如医生处填写的病历内容，像诊断、主诉等；可自动获取入院处生命体征等。系统针对录入的体征信息，按卫生部规定的体温单格式输出，护士可以集中录入体征信息和临床事件，或通过移动护理系统在 PDA 端录入病人的体征信息，同时在护士电脑上实时生成体温单，避免二次录入，节省护士的时间，减轻护士工作量，避免重复可能导致的差错。</w:t>
      </w:r>
    </w:p>
    <w:p w14:paraId="016EB8A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pacing w:val="-2"/>
        </w:rPr>
      </w:pPr>
      <w:r>
        <w:rPr>
          <w:rFonts w:hint="default" w:ascii="Arial" w:hAnsi="Arial" w:cs="Arial"/>
          <w:color w:val="auto"/>
          <w:spacing w:val="-2"/>
        </w:rPr>
        <w:t>√具备实时监测患者风险评估及生命体征异常数据，根据医院定制监测规则配置，智能触发对应护理计划进行填写。②护理病历书写</w:t>
      </w:r>
      <w:r>
        <w:rPr>
          <w:rFonts w:hint="eastAsia" w:ascii="Arial" w:hAnsi="Arial" w:cs="Arial"/>
          <w:color w:val="auto"/>
          <w:spacing w:val="-2"/>
          <w:lang w:eastAsia="zh-CN"/>
        </w:rPr>
        <w:t>：</w:t>
      </w:r>
      <w:r>
        <w:rPr>
          <w:rFonts w:hint="default" w:ascii="Arial" w:hAnsi="Arial" w:cs="Arial"/>
          <w:color w:val="auto"/>
          <w:spacing w:val="-2"/>
        </w:rPr>
        <w:t>护理病历书写模块辅助护士完成护理病历、护理文书数据的输入。在护理病历结构设计模块设计护理病历的结构和显示样式，在护理病历书写模块根据护理病历结构和每位病人的病情填写数据。护理病历结构和数据组合成一份护理病历，护理病历的书写支持结构化录入和模板调用等多种方式，书写元素丰富，提高了书写的工作效率。在书写病历时，系统自动写上模板中的默认值，用户只需直接修改即可。用户直接点击需要录入的元素，鼠标右击、鼠标双击或键盘回车均可调出当前元素的下拉内容。用户只需在下拉框中自己需要的内容即可；对于含有关联的内容，如过敏史，当用户选择有后系统可自动识别用户书写的内容，然后自动显示出对应的内容。</w:t>
      </w:r>
    </w:p>
    <w:p w14:paraId="7F1D691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pacing w:val="-2"/>
        </w:rPr>
      </w:pPr>
      <w:r>
        <w:rPr>
          <w:rFonts w:hint="default" w:ascii="Arial" w:hAnsi="Arial" w:cs="Arial"/>
          <w:color w:val="auto"/>
          <w:spacing w:val="-2"/>
        </w:rPr>
        <w:t>√对于书写完成的护理病历，支持批量审查和签名；对于持待完成护理记录的文书，支持对护理人员进行提醒功能。并对全院各病区的专项护理评估信息进行集中汇总，展现给护理管理者，以便对上述病人的护理工作进行及时的跟踪管理。除了系统自动产生的质控，也可以通过护士长、科护士长等实时检查护理记录，发现问题后可以发送整改通知或口头通知。</w:t>
      </w:r>
    </w:p>
    <w:p w14:paraId="26999A65">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风险评估录入</w:t>
      </w:r>
    </w:p>
    <w:p w14:paraId="6F23FE5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系统能够提供对临床护理不良事件发生风险进行及时有效地评估的功能，具体提供压疮、导管、跌倒、疼痛、深静脉血栓、失禁性皮炎、吞咽障碍、自</w:t>
      </w:r>
      <w:r>
        <w:rPr>
          <w:color w:val="auto"/>
        </w:rPr>
        <w:t>理能力、GCS</w:t>
      </w:r>
      <w:r>
        <w:rPr>
          <w:color w:val="auto"/>
          <w:spacing w:val="-6"/>
        </w:rPr>
        <w:t xml:space="preserve"> 评估等 </w:t>
      </w:r>
      <w:r>
        <w:rPr>
          <w:color w:val="auto"/>
        </w:rPr>
        <w:t>13</w:t>
      </w:r>
      <w:r>
        <w:rPr>
          <w:color w:val="auto"/>
          <w:spacing w:val="-4"/>
        </w:rPr>
        <w:t xml:space="preserve"> 类临床专项护理评估功能</w:t>
      </w:r>
      <w:r>
        <w:rPr>
          <w:rFonts w:hint="eastAsia"/>
          <w:color w:val="auto"/>
          <w:spacing w:val="-4"/>
          <w:lang w:eastAsia="zh-CN"/>
        </w:rPr>
        <w:t>；</w:t>
      </w:r>
      <w:r>
        <w:rPr>
          <w:color w:val="auto"/>
          <w:spacing w:val="-2"/>
        </w:rPr>
        <w:t>每类评估提供相应的护理措施记录。</w:t>
      </w:r>
      <w:r>
        <w:rPr>
          <w:rFonts w:hint="default" w:ascii="Arial" w:hAnsi="Arial" w:cs="Arial"/>
          <w:color w:val="auto"/>
          <w:spacing w:val="-2"/>
        </w:rPr>
        <w:t>√</w:t>
      </w:r>
      <w:r>
        <w:rPr>
          <w:color w:val="auto"/>
          <w:spacing w:val="-2"/>
        </w:rPr>
        <w:t>支持对评估信息的统计查询功能</w:t>
      </w:r>
      <w:r>
        <w:rPr>
          <w:rFonts w:hint="eastAsia"/>
          <w:color w:val="auto"/>
          <w:spacing w:val="-2"/>
          <w:lang w:eastAsia="zh-CN"/>
        </w:rPr>
        <w:t>；</w:t>
      </w:r>
      <w:r>
        <w:rPr>
          <w:color w:val="auto"/>
          <w:spacing w:val="-2"/>
        </w:rPr>
        <w:t>支持在系统适当位置实时提醒风险评估状态及结果信息</w:t>
      </w:r>
      <w:r>
        <w:rPr>
          <w:rFonts w:hint="eastAsia"/>
          <w:color w:val="auto"/>
          <w:spacing w:val="-2"/>
          <w:lang w:eastAsia="zh-CN"/>
        </w:rPr>
        <w:t>；</w:t>
      </w:r>
      <w:r>
        <w:rPr>
          <w:color w:val="auto"/>
          <w:spacing w:val="-2"/>
        </w:rPr>
        <w:t>专项护理评估表格支持打印功能。</w:t>
      </w:r>
    </w:p>
    <w:p w14:paraId="49C954D7">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早期预警评分机制</w:t>
      </w:r>
    </w:p>
    <w:p w14:paraId="328F500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6" w:firstLine="479"/>
        <w:jc w:val="both"/>
        <w:textAlignment w:val="auto"/>
        <w:rPr>
          <w:color w:val="auto"/>
        </w:rPr>
      </w:pPr>
      <w:r>
        <w:rPr>
          <w:rFonts w:hint="default" w:ascii="Arial" w:hAnsi="Arial" w:cs="Arial"/>
          <w:color w:val="auto"/>
          <w:spacing w:val="-2"/>
        </w:rPr>
        <w:t>√</w:t>
      </w:r>
      <w:r>
        <w:rPr>
          <w:color w:val="auto"/>
          <w:spacing w:val="-4"/>
        </w:rPr>
        <w:t xml:space="preserve">支持根据评估单中患者的体征数据系统自动计算早期 </w:t>
      </w:r>
      <w:r>
        <w:rPr>
          <w:color w:val="auto"/>
          <w:spacing w:val="-2"/>
        </w:rPr>
        <w:t>MEWS</w:t>
      </w:r>
      <w:r>
        <w:rPr>
          <w:color w:val="auto"/>
          <w:spacing w:val="-7"/>
        </w:rPr>
        <w:t xml:space="preserve"> 预警评分，出现</w:t>
      </w:r>
      <w:r>
        <w:rPr>
          <w:color w:val="auto"/>
          <w:spacing w:val="-2"/>
        </w:rPr>
        <w:t>异常情况进行弹窗预警。支持根据评估单中患者的体征数据（体温、心率、收缩压、呼吸、意识）</w:t>
      </w:r>
      <w:r>
        <w:rPr>
          <w:color w:val="auto"/>
          <w:spacing w:val="-5"/>
        </w:rPr>
        <w:t xml:space="preserve">系统自动计算早期 </w:t>
      </w:r>
      <w:r>
        <w:rPr>
          <w:color w:val="auto"/>
          <w:spacing w:val="-2"/>
        </w:rPr>
        <w:t>PEWS</w:t>
      </w:r>
      <w:r>
        <w:rPr>
          <w:color w:val="auto"/>
          <w:spacing w:val="-7"/>
        </w:rPr>
        <w:t xml:space="preserve"> 预警评分。可根据评分情况提供对应的护理措施，以及</w:t>
      </w:r>
      <w:r>
        <w:rPr>
          <w:color w:val="auto"/>
          <w:spacing w:val="-2"/>
        </w:rPr>
        <w:t>生成一段语句同步至护理记录单，患者病情事实同步至医生端。</w:t>
      </w:r>
    </w:p>
    <w:p w14:paraId="1EAB4688">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不良事件上报</w:t>
      </w:r>
    </w:p>
    <w:p w14:paraId="358B589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系统能够与医疗不良事件上报系统相对接，支持临床护士方便快捷地对护理不良事件进行登记上报。</w:t>
      </w:r>
      <w:r>
        <w:rPr>
          <w:color w:val="auto"/>
          <w:spacing w:val="-1"/>
        </w:rPr>
        <w:t>上报时，支持自动获取患者基本信息，免去护理人员在不同系统间重复录入，提升护理工作质量及效率。</w:t>
      </w:r>
    </w:p>
    <w:p w14:paraId="757AE566">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护理任务生成</w:t>
      </w:r>
    </w:p>
    <w:p w14:paraId="256A71F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如患者存在异常体征项，系统会根据临床规则提醒，自动生成护理任务。任务类型包括：医嘱执行、输血、体征、护理文书、巡视、皮试结果查看、交接单、健康宣教八种类型。</w:t>
      </w:r>
    </w:p>
    <w:p w14:paraId="0FCAF980">
      <w:pPr>
        <w:pStyle w:val="24"/>
        <w:keepNext w:val="0"/>
        <w:keepLines w:val="0"/>
        <w:pageBreakBefore w:val="0"/>
        <w:widowControl w:val="0"/>
        <w:numPr>
          <w:ilvl w:val="0"/>
          <w:numId w:val="23"/>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批量录入</w:t>
      </w:r>
    </w:p>
    <w:p w14:paraId="7E924D1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批量体征录入模式下系统能够根据病人护理等级及医院相关规则自动提示在每个时间段应该给哪些病人进行体征的快捷录入，病区待测、漏测患者以及异常体征会有明显标识。</w:t>
      </w:r>
    </w:p>
    <w:p w14:paraId="2B86991C">
      <w:pPr>
        <w:pStyle w:val="24"/>
        <w:keepNext w:val="0"/>
        <w:keepLines w:val="0"/>
        <w:pageBreakBefore w:val="0"/>
        <w:widowControl w:val="0"/>
        <w:numPr>
          <w:ilvl w:val="0"/>
          <w:numId w:val="2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交接单工作台</w:t>
      </w:r>
    </w:p>
    <w:p w14:paraId="3010CB7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支持在统一入口快捷处理病区的交接单，包括待处理、已处理交接单。满足不同类型交接单的交接书写工作：系统后台自由配置模板，自由定义书写权</w:t>
      </w:r>
      <w:r>
        <w:rPr>
          <w:color w:val="auto"/>
          <w:spacing w:val="-6"/>
        </w:rPr>
        <w:t>限。</w:t>
      </w:r>
    </w:p>
    <w:p w14:paraId="07F725AE">
      <w:pPr>
        <w:pStyle w:val="24"/>
        <w:keepNext w:val="0"/>
        <w:keepLines w:val="0"/>
        <w:pageBreakBefore w:val="0"/>
        <w:widowControl w:val="0"/>
        <w:numPr>
          <w:ilvl w:val="0"/>
          <w:numId w:val="23"/>
        </w:numPr>
        <w:tabs>
          <w:tab w:val="left" w:pos="1422"/>
        </w:tabs>
        <w:kinsoku/>
        <w:wordWrap/>
        <w:overflowPunct/>
        <w:topLinePunct w:val="0"/>
        <w:autoSpaceDE w:val="0"/>
        <w:autoSpaceDN w:val="0"/>
        <w:bidi w:val="0"/>
        <w:adjustRightInd/>
        <w:snapToGrid/>
        <w:spacing w:before="0" w:line="360" w:lineRule="auto"/>
        <w:ind w:left="1421" w:hanging="722"/>
        <w:jc w:val="both"/>
        <w:textAlignment w:val="auto"/>
        <w:rPr>
          <w:color w:val="auto"/>
          <w:sz w:val="24"/>
        </w:rPr>
      </w:pPr>
      <w:r>
        <w:rPr>
          <w:color w:val="auto"/>
          <w:spacing w:val="-15"/>
          <w:sz w:val="24"/>
        </w:rPr>
        <w:t xml:space="preserve">无纸化 </w:t>
      </w:r>
      <w:r>
        <w:rPr>
          <w:color w:val="auto"/>
          <w:spacing w:val="-5"/>
          <w:sz w:val="24"/>
        </w:rPr>
        <w:t>CA</w:t>
      </w:r>
    </w:p>
    <w:p w14:paraId="355BDEF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8" w:firstLine="479"/>
        <w:jc w:val="both"/>
        <w:textAlignment w:val="auto"/>
        <w:rPr>
          <w:color w:val="auto"/>
        </w:rPr>
      </w:pPr>
      <w:r>
        <w:rPr>
          <w:rFonts w:hint="default" w:ascii="Arial" w:hAnsi="Arial" w:cs="Arial"/>
          <w:color w:val="auto"/>
          <w:sz w:val="24"/>
          <w:szCs w:val="24"/>
        </w:rPr>
        <w:t>√</w:t>
      </w:r>
      <w:r>
        <w:rPr>
          <w:color w:val="auto"/>
          <w:spacing w:val="-2"/>
        </w:rPr>
        <w:t>如果把电子病历看作是一组静态的医疗记录文档,那么，通过对各份独立文档的数字签名(包含时间戳)，可以实现电子病历的数字签名。医疗文档完成或归档后经过数字签名可以保证签名之后医疗文档的原始性。</w:t>
      </w:r>
    </w:p>
    <w:p w14:paraId="431E3FB1">
      <w:pPr>
        <w:pStyle w:val="24"/>
        <w:keepNext w:val="0"/>
        <w:keepLines w:val="0"/>
        <w:pageBreakBefore w:val="0"/>
        <w:widowControl w:val="0"/>
        <w:numPr>
          <w:ilvl w:val="0"/>
          <w:numId w:val="2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生命体征管理</w:t>
      </w:r>
    </w:p>
    <w:p w14:paraId="19F35D6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实现体征异常查询，对于体征异常进行提醒，对录入的数据进行校验提醒，实现数据同步和引用。</w:t>
      </w:r>
    </w:p>
    <w:p w14:paraId="739B55F7">
      <w:pPr>
        <w:pStyle w:val="24"/>
        <w:keepNext w:val="0"/>
        <w:keepLines w:val="0"/>
        <w:pageBreakBefore w:val="0"/>
        <w:widowControl w:val="0"/>
        <w:numPr>
          <w:ilvl w:val="0"/>
          <w:numId w:val="23"/>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护理病历质控</w:t>
      </w:r>
    </w:p>
    <w:p w14:paraId="6B83B67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护士书写时，提供书写内容质控以及内容的有效性质控，支持体征录入值的校验以及对异常值的提醒功能。文书书写痕迹可追溯。并对全院各病区的专项护理评估信息进行集中汇总，展现给护理管理者，以便对上述病人的护理工作进行及时的跟踪管理。除了系统自动产生的质控，也可以通过护士长、科护士长等实时检查护理记录，发现问题后可以发送整改通知或口头通知。</w:t>
      </w:r>
    </w:p>
    <w:p w14:paraId="09986BCE">
      <w:pPr>
        <w:pStyle w:val="24"/>
        <w:keepNext w:val="0"/>
        <w:keepLines w:val="0"/>
        <w:pageBreakBefore w:val="0"/>
        <w:widowControl w:val="0"/>
        <w:numPr>
          <w:ilvl w:val="0"/>
          <w:numId w:val="24"/>
        </w:numPr>
        <w:tabs>
          <w:tab w:val="left" w:pos="1422"/>
        </w:tabs>
        <w:kinsoku/>
        <w:wordWrap/>
        <w:overflowPunct/>
        <w:topLinePunct w:val="0"/>
        <w:autoSpaceDE w:val="0"/>
        <w:autoSpaceDN w:val="0"/>
        <w:bidi w:val="0"/>
        <w:adjustRightInd/>
        <w:snapToGrid/>
        <w:spacing w:before="0" w:line="360" w:lineRule="auto"/>
        <w:ind w:hanging="722"/>
        <w:textAlignment w:val="auto"/>
        <w:rPr>
          <w:color w:val="auto"/>
          <w:sz w:val="24"/>
        </w:rPr>
      </w:pPr>
      <w:r>
        <w:rPr>
          <w:color w:val="auto"/>
          <w:spacing w:val="-2"/>
          <w:sz w:val="24"/>
        </w:rPr>
        <w:t>护理病历查询统计</w:t>
      </w:r>
    </w:p>
    <w:p w14:paraId="289D5D96">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具备护理病历查询统计分析功能。</w:t>
      </w:r>
    </w:p>
    <w:p w14:paraId="5C9FC153">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病区电子白板系</w:t>
      </w:r>
      <w:r>
        <w:rPr>
          <w:b/>
          <w:color w:val="auto"/>
          <w:spacing w:val="-10"/>
          <w:sz w:val="24"/>
        </w:rPr>
        <w:t>统</w:t>
      </w:r>
    </w:p>
    <w:p w14:paraId="66CF947D">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病房动态</w:t>
      </w:r>
    </w:p>
    <w:p w14:paraId="4B71696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病区动态模块可集中展示病区关注的重要综合内容。通过数据接口，可从其他信息系统中获取信息，包括出入院信息、手术信息、特殊护理等级病人信息、危重病人信息、不良事件病人信息等。除此之外，可以查看今日医生和护士的班次信息。</w:t>
      </w:r>
    </w:p>
    <w:p w14:paraId="46AC4E77">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床位资讯</w:t>
      </w:r>
    </w:p>
    <w:p w14:paraId="43EB58B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pacing w:val="-2"/>
        </w:rPr>
        <w:t>√</w:t>
      </w:r>
      <w:r>
        <w:rPr>
          <w:color w:val="auto"/>
          <w:spacing w:val="-2"/>
        </w:rPr>
        <w:t>床位资讯模块用于替代传统纸质床位卡，减少护士人工维护工作负荷。除了可以展示病人基本信息和异常状态信息以外，通过身份验证后，还可以查看病人的详细在院情况，包括医嘱信息、检验信息、手术信息等。系统还支持把病人的住院指标变化趋势进行可视化展示。可查看病人的详细诊疗信息包括：医嘱查询：在电子护理白板上可查看所选病人包括长嘱临嘱在内的各类医嘱信息，以及已停医嘱，药品医嘱和其他医嘱等，帮助医护人员快速梳理病人医嘱情况，避免医嘱信息遗漏情况的发生。</w:t>
      </w:r>
    </w:p>
    <w:p w14:paraId="03320C5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spacing w:val="-2"/>
        </w:rPr>
      </w:pPr>
      <w:r>
        <w:rPr>
          <w:rFonts w:hint="default" w:ascii="Arial" w:hAnsi="Arial" w:cs="Arial"/>
          <w:color w:val="auto"/>
          <w:spacing w:val="-2"/>
        </w:rPr>
        <w:t>√</w:t>
      </w:r>
      <w:r>
        <w:rPr>
          <w:color w:val="auto"/>
          <w:spacing w:val="-2"/>
        </w:rPr>
        <w:t>费用查询：在电子护理白板上可查看所选病人包括长嘱临嘱在内的各类医嘱信息，以及已停医嘱，药品医嘱和其他医嘱等，帮助医护人员快速梳理病人医嘱情况，避免医嘱信息遗漏情况的发生。检验报告：在电子护理白板上可查看所选病人的检验结果信息，包括各项检验的指标结果，及指标变化情况，可以帮助医护人员获取病人情况，为后续的护理工作及健康宣教提供事实依据。检查报告：在电子护理白板上可查看所选病人的检查结果信息，为后续的护理工作及健康宣教提供事实依据。病历查询：在电子护理白板上可查看所选病人的病历情况，方便医护人员更加全面地获取病人的信息，包括：病情诊断、过敏药物、手术情况等内容。体征查询：在电子护理白板上可查看所选病人的各项体征及体征变化情况。</w:t>
      </w:r>
    </w:p>
    <w:p w14:paraId="4D94EE8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今日工作：在电子护理白板上可查看所选病人的今日工作列表，通过信息化的梳理和分类使待办工作更加明确直观，方便医护人员进行日常护理工作的执行，避免护理工作的疏漏，同时可以减轻医护人员额外记录的工作负荷。</w:t>
      </w:r>
      <w:r>
        <w:rPr>
          <w:color w:val="auto"/>
          <w:spacing w:val="-1"/>
        </w:rPr>
        <w:t>便签功能：电子护理白板还具有便签功能，可供护理人员临时记录使用。</w:t>
      </w:r>
    </w:p>
    <w:p w14:paraId="1738B3ED">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手术安排</w:t>
      </w:r>
    </w:p>
    <w:p w14:paraId="4F88ECA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电子护理白板系统可对接医院手麻系统获取手术数据，按病区梳理后显示病区手术安排情况，方便护理人员及时快速的做好术前准备和术后护理工作，提升患者的住院满意度。</w:t>
      </w:r>
    </w:p>
    <w:p w14:paraId="1A69DE08">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检查安排</w:t>
      </w:r>
    </w:p>
    <w:p w14:paraId="57FD1CA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电子护理白板系统可对接医院检查系统的数据，按病区梳理后显示病区检查安排情况信息。</w:t>
      </w:r>
    </w:p>
    <w:p w14:paraId="7256FF12">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排班资讯</w:t>
      </w:r>
    </w:p>
    <w:p w14:paraId="2A39A25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jc w:val="both"/>
        <w:textAlignment w:val="auto"/>
        <w:rPr>
          <w:color w:val="auto"/>
        </w:rPr>
      </w:pPr>
      <w:r>
        <w:rPr>
          <w:rFonts w:hint="default" w:ascii="Arial" w:hAnsi="Arial" w:cs="Arial"/>
          <w:color w:val="auto"/>
          <w:spacing w:val="-2"/>
        </w:rPr>
        <w:t>√</w:t>
      </w:r>
      <w:r>
        <w:rPr>
          <w:color w:val="auto"/>
          <w:spacing w:val="-2"/>
        </w:rPr>
        <w:t>电子护理系统可对接医院排班系统显示各病区排班信息，让护士明确分管床位情况，同时可以让管理者明确护士排班是否合理；还可以让病人明确自己的责任护士。</w:t>
      </w:r>
    </w:p>
    <w:p w14:paraId="6ED73D2D">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交班资讯</w:t>
      </w:r>
    </w:p>
    <w:p w14:paraId="463011C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系统可从护理文书系统中获取病区的交接班信息，通过无纸化交接班的方式，降低护士交班手抄错误，降低交班错误率，减少重复录入的工作负荷，提高交接班效率，交接班内容清晰明确。</w:t>
      </w:r>
    </w:p>
    <w:p w14:paraId="390C14B9">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医护团队</w:t>
      </w:r>
    </w:p>
    <w:p w14:paraId="308C3FE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电子护理白板系统可代替传统的医护人员介绍栏，通过信息化的方式进行展示，病人从床位资讯和排班资讯模块内了解到自己的责任医生和护士后，可通过医护人员信息中直接定位相应责任人。</w:t>
      </w:r>
    </w:p>
    <w:p w14:paraId="21F74BE4">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病区导览</w:t>
      </w:r>
    </w:p>
    <w:p w14:paraId="2D47EF4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直观显示病区导览信息，让患者了解病区布局。</w:t>
      </w:r>
    </w:p>
    <w:p w14:paraId="0B405A34">
      <w:pPr>
        <w:pStyle w:val="24"/>
        <w:keepNext w:val="0"/>
        <w:keepLines w:val="0"/>
        <w:pageBreakBefore w:val="0"/>
        <w:widowControl w:val="0"/>
        <w:numPr>
          <w:ilvl w:val="0"/>
          <w:numId w:val="25"/>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今日工作</w:t>
      </w:r>
    </w:p>
    <w:p w14:paraId="187118C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在电子护理白板上可查看当前病区所有的护理工作内容，通过信息化的梳理和分类使待办工作更加明确直观，方便医护人员进行日常护理工作的执行，避免护理工作的疏漏，同时可以减轻医护人员额外记录的工作负荷。</w:t>
      </w:r>
    </w:p>
    <w:p w14:paraId="76DA9EE3">
      <w:pPr>
        <w:pStyle w:val="24"/>
        <w:keepNext w:val="0"/>
        <w:keepLines w:val="0"/>
        <w:pageBreakBefore w:val="0"/>
        <w:widowControl w:val="0"/>
        <w:numPr>
          <w:ilvl w:val="0"/>
          <w:numId w:val="2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监测模块</w:t>
      </w:r>
    </w:p>
    <w:p w14:paraId="350999D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电子护理白板系统可对接第三方体征监测设备，如便携式体征监护仪、母</w:t>
      </w:r>
      <w:r>
        <w:rPr>
          <w:color w:val="auto"/>
          <w:spacing w:val="-1"/>
        </w:rPr>
        <w:t>胎监护仪以及非接触式智能体征监测垫，可将获取到的体征信息在白板上进行</w:t>
      </w:r>
    </w:p>
    <w:p w14:paraId="2159AA9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textAlignment w:val="auto"/>
        <w:rPr>
          <w:color w:val="auto"/>
        </w:rPr>
      </w:pPr>
      <w:r>
        <w:rPr>
          <w:color w:val="auto"/>
          <w:spacing w:val="-2"/>
        </w:rPr>
        <w:t>展示，方便护理人员查看需要关注病人的体征信息。体征信息出现异常时，会有红色标记提醒护理人员。</w:t>
      </w:r>
    </w:p>
    <w:p w14:paraId="5545D83C">
      <w:pPr>
        <w:pStyle w:val="24"/>
        <w:keepNext w:val="0"/>
        <w:keepLines w:val="0"/>
        <w:pageBreakBefore w:val="0"/>
        <w:widowControl w:val="0"/>
        <w:numPr>
          <w:ilvl w:val="0"/>
          <w:numId w:val="2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环境监测</w:t>
      </w:r>
    </w:p>
    <w:p w14:paraId="4A980DA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电子护理白板系统可对接环境监测设备，如温湿度探测器、空气质量检测器等，可将获取到的环境信息在白板上进行展示，方便护理人员查看需要关注病房的环境信息。出现环境异常信息时，会有红色标记提醒护理人员。</w:t>
      </w:r>
    </w:p>
    <w:p w14:paraId="60AFF8DB">
      <w:pPr>
        <w:pStyle w:val="24"/>
        <w:keepNext w:val="0"/>
        <w:keepLines w:val="0"/>
        <w:pageBreakBefore w:val="0"/>
        <w:widowControl w:val="0"/>
        <w:numPr>
          <w:ilvl w:val="0"/>
          <w:numId w:val="2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消息提醒</w:t>
      </w:r>
    </w:p>
    <w:p w14:paraId="3E6DD3A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z w:val="24"/>
          <w:szCs w:val="24"/>
        </w:rPr>
        <w:t>√</w:t>
      </w:r>
      <w:r>
        <w:rPr>
          <w:color w:val="auto"/>
          <w:spacing w:val="-2"/>
        </w:rPr>
        <w:t>电子护理白板系统可同步床旁智能交互系统、智能呼叫系系统、智能输液系统，实现呼叫消息、增援消息、定位消息、输液消息等提醒消息同步。</w:t>
      </w:r>
    </w:p>
    <w:p w14:paraId="61AB0BBF">
      <w:pPr>
        <w:pStyle w:val="24"/>
        <w:keepNext w:val="0"/>
        <w:keepLines w:val="0"/>
        <w:pageBreakBefore w:val="0"/>
        <w:widowControl w:val="0"/>
        <w:numPr>
          <w:ilvl w:val="0"/>
          <w:numId w:val="2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病区公告栏</w:t>
      </w:r>
    </w:p>
    <w:p w14:paraId="638291F5">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z w:val="24"/>
          <w:szCs w:val="24"/>
        </w:rPr>
        <w:t>√</w:t>
      </w:r>
      <w:r>
        <w:rPr>
          <w:color w:val="auto"/>
          <w:spacing w:val="-1"/>
        </w:rPr>
        <w:t>电子护理白板系统可显示病区需要公告的内容，信息以滚动模式展现。</w:t>
      </w:r>
    </w:p>
    <w:p w14:paraId="11018DB6">
      <w:pPr>
        <w:pStyle w:val="24"/>
        <w:keepNext w:val="0"/>
        <w:keepLines w:val="0"/>
        <w:pageBreakBefore w:val="0"/>
        <w:widowControl w:val="0"/>
        <w:numPr>
          <w:ilvl w:val="0"/>
          <w:numId w:val="25"/>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管理后台</w:t>
      </w:r>
    </w:p>
    <w:p w14:paraId="07A751D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√对电子护理白板系统的维护通过管理平台操作。病区动态项目维护：修改病区动态模块中项目的显示内容。 护士排班维护：病区护士班次维护，支持维护一天或者多天。医生排班维护：病区医生班次维护。病区班次维护：维护病区班次。公告栏信息维护：维护病区公告栏内容。备忘录维护：对于备忘录默认展现信息维护。动态基础项目维护：维护动态项目基础数据，以便被动态模板维护时使用。动态项目模版：维护动态模板及使用该模板的病区。病区模块定制：病区模块维护，以及模块顺序、滚动时间。病区平面维护：维护病区的平面图，可以进行上传、查看、更新。功能模块维护：系统的功能模块维护。</w:t>
      </w:r>
    </w:p>
    <w:p w14:paraId="2B88EC8D">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移动护</w:t>
      </w:r>
      <w:r>
        <w:rPr>
          <w:b/>
          <w:color w:val="auto"/>
          <w:spacing w:val="-10"/>
          <w:sz w:val="24"/>
        </w:rPr>
        <w:t>理</w:t>
      </w:r>
    </w:p>
    <w:p w14:paraId="1C93EE1A">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患者主页</w:t>
      </w:r>
    </w:p>
    <w:p w14:paraId="734C73E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√支持根据所属护理病区、责任护士区分所辖患者，扫描患者码可定位至患 者主页，显示从 HIS 系统获取的患者基本信息，包括：姓名、性别、年龄、住 院号、入院日期、床号、科室、主治医生、诊断、饮食、过敏史、费用情况等；支持显示高危、新入院、过敏、手术等患者状态标识；支持集成展示患者的最新体征、最新评分、患者动态。</w:t>
      </w:r>
    </w:p>
    <w:p w14:paraId="4C0C337B">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报告查看</w:t>
      </w:r>
    </w:p>
    <w:p w14:paraId="11990E4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√支持查看该患者相关的化验项目，可按时间段筛选查看检验和检查项目；</w:t>
      </w:r>
    </w:p>
    <w:p w14:paraId="2B06844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eastAsia" w:ascii="Arial" w:hAnsi="Arial" w:cs="Arial"/>
          <w:color w:val="auto"/>
          <w:sz w:val="24"/>
          <w:szCs w:val="24"/>
        </w:rPr>
        <w:t>▲</w:t>
      </w:r>
      <w:r>
        <w:rPr>
          <w:rFonts w:hint="default" w:ascii="Arial" w:hAnsi="Arial" w:cs="Arial"/>
          <w:color w:val="auto"/>
          <w:sz w:val="24"/>
          <w:szCs w:val="24"/>
        </w:rPr>
        <w:t>支持查看检验科对该项目给出的化验结果，包括各项结果的值、参考范围及异常标志。</w:t>
      </w:r>
    </w:p>
    <w:p w14:paraId="1B16DDE3">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体征录入</w:t>
      </w:r>
    </w:p>
    <w:p w14:paraId="5376506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5" w:firstLine="479"/>
        <w:jc w:val="both"/>
        <w:textAlignment w:val="auto"/>
        <w:rPr>
          <w:color w:val="auto"/>
        </w:rPr>
      </w:pPr>
      <w:r>
        <w:rPr>
          <w:rFonts w:hint="default" w:ascii="Arial" w:hAnsi="Arial" w:cs="Arial"/>
          <w:color w:val="auto"/>
          <w:spacing w:val="-2"/>
        </w:rPr>
        <w:t>√</w:t>
      </w:r>
      <w:r>
        <w:rPr>
          <w:color w:val="auto"/>
          <w:spacing w:val="-1"/>
        </w:rPr>
        <w:t xml:space="preserve">支持通过 </w:t>
      </w:r>
      <w:r>
        <w:rPr>
          <w:color w:val="auto"/>
        </w:rPr>
        <w:t>PDA</w:t>
      </w:r>
      <w:r>
        <w:rPr>
          <w:color w:val="auto"/>
          <w:spacing w:val="-2"/>
        </w:rPr>
        <w:t xml:space="preserve"> 在患者床边记录患者的体温、脉搏、呼吸、心率等各项护理指标，录入过程中进行内容质控，异常体征予以提示，也支持体征批量录入及待测体征记录自动生成，支持体温单的自动绘制；支持体温、脉搏、呼吸、心率、血压、大便次数、出入液量、血氧饱和度、疼痛、血糖、胎心监护、尿量、各种引流管、体重、身高（自动生成体重指数）等体征信息采集，并可以根据医院实际情况调整；支持自动统计出入量、引流量、尿量等相关内容；</w:t>
      </w:r>
      <w:r>
        <w:rPr>
          <w:rFonts w:hint="default" w:ascii="Arial" w:hAnsi="Arial" w:cs="Arial"/>
          <w:color w:val="auto"/>
          <w:spacing w:val="-2"/>
        </w:rPr>
        <w:t>√</w:t>
      </w:r>
      <w:r>
        <w:rPr>
          <w:color w:val="auto"/>
          <w:spacing w:val="-2"/>
        </w:rPr>
        <w:t>支持临床事件补录如手术、转科、出院等。</w:t>
      </w:r>
    </w:p>
    <w:p w14:paraId="51CEB40E">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1"/>
          <w:sz w:val="24"/>
        </w:rPr>
        <w:t>物联网设备绑定及数据</w:t>
      </w:r>
    </w:p>
    <w:p w14:paraId="0A85285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49" w:firstLine="479"/>
        <w:textAlignment w:val="auto"/>
        <w:rPr>
          <w:color w:val="auto"/>
        </w:rPr>
      </w:pPr>
      <w:r>
        <w:rPr>
          <w:rFonts w:hint="default" w:ascii="Arial" w:hAnsi="Arial" w:cs="Arial"/>
          <w:color w:val="auto"/>
          <w:sz w:val="24"/>
          <w:szCs w:val="24"/>
        </w:rPr>
        <w:t>√</w:t>
      </w:r>
      <w:r>
        <w:rPr>
          <w:color w:val="auto"/>
          <w:spacing w:val="-2"/>
        </w:rPr>
        <w:t>支持各种物联网采集监测设备接入，如血压计、血氧仪、心电监护仪、血糖监测仪等，实时监测和自动传输录入功能，数据秒级回写系统。</w:t>
      </w:r>
    </w:p>
    <w:p w14:paraId="1576370F">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护理记录</w:t>
      </w:r>
    </w:p>
    <w:p w14:paraId="01A9163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9" w:firstLine="479"/>
        <w:textAlignment w:val="auto"/>
        <w:rPr>
          <w:color w:val="auto"/>
        </w:rPr>
      </w:pPr>
      <w:r>
        <w:rPr>
          <w:rFonts w:hint="default" w:ascii="Arial" w:hAnsi="Arial" w:cs="Arial"/>
          <w:color w:val="auto"/>
          <w:spacing w:val="-2"/>
        </w:rPr>
        <w:t>√</w:t>
      </w:r>
      <w:r>
        <w:rPr>
          <w:color w:val="auto"/>
          <w:spacing w:val="-1"/>
        </w:rPr>
        <w:t xml:space="preserve">支持通过 </w:t>
      </w:r>
      <w:r>
        <w:rPr>
          <w:color w:val="auto"/>
        </w:rPr>
        <w:t>PDA</w:t>
      </w:r>
      <w:r>
        <w:rPr>
          <w:color w:val="auto"/>
          <w:spacing w:val="-2"/>
        </w:rPr>
        <w:t xml:space="preserve"> 在患者床边实现护理记录的实时录入，包括基本体征、风险评估评分、出入量及病情记录等；</w:t>
      </w:r>
      <w:r>
        <w:rPr>
          <w:color w:val="auto"/>
          <w:spacing w:val="-1"/>
        </w:rPr>
        <w:t>支持查看历史记录并修改，数据同步护理病历；</w:t>
      </w:r>
      <w:r>
        <w:rPr>
          <w:color w:val="auto"/>
          <w:spacing w:val="-2"/>
        </w:rPr>
        <w:t>支持根据患者的体征数据（体温、心率、呼吸、收缩压、意识水平）自动进行早期预警风险评分（MEWS），并进行提醒及时干预，动态检测病情变化，早期发现潜在危险。</w:t>
      </w:r>
    </w:p>
    <w:p w14:paraId="7A2E52E9">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医嘱查询</w:t>
      </w:r>
    </w:p>
    <w:p w14:paraId="1AB4B91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支持查看该患者相关的医嘱信息，医嘱查询默认条件为长期、全部类型，日期自行选择，可切换至临时医嘱，医嘱信息可按类型、时间段筛选查看。</w:t>
      </w:r>
    </w:p>
    <w:p w14:paraId="175ABFD9">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医嘱执行</w:t>
      </w:r>
    </w:p>
    <w:p w14:paraId="52908CA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7" w:firstLine="479"/>
        <w:jc w:val="both"/>
        <w:textAlignment w:val="auto"/>
        <w:rPr>
          <w:color w:val="auto"/>
        </w:rPr>
      </w:pPr>
      <w:r>
        <w:rPr>
          <w:rFonts w:hint="default" w:ascii="Arial" w:hAnsi="Arial" w:cs="Arial"/>
          <w:color w:val="auto"/>
          <w:spacing w:val="-2"/>
        </w:rPr>
        <w:t>√</w:t>
      </w:r>
      <w:r>
        <w:rPr>
          <w:color w:val="auto"/>
          <w:spacing w:val="-9"/>
        </w:rPr>
        <w:t xml:space="preserve">支持对 </w:t>
      </w:r>
      <w:r>
        <w:rPr>
          <w:color w:val="auto"/>
          <w:spacing w:val="-2"/>
        </w:rPr>
        <w:t>PC</w:t>
      </w:r>
      <w:r>
        <w:rPr>
          <w:color w:val="auto"/>
          <w:spacing w:val="-7"/>
        </w:rPr>
        <w:t xml:space="preserve"> 端生成的医嘱执行计划进行核对执行的功能，如口服药品、静脉</w:t>
      </w:r>
      <w:r>
        <w:rPr>
          <w:color w:val="auto"/>
          <w:spacing w:val="-2"/>
        </w:rPr>
        <w:t>输液、肌肉注射等医嘱的执行；</w:t>
      </w:r>
      <w:r>
        <w:rPr>
          <w:color w:val="auto"/>
          <w:spacing w:val="-1"/>
        </w:rPr>
        <w:t xml:space="preserve">支持扫描病人腕带条码或按床位号选择病人，根据 </w:t>
      </w:r>
      <w:r>
        <w:rPr>
          <w:color w:val="auto"/>
        </w:rPr>
        <w:t>PDA</w:t>
      </w:r>
      <w:r>
        <w:rPr>
          <w:color w:val="auto"/>
          <w:spacing w:val="-2"/>
        </w:rPr>
        <w:t xml:space="preserve"> 及药品标签的提示信息选择相关药品，扫描药品条码自动进行“三查七对”及执行操作的记录，</w:t>
      </w:r>
      <w:r>
        <w:rPr>
          <w:color w:val="auto"/>
        </w:rPr>
        <w:t>若核对失败，PDA</w:t>
      </w:r>
      <w:r>
        <w:rPr>
          <w:color w:val="auto"/>
          <w:spacing w:val="-7"/>
        </w:rPr>
        <w:t xml:space="preserve"> 能够发出提示引起护理人员注意；</w:t>
      </w:r>
      <w:r>
        <w:rPr>
          <w:color w:val="auto"/>
        </w:rPr>
        <w:t>支持核对成功时，PDA 同步记录上传执行人、执行时间，由后台对数据进</w:t>
      </w:r>
      <w:r>
        <w:rPr>
          <w:color w:val="auto"/>
          <w:spacing w:val="-4"/>
        </w:rPr>
        <w:t>行统计。</w:t>
      </w:r>
    </w:p>
    <w:p w14:paraId="5A7D64FB">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皮试医嘱闭环</w:t>
      </w:r>
    </w:p>
    <w:p w14:paraId="0C19594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3" w:firstLine="479"/>
        <w:textAlignment w:val="auto"/>
        <w:rPr>
          <w:color w:val="auto"/>
        </w:rPr>
      </w:pPr>
      <w:r>
        <w:rPr>
          <w:rFonts w:hint="default" w:ascii="Arial" w:hAnsi="Arial" w:cs="Arial"/>
          <w:color w:val="auto"/>
          <w:spacing w:val="-2"/>
        </w:rPr>
        <w:t>√</w:t>
      </w:r>
      <w:r>
        <w:rPr>
          <w:color w:val="auto"/>
        </w:rPr>
        <w:t>支持扫码患者码和皮试医嘱码，开始皮试医嘱的执行，15min 后录入结果，</w:t>
      </w:r>
      <w:r>
        <w:rPr>
          <w:color w:val="auto"/>
          <w:spacing w:val="-3"/>
        </w:rPr>
        <w:t xml:space="preserve">皮试结果双人核对执行机制，结果回写 </w:t>
      </w:r>
      <w:r>
        <w:rPr>
          <w:color w:val="auto"/>
        </w:rPr>
        <w:t>HIS，操作记录支持追溯查看。</w:t>
      </w:r>
    </w:p>
    <w:p w14:paraId="102F16D7">
      <w:pPr>
        <w:pStyle w:val="24"/>
        <w:keepNext w:val="0"/>
        <w:keepLines w:val="0"/>
        <w:pageBreakBefore w:val="0"/>
        <w:widowControl w:val="0"/>
        <w:numPr>
          <w:ilvl w:val="0"/>
          <w:numId w:val="26"/>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z w:val="24"/>
        </w:rPr>
        <w:t>PIVAS</w:t>
      </w:r>
      <w:r>
        <w:rPr>
          <w:color w:val="auto"/>
          <w:spacing w:val="-10"/>
          <w:sz w:val="24"/>
        </w:rPr>
        <w:t xml:space="preserve"> 输液医嘱闭环</w:t>
      </w:r>
    </w:p>
    <w:p w14:paraId="775B1D3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支持从输液准备的医嘱复核到收药，到输液的执行及巡视全流程进行闭环管理，操作记录支持追溯查看；支持执行操作，到用药时间后，将药袋拿到患者床前进行输液，扫描患者码和医嘱码，核对无误提示“开始执行”，如果该药品不是该患者，系统会进行异常操作提示；支持巡视操作，对药品的输入情况进行巡视，可以输入相关的输液信息如滴速、有无反应等，点击确认，巡视完毕，并可自主设置输液提示时间；支持结束用药操作，扫描医嘱码确认结束，记录全流程的执行人和对应执</w:t>
      </w:r>
      <w:r>
        <w:rPr>
          <w:color w:val="auto"/>
          <w:spacing w:val="-4"/>
        </w:rPr>
        <w:t>行时间。</w:t>
      </w:r>
    </w:p>
    <w:p w14:paraId="0F3C9310">
      <w:pPr>
        <w:pStyle w:val="24"/>
        <w:keepNext w:val="0"/>
        <w:keepLines w:val="0"/>
        <w:pageBreakBefore w:val="0"/>
        <w:widowControl w:val="0"/>
        <w:numPr>
          <w:ilvl w:val="0"/>
          <w:numId w:val="26"/>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标本采集</w:t>
      </w:r>
    </w:p>
    <w:p w14:paraId="3F3C4BA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支持护理人员进行标本采集的查询、核对和记录功能，对象包括待采集项目、待发放项目和已采集项目，护理人员扫描病人腕带条码或按床位号选择病人，扫描条码自动进行核对以及执行操作的记录。</w:t>
      </w:r>
    </w:p>
    <w:p w14:paraId="334DE0DD">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门急诊输液</w:t>
      </w:r>
      <w:r>
        <w:rPr>
          <w:b/>
          <w:color w:val="auto"/>
          <w:spacing w:val="-6"/>
          <w:sz w:val="24"/>
        </w:rPr>
        <w:t>管理</w:t>
      </w:r>
    </w:p>
    <w:p w14:paraId="59BE534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门急诊输液管理，包括输液接药、药品的核对、加药核对、输液呼叫、输液接瓶、输液巡视及病人呼叫管理，并借助现在的无线网络、移动终端、条码技术完成匹配核对，保证了病人的输液的安全。</w:t>
      </w:r>
    </w:p>
    <w:p w14:paraId="4F0198F9">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输液接药</w:t>
      </w:r>
    </w:p>
    <w:p w14:paraId="74F5B97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√支持本院接药和外院接药 2 种接药模式；支持本院接药通过刷就诊卡/医保卡/身份证, 输入发票号、病历号、手机号、姓名调入患者信息进行接药，或者直接调入患者处方进行接药；支持提供处方接口服务，支持接药处方信息及效期的校验；支持提供皮试系统接口服务，支持皮试处方结果及效期的校验；支持接药登记完成自动分瓶，提供手工干预分瓶的功能和调入历史分瓶功能；支持患者同一天多次输液时默认按次进行接药，并记录当日已用次数、上一次输液时间、输液人；支持患者连续多天输液时按天进行接药，记录当前输液天数；支持接药完成自动打印输液标签，包括病人识别卡、输液瓶签和输液巡视卡，巡视卡支持拆分打印；支持输液标签重打功能，重打标签显示“重打”标识。</w:t>
      </w:r>
    </w:p>
    <w:p w14:paraId="3F58D0B4">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输液核对</w:t>
      </w:r>
    </w:p>
    <w:p w14:paraId="6BE4158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√支持药品核对和加药核对功能；支持药品核对/加药核对可通过参数控制是否启用；支持 PC 端和 PDA 端操作；支持 PC 端可进行批量核对操作；支持 PDA 端扫码自动完成核对，无法扫码(如标签破损)时可手工操作。</w:t>
      </w:r>
    </w:p>
    <w:p w14:paraId="63C7518D">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窗口呼叫</w:t>
      </w:r>
    </w:p>
    <w:p w14:paraId="6DF3E9E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 2 种叫号方式，人工呼叫和扫瓶签自动呼叫；支持呼叫大屏显示，液晶屏、LED 屏、一体机等多种显示终端；√支持语音播报，可设置播报次数，默认播报三次；支持过号处理，呼叫下一个病人、或者 PDA 扫描下一个病人输液瓶签时则前一个患者自动过号。</w:t>
      </w:r>
    </w:p>
    <w:p w14:paraId="3AC7F48F">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输液处理</w:t>
      </w:r>
    </w:p>
    <w:p w14:paraId="7D053C8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√支持首瓶穿刺和输液接瓶 2 种业务；支持窗口模式(病人自行前往窗口输液)和到座模式(护士推着小推车到病人座位为其输液)，到座模式需结合 PDA 使用；支持 PC 端和 PDA 端操作；支持 PDA 端扫码自动开始该瓶输液并结束上一瓶输液，无法扫码(如标签破损)时可手工操作；支持 PDA 端输液接瓶操作的 2 种扫码执行模式，单联核对(仅扫输液瓶签便可自动执行)和双联核对(需扫输液瓶签和病人识别卡 2 个码才能自动执行)；支持输液暂停/输液继续操作。</w:t>
      </w:r>
    </w:p>
    <w:p w14:paraId="28C842F9">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输液巡视</w:t>
      </w:r>
    </w:p>
    <w:p w14:paraId="0D0E5FF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√支持输液滴数记录、不良反应记录和座位更换等巡视功能；支持历史滴数、不良反应查询；支持 PC 端和 PDA 端操作。</w:t>
      </w:r>
    </w:p>
    <w:p w14:paraId="3113E850">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病人呼叫</w:t>
      </w:r>
    </w:p>
    <w:p w14:paraId="6F5C519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√支持与医院硬件环境结合，通过显示屏(包括警示声音)接收病人呼叫信息</w:t>
      </w:r>
      <w:r>
        <w:rPr>
          <w:rFonts w:hint="eastAsia" w:ascii="Arial" w:hAnsi="Arial" w:cs="Arial"/>
          <w:color w:val="auto"/>
          <w:sz w:val="24"/>
          <w:szCs w:val="24"/>
          <w:lang w:eastAsia="zh-CN"/>
        </w:rPr>
        <w:t>；</w:t>
      </w:r>
      <w:r>
        <w:rPr>
          <w:rFonts w:hint="default" w:ascii="Arial" w:hAnsi="Arial" w:cs="Arial"/>
          <w:color w:val="auto"/>
          <w:sz w:val="24"/>
          <w:szCs w:val="24"/>
        </w:rPr>
        <w:t>支持通过 PDA 接收病人呼叫信息，呼叫提示信息能够进行闪烁和声音提示（类似于 QQ 提醒）。</w:t>
      </w:r>
    </w:p>
    <w:p w14:paraId="28A08CE8">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输液大厅</w:t>
      </w:r>
    </w:p>
    <w:p w14:paraId="63FF7CE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√支持提供输液大厅平面图；支持输液大厅座位编辑功能，包括普通座位、特殊药品、女性特座、VIP座位、加座座位；支持座位细卡和病人列表 2 种大厅显示模式；支持大厅接药、大厅接瓶、大厅巡视、更换座位、接药作废、标签重打等操作。</w:t>
      </w:r>
    </w:p>
    <w:p w14:paraId="0C8CD24F">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输液大屏</w:t>
      </w:r>
    </w:p>
    <w:p w14:paraId="2018C04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√支持输液患者的输液进程监控管理和呼叫患者接收管理； 支持多人同时呼叫显示，配备语音播报，可设置播报次数；支持定时刷新，翻页显示；支持姓名隐私保护，姓名采用*显示；支持液晶屏、LED 屏、一体机等多种显示终端。</w:t>
      </w:r>
    </w:p>
    <w:p w14:paraId="2667340F">
      <w:pPr>
        <w:pStyle w:val="24"/>
        <w:keepNext w:val="0"/>
        <w:keepLines w:val="0"/>
        <w:pageBreakBefore w:val="0"/>
        <w:widowControl w:val="0"/>
        <w:numPr>
          <w:ilvl w:val="0"/>
          <w:numId w:val="27"/>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注射执行</w:t>
      </w:r>
    </w:p>
    <w:p w14:paraId="22A6CA1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√支持注射接药登记功能，支持本院注射接药和外院注射接药；支持本院注射接药通过刷就诊卡/医保卡/身份证, 输入发票号、病历号、手机号、姓名调入患者信息进行接药，或者直接调入患者注射处方进行接药；支持提供注射处方接口服务，支持接药处方信息及效期的校验；支持提供皮试系统接口服务，支持皮试处方结果及效期的校验；支持接药登记完成自动生成注射计划，提供手工干预注射计划功能；支持接药完成自动打印注射标签，支持输液标签重打功能，重打标签显示 “重打”标识；支持注射执行在 PC 端和 PDA 端操作；支持 PDA 端扫码自动执行，无法扫码(如标签破损)时可手工操作。</w:t>
      </w:r>
    </w:p>
    <w:p w14:paraId="361CAAD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0CAB53A4">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sz w:val="25"/>
        </w:rPr>
      </w:pPr>
    </w:p>
    <w:p w14:paraId="6C531DF4">
      <w:pPr>
        <w:pStyle w:val="24"/>
        <w:keepNext w:val="0"/>
        <w:keepLines w:val="0"/>
        <w:pageBreakBefore w:val="0"/>
        <w:widowControl w:val="0"/>
        <w:numPr>
          <w:ilvl w:val="3"/>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手术危机重</w:t>
      </w:r>
      <w:r>
        <w:rPr>
          <w:b/>
          <w:color w:val="auto"/>
          <w:spacing w:val="-10"/>
          <w:sz w:val="24"/>
        </w:rPr>
        <w:t>症</w:t>
      </w:r>
    </w:p>
    <w:p w14:paraId="4E6078E8">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6"/>
        </w:rPr>
      </w:pPr>
    </w:p>
    <w:p w14:paraId="119F0E63">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rFonts w:hint="eastAsia" w:ascii="宋体" w:hAnsi="宋体" w:eastAsia="宋体" w:cs="宋体"/>
          <w:b/>
          <w:color w:val="auto"/>
          <w:sz w:val="24"/>
        </w:rPr>
      </w:pPr>
      <w:r>
        <w:rPr>
          <w:rFonts w:hint="eastAsia" w:ascii="宋体" w:hAnsi="宋体" w:eastAsia="宋体" w:cs="宋体"/>
          <w:b/>
          <w:color w:val="auto"/>
          <w:spacing w:val="-2"/>
          <w:sz w:val="24"/>
        </w:rPr>
        <w:t>重症监护管理系统（ICU）（10</w:t>
      </w:r>
      <w:r>
        <w:rPr>
          <w:rFonts w:hint="eastAsia" w:ascii="宋体" w:hAnsi="宋体" w:eastAsia="宋体" w:cs="宋体"/>
          <w:b/>
          <w:color w:val="auto"/>
          <w:spacing w:val="9"/>
          <w:sz w:val="24"/>
        </w:rPr>
        <w:t xml:space="preserve"> </w:t>
      </w:r>
      <w:r>
        <w:rPr>
          <w:rFonts w:hint="eastAsia" w:ascii="宋体" w:hAnsi="宋体" w:eastAsia="宋体" w:cs="宋体"/>
          <w:b/>
          <w:color w:val="auto"/>
          <w:spacing w:val="-2"/>
          <w:sz w:val="24"/>
        </w:rPr>
        <w:t>床</w:t>
      </w:r>
      <w:r>
        <w:rPr>
          <w:rFonts w:hint="eastAsia" w:ascii="宋体" w:hAnsi="宋体" w:eastAsia="宋体" w:cs="宋体"/>
          <w:b/>
          <w:color w:val="auto"/>
          <w:spacing w:val="-10"/>
          <w:sz w:val="24"/>
        </w:rPr>
        <w:t>）</w:t>
      </w:r>
    </w:p>
    <w:p w14:paraId="7163FAE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z w:val="24"/>
          <w:szCs w:val="24"/>
        </w:rPr>
        <w:t>√</w:t>
      </w:r>
      <w:r>
        <w:rPr>
          <w:color w:val="auto"/>
          <w:spacing w:val="-2"/>
        </w:rPr>
        <w:t>重症监护系统主要是协助重症监护室医护人员完成危重病人在监护期间的相关治疗、护理和监护工作，记录监护过程中的护理、治疗、和危重情况，自动接收监护仪和呼吸机等监护体征记录，集成其他信息系统的相关数据，让相关医护人员方便的获取病人在医院的就诊、治疗情况。生成监护期间监护记录单等相关医疗文书。主要功能应包括：</w:t>
      </w:r>
    </w:p>
    <w:p w14:paraId="18D265E2">
      <w:pPr>
        <w:pStyle w:val="24"/>
        <w:keepNext w:val="0"/>
        <w:keepLines w:val="0"/>
        <w:pageBreakBefore w:val="0"/>
        <w:widowControl w:val="0"/>
        <w:numPr>
          <w:ilvl w:val="0"/>
          <w:numId w:val="28"/>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重症监护管理</w:t>
      </w:r>
    </w:p>
    <w:p w14:paraId="41F5A05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√病人转入、刷新：增加监护病人；同步 HIS 的监护室病人。√病人转床、转出：监护病人转床、转科操作</w:t>
      </w:r>
      <w:r>
        <w:rPr>
          <w:rFonts w:hint="eastAsia" w:ascii="Arial" w:hAnsi="Arial" w:cs="Arial"/>
          <w:color w:val="auto"/>
          <w:sz w:val="24"/>
          <w:szCs w:val="24"/>
          <w:lang w:eastAsia="zh-CN"/>
        </w:rPr>
        <w:t>；</w:t>
      </w:r>
      <w:r>
        <w:rPr>
          <w:rFonts w:hint="default" w:ascii="Arial" w:hAnsi="Arial" w:cs="Arial"/>
          <w:color w:val="auto"/>
          <w:sz w:val="24"/>
          <w:szCs w:val="24"/>
        </w:rPr>
        <w:t>仪器数据自动接收：监护设备数据采</w:t>
      </w:r>
      <w:r>
        <w:rPr>
          <w:rFonts w:hint="eastAsia" w:ascii="Arial" w:hAnsi="Arial" w:cs="Arial"/>
          <w:color w:val="auto"/>
          <w:sz w:val="24"/>
          <w:szCs w:val="24"/>
          <w:lang w:eastAsia="zh-CN"/>
        </w:rPr>
        <w:t>；</w:t>
      </w:r>
      <w:r>
        <w:rPr>
          <w:rFonts w:hint="default" w:ascii="Arial" w:hAnsi="Arial" w:cs="Arial"/>
          <w:color w:val="auto"/>
          <w:sz w:val="24"/>
          <w:szCs w:val="24"/>
        </w:rPr>
        <w:t>集护理信息记录：病人护理信息记录</w:t>
      </w:r>
      <w:r>
        <w:rPr>
          <w:rFonts w:hint="eastAsia" w:ascii="Arial" w:hAnsi="Arial" w:cs="Arial"/>
          <w:color w:val="auto"/>
          <w:sz w:val="24"/>
          <w:szCs w:val="24"/>
          <w:lang w:eastAsia="zh-CN"/>
        </w:rPr>
        <w:t>；</w:t>
      </w:r>
      <w:r>
        <w:rPr>
          <w:rFonts w:hint="default" w:ascii="Arial" w:hAnsi="Arial" w:cs="Arial"/>
          <w:color w:val="auto"/>
          <w:sz w:val="24"/>
          <w:szCs w:val="24"/>
        </w:rPr>
        <w:t>危重记录：监护病人危重情况记录中央监护：集中多屏监护病人信息危症病人评分：危重病人专业评分</w:t>
      </w:r>
      <w:r>
        <w:rPr>
          <w:rFonts w:hint="eastAsia" w:ascii="Arial" w:hAnsi="Arial" w:cs="Arial"/>
          <w:color w:val="auto"/>
          <w:sz w:val="24"/>
          <w:szCs w:val="24"/>
          <w:lang w:eastAsia="zh-CN"/>
        </w:rPr>
        <w:t>；</w:t>
      </w:r>
      <w:r>
        <w:rPr>
          <w:rFonts w:hint="default" w:ascii="Arial" w:hAnsi="Arial" w:cs="Arial"/>
          <w:color w:val="auto"/>
          <w:sz w:val="24"/>
          <w:szCs w:val="24"/>
        </w:rPr>
        <w:t>血液流动力计算：病人血液流动力记录</w:t>
      </w:r>
      <w:r>
        <w:rPr>
          <w:rFonts w:hint="eastAsia" w:ascii="Arial" w:hAnsi="Arial" w:cs="Arial"/>
          <w:color w:val="auto"/>
          <w:sz w:val="24"/>
          <w:szCs w:val="24"/>
          <w:lang w:eastAsia="zh-CN"/>
        </w:rPr>
        <w:t>；</w:t>
      </w:r>
      <w:r>
        <w:rPr>
          <w:rFonts w:hint="default" w:ascii="Arial" w:hAnsi="Arial" w:cs="Arial"/>
          <w:color w:val="auto"/>
          <w:sz w:val="24"/>
          <w:szCs w:val="24"/>
        </w:rPr>
        <w:t>液体出入量记录：记录液体出入量\平衡计算排班处理：护士排班处理</w:t>
      </w:r>
      <w:r>
        <w:rPr>
          <w:rFonts w:hint="eastAsia" w:ascii="Arial" w:hAnsi="Arial" w:cs="Arial"/>
          <w:color w:val="auto"/>
          <w:sz w:val="24"/>
          <w:szCs w:val="24"/>
          <w:lang w:eastAsia="zh-CN"/>
        </w:rPr>
        <w:t>；</w:t>
      </w:r>
      <w:r>
        <w:rPr>
          <w:rFonts w:hint="default" w:ascii="Arial" w:hAnsi="Arial" w:cs="Arial"/>
          <w:color w:val="auto"/>
          <w:sz w:val="24"/>
          <w:szCs w:val="24"/>
        </w:rPr>
        <w:t>护理工作量：护理工作量统计</w:t>
      </w:r>
      <w:r>
        <w:rPr>
          <w:rFonts w:hint="eastAsia" w:ascii="Arial" w:hAnsi="Arial" w:cs="Arial"/>
          <w:color w:val="auto"/>
          <w:sz w:val="24"/>
          <w:szCs w:val="24"/>
          <w:lang w:eastAsia="zh-CN"/>
        </w:rPr>
        <w:t>；</w:t>
      </w:r>
      <w:r>
        <w:rPr>
          <w:rFonts w:hint="default" w:ascii="Arial" w:hAnsi="Arial" w:cs="Arial"/>
          <w:color w:val="auto"/>
          <w:sz w:val="24"/>
          <w:szCs w:val="24"/>
        </w:rPr>
        <w:t>监护病人体征记录单：监护病人体征记录单液体出入量记录单：液体平衡记录单</w:t>
      </w:r>
      <w:r>
        <w:rPr>
          <w:rFonts w:hint="eastAsia" w:ascii="Arial" w:hAnsi="Arial" w:cs="Arial"/>
          <w:color w:val="auto"/>
          <w:sz w:val="24"/>
          <w:szCs w:val="24"/>
          <w:lang w:eastAsia="zh-CN"/>
        </w:rPr>
        <w:t>；</w:t>
      </w:r>
      <w:r>
        <w:rPr>
          <w:rFonts w:hint="default" w:ascii="Arial" w:hAnsi="Arial" w:cs="Arial"/>
          <w:color w:val="auto"/>
          <w:sz w:val="24"/>
          <w:szCs w:val="24"/>
        </w:rPr>
        <w:t>病人监护记录综合记录单：ICU 重症护理记录单医嘱处理：ICU 医嘱执行处理</w:t>
      </w:r>
      <w:r>
        <w:rPr>
          <w:rFonts w:hint="eastAsia" w:ascii="Arial" w:hAnsi="Arial" w:cs="Arial"/>
          <w:color w:val="auto"/>
          <w:sz w:val="24"/>
          <w:szCs w:val="24"/>
          <w:lang w:eastAsia="zh-CN"/>
        </w:rPr>
        <w:t>；</w:t>
      </w:r>
      <w:r>
        <w:rPr>
          <w:rFonts w:hint="default" w:ascii="Arial" w:hAnsi="Arial" w:cs="Arial"/>
          <w:color w:val="auto"/>
          <w:sz w:val="24"/>
          <w:szCs w:val="24"/>
        </w:rPr>
        <w:t>护士交接班记录：护理交接班管理导管护理：病人导管护理</w:t>
      </w:r>
      <w:r>
        <w:rPr>
          <w:rFonts w:hint="eastAsia" w:ascii="Arial" w:hAnsi="Arial" w:cs="Arial"/>
          <w:color w:val="auto"/>
          <w:sz w:val="24"/>
          <w:szCs w:val="24"/>
          <w:lang w:eastAsia="zh-CN"/>
        </w:rPr>
        <w:t>；</w:t>
      </w:r>
      <w:r>
        <w:rPr>
          <w:rFonts w:hint="default" w:ascii="Arial" w:hAnsi="Arial" w:cs="Arial"/>
          <w:color w:val="auto"/>
          <w:sz w:val="24"/>
          <w:szCs w:val="24"/>
        </w:rPr>
        <w:t>重症病人交接：重症病人交接记录</w:t>
      </w:r>
    </w:p>
    <w:p w14:paraId="537F2BEE">
      <w:pPr>
        <w:pStyle w:val="24"/>
        <w:keepNext w:val="0"/>
        <w:keepLines w:val="0"/>
        <w:pageBreakBefore w:val="0"/>
        <w:widowControl w:val="0"/>
        <w:numPr>
          <w:ilvl w:val="0"/>
          <w:numId w:val="28"/>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z w:val="24"/>
        </w:rPr>
        <w:t>ICU</w:t>
      </w:r>
      <w:r>
        <w:rPr>
          <w:color w:val="auto"/>
          <w:spacing w:val="-14"/>
          <w:sz w:val="24"/>
        </w:rPr>
        <w:t xml:space="preserve"> 医生管理</w:t>
      </w:r>
    </w:p>
    <w:p w14:paraId="70BE277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rFonts w:hint="default" w:ascii="Arial" w:hAnsi="Arial" w:cs="Arial"/>
          <w:color w:val="auto"/>
          <w:sz w:val="24"/>
          <w:szCs w:val="24"/>
        </w:rPr>
      </w:pPr>
      <w:r>
        <w:rPr>
          <w:rFonts w:hint="default" w:ascii="Arial" w:hAnsi="Arial" w:cs="Arial"/>
          <w:color w:val="auto"/>
          <w:sz w:val="24"/>
          <w:szCs w:val="24"/>
        </w:rPr>
        <w:t>√病人监护：查询病人监护情况重症评估：危重病人专业评分</w:t>
      </w:r>
      <w:r>
        <w:rPr>
          <w:rFonts w:hint="eastAsia" w:ascii="Arial" w:hAnsi="Arial" w:cs="Arial"/>
          <w:color w:val="auto"/>
          <w:sz w:val="24"/>
          <w:szCs w:val="24"/>
          <w:lang w:eastAsia="zh-CN"/>
        </w:rPr>
        <w:t>；</w:t>
      </w:r>
      <w:r>
        <w:rPr>
          <w:rFonts w:hint="default" w:ascii="Arial" w:hAnsi="Arial" w:cs="Arial"/>
          <w:color w:val="auto"/>
          <w:sz w:val="24"/>
          <w:szCs w:val="24"/>
        </w:rPr>
        <w:t>血液流动力计算：病人血液流动力记录中央监护：集中多屏监护病人信息</w:t>
      </w:r>
      <w:r>
        <w:rPr>
          <w:rFonts w:hint="eastAsia" w:ascii="Arial" w:hAnsi="Arial" w:cs="Arial"/>
          <w:color w:val="auto"/>
          <w:sz w:val="24"/>
          <w:szCs w:val="24"/>
          <w:lang w:eastAsia="zh-CN"/>
        </w:rPr>
        <w:t>；</w:t>
      </w:r>
      <w:r>
        <w:rPr>
          <w:rFonts w:hint="default" w:ascii="Arial" w:hAnsi="Arial" w:cs="Arial"/>
          <w:color w:val="auto"/>
          <w:sz w:val="24"/>
          <w:szCs w:val="24"/>
        </w:rPr>
        <w:t>体征记录单查询：监护病人体征记录单护理记录单查询：监护病人护理记录单监护病人查询：监护病人信息查询</w:t>
      </w:r>
      <w:r>
        <w:rPr>
          <w:rFonts w:hint="eastAsia" w:ascii="Arial" w:hAnsi="Arial" w:cs="Arial"/>
          <w:color w:val="auto"/>
          <w:sz w:val="24"/>
          <w:szCs w:val="24"/>
          <w:lang w:eastAsia="zh-CN"/>
        </w:rPr>
        <w:t>；</w:t>
      </w:r>
      <w:r>
        <w:rPr>
          <w:rFonts w:hint="default" w:ascii="Arial" w:hAnsi="Arial" w:cs="Arial"/>
          <w:color w:val="auto"/>
          <w:sz w:val="24"/>
          <w:szCs w:val="24"/>
        </w:rPr>
        <w:t>液体平衡查询：监护病人液体平衡记录查询</w:t>
      </w:r>
    </w:p>
    <w:p w14:paraId="2CFE8561">
      <w:pPr>
        <w:pStyle w:val="24"/>
        <w:keepNext w:val="0"/>
        <w:keepLines w:val="0"/>
        <w:pageBreakBefore w:val="0"/>
        <w:widowControl w:val="0"/>
        <w:numPr>
          <w:ilvl w:val="0"/>
          <w:numId w:val="28"/>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5"/>
          <w:sz w:val="24"/>
        </w:rPr>
        <w:t>其他</w:t>
      </w:r>
    </w:p>
    <w:p w14:paraId="27CA4F5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系统支持医嘱执行时效监控配置，除监控医嘱执行及时性以外，还可监控输注类医嘱执行时长。</w:t>
      </w:r>
    </w:p>
    <w:p w14:paraId="3C6A081D">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手术麻醉管理系统（</w:t>
      </w:r>
      <w:r>
        <w:rPr>
          <w:rFonts w:ascii="等线" w:eastAsia="等线"/>
          <w:b/>
          <w:color w:val="auto"/>
          <w:spacing w:val="-2"/>
          <w:sz w:val="24"/>
        </w:rPr>
        <w:t>12</w:t>
      </w:r>
      <w:r>
        <w:rPr>
          <w:rFonts w:ascii="等线" w:eastAsia="等线"/>
          <w:b/>
          <w:color w:val="auto"/>
          <w:spacing w:val="3"/>
          <w:sz w:val="24"/>
        </w:rPr>
        <w:t xml:space="preserve"> </w:t>
      </w:r>
      <w:r>
        <w:rPr>
          <w:b/>
          <w:color w:val="auto"/>
          <w:spacing w:val="-2"/>
          <w:sz w:val="24"/>
        </w:rPr>
        <w:t>间含采集硬件</w:t>
      </w:r>
      <w:r>
        <w:rPr>
          <w:b/>
          <w:color w:val="auto"/>
          <w:spacing w:val="-10"/>
          <w:sz w:val="24"/>
        </w:rPr>
        <w:t>）</w:t>
      </w:r>
    </w:p>
    <w:p w14:paraId="6FD4D35B">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手术申请</w:t>
      </w:r>
    </w:p>
    <w:p w14:paraId="2BCE938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手动录入手术申请信息：病人基本信息、手术内容、手术时间、手术医生</w:t>
      </w:r>
      <w:r>
        <w:rPr>
          <w:color w:val="auto"/>
          <w:spacing w:val="-4"/>
        </w:rPr>
        <w:t>等信息</w:t>
      </w:r>
    </w:p>
    <w:p w14:paraId="36025DF5">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手术申请信息接收</w:t>
      </w:r>
    </w:p>
    <w:p w14:paraId="241284C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8" w:firstLine="479"/>
        <w:textAlignment w:val="auto"/>
        <w:rPr>
          <w:color w:val="auto"/>
        </w:rPr>
      </w:pPr>
      <w:r>
        <w:rPr>
          <w:rFonts w:hint="default" w:ascii="Arial" w:hAnsi="Arial" w:cs="Arial"/>
          <w:color w:val="auto"/>
          <w:spacing w:val="-2"/>
        </w:rPr>
        <w:t>√</w:t>
      </w:r>
      <w:r>
        <w:rPr>
          <w:color w:val="auto"/>
          <w:spacing w:val="-1"/>
        </w:rPr>
        <w:t xml:space="preserve">连接医院信息系统 </w:t>
      </w:r>
      <w:r>
        <w:rPr>
          <w:color w:val="auto"/>
        </w:rPr>
        <w:t>HIS</w:t>
      </w:r>
      <w:r>
        <w:rPr>
          <w:color w:val="auto"/>
          <w:spacing w:val="-2"/>
        </w:rPr>
        <w:t xml:space="preserve"> 中的手术申请与安排系统，获取手术申请及安排信息，自动接收，生成手术申请记录。</w:t>
      </w:r>
    </w:p>
    <w:p w14:paraId="17B8E112">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手术安排</w:t>
      </w:r>
    </w:p>
    <w:p w14:paraId="4125992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能够对已接收的手术通知单进行手术台编排。确定每台手术的手术时间、手术房间、台次。能够确定每台手术的上台手术医生、麻醉医生、护士。能够打印手术安排报表。</w:t>
      </w:r>
    </w:p>
    <w:p w14:paraId="7BCEEAF0">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手术通知</w:t>
      </w:r>
    </w:p>
    <w:p w14:paraId="6C8A5E35">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统计并打印指定日期的手术汇总信息、能够支持通知区大屏显示</w:t>
      </w:r>
    </w:p>
    <w:p w14:paraId="06B18814">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术前访视</w:t>
      </w:r>
    </w:p>
    <w:p w14:paraId="25531A3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√麻醉医生术前访视记录</w:t>
      </w:r>
      <w:r>
        <w:rPr>
          <w:rFonts w:hint="eastAsia" w:ascii="Arial" w:hAnsi="Arial" w:cs="Arial"/>
          <w:color w:val="auto"/>
          <w:spacing w:val="-2"/>
          <w:lang w:eastAsia="zh-CN"/>
        </w:rPr>
        <w:t>；</w:t>
      </w:r>
      <w:r>
        <w:rPr>
          <w:rFonts w:hint="default" w:ascii="Arial" w:hAnsi="Arial" w:cs="Arial"/>
          <w:color w:val="auto"/>
          <w:spacing w:val="-2"/>
        </w:rPr>
        <w:t>方便输入:提供模板功能,方便填写,提高输入速度</w:t>
      </w:r>
      <w:r>
        <w:rPr>
          <w:rFonts w:hint="eastAsia" w:ascii="Arial" w:hAnsi="Arial" w:cs="Arial"/>
          <w:color w:val="auto"/>
          <w:spacing w:val="-2"/>
          <w:lang w:eastAsia="zh-CN"/>
        </w:rPr>
        <w:t>；</w:t>
      </w:r>
      <w:r>
        <w:rPr>
          <w:rFonts w:hint="default" w:ascii="Arial" w:hAnsi="Arial" w:cs="Arial"/>
          <w:color w:val="auto"/>
          <w:spacing w:val="-2"/>
        </w:rPr>
        <w:t>能够自动提取 HIS，LIS，PACS 等系统体征、检验检查数据</w:t>
      </w:r>
    </w:p>
    <w:p w14:paraId="61D6B9D3">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护理信息</w:t>
      </w:r>
    </w:p>
    <w:p w14:paraId="1AA97A2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能够对术前、术中、术后护理信息记录，提供手工输入、模板输入多种方式，方便操作。</w:t>
      </w:r>
    </w:p>
    <w:p w14:paraId="24441900">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器械管理</w:t>
      </w:r>
    </w:p>
    <w:p w14:paraId="29C1C30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能够手术过程中器械管理，，按照术前器械准备，术中器械添加，术后器械清分类操作。</w:t>
      </w:r>
    </w:p>
    <w:p w14:paraId="37426A1B">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仪器数据自动接收</w:t>
      </w:r>
    </w:p>
    <w:p w14:paraId="478522F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自动采集监护仪、麻醉机等床边监护设备中病人血压、心率、血氧、体温、脉搏等生命体征参数。记录麻醉手术期间所有体征趋势，统一存储于服务器。</w:t>
      </w:r>
      <w:r>
        <w:rPr>
          <w:color w:val="auto"/>
          <w:spacing w:val="40"/>
        </w:rPr>
        <w:t xml:space="preserve">  </w:t>
      </w:r>
      <w:r>
        <w:rPr>
          <w:color w:val="auto"/>
          <w:spacing w:val="-2"/>
        </w:rPr>
        <w:t>实时显示麻醉记录单。对于伪差情况可以进行数据修正。自定义设置监控参数</w:t>
      </w:r>
      <w:r>
        <w:rPr>
          <w:color w:val="auto"/>
          <w:spacing w:val="40"/>
        </w:rPr>
        <w:t xml:space="preserve">  </w:t>
      </w:r>
      <w:r>
        <w:rPr>
          <w:color w:val="auto"/>
          <w:spacing w:val="-2"/>
        </w:rPr>
        <w:t>即麻醉病人的生命体征参数。</w:t>
      </w:r>
    </w:p>
    <w:p w14:paraId="12ED1B34">
      <w:pPr>
        <w:pStyle w:val="24"/>
        <w:keepNext w:val="0"/>
        <w:keepLines w:val="0"/>
        <w:pageBreakBefore w:val="0"/>
        <w:widowControl w:val="0"/>
        <w:numPr>
          <w:ilvl w:val="0"/>
          <w:numId w:val="29"/>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术中麻醉记录</w:t>
      </w:r>
    </w:p>
    <w:p w14:paraId="5C25C5F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将自动采集的病人生命体征参数以趋势表格和趋势图形的形式表现出来，数据显示时间间隔可以人为设定。对于自动描绘的趋势图，在权限允许的情况下，医生可以对其进行修正，修正的过程有记录可查。人工录入术中给药、输血输液、术中事件、实验室检验信息，录入过程方便快捷，符合麻醉医生手记麻醉单的习惯。麻醉单上的项目可人工定制，包括：麻醉相关参数、生命体征参数趋势，趋势曲线的颜色、图例，显示的药品、及其位置，特殊的给药、事件所使的图例，对于连续药物输注以及输液有剂量、速度、起止点记录。麻醉总结的内容可以在手术进行期间随时录入并保存。实时形成麻醉单和麻醉总结报告，并联网打印输出各种各样的麻醉、护理医疗文书，如：术前访视记录、复苏记录单、麻醉镇痛单、麻醉总结单等</w:t>
      </w:r>
    </w:p>
    <w:p w14:paraId="77B1A20A">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麻醉复苏室处理</w:t>
      </w:r>
    </w:p>
    <w:p w14:paraId="30A1004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记录复苏室的各种事件和护理信息，自动接收体征监护数据，生成单独麻醉复苏记录单</w:t>
      </w:r>
    </w:p>
    <w:p w14:paraId="330F909E">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麻醉复苏评分</w:t>
      </w:r>
    </w:p>
    <w:p w14:paraId="2CA96E65">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8"/>
        </w:rPr>
        <w:t xml:space="preserve">对复苏病人进行 </w:t>
      </w:r>
      <w:r>
        <w:rPr>
          <w:color w:val="auto"/>
        </w:rPr>
        <w:t>Steward</w:t>
      </w:r>
      <w:r>
        <w:rPr>
          <w:color w:val="auto"/>
          <w:spacing w:val="-9"/>
        </w:rPr>
        <w:t xml:space="preserve"> 评分，提供复苏病人评分情况统计表</w:t>
      </w:r>
    </w:p>
    <w:p w14:paraId="37568A58">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麻醉总结</w:t>
      </w:r>
    </w:p>
    <w:p w14:paraId="49EA688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√能够提供麻醉总结记录，按照医院的要求定制符合要求的麻醉总结记录单提供模板输入、手工输入多种方式、方便操作</w:t>
      </w:r>
    </w:p>
    <w:p w14:paraId="2B54434F">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麻醉收费</w:t>
      </w:r>
    </w:p>
    <w:p w14:paraId="4E64D98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手术计费及各种耗材计费支持自动生成、手工录入、模板录入等多种方式，药品计费可满足根据麻醉记录单自动记录及手工录入两种方式。</w:t>
      </w:r>
    </w:p>
    <w:p w14:paraId="340F4060">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术后随访</w:t>
      </w:r>
    </w:p>
    <w:p w14:paraId="021E383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w:t>
      </w:r>
      <w:r>
        <w:rPr>
          <w:color w:val="auto"/>
          <w:spacing w:val="-2"/>
        </w:rPr>
        <w:t>提供麻醉术后随访记录，根据实际要求，可记录多次书后随访记录，可定制麻醉随访记录单，提供模板输入、手工输入多种记录方式。</w:t>
      </w:r>
    </w:p>
    <w:p w14:paraId="219B7EBF">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术后镇痛</w:t>
      </w:r>
    </w:p>
    <w:p w14:paraId="4941DEC2">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可针对手术病人，进行术后镇痛，提供模板输入方式、方便操作</w:t>
      </w:r>
    </w:p>
    <w:p w14:paraId="53A0A2B4">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病案打印</w:t>
      </w:r>
    </w:p>
    <w:p w14:paraId="74FD50B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集中打印病人手术后的各种病案文书：麻醉记录、访视记录、麻醉总结单、医嘱单、随访记录等等</w:t>
      </w:r>
    </w:p>
    <w:p w14:paraId="0FB7B5DA">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病案提交</w:t>
      </w:r>
    </w:p>
    <w:p w14:paraId="70276BE8">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提交病人病案，将该手术记录设置成完成状态</w:t>
      </w:r>
    </w:p>
    <w:p w14:paraId="76E3C256">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手术取消</w:t>
      </w:r>
    </w:p>
    <w:p w14:paraId="2C388FDA">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能够取消手术申请，提供取消原因输入，可查询，统计手术取消记录</w:t>
      </w:r>
    </w:p>
    <w:p w14:paraId="7CC87925">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系统查询</w:t>
      </w:r>
    </w:p>
    <w:p w14:paraId="63927B3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√在手术室内，麻醉医生、手术室护士可以根据给出条件检索到所需的病例</w:t>
      </w:r>
      <w:r>
        <w:rPr>
          <w:rFonts w:hint="eastAsia" w:ascii="Arial" w:hAnsi="Arial" w:cs="Arial"/>
          <w:color w:val="auto"/>
          <w:spacing w:val="-2"/>
          <w:lang w:eastAsia="zh-CN"/>
        </w:rPr>
        <w:t>。</w:t>
      </w:r>
      <w:r>
        <w:rPr>
          <w:rFonts w:hint="default" w:ascii="Arial" w:hAnsi="Arial" w:cs="Arial"/>
          <w:color w:val="auto"/>
          <w:spacing w:val="-2"/>
        </w:rPr>
        <w:t>对调出的病例可以查看到病人围术期的所有信息，可以打印围术期报告（术前访视、麻醉单、护理记录单、麻醉总结）。使用者可以在线调出检索结果中的病人围术期病例，查看其围术期的全部信息。</w:t>
      </w:r>
    </w:p>
    <w:p w14:paraId="3ACCDA0E">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系统统计</w:t>
      </w:r>
    </w:p>
    <w:p w14:paraId="3230457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√使用者在权限允许的情况下，可以使用统计报表功能。使用者自行定义统计时间段和选择报表类型：麻醉医生工作量，手术医生 工作量，手术室护士工作量，按麻醉 ASA 等级统计的报表，分科别统计的报表、麻醉复苏统计报表，镇痛信息统计报表。</w:t>
      </w:r>
    </w:p>
    <w:p w14:paraId="5A5A6A90">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危重病人评分</w:t>
      </w:r>
    </w:p>
    <w:p w14:paraId="035CC69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√提供危重病人进行各种专业评分，有：TISS、APACHE2、CG 等</w:t>
      </w:r>
    </w:p>
    <w:p w14:paraId="1D260215">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科室排班</w:t>
      </w:r>
    </w:p>
    <w:p w14:paraId="1CD6D43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科室领导对科室人员的排班处理，医护人员可以在系统内查看到排班情况</w:t>
      </w:r>
    </w:p>
    <w:p w14:paraId="7EA68185">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0"/>
          <w:sz w:val="24"/>
        </w:rPr>
        <w:t xml:space="preserve">麻醉 </w:t>
      </w:r>
      <w:r>
        <w:rPr>
          <w:color w:val="auto"/>
          <w:sz w:val="24"/>
        </w:rPr>
        <w:t>SOP</w:t>
      </w:r>
      <w:r>
        <w:rPr>
          <w:color w:val="auto"/>
          <w:spacing w:val="-24"/>
          <w:sz w:val="24"/>
        </w:rPr>
        <w:t xml:space="preserve"> 文档</w:t>
      </w:r>
    </w:p>
    <w:p w14:paraId="0A2C9F6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2"/>
        </w:rPr>
        <w:t xml:space="preserve">麻醉科室 </w:t>
      </w:r>
      <w:r>
        <w:rPr>
          <w:color w:val="auto"/>
        </w:rPr>
        <w:t>SOP</w:t>
      </w:r>
      <w:r>
        <w:rPr>
          <w:color w:val="auto"/>
          <w:spacing w:val="-9"/>
        </w:rPr>
        <w:t xml:space="preserve"> 文档管理，医护人员可以查阅相关文档</w:t>
      </w:r>
    </w:p>
    <w:p w14:paraId="2731355A">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医嘱查询</w:t>
      </w:r>
    </w:p>
    <w:p w14:paraId="385857B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可在线查询手术病人在院医嘱情况</w:t>
      </w:r>
    </w:p>
    <w:p w14:paraId="0251B31E">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检验报告</w:t>
      </w:r>
    </w:p>
    <w:p w14:paraId="70F7CD7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可在线查询手术病人检验报告查询</w:t>
      </w:r>
    </w:p>
    <w:p w14:paraId="471C702D">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2"/>
          <w:sz w:val="24"/>
        </w:rPr>
        <w:t>检查申请处理</w:t>
      </w:r>
    </w:p>
    <w:p w14:paraId="6701D38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0"/>
        </w:rPr>
        <w:t>可在手术期间，进行手术病人检验申请处理、标本采集记录，条码打印</w:t>
      </w:r>
    </w:p>
    <w:p w14:paraId="613E6ED1">
      <w:pPr>
        <w:pStyle w:val="4"/>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color w:val="auto"/>
        </w:rPr>
      </w:pPr>
      <w:r>
        <w:rPr>
          <w:color w:val="auto"/>
        </w:rPr>
        <w:t>（已经有检验条码系统的情况下</w:t>
      </w:r>
      <w:r>
        <w:rPr>
          <w:color w:val="auto"/>
          <w:spacing w:val="-10"/>
        </w:rPr>
        <w:t>）</w:t>
      </w:r>
    </w:p>
    <w:p w14:paraId="55A2BF93">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z w:val="24"/>
        </w:rPr>
        <w:t>EMR</w:t>
      </w:r>
      <w:r>
        <w:rPr>
          <w:color w:val="auto"/>
          <w:spacing w:val="-24"/>
          <w:sz w:val="24"/>
        </w:rPr>
        <w:t xml:space="preserve"> 查询</w:t>
      </w:r>
    </w:p>
    <w:p w14:paraId="60570BC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可在线查询手术病人病历信息</w:t>
      </w:r>
    </w:p>
    <w:p w14:paraId="1810D5F4">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费用清单</w:t>
      </w:r>
    </w:p>
    <w:p w14:paraId="36D6DA2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提供查询病人科室所发生的费用清单</w:t>
      </w:r>
    </w:p>
    <w:p w14:paraId="5A800CF9">
      <w:pPr>
        <w:pStyle w:val="24"/>
        <w:keepNext w:val="0"/>
        <w:keepLines w:val="0"/>
        <w:pageBreakBefore w:val="0"/>
        <w:widowControl w:val="0"/>
        <w:numPr>
          <w:ilvl w:val="0"/>
          <w:numId w:val="29"/>
        </w:numPr>
        <w:tabs>
          <w:tab w:val="left" w:pos="1422"/>
        </w:tabs>
        <w:kinsoku/>
        <w:wordWrap/>
        <w:overflowPunct/>
        <w:topLinePunct w:val="0"/>
        <w:autoSpaceDE w:val="0"/>
        <w:autoSpaceDN w:val="0"/>
        <w:bidi w:val="0"/>
        <w:adjustRightInd/>
        <w:snapToGrid/>
        <w:spacing w:before="0" w:line="360" w:lineRule="auto"/>
        <w:ind w:left="1421" w:hanging="722"/>
        <w:textAlignment w:val="auto"/>
        <w:rPr>
          <w:color w:val="auto"/>
          <w:sz w:val="24"/>
        </w:rPr>
      </w:pPr>
      <w:r>
        <w:rPr>
          <w:color w:val="auto"/>
          <w:spacing w:val="-3"/>
          <w:sz w:val="24"/>
        </w:rPr>
        <w:t>退费处理</w:t>
      </w:r>
    </w:p>
    <w:p w14:paraId="07179B5B">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提供对病人在手术期间所产生费用、药品进行退回处理</w:t>
      </w:r>
    </w:p>
    <w:p w14:paraId="1E7FCCA8">
      <w:pPr>
        <w:pStyle w:val="24"/>
        <w:keepNext w:val="0"/>
        <w:keepLines w:val="0"/>
        <w:pageBreakBefore w:val="0"/>
        <w:widowControl w:val="0"/>
        <w:numPr>
          <w:ilvl w:val="3"/>
          <w:numId w:val="12"/>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医技业务</w:t>
      </w:r>
    </w:p>
    <w:p w14:paraId="4763A2F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17"/>
        </w:rPr>
      </w:pPr>
    </w:p>
    <w:p w14:paraId="19F2D8A1">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临床检验信息管理系统（</w:t>
      </w:r>
      <w:r>
        <w:rPr>
          <w:rFonts w:ascii="等线" w:eastAsia="等线"/>
          <w:b/>
          <w:color w:val="auto"/>
          <w:spacing w:val="-2"/>
          <w:sz w:val="24"/>
        </w:rPr>
        <w:t>LIS</w:t>
      </w:r>
      <w:r>
        <w:rPr>
          <w:b/>
          <w:color w:val="auto"/>
          <w:spacing w:val="-2"/>
          <w:sz w:val="24"/>
        </w:rPr>
        <w:t>）</w:t>
      </w:r>
    </w:p>
    <w:p w14:paraId="408A49B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eastAsia"/>
          <w:color w:val="auto"/>
          <w:spacing w:val="-2"/>
        </w:rPr>
      </w:pPr>
      <w:r>
        <w:rPr>
          <w:rFonts w:hint="default" w:ascii="Arial" w:hAnsi="Arial" w:cs="Arial"/>
          <w:color w:val="auto"/>
          <w:spacing w:val="-2"/>
        </w:rPr>
        <w:t>√</w:t>
      </w:r>
      <w:r>
        <w:rPr>
          <w:rFonts w:hint="eastAsia"/>
          <w:color w:val="auto"/>
          <w:spacing w:val="-2"/>
        </w:rPr>
        <w:t>需与院内检验信息管理系统对接，满足国家电子病历系统功能应用水平分级评价四级测评要求。</w:t>
      </w:r>
    </w:p>
    <w:p w14:paraId="649A5D9C">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合理用血系</w:t>
      </w:r>
      <w:r>
        <w:rPr>
          <w:b/>
          <w:color w:val="auto"/>
          <w:spacing w:val="-10"/>
          <w:sz w:val="24"/>
        </w:rPr>
        <w:t>统</w:t>
      </w:r>
    </w:p>
    <w:p w14:paraId="57DA472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全院血液（输血）管理系统应主要以血袋编号为主线对血液在医院内的整 个生命周期进行跟踪管理，涉及模块包括：输血申请、交叉配血、血液入出库、输血管理、汇总统计等。系统功能应包括：</w:t>
      </w:r>
    </w:p>
    <w:p w14:paraId="10E19ED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√临床输血申请：常规输血申请前先进行输血前评估；申请单自动获取病人信息；申请单能自动获取检查检验结果；对常规输血进行分级管理；输血知情同意书的自动管理等内容。</w:t>
      </w:r>
    </w:p>
    <w:p w14:paraId="40D884A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√审证用血管理：记录审证用血量与品种，查询和统计病人的审证用量。对审证量&lt;用血量的病人进行警示。当审证量不足时，自动提醒医生。</w:t>
      </w:r>
    </w:p>
    <w:p w14:paraId="080D60F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√输血申请单（输血医嘱）执行：复核和执行医嘱，对需要配血的病人，打印配血条码等。配血血样的采集管理。</w:t>
      </w:r>
    </w:p>
    <w:p w14:paraId="47EBF7D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√交叉配血：显示患者的历史的检测信息，累计用血量；配血检测结果自动从仪器中获取，打印交叉配血单等，查询交叉配血信息。</w:t>
      </w:r>
    </w:p>
    <w:p w14:paraId="6DD6BF7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√取血和发血管理：实现电子化的取血和发血。取血信息自动发送到护士站和医生站。</w:t>
      </w:r>
    </w:p>
    <w:p w14:paraId="66FB300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√输血过程管理：使用 PDA 现场记录或完成后进行输血过程记录.</w:t>
      </w:r>
    </w:p>
    <w:p w14:paraId="4CFB7EC6">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√血液入库：将中心血站送到医院的血制品进行入库登记。</w:t>
      </w:r>
    </w:p>
    <w:p w14:paraId="435A7DB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√监控和预警：血液有效期预警/库存量预警/血库需备血预警/标本流转监控 /血袋流转监控/拟输血患者监控/不良反应患者监控等</w:t>
      </w:r>
    </w:p>
    <w:p w14:paraId="10FD86C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血液库存管理：血库库存查询，可根据血液成分、血液来源、血型、制备日期、有效期等进行查询；血液失效登记：血库管理者对超过保存期的血制品进行登记。对入库的血制品进行汇总登记。入库血制品的明细报表。</w:t>
      </w:r>
    </w:p>
    <w:p w14:paraId="723F060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√统计分析：床病人的用血登记表。 临床病人用血明细记录。临床病人用血的汇总报表。用血情况跟踪血型分布(在院及手术病人)人均手术用血量年手术增长与用血增长各种病手术用血量（各种手术用血量）统计查询发血至用血时长，配血血样送达时长，发血血液送达时长</w:t>
      </w:r>
    </w:p>
    <w:p w14:paraId="69C9756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6389A78F">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实验室质量</w:t>
      </w:r>
      <w:r>
        <w:rPr>
          <w:b/>
          <w:color w:val="auto"/>
          <w:spacing w:val="-4"/>
          <w:sz w:val="24"/>
        </w:rPr>
        <w:t>管理系统</w:t>
      </w:r>
    </w:p>
    <w:p w14:paraId="4D546D1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w:t>
      </w:r>
      <w:r>
        <w:rPr>
          <w:rFonts w:hint="eastAsia" w:ascii="Arial" w:hAnsi="Arial" w:cs="Arial"/>
          <w:color w:val="auto"/>
          <w:spacing w:val="-2"/>
        </w:rPr>
        <w:t>需与医院现有实验室质量管理系统对接，满足国家电子病历系统功能应用水平分级评价四级测评要求</w:t>
      </w:r>
      <w:r>
        <w:rPr>
          <w:rFonts w:hint="eastAsia" w:ascii="Arial" w:hAnsi="Arial" w:cs="Arial"/>
          <w:color w:val="auto"/>
          <w:spacing w:val="-2"/>
          <w:lang w:eastAsia="zh-CN"/>
        </w:rPr>
        <w:t>。</w:t>
      </w:r>
    </w:p>
    <w:p w14:paraId="0629AD34">
      <w:pPr>
        <w:pStyle w:val="24"/>
        <w:keepNext w:val="0"/>
        <w:keepLines w:val="0"/>
        <w:pageBreakBefore w:val="0"/>
        <w:widowControl w:val="0"/>
        <w:numPr>
          <w:ilvl w:val="4"/>
          <w:numId w:val="12"/>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rFonts w:hint="eastAsia" w:ascii="宋体" w:hAnsi="宋体" w:eastAsia="宋体" w:cs="宋体"/>
          <w:b/>
          <w:color w:val="auto"/>
          <w:sz w:val="24"/>
        </w:rPr>
      </w:pPr>
      <w:r>
        <w:rPr>
          <w:rFonts w:hint="eastAsia" w:ascii="宋体" w:hAnsi="宋体" w:eastAsia="宋体" w:cs="宋体"/>
          <w:b/>
          <w:color w:val="auto"/>
          <w:spacing w:val="-2"/>
          <w:sz w:val="24"/>
        </w:rPr>
        <w:t>医学影像信息管理系统（PACS）</w:t>
      </w:r>
    </w:p>
    <w:p w14:paraId="0625B2FF">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b/>
          <w:color w:val="auto"/>
          <w:sz w:val="20"/>
        </w:rPr>
      </w:pPr>
    </w:p>
    <w:p w14:paraId="1A79B2BF">
      <w:pPr>
        <w:pStyle w:val="24"/>
        <w:keepNext w:val="0"/>
        <w:keepLines w:val="0"/>
        <w:pageBreakBefore w:val="0"/>
        <w:widowControl w:val="0"/>
        <w:numPr>
          <w:ilvl w:val="5"/>
          <w:numId w:val="12"/>
        </w:numPr>
        <w:tabs>
          <w:tab w:val="left" w:pos="2320"/>
          <w:tab w:val="left" w:pos="2321"/>
        </w:tabs>
        <w:kinsoku/>
        <w:wordWrap/>
        <w:overflowPunct/>
        <w:topLinePunct w:val="0"/>
        <w:autoSpaceDE w:val="0"/>
        <w:autoSpaceDN w:val="0"/>
        <w:bidi w:val="0"/>
        <w:adjustRightInd/>
        <w:snapToGrid/>
        <w:spacing w:before="0" w:line="360" w:lineRule="auto"/>
        <w:ind w:left="2321" w:leftChars="0" w:hanging="1621" w:firstLineChars="0"/>
        <w:textAlignment w:val="auto"/>
        <w:rPr>
          <w:rFonts w:hint="eastAsia" w:ascii="宋体" w:hAnsi="宋体" w:eastAsia="宋体" w:cs="宋体"/>
          <w:color w:val="auto"/>
          <w:sz w:val="24"/>
        </w:rPr>
      </w:pPr>
      <w:r>
        <w:rPr>
          <w:rFonts w:hint="eastAsia" w:ascii="宋体" w:hAnsi="宋体" w:eastAsia="宋体" w:cs="宋体"/>
          <w:color w:val="auto"/>
          <w:sz w:val="24"/>
        </w:rPr>
        <w:t>PACS</w:t>
      </w:r>
      <w:r>
        <w:rPr>
          <w:rFonts w:hint="eastAsia" w:ascii="宋体" w:hAnsi="宋体" w:eastAsia="宋体" w:cs="宋体"/>
          <w:color w:val="auto"/>
          <w:spacing w:val="-7"/>
          <w:sz w:val="24"/>
        </w:rPr>
        <w:t xml:space="preserve"> </w:t>
      </w:r>
      <w:r>
        <w:rPr>
          <w:rFonts w:hint="eastAsia" w:ascii="宋体" w:hAnsi="宋体" w:eastAsia="宋体" w:cs="宋体"/>
          <w:color w:val="auto"/>
          <w:spacing w:val="-2"/>
          <w:sz w:val="24"/>
        </w:rPr>
        <w:t>服务器系统</w:t>
      </w:r>
    </w:p>
    <w:p w14:paraId="1535D0C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√采用 ORACLE 或 SQL SERVER 主流数据库。可以使用 windows、Linux、Unix 等主流操作系统。存储格式遵循 DICOM3.0 标准：具有常见 DICOM 影像的存储功能；具有DICOM 结构化报告 SR 的存储功能、具有 DICOM 留痕信息 GSPS 的存储功能；具有 DICOM Store 服务；具有 DICOM Worklist 服务；具有 DICOM PPSM 服务；具有 DICOM Query/Retrieve 服务。提供 DICOM3.0 的 SOP Class ： Patient Root Find/Move 、Study Root Find/Move，可允许多个客户端工作站同时根据患者姓名、检查设备、检查部位、影像号、检查时间日期等多种查询条件的组合形式查询与调阅影像，并提供查  询影像调阅前的缩略图预览功能。</w:t>
      </w:r>
    </w:p>
    <w:p w14:paraId="432A87F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可以同时接受多个不同影像设备发送的数据，所有设备影像直接发送到服务器，不经过其他工作站中转，病人所有影像可以集中阅片。具有影像预取和影像自动路由功能。可以采用集中式数据库储存管理机制，使用快速定位算法，直接定位影像存储位置，数据库中无需记录图像索引信息。安全日志：提供影像数据的各种状态记录日志（影像修改、删除、存档、影像调阅、影像传输），并提供相应分析工具。具有符合 JPG、JPEG2000 标准压缩功能；具有有损压缩（LOSSY）和无损压缩（LOSSLESS）两种常见格式压缩功能。具有系统安全账户管理：用户和密码管理，可以配置系统级/用户组级/用户级不同的账户管理。具有日志管理：可以设置日志的记录级别。系统管理员权限由服务器统一管理，并发控制。只要拥有权限，可以从任意终端登陆，管理系统。</w:t>
      </w:r>
    </w:p>
    <w:p w14:paraId="0B12EB99">
      <w:pPr>
        <w:pStyle w:val="24"/>
        <w:keepNext w:val="0"/>
        <w:keepLines w:val="0"/>
        <w:pageBreakBefore w:val="0"/>
        <w:widowControl w:val="0"/>
        <w:numPr>
          <w:ilvl w:val="5"/>
          <w:numId w:val="12"/>
        </w:numPr>
        <w:tabs>
          <w:tab w:val="left" w:pos="2320"/>
          <w:tab w:val="left" w:pos="2321"/>
        </w:tabs>
        <w:kinsoku/>
        <w:wordWrap/>
        <w:overflowPunct/>
        <w:topLinePunct w:val="0"/>
        <w:autoSpaceDE w:val="0"/>
        <w:autoSpaceDN w:val="0"/>
        <w:bidi w:val="0"/>
        <w:adjustRightInd/>
        <w:snapToGrid/>
        <w:spacing w:before="0" w:line="360" w:lineRule="auto"/>
        <w:ind w:left="2321" w:leftChars="0" w:hanging="1621" w:firstLineChars="0"/>
        <w:textAlignment w:val="auto"/>
        <w:rPr>
          <w:color w:val="auto"/>
          <w:sz w:val="24"/>
        </w:rPr>
      </w:pPr>
      <w:r>
        <w:rPr>
          <w:color w:val="auto"/>
          <w:spacing w:val="-2"/>
          <w:sz w:val="24"/>
        </w:rPr>
        <w:t>影像工作站系统</w:t>
      </w:r>
    </w:p>
    <w:p w14:paraId="11A7C6D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√软件功能：平面旋转、翻转、无极缩放、放大镜、影像移动漫游、伪彩处 理、边缘提取、图像复制、支持按部位默认的窗宽、窗位或存储时设定的窗宽、窗位显示、ROI 自动窗宽、窗位调节、同时显示多幅图像时，可以独立调整各 幅图像的窗宽、窗位。系统允许用户自定义窗宽、窗位组合，并可方便选择、显示双窗宽/窗位、平滑、锐化处理、对比度翻转、伸展、补偿、图像标注、图像头信息查看、长度、面积计算显示，角度测量，椭圆测量，角度测量，距离测量，图形标注，箭头标志，图像文字标注、ROI 平均密度值测量、心胸比测量、DICOM DIR 光盘读取、多帧 DICOM 图像循环播放;序列 DICOM 影像动态回放。每个工作站免费提供影像 2D/3D 重建处理：常规提供如 MPR(正交多平面重建)、fMPR(任意多平面重建)、MIP(最大密度重建)、VR(容积重建)等 2D/3D 影像重建处理功能。</w:t>
      </w:r>
    </w:p>
    <w:p w14:paraId="6371F1A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系统支持按检查类型相关的显示设置自动安排显示布局，支持按用户可选择和可定义的显示设置调整显示布局。影像比较：同时调阅一个病人或多个患者不同诊断序列、不同时期影像对比显示以帮助诊断。对于相同检查的 CT 影像序列可自动对齐后自动逐层比较，对于不同检查的 CT 影像序列(复查、随访等)可手动对齐后自动逐层比较，尤其适用于反复多次复查的结核患者。恢复原始图像显示功能。MR 和 CT 图像定位线显示、导航。同一窗口内多序列图像多定位线交叉引用。关键图像标记和显示。支持多屏设置显示。支持丰富的影像打印排版模式：同一个病人不同检查影像拼图打印；不同病人的相同/不同检查影像拼图打印。可导入各种非 DICOM 格式影像(BMP/JPEG/TIF)执行浏览和操作。可将 DICOM 影像帧及影像序列导出为 BMP/JPEG/TIF 格式或 AVI 视频格式。</w:t>
      </w:r>
    </w:p>
    <w:p w14:paraId="261D4C0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color w:val="auto"/>
        </w:rPr>
      </w:pPr>
      <w:r>
        <w:rPr>
          <w:color w:val="auto"/>
          <w:spacing w:val="-6"/>
        </w:rPr>
        <w:t xml:space="preserve"> </w:t>
      </w:r>
      <w:r>
        <w:rPr>
          <w:color w:val="auto"/>
        </w:rPr>
        <w:t>5.1.5.4.4.3</w:t>
      </w:r>
      <w:r>
        <w:rPr>
          <w:color w:val="auto"/>
          <w:spacing w:val="18"/>
        </w:rPr>
        <w:t xml:space="preserve"> 影像高级处理系统</w:t>
      </w:r>
    </w:p>
    <w:p w14:paraId="43003C4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√每个工作站免费提供影像 2D/3D 重建处理：常规提供如 MPR(正交多平面重建)、fMPR(任意多平面重建)、MIP(最大密度重建)、VR(容积重建)等 2D/3D 影像重建处理功能。</w:t>
      </w:r>
    </w:p>
    <w:p w14:paraId="155FAF93">
      <w:pPr>
        <w:pStyle w:val="24"/>
        <w:keepNext w:val="0"/>
        <w:keepLines w:val="0"/>
        <w:pageBreakBefore w:val="0"/>
        <w:widowControl w:val="0"/>
        <w:numPr>
          <w:ilvl w:val="5"/>
          <w:numId w:val="30"/>
        </w:numPr>
        <w:tabs>
          <w:tab w:val="left" w:pos="2321"/>
        </w:tabs>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rPr>
      </w:pPr>
      <w:r>
        <w:rPr>
          <w:rFonts w:hint="default" w:ascii="Arial" w:hAnsi="Arial" w:cs="Arial"/>
          <w:color w:val="auto"/>
          <w:spacing w:val="-2"/>
        </w:rPr>
        <w:t>√</w:t>
      </w:r>
      <w:r>
        <w:rPr>
          <w:rFonts w:hint="eastAsia" w:ascii="宋体" w:hAnsi="宋体" w:eastAsia="宋体" w:cs="宋体"/>
          <w:color w:val="auto"/>
          <w:spacing w:val="-2"/>
          <w:sz w:val="24"/>
        </w:rPr>
        <w:t>WebPACS</w:t>
      </w:r>
    </w:p>
    <w:p w14:paraId="3F948A3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 DOCOM 标准：支持 DICOM 标准 2011 年版定义的全部影像 IOD 类型的调阅；DICOM 影像压缩：支持 DICOM 标准定义的无损压缩算法；支持 DICOM 标准定义的有损压缩算法：用户可自行设置和选择影像压缩率(压缩质量)；影像在线存储管理：支持任意间期的影像在线存储管理；支持采用磁盘阵列、RAID-5 容错的在线影像管理架构支持在线存储影像自动维护管理；支持影像在线存储容量动态扩展能力</w:t>
      </w:r>
      <w:r>
        <w:rPr>
          <w:rFonts w:hint="eastAsia" w:ascii="Arial" w:hAnsi="Arial" w:cs="Arial"/>
          <w:color w:val="auto"/>
          <w:spacing w:val="-2"/>
          <w:lang w:eastAsia="zh-CN"/>
        </w:rPr>
        <w:t>；</w:t>
      </w:r>
      <w:r>
        <w:rPr>
          <w:rFonts w:hint="default" w:ascii="Arial" w:hAnsi="Arial" w:cs="Arial"/>
          <w:color w:val="auto"/>
          <w:spacing w:val="-2"/>
        </w:rPr>
        <w:t>系统安全管理：DICOM 通讯的注册及授权访问机制，拒绝任务非授权用户的 DICOM 访问操作。</w:t>
      </w:r>
    </w:p>
    <w:p w14:paraId="5B3A8E8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√WebView 主要的影像操作功能及参数指标；直接读取和显示、处理各类 DICOM 影像：支持 CT/MR/CR/DR/DSA/RF 以及超声和核医学 DICOM 影像等浏览；执行原始 DICOM 影像或(有损/无损)压缩后 DICOM 影像的读取和显示、处理影像浏览终端操作 DICOM 格式影像实现影像浏览任务，因此可以真正地实现诸如窗宽/窗位以及 CT 值测量这类医学影像特有的属性的操作。提供多参数查询、分类查询、时间间期查询等影像查询操作 DICOM 影像 Header 信息浏览；影像反转；影像镜像显示影像旋转；影像多级缩小、放大影像单帧、多帧显示；影像动态播放(可自定义或动态调节播放速度)窗宽/窗位实时调节角度、长度以及不同形状 ROI 面积/周长/密度或 CT 值测量任意形面积/周长测量任意图形、文字标注功能(可动态调节字体/颜色)</w:t>
      </w:r>
    </w:p>
    <w:p w14:paraId="79B4FB71">
      <w:pPr>
        <w:pStyle w:val="24"/>
        <w:keepNext w:val="0"/>
        <w:keepLines w:val="0"/>
        <w:pageBreakBefore w:val="0"/>
        <w:widowControl w:val="0"/>
        <w:numPr>
          <w:ilvl w:val="5"/>
          <w:numId w:val="30"/>
        </w:numPr>
        <w:tabs>
          <w:tab w:val="left" w:pos="2320"/>
          <w:tab w:val="left" w:pos="2321"/>
        </w:tabs>
        <w:kinsoku/>
        <w:wordWrap/>
        <w:overflowPunct/>
        <w:topLinePunct w:val="0"/>
        <w:autoSpaceDE w:val="0"/>
        <w:autoSpaceDN w:val="0"/>
        <w:bidi w:val="0"/>
        <w:adjustRightInd/>
        <w:snapToGrid/>
        <w:spacing w:before="0"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RIS</w:t>
      </w:r>
      <w:r>
        <w:rPr>
          <w:rFonts w:hint="eastAsia" w:ascii="宋体" w:hAnsi="宋体" w:eastAsia="宋体" w:cs="宋体"/>
          <w:color w:val="auto"/>
          <w:spacing w:val="-7"/>
          <w:sz w:val="24"/>
        </w:rPr>
        <w:t xml:space="preserve"> </w:t>
      </w:r>
      <w:r>
        <w:rPr>
          <w:rFonts w:hint="eastAsia" w:ascii="宋体" w:hAnsi="宋体" w:eastAsia="宋体" w:cs="宋体"/>
          <w:color w:val="auto"/>
          <w:spacing w:val="-2"/>
          <w:sz w:val="24"/>
        </w:rPr>
        <w:t>信息管理系统</w:t>
      </w:r>
    </w:p>
    <w:p w14:paraId="1C5018E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 DICOM worklist 服务；针对配置 DICOM Modality Worklist 服务的影像设备，实现 worklist 功能，优化工作流程，提高效率。支持多个预约队列，能够方便地在不同队列间切换，对已经安排的预约提供改约和取消预约功能；预约和检查注意事项能够反馈给申请医生和科室；可定制的影像号分配策略，可统一分配，也可按设备分配。支持多种病人信息/申请单信息录入方式(包括病人的基本信息及申请单信息)：包括手工录入、条形码识别、HIS/EMR 获取、磁卡读取等。同时支持通过扫描仪、数码相机等方式将申请单输入到计算机,保存临床申请信息，并与患者信息、影像对应存档。</w:t>
      </w:r>
    </w:p>
    <w:p w14:paraId="0E29F38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集中登记、分部门登记两种登记方式；能够进行多部位的同时登记分诊。能够进行退登记、患者查询操作。可进行病人复诊登记，对重复登记项目内容自行预设与维护。支持绿色通道处理机制，可以在特殊紧急状况完成病人的紧急登记注册和检查，检查完成后自动和手动执行病人信息的匹配、校正和合并操作。自动查询并使用（或不使用）复诊病人过去检查信息，使用其检查序号，并记录其检查频次。支持多媒体查询功能，病人可通过一卡通、条码、及 ID 号等进行个人诊断状态查询。可按多种方式进行全科信息资料检索、查询及统计如统计阴性率阳性率、工作量、检查次数、部位、住院病人、外院病人、平诊病人、急诊病人、病人性别、年龄段等。分级用户权限管理；支持排队叫号系统；可进行病人复诊登记、对重复登记项目内容自行预设与维护；对不同类型检查的收费可自行预设及维护，并自动进行计算显示；内置诊断报告模板生成、编辑及管理机制。</w:t>
      </w:r>
    </w:p>
    <w:p w14:paraId="6F93B78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 xml:space="preserve">√可以将当前报告直接存为报告模板。提供查询前级医师报告和既往检查报告能力。 可直接调用当前报告患者检查申请单内容参考。提供从报告界面直接执行报告打印预览能力。 提供报告界面直接执行报告打印输出能力。可与 PACS 影像工作站软件流程集成和数据通讯，执行图文一体化诊断报告构建和输出；在诊断报告过程启动时，自动触发和激活影像终端侧同步执行当前患者影像序列查询、自动装载和浏览过程。可 自 动 查 询 并 获 取 当 前 患 者 检 查 的 影 像 在 线 状 态 </w:t>
      </w:r>
      <w:r>
        <w:rPr>
          <w:rFonts w:hint="eastAsia" w:ascii="Arial" w:hAnsi="Arial" w:cs="Arial"/>
          <w:color w:val="auto"/>
          <w:spacing w:val="-2"/>
          <w:lang w:eastAsia="zh-CN"/>
        </w:rPr>
        <w:t>（</w:t>
      </w:r>
      <w:r>
        <w:rPr>
          <w:rFonts w:hint="eastAsia" w:ascii="Arial" w:hAnsi="Arial" w:cs="Arial"/>
          <w:color w:val="auto"/>
          <w:spacing w:val="-2"/>
        </w:rPr>
        <w:t>IHE，Image Availability</w:t>
      </w:r>
      <w:r>
        <w:rPr>
          <w:rFonts w:hint="eastAsia" w:ascii="Arial" w:hAnsi="Arial" w:cs="Arial"/>
          <w:color w:val="auto"/>
          <w:spacing w:val="-2"/>
          <w:lang w:eastAsia="zh-CN"/>
        </w:rPr>
        <w:t>）</w:t>
      </w:r>
      <w:r>
        <w:rPr>
          <w:rFonts w:hint="default" w:ascii="Arial" w:hAnsi="Arial" w:cs="Arial"/>
          <w:color w:val="auto"/>
          <w:spacing w:val="-2"/>
        </w:rPr>
        <w:t>，为医师第一时间启动患者软拷贝诊断操作提供基础。报告编辑书写过程支持对电子申请单的浏览。支持急诊病人报告由写报告的医生自审核功能，强制将除急诊以外的所有影像检查报告提交审核。</w:t>
      </w:r>
    </w:p>
    <w:p w14:paraId="0E5CE61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 xml:space="preserve">√支持阅读审核后的报告的功能，提供与审核前报告的对比功能或在阅读已审核报告时提示审核修改前的内容（修改痕迹保留）。支持打印审核后的报告和重打功能。支持各种形式的病人、报告、影像资料、临床诊断、影像诊断等查询或组合查询。可以对报告描述、诊断结果中的词句进行模糊查询；根据医生权限不同，每台诊断工作站均可以做报告审核，取决于医生的权限。提供使用过程中的安全管理机制。 </w:t>
      </w:r>
    </w:p>
    <w:p w14:paraId="297FFE13">
      <w:pPr>
        <w:keepNext w:val="0"/>
        <w:keepLines w:val="0"/>
        <w:pageBreakBefore w:val="0"/>
        <w:widowControl w:val="0"/>
        <w:kinsoku/>
        <w:wordWrap/>
        <w:overflowPunct/>
        <w:topLinePunct w:val="0"/>
        <w:autoSpaceDE w:val="0"/>
        <w:autoSpaceDN w:val="0"/>
        <w:bidi w:val="0"/>
        <w:adjustRightInd/>
        <w:snapToGrid/>
        <w:spacing w:line="360" w:lineRule="auto"/>
        <w:textAlignment w:val="auto"/>
        <w:rPr>
          <w:color w:val="auto"/>
        </w:rPr>
      </w:pPr>
      <w:r>
        <w:rPr>
          <w:color w:val="auto"/>
          <w:spacing w:val="-2"/>
        </w:rPr>
        <w:t>5.1.5.4.4.6</w:t>
      </w:r>
      <w:r>
        <w:rPr>
          <w:rFonts w:hint="eastAsia"/>
          <w:color w:val="auto"/>
          <w:spacing w:val="-2"/>
          <w:lang w:val="en-US" w:eastAsia="zh-CN"/>
        </w:rPr>
        <w:t xml:space="preserve"> </w:t>
      </w:r>
      <w:r>
        <w:rPr>
          <w:color w:val="auto"/>
          <w:spacing w:val="-2"/>
        </w:rPr>
        <w:t>超声信息管理系统</w:t>
      </w:r>
    </w:p>
    <w:p w14:paraId="20438AF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√支持多种病人信息/申请单信息录入方式(包括病人的基本信息及申请单信息)：包括手工录入、条形码识别、HIS/EMR 获取、磁卡读取等。同时支持通过扫描仪、数码相机等方式将申请单输入到计算机,保存临床申请信息，并与患者信息、影像对应存档。支持自动叫号排队系统。支持检查预约/取消，登记/取消。支持预约单/检查单打印，可打印条码；检查单/预约单可以按检查类型和检查项目自由配置格式和内容。支持急诊、门诊、住院、体检等各种病人类型的登记，并支持优先级设置。支持 DICOM 方式采集超声影像。支持非 DICOM 影像设备的图像采集，并可转换为 DICOM 标准格式。支持超声影像动态采集及录像结果（AVI）回放。支持在动态回放过程中采集单帧影像。</w:t>
      </w:r>
    </w:p>
    <w:p w14:paraId="559F1EF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√支持图像导入、导出功能，支持 BMP/JPG 格式。可以前台采集和后台采集图像，特殊患者可以先进行图像采集，把图像保存在工作站上，可以集中的把急诊患者图像采集下来。所见及所得报告编写方式，丰富的模板库，科室医生可以结合自己的习惯把诊断用语分为公有和私有模板。超声诊断工作站可以看到此患者的放射报告和图像资料。可以提取到临床的医嘱，检验的结果等。历史诊断报告列表功能，医生可随时查看当前病人的所有历史检查信息和历史诊断报告。提供医学的特殊字符、疾病报告模版。支持为诊断报告设置疾病分类关键词。报告单样式管理功能，可以随意设置多种格式的报告单样式。支持将典型报告内容保存为教学用报告的功能。可通过检查号、姓名（模糊查询）、年龄（岁、月、天）、性别、设备明细、检查状态、检查时间组合查询。可以通过病人的类型（住院、门诊、体检）以及编号、检查部位、检查项目、申请科室、报告医生、审核医生、是否急诊等组合查询。可以对报告描述、诊断结果中的词句进行模糊查询。支持诊断结论查询，并可将查询结果导出到 EXCEL 作进一步统计打印。锁定系统，保证在用户暂时离开时，系统不被非法使用。常用信息项目维护，添加/修改/删除检查设备、职业、收费类型、检查科室、民族、患者来源、检查医生等信息项目。诊断语句维护，添加/修改/删除诊断模板、诊断词条；对诊断词条的显示进行排序。提供数据备份，可导出当前系统配置信息、患者检查信息、采集的图像信息，进行数据备份，防止硬盘损坏、病毒破坏、操作系统崩溃等意外造成的数据丢失。</w:t>
      </w:r>
    </w:p>
    <w:p w14:paraId="6472864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 xml:space="preserve">√提供数据恢复，在意外发生时，恢复备份的系统配置信息、患者检查信息、采集的图像信息，保证系统数据和患者数据不丢失。加载患者历史检查报告和图像。可在所见即所得的图文报告书写页面上进行患者基本信息的登记。可以在打印报告时选择打印机、进行打印参数调整、指定报告打印份数以及打印报告的特定页（多页报告）。可以对诊断模板树进行自定义的分层结构。可以设置诊断内容的字体样式包括大小、颜色、粗细等。 </w:t>
      </w:r>
    </w:p>
    <w:p w14:paraId="48F6B32A">
      <w:pPr>
        <w:keepNext w:val="0"/>
        <w:keepLines w:val="0"/>
        <w:pageBreakBefore w:val="0"/>
        <w:widowControl w:val="0"/>
        <w:kinsoku/>
        <w:wordWrap/>
        <w:overflowPunct/>
        <w:topLinePunct w:val="0"/>
        <w:autoSpaceDE w:val="0"/>
        <w:autoSpaceDN w:val="0"/>
        <w:bidi w:val="0"/>
        <w:adjustRightInd/>
        <w:snapToGrid/>
        <w:spacing w:line="360" w:lineRule="auto"/>
        <w:ind w:firstLine="720" w:firstLineChars="0"/>
        <w:textAlignment w:val="auto"/>
        <w:rPr>
          <w:color w:val="auto"/>
        </w:rPr>
      </w:pPr>
      <w:r>
        <w:rPr>
          <w:color w:val="auto"/>
          <w:spacing w:val="-2"/>
        </w:rPr>
        <w:t>5.1.5.4.4.7</w:t>
      </w:r>
      <w:r>
        <w:rPr>
          <w:rFonts w:hint="eastAsia"/>
          <w:color w:val="auto"/>
          <w:spacing w:val="-2"/>
          <w:lang w:val="en-US" w:eastAsia="zh-CN"/>
        </w:rPr>
        <w:t xml:space="preserve"> </w:t>
      </w:r>
      <w:r>
        <w:rPr>
          <w:color w:val="auto"/>
          <w:spacing w:val="-2"/>
        </w:rPr>
        <w:t>内镜信息管理系统</w:t>
      </w:r>
    </w:p>
    <w:p w14:paraId="14E5089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支持十二指肠镜、膀胱镜、鼻咽喉镜、妇科腹腔镜、宫腔镜、结肠镜、胃镜、腹腔镜、支气管镜等设备。在编写报告时，可显示患者历史资料及历史影像，以供对照报告编写调用，报告中对当前已选择的影像可以单独进行文字说明，并可由用户自行选择体位  标记。编写报告操作简单，采用一个界面即可完成编写报告工作，操作流程序  符合内窥镜诊断流程。提供丰富的范本，用户可以自行添加修改范本。图像采集可实时显示设备传过来的图像，可一键式采集，采集的图像可以供报告系统调用可导出至其它存储设备。支持动态采集，动态回放，动态图像回放提取功能。</w:t>
      </w:r>
    </w:p>
    <w:p w14:paraId="773799C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sz w:val="17"/>
        </w:rPr>
      </w:pPr>
    </w:p>
    <w:p w14:paraId="15E9832F">
      <w:pPr>
        <w:pStyle w:val="24"/>
        <w:keepNext w:val="0"/>
        <w:keepLines w:val="0"/>
        <w:pageBreakBefore w:val="0"/>
        <w:widowControl w:val="0"/>
        <w:numPr>
          <w:ilvl w:val="4"/>
          <w:numId w:val="31"/>
        </w:numPr>
        <w:tabs>
          <w:tab w:val="left" w:pos="1901"/>
        </w:tabs>
        <w:kinsoku/>
        <w:wordWrap/>
        <w:overflowPunct/>
        <w:topLinePunct w:val="0"/>
        <w:autoSpaceDE w:val="0"/>
        <w:autoSpaceDN w:val="0"/>
        <w:bidi w:val="0"/>
        <w:adjustRightInd/>
        <w:snapToGrid/>
        <w:spacing w:before="0" w:line="360" w:lineRule="auto"/>
        <w:ind w:hanging="1199"/>
        <w:jc w:val="both"/>
        <w:textAlignment w:val="auto"/>
        <w:rPr>
          <w:rFonts w:hint="eastAsia" w:ascii="宋体" w:hAnsi="宋体" w:eastAsia="宋体" w:cs="宋体"/>
          <w:b/>
          <w:color w:val="auto"/>
          <w:sz w:val="24"/>
        </w:rPr>
      </w:pPr>
      <w:r>
        <w:rPr>
          <w:rFonts w:hint="eastAsia" w:ascii="宋体" w:hAnsi="宋体" w:eastAsia="宋体" w:cs="宋体"/>
          <w:b/>
          <w:color w:val="auto"/>
          <w:sz w:val="24"/>
        </w:rPr>
        <w:t>AI</w:t>
      </w:r>
      <w:r>
        <w:rPr>
          <w:rFonts w:hint="eastAsia" w:ascii="宋体" w:hAnsi="宋体" w:eastAsia="宋体" w:cs="宋体"/>
          <w:b/>
          <w:color w:val="auto"/>
          <w:spacing w:val="-15"/>
          <w:sz w:val="24"/>
        </w:rPr>
        <w:t xml:space="preserve"> </w:t>
      </w:r>
      <w:r>
        <w:rPr>
          <w:rFonts w:hint="eastAsia" w:ascii="宋体" w:hAnsi="宋体" w:eastAsia="宋体" w:cs="宋体"/>
          <w:b/>
          <w:color w:val="auto"/>
          <w:spacing w:val="-2"/>
          <w:sz w:val="24"/>
        </w:rPr>
        <w:t>影像辅助软件</w:t>
      </w:r>
    </w:p>
    <w:p w14:paraId="3986B0F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√过影像分类、目标检测、图像分割、图像检索等方式，完成病灶识别与标注、三维重建、靶区自动勾画与自适应放疗等功能，应用在疾病的筛查、诊断和治疗阶段。</w:t>
      </w:r>
    </w:p>
    <w:p w14:paraId="1A519D91">
      <w:pPr>
        <w:pStyle w:val="24"/>
        <w:keepNext w:val="0"/>
        <w:keepLines w:val="0"/>
        <w:pageBreakBefore w:val="0"/>
        <w:widowControl w:val="0"/>
        <w:numPr>
          <w:ilvl w:val="4"/>
          <w:numId w:val="31"/>
        </w:numPr>
        <w:tabs>
          <w:tab w:val="left" w:pos="1901"/>
        </w:tabs>
        <w:kinsoku/>
        <w:wordWrap/>
        <w:overflowPunct/>
        <w:topLinePunct w:val="0"/>
        <w:autoSpaceDE w:val="0"/>
        <w:autoSpaceDN w:val="0"/>
        <w:bidi w:val="0"/>
        <w:adjustRightInd/>
        <w:snapToGrid/>
        <w:spacing w:before="0" w:line="360" w:lineRule="auto"/>
        <w:ind w:hanging="1199"/>
        <w:jc w:val="both"/>
        <w:textAlignment w:val="auto"/>
        <w:rPr>
          <w:b/>
          <w:color w:val="auto"/>
          <w:sz w:val="24"/>
        </w:rPr>
      </w:pPr>
      <w:r>
        <w:rPr>
          <w:b/>
          <w:color w:val="auto"/>
          <w:spacing w:val="-2"/>
          <w:sz w:val="24"/>
        </w:rPr>
        <w:t>病理信息管理系</w:t>
      </w:r>
      <w:r>
        <w:rPr>
          <w:b/>
          <w:color w:val="auto"/>
          <w:spacing w:val="-10"/>
          <w:sz w:val="24"/>
        </w:rPr>
        <w:t>统</w:t>
      </w:r>
    </w:p>
    <w:p w14:paraId="0EA8841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default" w:ascii="Arial" w:hAnsi="Arial" w:cs="Arial"/>
          <w:color w:val="auto"/>
          <w:spacing w:val="-2"/>
        </w:rPr>
      </w:pPr>
      <w:r>
        <w:rPr>
          <w:rFonts w:hint="default" w:ascii="Arial" w:hAnsi="Arial" w:cs="Arial"/>
          <w:color w:val="auto"/>
          <w:spacing w:val="-2"/>
        </w:rPr>
        <w:t>√提供基于集成平台的病理检查流程交互服务，需包含检查申请单提交、标</w:t>
      </w:r>
    </w:p>
    <w:p w14:paraId="314E047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23" w:firstLine="479"/>
        <w:textAlignment w:val="auto"/>
        <w:rPr>
          <w:rFonts w:hint="eastAsia" w:ascii="Arial" w:hAnsi="Arial" w:eastAsia="宋体" w:cs="Arial"/>
          <w:color w:val="auto"/>
          <w:spacing w:val="-2"/>
          <w:lang w:eastAsia="zh-CN"/>
        </w:rPr>
      </w:pPr>
      <w:r>
        <w:rPr>
          <w:rFonts w:hint="default" w:ascii="Arial" w:hAnsi="Arial" w:cs="Arial"/>
          <w:color w:val="auto"/>
          <w:spacing w:val="-2"/>
        </w:rPr>
        <w:t>本采集、送检、接收、计费、报告审核等流程服务，检查报告发送和撤销服务，心电图报告调阅服务；对院内或医联体内提供检查结果调阅功能；提供业务服务的标准消息协议</w:t>
      </w:r>
      <w:r>
        <w:rPr>
          <w:rFonts w:hint="eastAsia" w:ascii="Arial" w:hAnsi="Arial" w:cs="Arial"/>
          <w:color w:val="auto"/>
          <w:spacing w:val="-2"/>
          <w:lang w:eastAsia="zh-CN"/>
        </w:rPr>
        <w:t>。</w:t>
      </w:r>
    </w:p>
    <w:p w14:paraId="4B99A6A3">
      <w:pPr>
        <w:pStyle w:val="24"/>
        <w:keepNext w:val="0"/>
        <w:keepLines w:val="0"/>
        <w:pageBreakBefore w:val="0"/>
        <w:widowControl w:val="0"/>
        <w:numPr>
          <w:ilvl w:val="4"/>
          <w:numId w:val="31"/>
        </w:numPr>
        <w:tabs>
          <w:tab w:val="left" w:pos="1901"/>
        </w:tabs>
        <w:kinsoku/>
        <w:wordWrap/>
        <w:overflowPunct/>
        <w:topLinePunct w:val="0"/>
        <w:autoSpaceDE w:val="0"/>
        <w:autoSpaceDN w:val="0"/>
        <w:bidi w:val="0"/>
        <w:adjustRightInd/>
        <w:snapToGrid/>
        <w:spacing w:before="0" w:line="360" w:lineRule="auto"/>
        <w:ind w:hanging="1199"/>
        <w:textAlignment w:val="auto"/>
        <w:rPr>
          <w:b/>
          <w:color w:val="auto"/>
          <w:sz w:val="24"/>
        </w:rPr>
      </w:pPr>
      <w:r>
        <w:rPr>
          <w:b/>
          <w:color w:val="auto"/>
          <w:spacing w:val="-2"/>
          <w:sz w:val="24"/>
        </w:rPr>
        <w:t>电生理信息</w:t>
      </w:r>
      <w:r>
        <w:rPr>
          <w:b/>
          <w:color w:val="auto"/>
          <w:spacing w:val="-4"/>
          <w:sz w:val="24"/>
        </w:rPr>
        <w:t>管理系统</w:t>
      </w:r>
    </w:p>
    <w:p w14:paraId="440EB750">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基础平台</w:t>
      </w:r>
    </w:p>
    <w:p w14:paraId="460787B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√按照医院集团一体化管理的要求，统一业务规则、业务标准以及业务流程，搭建多院区架构的全院心电电生理网络平台，实现集团各院区门诊、急诊、病 区、体检等各科室检查的全面接入，并与 HIS、EMR 等系统进行对接,实现数据 共享交互。</w:t>
      </w:r>
    </w:p>
    <w:p w14:paraId="102B3B0E">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采集和分析</w:t>
      </w:r>
    </w:p>
    <w:p w14:paraId="49C44EE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√提供通用的分析工具，如同屏对比、波形放大、电子分规测量及心电图数据重新分析功能。实现任意心搏放大、单导联图谱漂移、全屏图谱漂移。具有向量分析技术。实现 Cabrera 导联功能、附加导联功能。阿托品试验采集及处理流程。实现心电事件、起博心电、晚电位功能。实现漏诊提示：对心电图因显示分辨率问题导致的可能被疏忽的细节异常进行提示，防止造成漏诊。导联纠错功能：如果心电图数据因为导联接反或者胸导联接错位置而导致数据不对，无需重新采集病人数据，医生可以通过软件进行纠正。实现危急值预警流程，自动诊断出危机值数据，系统进行预警，提醒诊断医生优先诊断。</w:t>
      </w:r>
    </w:p>
    <w:p w14:paraId="76F527FC">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电生理数据处理</w:t>
      </w:r>
    </w:p>
    <w:p w14:paraId="6744053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√实现原始数据的自动解析，并可进行归档、生成电生理报告，报告可院内共享。实现电生理设备包括 Holter、运动平板、动态血压、脑电图、肌电图、 TCD，听力检查、眼科检查、神经电生理检查等。根据临床实际需要，实现重新定义报告格式，并且可对电生理参数进行相应的统计分析。实现电生理数据归档和管理，数据经过归档后，在科室内实现数字化管理和院内数据共享。</w:t>
      </w:r>
    </w:p>
    <w:p w14:paraId="1D6520E8">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z w:val="24"/>
        </w:rPr>
        <w:t>WEB</w:t>
      </w:r>
      <w:r>
        <w:rPr>
          <w:color w:val="auto"/>
          <w:spacing w:val="-14"/>
          <w:sz w:val="24"/>
        </w:rPr>
        <w:t xml:space="preserve"> 终端浏览</w:t>
      </w:r>
    </w:p>
    <w:p w14:paraId="1030817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lang w:val="en-US" w:eastAsia="zh-CN"/>
        </w:rPr>
        <w:t>√Web 终端浏览可查看原始数据，调整走速和增益，实现全院数据共享。具有在线心电图分析功能，查看长时间原始心电波形；实现心电图处理测量功能，波形显示、幅值调整、单页多页显示、新旧病历对比功能、心拍自动分析、心拍特征</w:t>
      </w:r>
      <w:r>
        <w:rPr>
          <w:rFonts w:hint="default" w:ascii="Arial" w:hAnsi="Arial" w:cs="Arial"/>
          <w:color w:val="auto"/>
          <w:spacing w:val="-2"/>
        </w:rPr>
        <w:t>点自动识别、心拍特征点手动微调、走纸速度调整、波形放大等功能。</w:t>
      </w:r>
    </w:p>
    <w:p w14:paraId="719B0451">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3"/>
          <w:sz w:val="24"/>
        </w:rPr>
        <w:t>统计分析</w:t>
      </w:r>
    </w:p>
    <w:p w14:paraId="08EFC0D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lang w:val="en-US" w:eastAsia="zh-CN"/>
        </w:rPr>
      </w:pPr>
      <w:r>
        <w:rPr>
          <w:rFonts w:hint="default" w:ascii="Arial" w:hAnsi="Arial" w:cs="Arial"/>
          <w:color w:val="auto"/>
          <w:spacing w:val="-2"/>
          <w:lang w:val="en-US" w:eastAsia="zh-CN"/>
        </w:rPr>
        <w:t>√系统查询统计包括患者信息查询、仪器使用统计、工作量费用统计、阳性查询、低值查询、数据范围查询等。实现数据输出为 DBF、EXCEL、TXT、JPG 等格式供第三方软件分析，能进行各种分类分项统计，提供各种统计报表样张。</w:t>
      </w:r>
    </w:p>
    <w:p w14:paraId="6FAE00DA">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危急值推送</w:t>
      </w:r>
    </w:p>
    <w:p w14:paraId="7C7E74EA">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jc w:val="both"/>
        <w:textAlignment w:val="auto"/>
        <w:rPr>
          <w:color w:val="auto"/>
        </w:rPr>
      </w:pPr>
      <w:r>
        <w:rPr>
          <w:rFonts w:hint="default" w:ascii="Arial" w:hAnsi="Arial" w:cs="Arial"/>
          <w:color w:val="auto"/>
          <w:spacing w:val="-2"/>
        </w:rPr>
        <w:t>√</w:t>
      </w:r>
      <w:r>
        <w:rPr>
          <w:color w:val="auto"/>
          <w:spacing w:val="-2"/>
        </w:rPr>
        <w:t>实现危急值的自动预警和消息推送。根据接收的心电、电生理检查信息危重程度不同，可自动进行诊断分级并通过弹窗报警提示，避免危急的数据淹没在常规的心电列表中，使危急的数据得到及时处理。</w:t>
      </w:r>
    </w:p>
    <w:p w14:paraId="3648FB95">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电生理数据安全</w:t>
      </w:r>
    </w:p>
    <w:p w14:paraId="6641D92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实现数据修正，显示数据的审计、修改的痕迹；实现数据离线保存、恢复。实现单机版运行，保证异常情况下的数据恢复。</w:t>
      </w:r>
      <w:r>
        <w:rPr>
          <w:color w:val="auto"/>
          <w:spacing w:val="-9"/>
        </w:rPr>
        <w:t xml:space="preserve">在线数据实现 </w:t>
      </w:r>
      <w:r>
        <w:rPr>
          <w:color w:val="auto"/>
        </w:rPr>
        <w:t>RAID5</w:t>
      </w:r>
      <w:r>
        <w:rPr>
          <w:color w:val="auto"/>
          <w:spacing w:val="-9"/>
        </w:rPr>
        <w:t xml:space="preserve"> 进行备份，保证数据的安全性和资料延续性。</w:t>
      </w:r>
      <w:r>
        <w:rPr>
          <w:color w:val="auto"/>
          <w:spacing w:val="-2"/>
        </w:rPr>
        <w:t>接入医院集团统一门户平台，实现统一身份认证，同步用户权限，不同权限管理不同的内容。实现用户分组机制，用于简化用户授权。提供用户访问日志功能，对访问过的数据以及特殊的操作进行记录，并提供记录查看和检索手段。</w:t>
      </w:r>
    </w:p>
    <w:p w14:paraId="2223C8F2">
      <w:pPr>
        <w:pStyle w:val="24"/>
        <w:keepNext w:val="0"/>
        <w:keepLines w:val="0"/>
        <w:pageBreakBefore w:val="0"/>
        <w:widowControl w:val="0"/>
        <w:numPr>
          <w:ilvl w:val="0"/>
          <w:numId w:val="32"/>
        </w:numPr>
        <w:tabs>
          <w:tab w:val="left" w:pos="1302"/>
        </w:tabs>
        <w:kinsoku/>
        <w:wordWrap/>
        <w:overflowPunct/>
        <w:topLinePunct w:val="0"/>
        <w:autoSpaceDE w:val="0"/>
        <w:autoSpaceDN w:val="0"/>
        <w:bidi w:val="0"/>
        <w:adjustRightInd/>
        <w:snapToGrid/>
        <w:spacing w:before="0" w:line="360" w:lineRule="auto"/>
        <w:ind w:hanging="602"/>
        <w:textAlignment w:val="auto"/>
        <w:rPr>
          <w:color w:val="auto"/>
          <w:sz w:val="24"/>
        </w:rPr>
      </w:pPr>
      <w:r>
        <w:rPr>
          <w:color w:val="auto"/>
          <w:spacing w:val="-2"/>
          <w:sz w:val="24"/>
        </w:rPr>
        <w:t>信息集成交互服务</w:t>
      </w:r>
    </w:p>
    <w:p w14:paraId="5B60D6E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√提供国家、省、市各类数据上报以及医院的业务需求对接。应实现异构设备连接接入，数量根据医院最终制定。院方最终的须全部包含在内。</w:t>
      </w:r>
    </w:p>
    <w:p w14:paraId="71B22062">
      <w:pPr>
        <w:pStyle w:val="24"/>
        <w:keepNext w:val="0"/>
        <w:keepLines w:val="0"/>
        <w:pageBreakBefore w:val="0"/>
        <w:widowControl w:val="0"/>
        <w:numPr>
          <w:ilvl w:val="4"/>
          <w:numId w:val="31"/>
        </w:numPr>
        <w:tabs>
          <w:tab w:val="left" w:pos="1901"/>
        </w:tabs>
        <w:kinsoku/>
        <w:wordWrap/>
        <w:overflowPunct/>
        <w:topLinePunct w:val="0"/>
        <w:autoSpaceDE w:val="0"/>
        <w:autoSpaceDN w:val="0"/>
        <w:bidi w:val="0"/>
        <w:adjustRightInd/>
        <w:snapToGrid/>
        <w:spacing w:before="0" w:line="360" w:lineRule="auto"/>
        <w:ind w:hanging="1199"/>
        <w:textAlignment w:val="auto"/>
        <w:rPr>
          <w:b/>
          <w:color w:val="auto"/>
          <w:sz w:val="24"/>
        </w:rPr>
      </w:pPr>
      <w:r>
        <w:rPr>
          <w:b/>
          <w:color w:val="auto"/>
          <w:spacing w:val="-2"/>
          <w:sz w:val="24"/>
        </w:rPr>
        <w:t>血液透析管理（</w:t>
      </w:r>
      <w:r>
        <w:rPr>
          <w:rFonts w:hint="eastAsia" w:ascii="等线" w:eastAsia="等线"/>
          <w:b/>
          <w:color w:val="auto"/>
          <w:spacing w:val="-2"/>
          <w:sz w:val="24"/>
        </w:rPr>
        <w:t>含35套床位配套设施</w:t>
      </w:r>
      <w:r>
        <w:rPr>
          <w:b/>
          <w:color w:val="auto"/>
          <w:spacing w:val="-10"/>
          <w:sz w:val="24"/>
        </w:rPr>
        <w:t>）</w:t>
      </w:r>
    </w:p>
    <w:p w14:paraId="19EDE7C4">
      <w:pPr>
        <w:pStyle w:val="24"/>
        <w:keepNext w:val="0"/>
        <w:keepLines w:val="0"/>
        <w:pageBreakBefore w:val="0"/>
        <w:widowControl w:val="0"/>
        <w:numPr>
          <w:ilvl w:val="5"/>
          <w:numId w:val="31"/>
        </w:numPr>
        <w:tabs>
          <w:tab w:val="left" w:pos="2320"/>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2"/>
          <w:sz w:val="24"/>
        </w:rPr>
        <w:t>预约管理与签到</w:t>
      </w:r>
    </w:p>
    <w:p w14:paraId="2E55D5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√患者基本信息：病人基本信息维护：姓名、性别、联系方式等</w:t>
      </w:r>
      <w:r>
        <w:rPr>
          <w:rFonts w:hint="eastAsia" w:ascii="Arial" w:hAnsi="Arial" w:cs="Arial"/>
          <w:color w:val="auto"/>
          <w:spacing w:val="-2"/>
          <w:lang w:eastAsia="zh-CN"/>
        </w:rPr>
        <w:t>。</w:t>
      </w:r>
      <w:r>
        <w:rPr>
          <w:rFonts w:hint="default" w:ascii="Arial" w:hAnsi="Arial" w:cs="Arial"/>
          <w:color w:val="auto"/>
          <w:spacing w:val="-2"/>
        </w:rPr>
        <w:t>预约排班：提供透析病人治疗排班功能。治疗签到：提供病人签到功能；体重秤血压计支持数据接口，可实现患者刷卡自动签到。</w:t>
      </w:r>
    </w:p>
    <w:p w14:paraId="6AF828D0">
      <w:pPr>
        <w:pStyle w:val="24"/>
        <w:keepNext w:val="0"/>
        <w:keepLines w:val="0"/>
        <w:pageBreakBefore w:val="0"/>
        <w:widowControl w:val="0"/>
        <w:numPr>
          <w:ilvl w:val="5"/>
          <w:numId w:val="31"/>
        </w:numPr>
        <w:tabs>
          <w:tab w:val="left" w:pos="2320"/>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医疗管理</w:t>
      </w:r>
    </w:p>
    <w:p w14:paraId="3CE5209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default" w:ascii="Arial" w:hAnsi="Arial" w:cs="Arial"/>
          <w:color w:val="auto"/>
          <w:spacing w:val="-2"/>
        </w:rPr>
      </w:pPr>
      <w:r>
        <w:rPr>
          <w:rFonts w:hint="default" w:ascii="Arial" w:hAnsi="Arial" w:cs="Arial"/>
          <w:color w:val="auto"/>
          <w:spacing w:val="-2"/>
        </w:rPr>
        <w:t>√今日透析：医生对某一班次某一病室患者信息的集中管理。病历首页：提供病人病历信息：透析史、血管通路史、过敏史、家族史等。透析处方：提供病人透析相关参数，如血流量、超滤率、抗凝剂使用等。透析用药：提供血透病人用药医嘱，如长期、临时医嘱等。患者列表：所有正在诊疗患者进行显示查询。</w:t>
      </w:r>
    </w:p>
    <w:p w14:paraId="496CD3A9">
      <w:pPr>
        <w:pStyle w:val="24"/>
        <w:keepNext w:val="0"/>
        <w:keepLines w:val="0"/>
        <w:pageBreakBefore w:val="0"/>
        <w:widowControl w:val="0"/>
        <w:numPr>
          <w:ilvl w:val="5"/>
          <w:numId w:val="31"/>
        </w:numPr>
        <w:tabs>
          <w:tab w:val="left" w:pos="2320"/>
          <w:tab w:val="left" w:pos="2321"/>
        </w:tabs>
        <w:kinsoku/>
        <w:wordWrap/>
        <w:overflowPunct/>
        <w:topLinePunct w:val="0"/>
        <w:autoSpaceDE w:val="0"/>
        <w:autoSpaceDN w:val="0"/>
        <w:bidi w:val="0"/>
        <w:adjustRightInd/>
        <w:snapToGrid/>
        <w:spacing w:before="0" w:line="360" w:lineRule="auto"/>
        <w:textAlignment w:val="auto"/>
        <w:rPr>
          <w:color w:val="auto"/>
          <w:sz w:val="24"/>
        </w:rPr>
      </w:pPr>
      <w:r>
        <w:rPr>
          <w:color w:val="auto"/>
          <w:spacing w:val="-3"/>
          <w:sz w:val="24"/>
        </w:rPr>
        <w:t>护理管理</w:t>
      </w:r>
    </w:p>
    <w:p w14:paraId="31A1944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rFonts w:hint="eastAsia" w:ascii="Arial" w:hAnsi="Arial" w:eastAsia="宋体" w:cs="Arial"/>
          <w:color w:val="auto"/>
          <w:spacing w:val="-2"/>
          <w:lang w:eastAsia="zh-CN"/>
        </w:rPr>
      </w:pPr>
      <w:r>
        <w:rPr>
          <w:rFonts w:hint="default" w:ascii="Arial" w:hAnsi="Arial" w:cs="Arial"/>
          <w:color w:val="auto"/>
          <w:spacing w:val="-2"/>
        </w:rPr>
        <w:t>√今日透析：护士对某一班次某一病室患者信息的集中管理。透前准备：班次治疗前的相关信息准备，如：需要准备的净化器、透析液等。治疗单查询：查询患者历史治疗信息。护士管理：制定护士关注特定患者及填报时间监控</w:t>
      </w:r>
      <w:r>
        <w:rPr>
          <w:rFonts w:hint="eastAsia" w:ascii="Arial" w:hAnsi="Arial" w:cs="Arial"/>
          <w:color w:val="auto"/>
          <w:spacing w:val="-2"/>
          <w:lang w:eastAsia="zh-CN"/>
        </w:rPr>
        <w:t>。</w:t>
      </w:r>
    </w:p>
    <w:p w14:paraId="14F232F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 xml:space="preserve"> </w:t>
      </w:r>
      <w:r>
        <w:rPr>
          <w:color w:val="auto"/>
          <w:spacing w:val="-2"/>
        </w:rPr>
        <w:t>5.1.5.4.8.4</w:t>
      </w:r>
      <w:r>
        <w:rPr>
          <w:color w:val="auto"/>
        </w:rPr>
        <w:tab/>
      </w:r>
      <w:r>
        <w:rPr>
          <w:color w:val="auto"/>
          <w:spacing w:val="-2"/>
        </w:rPr>
        <w:t>医疗文件管理</w:t>
      </w:r>
    </w:p>
    <w:p w14:paraId="0691A05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112" w:firstLine="479"/>
        <w:textAlignment w:val="auto"/>
        <w:rPr>
          <w:color w:val="auto"/>
        </w:rPr>
      </w:pPr>
      <w:r>
        <w:rPr>
          <w:rFonts w:hint="default" w:ascii="Arial" w:hAnsi="Arial" w:cs="Arial"/>
          <w:color w:val="auto"/>
          <w:spacing w:val="-2"/>
        </w:rPr>
        <w:t>√</w:t>
      </w:r>
      <w:r>
        <w:rPr>
          <w:color w:val="auto"/>
          <w:spacing w:val="-2"/>
        </w:rPr>
        <w:t>知情同意书：记录患者血液净化风险同意书、静脉置管书、风险同意书等。上传保存文档扫描图片。</w:t>
      </w:r>
    </w:p>
    <w:p w14:paraId="57922CDF">
      <w:pPr>
        <w:pStyle w:val="4"/>
        <w:keepNext w:val="0"/>
        <w:keepLines w:val="0"/>
        <w:pageBreakBefore w:val="0"/>
        <w:widowControl w:val="0"/>
        <w:tabs>
          <w:tab w:val="left" w:pos="2320"/>
        </w:tabs>
        <w:kinsoku/>
        <w:wordWrap/>
        <w:overflowPunct/>
        <w:topLinePunct w:val="0"/>
        <w:autoSpaceDE w:val="0"/>
        <w:autoSpaceDN w:val="0"/>
        <w:bidi w:val="0"/>
        <w:adjustRightInd/>
        <w:snapToGrid/>
        <w:spacing w:before="0" w:line="360" w:lineRule="auto"/>
        <w:ind w:left="700"/>
        <w:textAlignment w:val="auto"/>
        <w:rPr>
          <w:color w:val="auto"/>
        </w:rPr>
      </w:pPr>
      <w:r>
        <w:rPr>
          <w:color w:val="auto"/>
          <w:spacing w:val="-2"/>
        </w:rPr>
        <w:t>5.1.5.4.8.5</w:t>
      </w:r>
      <w:r>
        <w:rPr>
          <w:color w:val="auto"/>
        </w:rPr>
        <w:tab/>
      </w:r>
      <w:r>
        <w:rPr>
          <w:color w:val="auto"/>
          <w:spacing w:val="-2"/>
        </w:rPr>
        <w:t>统计与分析</w:t>
      </w:r>
    </w:p>
    <w:p w14:paraId="1133508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spacing w:val="-2"/>
        </w:rPr>
      </w:pPr>
      <w:r>
        <w:rPr>
          <w:rFonts w:hint="default" w:ascii="Arial" w:hAnsi="Arial" w:cs="Arial"/>
          <w:color w:val="auto"/>
          <w:spacing w:val="-2"/>
        </w:rPr>
        <w:t>√</w:t>
      </w:r>
      <w:r>
        <w:rPr>
          <w:color w:val="auto"/>
          <w:spacing w:val="-2"/>
        </w:rPr>
        <w:t>患者基本信息统计：新病人数、长期病人数、临时病人数、转院数、死亡</w:t>
      </w:r>
      <w:r>
        <w:rPr>
          <w:color w:val="auto"/>
          <w:spacing w:val="-4"/>
        </w:rPr>
        <w:t>数等。</w:t>
      </w:r>
      <w:r>
        <w:rPr>
          <w:color w:val="auto"/>
          <w:spacing w:val="-1"/>
        </w:rPr>
        <w:t>传染病统计：对传染病种类数量等信息进行统计。费用统计：血透室工作量及病人费用明细统计报表。</w:t>
      </w:r>
      <w:r>
        <w:rPr>
          <w:color w:val="auto"/>
          <w:spacing w:val="-2"/>
        </w:rPr>
        <w:t>治疗项目统计：治疗项目统计，如：HD</w:t>
      </w:r>
      <w:r>
        <w:rPr>
          <w:color w:val="auto"/>
          <w:spacing w:val="-43"/>
        </w:rPr>
        <w:t xml:space="preserve"> </w:t>
      </w:r>
      <w:r>
        <w:rPr>
          <w:color w:val="auto"/>
          <w:spacing w:val="-2"/>
        </w:rPr>
        <w:t>次数、HDF</w:t>
      </w:r>
      <w:r>
        <w:rPr>
          <w:color w:val="auto"/>
          <w:spacing w:val="-43"/>
        </w:rPr>
        <w:t xml:space="preserve"> </w:t>
      </w:r>
      <w:r>
        <w:rPr>
          <w:color w:val="auto"/>
          <w:spacing w:val="-2"/>
        </w:rPr>
        <w:t xml:space="preserve">次数、血管通路统计等 </w:t>
      </w:r>
    </w:p>
    <w:p w14:paraId="3028FE0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color w:val="auto"/>
          <w:spacing w:val="-2"/>
        </w:rPr>
        <w:t>5.1.5.4.8.6</w:t>
      </w:r>
      <w:r>
        <w:rPr>
          <w:color w:val="auto"/>
        </w:rPr>
        <w:tab/>
      </w:r>
      <w:r>
        <w:rPr>
          <w:color w:val="auto"/>
          <w:spacing w:val="-2"/>
        </w:rPr>
        <w:t>系统配置与维护</w:t>
      </w:r>
    </w:p>
    <w:p w14:paraId="2B50C45B">
      <w:pPr>
        <w:pStyle w:val="4"/>
        <w:keepNext w:val="0"/>
        <w:keepLines w:val="0"/>
        <w:pageBreakBefore w:val="0"/>
        <w:widowControl w:val="0"/>
        <w:tabs>
          <w:tab w:val="left" w:pos="2320"/>
        </w:tabs>
        <w:kinsoku/>
        <w:wordWrap/>
        <w:overflowPunct/>
        <w:topLinePunct w:val="0"/>
        <w:autoSpaceDE w:val="0"/>
        <w:autoSpaceDN w:val="0"/>
        <w:bidi w:val="0"/>
        <w:adjustRightInd/>
        <w:snapToGrid/>
        <w:spacing w:before="0" w:line="360" w:lineRule="auto"/>
        <w:ind w:left="700" w:right="119"/>
        <w:textAlignment w:val="auto"/>
        <w:rPr>
          <w:color w:val="auto"/>
        </w:rPr>
      </w:pPr>
      <w:r>
        <w:rPr>
          <w:rFonts w:hint="default" w:ascii="Arial" w:hAnsi="Arial" w:cs="Arial"/>
          <w:color w:val="auto"/>
          <w:spacing w:val="-2"/>
        </w:rPr>
        <w:t>√</w:t>
      </w:r>
      <w:r>
        <w:rPr>
          <w:color w:val="auto"/>
          <w:spacing w:val="-2"/>
        </w:rPr>
        <w:t>维护床位信息目录，维护透析处方内容信息，设置不同用户登录权限管理。 5.1.5.4.8.7</w:t>
      </w:r>
      <w:r>
        <w:rPr>
          <w:color w:val="auto"/>
        </w:rPr>
        <w:tab/>
      </w:r>
      <w:r>
        <w:rPr>
          <w:color w:val="auto"/>
          <w:spacing w:val="-2"/>
        </w:rPr>
        <w:t>数据同步工具</w:t>
      </w:r>
    </w:p>
    <w:p w14:paraId="0D957119">
      <w:pPr>
        <w:pStyle w:val="4"/>
        <w:keepNext w:val="0"/>
        <w:keepLines w:val="0"/>
        <w:pageBreakBefore w:val="0"/>
        <w:widowControl w:val="0"/>
        <w:tabs>
          <w:tab w:val="left" w:pos="2320"/>
        </w:tabs>
        <w:kinsoku/>
        <w:wordWrap/>
        <w:overflowPunct/>
        <w:topLinePunct w:val="0"/>
        <w:autoSpaceDE w:val="0"/>
        <w:autoSpaceDN w:val="0"/>
        <w:bidi w:val="0"/>
        <w:adjustRightInd/>
        <w:snapToGrid/>
        <w:spacing w:before="0" w:line="360" w:lineRule="auto"/>
        <w:ind w:left="700" w:right="2425"/>
        <w:textAlignment w:val="auto"/>
        <w:rPr>
          <w:color w:val="auto"/>
        </w:rPr>
      </w:pPr>
      <w:r>
        <w:rPr>
          <w:rFonts w:hint="default" w:ascii="Arial" w:hAnsi="Arial" w:cs="Arial"/>
          <w:color w:val="auto"/>
          <w:spacing w:val="-2"/>
        </w:rPr>
        <w:t>√</w:t>
      </w:r>
      <w:r>
        <w:rPr>
          <w:color w:val="auto"/>
          <w:spacing w:val="-2"/>
        </w:rPr>
        <w:t>同步医院检验结果信息。同步医院辅助检查结果信息。 5.1.5.4.8.8</w:t>
      </w:r>
      <w:r>
        <w:rPr>
          <w:color w:val="auto"/>
        </w:rPr>
        <w:tab/>
      </w:r>
      <w:r>
        <w:rPr>
          <w:color w:val="auto"/>
          <w:spacing w:val="-4"/>
        </w:rPr>
        <w:t>数据上报</w:t>
      </w:r>
    </w:p>
    <w:p w14:paraId="4F189059">
      <w:pPr>
        <w:pStyle w:val="4"/>
        <w:keepNext w:val="0"/>
        <w:keepLines w:val="0"/>
        <w:pageBreakBefore w:val="0"/>
        <w:widowControl w:val="0"/>
        <w:tabs>
          <w:tab w:val="left" w:pos="2320"/>
        </w:tabs>
        <w:kinsoku/>
        <w:wordWrap/>
        <w:overflowPunct/>
        <w:topLinePunct w:val="0"/>
        <w:autoSpaceDE w:val="0"/>
        <w:autoSpaceDN w:val="0"/>
        <w:bidi w:val="0"/>
        <w:adjustRightInd/>
        <w:snapToGrid/>
        <w:spacing w:before="0" w:line="360" w:lineRule="auto"/>
        <w:ind w:left="700" w:right="2185"/>
        <w:textAlignment w:val="auto"/>
        <w:rPr>
          <w:color w:val="auto"/>
        </w:rPr>
      </w:pPr>
      <w:r>
        <w:rPr>
          <w:rFonts w:hint="default" w:ascii="Arial" w:hAnsi="Arial" w:cs="Arial"/>
          <w:color w:val="auto"/>
          <w:spacing w:val="-2"/>
        </w:rPr>
        <w:t>√</w:t>
      </w:r>
      <w:r>
        <w:rPr>
          <w:color w:val="auto"/>
          <w:spacing w:val="-2"/>
        </w:rPr>
        <w:t>在公网模式下实现与江苏省血透质控平台自动数据上报。 5.1.5.4.8.9</w:t>
      </w:r>
      <w:r>
        <w:rPr>
          <w:color w:val="auto"/>
        </w:rPr>
        <w:tab/>
      </w:r>
      <w:r>
        <w:rPr>
          <w:color w:val="auto"/>
          <w:spacing w:val="-2"/>
        </w:rPr>
        <w:t>耗材和药品库存管理</w:t>
      </w:r>
    </w:p>
    <w:p w14:paraId="6742633C">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spacing w:val="-1"/>
        </w:rPr>
      </w:pPr>
      <w:r>
        <w:rPr>
          <w:rFonts w:hint="default" w:ascii="Arial" w:hAnsi="Arial" w:cs="Arial"/>
          <w:color w:val="auto"/>
          <w:spacing w:val="-2"/>
        </w:rPr>
        <w:t>√</w:t>
      </w:r>
      <w:r>
        <w:rPr>
          <w:color w:val="auto"/>
          <w:spacing w:val="-1"/>
        </w:rPr>
        <w:t>管理净化器及导管等耗材的入库、出库及查询实时库存，每月盘存功能。</w:t>
      </w:r>
    </w:p>
    <w:p w14:paraId="4F135D03">
      <w:pPr>
        <w:pStyle w:val="4"/>
        <w:spacing w:before="2"/>
        <w:ind w:left="700"/>
        <w:rPr>
          <w:color w:val="auto"/>
          <w:spacing w:val="-1"/>
          <w:highlight w:val="none"/>
        </w:rPr>
      </w:pPr>
      <w:r>
        <w:rPr>
          <w:rFonts w:hint="eastAsia"/>
          <w:color w:val="auto"/>
          <w:spacing w:val="-1"/>
          <w:highlight w:val="none"/>
        </w:rPr>
        <w:t>35套床位配套设施</w:t>
      </w:r>
      <w:r>
        <w:rPr>
          <w:color w:val="auto"/>
          <w:spacing w:val="-1"/>
          <w:highlight w:val="none"/>
        </w:rPr>
        <w:t>参数</w:t>
      </w:r>
    </w:p>
    <w:tbl>
      <w:tblPr>
        <w:tblStyle w:val="13"/>
        <w:tblW w:w="8834" w:type="dxa"/>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184"/>
        <w:gridCol w:w="688"/>
        <w:gridCol w:w="736"/>
        <w:gridCol w:w="3406"/>
        <w:gridCol w:w="2132"/>
      </w:tblGrid>
      <w:tr w14:paraId="745A4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88" w:type="dxa"/>
            <w:vAlign w:val="center"/>
          </w:tcPr>
          <w:p w14:paraId="669C292A">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序号</w:t>
            </w:r>
          </w:p>
        </w:tc>
        <w:tc>
          <w:tcPr>
            <w:tcW w:w="1184" w:type="dxa"/>
            <w:vAlign w:val="center"/>
          </w:tcPr>
          <w:p w14:paraId="7EF337CB">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模块名称</w:t>
            </w:r>
          </w:p>
        </w:tc>
        <w:tc>
          <w:tcPr>
            <w:tcW w:w="688" w:type="dxa"/>
            <w:vAlign w:val="center"/>
          </w:tcPr>
          <w:p w14:paraId="655B5925">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单位</w:t>
            </w:r>
          </w:p>
        </w:tc>
        <w:tc>
          <w:tcPr>
            <w:tcW w:w="736" w:type="dxa"/>
            <w:vAlign w:val="center"/>
          </w:tcPr>
          <w:p w14:paraId="24BAFB5A">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数量</w:t>
            </w:r>
          </w:p>
        </w:tc>
        <w:tc>
          <w:tcPr>
            <w:tcW w:w="3406" w:type="dxa"/>
            <w:vAlign w:val="center"/>
          </w:tcPr>
          <w:p w14:paraId="186C986F">
            <w:pPr>
              <w:spacing w:line="360" w:lineRule="auto"/>
              <w:jc w:val="center"/>
              <w:rPr>
                <w:rFonts w:ascii="宋体" w:hAnsi="宋体"/>
                <w:color w:val="000000"/>
                <w:sz w:val="21"/>
                <w:szCs w:val="21"/>
                <w:highlight w:val="none"/>
              </w:rPr>
            </w:pPr>
            <w:r>
              <w:rPr>
                <w:rFonts w:hint="eastAsia" w:ascii="宋体" w:hAnsi="宋体"/>
                <w:color w:val="000000"/>
                <w:sz w:val="21"/>
                <w:szCs w:val="21"/>
                <w:highlight w:val="none"/>
              </w:rPr>
              <w:t>参数</w:t>
            </w:r>
            <w:r>
              <w:rPr>
                <w:rFonts w:ascii="宋体" w:hAnsi="宋体"/>
                <w:color w:val="000000"/>
                <w:sz w:val="21"/>
                <w:szCs w:val="21"/>
                <w:highlight w:val="none"/>
              </w:rPr>
              <w:t>要求</w:t>
            </w:r>
          </w:p>
        </w:tc>
        <w:tc>
          <w:tcPr>
            <w:tcW w:w="2132" w:type="dxa"/>
            <w:vAlign w:val="center"/>
          </w:tcPr>
          <w:p w14:paraId="72428D19">
            <w:pPr>
              <w:spacing w:line="360" w:lineRule="auto"/>
              <w:jc w:val="center"/>
              <w:rPr>
                <w:rFonts w:hint="eastAsia" w:ascii="宋体" w:hAnsi="宋体"/>
                <w:color w:val="000000"/>
                <w:sz w:val="21"/>
                <w:szCs w:val="21"/>
                <w:highlight w:val="none"/>
              </w:rPr>
            </w:pPr>
            <w:r>
              <w:rPr>
                <w:rFonts w:hint="eastAsia" w:ascii="宋体" w:hAnsi="宋体"/>
                <w:color w:val="000000"/>
                <w:sz w:val="21"/>
                <w:szCs w:val="21"/>
                <w:highlight w:val="none"/>
              </w:rPr>
              <w:t>用途</w:t>
            </w:r>
          </w:p>
        </w:tc>
      </w:tr>
      <w:tr w14:paraId="2A0B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688" w:type="dxa"/>
            <w:vAlign w:val="center"/>
          </w:tcPr>
          <w:p w14:paraId="5D01CA4D">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1</w:t>
            </w:r>
          </w:p>
        </w:tc>
        <w:tc>
          <w:tcPr>
            <w:tcW w:w="1184" w:type="dxa"/>
            <w:vAlign w:val="center"/>
          </w:tcPr>
          <w:p w14:paraId="11568D1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自助血压计</w:t>
            </w:r>
          </w:p>
        </w:tc>
        <w:tc>
          <w:tcPr>
            <w:tcW w:w="688" w:type="dxa"/>
            <w:vAlign w:val="center"/>
          </w:tcPr>
          <w:p w14:paraId="06B87AE8">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台</w:t>
            </w:r>
          </w:p>
        </w:tc>
        <w:tc>
          <w:tcPr>
            <w:tcW w:w="736" w:type="dxa"/>
            <w:vAlign w:val="center"/>
          </w:tcPr>
          <w:p w14:paraId="07BAA66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1</w:t>
            </w:r>
          </w:p>
        </w:tc>
        <w:tc>
          <w:tcPr>
            <w:tcW w:w="3406" w:type="dxa"/>
            <w:vAlign w:val="center"/>
          </w:tcPr>
          <w:p w14:paraId="582562B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臂筒式血压计，</w:t>
            </w:r>
            <w:r>
              <w:rPr>
                <w:rFonts w:ascii="宋体" w:hAnsi="宋体"/>
                <w:color w:val="000000"/>
                <w:sz w:val="21"/>
                <w:szCs w:val="21"/>
                <w:highlight w:val="none"/>
              </w:rPr>
              <w:t>压力：（0～270）mmHG （0.36kPa）脉搏数：40次/分～180次/分</w:t>
            </w:r>
            <w:r>
              <w:rPr>
                <w:rFonts w:hint="eastAsia" w:ascii="宋体" w:hAnsi="宋体"/>
                <w:color w:val="000000"/>
                <w:sz w:val="21"/>
                <w:szCs w:val="21"/>
                <w:highlight w:val="none"/>
              </w:rPr>
              <w:t>，有串口接出数据</w:t>
            </w:r>
          </w:p>
        </w:tc>
        <w:tc>
          <w:tcPr>
            <w:tcW w:w="2132" w:type="dxa"/>
            <w:vAlign w:val="center"/>
          </w:tcPr>
          <w:p w14:paraId="336B7B64">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自助接诊系统</w:t>
            </w:r>
          </w:p>
        </w:tc>
      </w:tr>
      <w:tr w14:paraId="446B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8" w:type="dxa"/>
            <w:vAlign w:val="center"/>
          </w:tcPr>
          <w:p w14:paraId="410B6837">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2</w:t>
            </w:r>
          </w:p>
        </w:tc>
        <w:tc>
          <w:tcPr>
            <w:tcW w:w="1184" w:type="dxa"/>
            <w:vAlign w:val="center"/>
          </w:tcPr>
          <w:p w14:paraId="754CAED3">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轮椅秤</w:t>
            </w:r>
          </w:p>
        </w:tc>
        <w:tc>
          <w:tcPr>
            <w:tcW w:w="688" w:type="dxa"/>
            <w:vAlign w:val="center"/>
          </w:tcPr>
          <w:p w14:paraId="0F994D4F">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台</w:t>
            </w:r>
          </w:p>
        </w:tc>
        <w:tc>
          <w:tcPr>
            <w:tcW w:w="736" w:type="dxa"/>
            <w:vAlign w:val="center"/>
          </w:tcPr>
          <w:p w14:paraId="111C9DDF">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1</w:t>
            </w:r>
          </w:p>
        </w:tc>
        <w:tc>
          <w:tcPr>
            <w:tcW w:w="3406" w:type="dxa"/>
            <w:vAlign w:val="center"/>
          </w:tcPr>
          <w:p w14:paraId="45BEE8A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支持轮椅称重，有串口接出数据，对接电脑</w:t>
            </w:r>
          </w:p>
        </w:tc>
        <w:tc>
          <w:tcPr>
            <w:tcW w:w="2132" w:type="dxa"/>
            <w:vAlign w:val="center"/>
          </w:tcPr>
          <w:p w14:paraId="04C173B2">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自助接诊系统</w:t>
            </w:r>
          </w:p>
        </w:tc>
      </w:tr>
      <w:tr w14:paraId="6025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8" w:type="dxa"/>
            <w:vAlign w:val="center"/>
          </w:tcPr>
          <w:p w14:paraId="1E152A28">
            <w:pPr>
              <w:spacing w:line="240" w:lineRule="auto"/>
              <w:rPr>
                <w:rFonts w:ascii="宋体" w:hAnsi="宋体"/>
                <w:color w:val="000000"/>
                <w:sz w:val="21"/>
                <w:szCs w:val="21"/>
                <w:highlight w:val="none"/>
              </w:rPr>
            </w:pPr>
            <w:r>
              <w:rPr>
                <w:rFonts w:hint="eastAsia" w:ascii="宋体" w:hAnsi="宋体"/>
                <w:color w:val="000000"/>
                <w:sz w:val="21"/>
                <w:szCs w:val="21"/>
                <w:highlight w:val="none"/>
              </w:rPr>
              <w:t>3</w:t>
            </w:r>
          </w:p>
        </w:tc>
        <w:tc>
          <w:tcPr>
            <w:tcW w:w="1184" w:type="dxa"/>
            <w:vAlign w:val="center"/>
          </w:tcPr>
          <w:p w14:paraId="686E4B9F">
            <w:pPr>
              <w:spacing w:line="240" w:lineRule="auto"/>
              <w:rPr>
                <w:rFonts w:ascii="宋体" w:hAnsi="宋体"/>
                <w:color w:val="000000"/>
                <w:sz w:val="21"/>
                <w:szCs w:val="21"/>
                <w:highlight w:val="none"/>
              </w:rPr>
            </w:pPr>
            <w:r>
              <w:rPr>
                <w:rFonts w:hint="eastAsia" w:ascii="宋体" w:hAnsi="宋体"/>
                <w:color w:val="000000"/>
                <w:sz w:val="21"/>
                <w:szCs w:val="21"/>
                <w:highlight w:val="none"/>
              </w:rPr>
              <w:t>透</w:t>
            </w:r>
            <w:r>
              <w:rPr>
                <w:rFonts w:ascii="宋体" w:hAnsi="宋体"/>
                <w:color w:val="000000"/>
                <w:sz w:val="21"/>
                <w:szCs w:val="21"/>
                <w:highlight w:val="none"/>
              </w:rPr>
              <w:t>析信息卡</w:t>
            </w:r>
          </w:p>
        </w:tc>
        <w:tc>
          <w:tcPr>
            <w:tcW w:w="688" w:type="dxa"/>
            <w:vAlign w:val="center"/>
          </w:tcPr>
          <w:p w14:paraId="1E8EE05E">
            <w:pPr>
              <w:spacing w:line="240" w:lineRule="auto"/>
              <w:rPr>
                <w:rFonts w:ascii="宋体" w:hAnsi="宋体"/>
                <w:color w:val="000000"/>
                <w:sz w:val="21"/>
                <w:szCs w:val="21"/>
                <w:highlight w:val="none"/>
              </w:rPr>
            </w:pPr>
            <w:r>
              <w:rPr>
                <w:rFonts w:hint="eastAsia" w:ascii="宋体" w:hAnsi="宋体"/>
                <w:color w:val="000000"/>
                <w:sz w:val="21"/>
                <w:szCs w:val="21"/>
                <w:highlight w:val="none"/>
              </w:rPr>
              <w:t>张</w:t>
            </w:r>
          </w:p>
        </w:tc>
        <w:tc>
          <w:tcPr>
            <w:tcW w:w="736" w:type="dxa"/>
            <w:vAlign w:val="center"/>
          </w:tcPr>
          <w:p w14:paraId="6DA08233">
            <w:pPr>
              <w:spacing w:line="240" w:lineRule="auto"/>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200</w:t>
            </w:r>
          </w:p>
        </w:tc>
        <w:tc>
          <w:tcPr>
            <w:tcW w:w="3406" w:type="dxa"/>
            <w:vAlign w:val="center"/>
          </w:tcPr>
          <w:p w14:paraId="7E171420">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定制</w:t>
            </w:r>
            <w:r>
              <w:rPr>
                <w:rFonts w:hint="eastAsia" w:ascii="宋体" w:hAnsi="宋体"/>
                <w:color w:val="000000"/>
                <w:sz w:val="21"/>
                <w:szCs w:val="21"/>
                <w:highlight w:val="none"/>
              </w:rPr>
              <w:t>IC卡</w:t>
            </w:r>
          </w:p>
        </w:tc>
        <w:tc>
          <w:tcPr>
            <w:tcW w:w="2132" w:type="dxa"/>
            <w:vAlign w:val="center"/>
          </w:tcPr>
          <w:p w14:paraId="27DEDD5B">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自助接诊系统</w:t>
            </w:r>
          </w:p>
        </w:tc>
      </w:tr>
      <w:tr w14:paraId="0D8E2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8" w:type="dxa"/>
            <w:vAlign w:val="center"/>
          </w:tcPr>
          <w:p w14:paraId="0F688743">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4</w:t>
            </w:r>
          </w:p>
        </w:tc>
        <w:tc>
          <w:tcPr>
            <w:tcW w:w="1184" w:type="dxa"/>
            <w:vAlign w:val="center"/>
          </w:tcPr>
          <w:p w14:paraId="4086D069">
            <w:pPr>
              <w:spacing w:line="240" w:lineRule="auto"/>
              <w:rPr>
                <w:rFonts w:ascii="宋体" w:hAnsi="宋体"/>
                <w:color w:val="000000"/>
                <w:sz w:val="21"/>
                <w:szCs w:val="21"/>
                <w:highlight w:val="none"/>
              </w:rPr>
            </w:pPr>
            <w:r>
              <w:rPr>
                <w:rFonts w:hint="eastAsia" w:ascii="宋体" w:hAnsi="宋体"/>
                <w:color w:val="000000"/>
                <w:sz w:val="21"/>
                <w:szCs w:val="21"/>
                <w:highlight w:val="none"/>
              </w:rPr>
              <w:t>刷卡</w:t>
            </w:r>
            <w:r>
              <w:rPr>
                <w:rFonts w:ascii="宋体" w:hAnsi="宋体"/>
                <w:color w:val="000000"/>
                <w:sz w:val="21"/>
                <w:szCs w:val="21"/>
                <w:highlight w:val="none"/>
              </w:rPr>
              <w:t>器</w:t>
            </w:r>
          </w:p>
        </w:tc>
        <w:tc>
          <w:tcPr>
            <w:tcW w:w="688" w:type="dxa"/>
            <w:vAlign w:val="center"/>
          </w:tcPr>
          <w:p w14:paraId="5F2270BE">
            <w:pPr>
              <w:spacing w:line="240" w:lineRule="auto"/>
              <w:rPr>
                <w:rFonts w:ascii="宋体" w:hAnsi="宋体"/>
                <w:color w:val="000000"/>
                <w:sz w:val="21"/>
                <w:szCs w:val="21"/>
                <w:highlight w:val="none"/>
              </w:rPr>
            </w:pPr>
            <w:r>
              <w:rPr>
                <w:rFonts w:hint="eastAsia" w:ascii="宋体" w:hAnsi="宋体"/>
                <w:color w:val="000000"/>
                <w:sz w:val="21"/>
                <w:szCs w:val="21"/>
                <w:highlight w:val="none"/>
              </w:rPr>
              <w:t>台</w:t>
            </w:r>
          </w:p>
        </w:tc>
        <w:tc>
          <w:tcPr>
            <w:tcW w:w="736" w:type="dxa"/>
            <w:vAlign w:val="center"/>
          </w:tcPr>
          <w:p w14:paraId="4ECB8B13">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1</w:t>
            </w:r>
          </w:p>
        </w:tc>
        <w:tc>
          <w:tcPr>
            <w:tcW w:w="3406" w:type="dxa"/>
            <w:vAlign w:val="center"/>
          </w:tcPr>
          <w:p w14:paraId="73A98174">
            <w:pPr>
              <w:spacing w:line="240" w:lineRule="auto"/>
              <w:rPr>
                <w:rFonts w:ascii="宋体" w:hAnsi="宋体"/>
                <w:color w:val="000000"/>
                <w:sz w:val="21"/>
                <w:szCs w:val="21"/>
                <w:highlight w:val="none"/>
              </w:rPr>
            </w:pPr>
            <w:r>
              <w:rPr>
                <w:rFonts w:hint="eastAsia"/>
                <w:color w:val="000000"/>
                <w:sz w:val="21"/>
                <w:szCs w:val="21"/>
                <w:highlight w:val="none"/>
                <w:lang w:eastAsia="zh-CN"/>
              </w:rPr>
              <w:t>至少支持</w:t>
            </w:r>
            <w:r>
              <w:rPr>
                <w:rFonts w:hint="eastAsia" w:ascii="宋体" w:hAnsi="宋体"/>
                <w:color w:val="000000"/>
                <w:sz w:val="21"/>
                <w:szCs w:val="21"/>
                <w:highlight w:val="none"/>
              </w:rPr>
              <w:t>通过</w:t>
            </w:r>
            <w:r>
              <w:rPr>
                <w:rFonts w:ascii="宋体" w:hAnsi="宋体"/>
                <w:color w:val="000000"/>
                <w:sz w:val="21"/>
                <w:szCs w:val="21"/>
                <w:highlight w:val="none"/>
              </w:rPr>
              <w:t xml:space="preserve">RS232 </w:t>
            </w:r>
            <w:r>
              <w:rPr>
                <w:rFonts w:hint="eastAsia" w:ascii="宋体" w:hAnsi="宋体"/>
                <w:color w:val="000000"/>
                <w:sz w:val="21"/>
                <w:szCs w:val="21"/>
                <w:highlight w:val="none"/>
              </w:rPr>
              <w:t>串口或</w:t>
            </w:r>
            <w:r>
              <w:rPr>
                <w:rFonts w:ascii="宋体" w:hAnsi="宋体"/>
                <w:color w:val="000000"/>
                <w:sz w:val="21"/>
                <w:szCs w:val="21"/>
                <w:highlight w:val="none"/>
              </w:rPr>
              <w:t xml:space="preserve">USB </w:t>
            </w:r>
            <w:r>
              <w:rPr>
                <w:rFonts w:hint="eastAsia" w:ascii="宋体" w:hAnsi="宋体"/>
                <w:color w:val="000000"/>
                <w:sz w:val="21"/>
                <w:szCs w:val="21"/>
                <w:highlight w:val="none"/>
              </w:rPr>
              <w:t>口实现同</w:t>
            </w:r>
            <w:r>
              <w:rPr>
                <w:rFonts w:ascii="宋体" w:hAnsi="宋体"/>
                <w:color w:val="000000"/>
                <w:sz w:val="21"/>
                <w:szCs w:val="21"/>
                <w:highlight w:val="none"/>
              </w:rPr>
              <w:t xml:space="preserve">PC </w:t>
            </w:r>
            <w:r>
              <w:rPr>
                <w:rFonts w:hint="eastAsia" w:ascii="宋体" w:hAnsi="宋体"/>
                <w:color w:val="000000"/>
                <w:sz w:val="21"/>
                <w:szCs w:val="21"/>
                <w:highlight w:val="none"/>
              </w:rPr>
              <w:t>机及相关设备的连接，</w:t>
            </w:r>
            <w:r>
              <w:rPr>
                <w:rFonts w:ascii="宋体" w:hAnsi="宋体"/>
                <w:color w:val="000000"/>
                <w:sz w:val="21"/>
                <w:szCs w:val="21"/>
                <w:highlight w:val="none"/>
              </w:rPr>
              <w:t xml:space="preserve">USB </w:t>
            </w:r>
            <w:r>
              <w:rPr>
                <w:rFonts w:hint="eastAsia" w:ascii="宋体" w:hAnsi="宋体"/>
                <w:color w:val="000000"/>
                <w:sz w:val="21"/>
                <w:szCs w:val="21"/>
                <w:highlight w:val="none"/>
              </w:rPr>
              <w:t>采用无驱技术。</w:t>
            </w:r>
          </w:p>
        </w:tc>
        <w:tc>
          <w:tcPr>
            <w:tcW w:w="2132" w:type="dxa"/>
            <w:vAlign w:val="center"/>
          </w:tcPr>
          <w:p w14:paraId="2BBDE51B">
            <w:pPr>
              <w:spacing w:line="240" w:lineRule="auto"/>
              <w:rPr>
                <w:rFonts w:ascii="宋体" w:hAnsi="宋体"/>
                <w:color w:val="000000"/>
                <w:sz w:val="21"/>
                <w:szCs w:val="21"/>
                <w:highlight w:val="none"/>
              </w:rPr>
            </w:pPr>
            <w:r>
              <w:rPr>
                <w:rFonts w:hint="eastAsia" w:ascii="宋体" w:hAnsi="宋体"/>
                <w:color w:val="000000"/>
                <w:sz w:val="21"/>
                <w:szCs w:val="21"/>
                <w:highlight w:val="none"/>
              </w:rPr>
              <w:t>自助接诊系统</w:t>
            </w:r>
          </w:p>
        </w:tc>
      </w:tr>
      <w:tr w14:paraId="2DCB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trPr>
        <w:tc>
          <w:tcPr>
            <w:tcW w:w="688" w:type="dxa"/>
            <w:vAlign w:val="center"/>
          </w:tcPr>
          <w:p w14:paraId="3FCA478D">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5</w:t>
            </w:r>
          </w:p>
        </w:tc>
        <w:tc>
          <w:tcPr>
            <w:tcW w:w="1184" w:type="dxa"/>
            <w:vAlign w:val="center"/>
          </w:tcPr>
          <w:p w14:paraId="68C87E44">
            <w:pPr>
              <w:spacing w:line="240" w:lineRule="auto"/>
              <w:rPr>
                <w:rFonts w:ascii="宋体" w:hAnsi="宋体"/>
                <w:color w:val="000000"/>
                <w:sz w:val="21"/>
                <w:szCs w:val="21"/>
                <w:highlight w:val="none"/>
              </w:rPr>
            </w:pPr>
            <w:r>
              <w:rPr>
                <w:rFonts w:hint="eastAsia" w:ascii="宋体" w:hAnsi="宋体"/>
                <w:color w:val="000000"/>
                <w:sz w:val="21"/>
                <w:szCs w:val="21"/>
                <w:highlight w:val="none"/>
              </w:rPr>
              <w:t>平板</w:t>
            </w:r>
            <w:r>
              <w:rPr>
                <w:rFonts w:ascii="宋体" w:hAnsi="宋体"/>
                <w:color w:val="000000"/>
                <w:sz w:val="21"/>
                <w:szCs w:val="21"/>
                <w:highlight w:val="none"/>
              </w:rPr>
              <w:t>电脑</w:t>
            </w:r>
          </w:p>
        </w:tc>
        <w:tc>
          <w:tcPr>
            <w:tcW w:w="688" w:type="dxa"/>
            <w:vAlign w:val="center"/>
          </w:tcPr>
          <w:p w14:paraId="5C95B641">
            <w:pPr>
              <w:spacing w:line="240" w:lineRule="auto"/>
              <w:rPr>
                <w:rFonts w:ascii="宋体" w:hAnsi="宋体"/>
                <w:color w:val="000000"/>
                <w:sz w:val="21"/>
                <w:szCs w:val="21"/>
                <w:highlight w:val="none"/>
              </w:rPr>
            </w:pPr>
            <w:r>
              <w:rPr>
                <w:rFonts w:hint="eastAsia" w:ascii="宋体" w:hAnsi="宋体"/>
                <w:color w:val="000000"/>
                <w:sz w:val="21"/>
                <w:szCs w:val="21"/>
                <w:highlight w:val="none"/>
              </w:rPr>
              <w:t>台</w:t>
            </w:r>
          </w:p>
        </w:tc>
        <w:tc>
          <w:tcPr>
            <w:tcW w:w="736" w:type="dxa"/>
            <w:vAlign w:val="center"/>
          </w:tcPr>
          <w:p w14:paraId="1B7ACF59">
            <w:pPr>
              <w:spacing w:line="240" w:lineRule="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6</w:t>
            </w:r>
          </w:p>
        </w:tc>
        <w:tc>
          <w:tcPr>
            <w:tcW w:w="3406" w:type="dxa"/>
            <w:vAlign w:val="center"/>
          </w:tcPr>
          <w:p w14:paraId="1EBA1F7F">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存</w:t>
            </w:r>
            <w:r>
              <w:rPr>
                <w:rFonts w:ascii="宋体" w:hAnsi="宋体"/>
                <w:color w:val="000000"/>
                <w:sz w:val="21"/>
                <w:szCs w:val="21"/>
                <w:highlight w:val="none"/>
              </w:rPr>
              <w:t>储</w:t>
            </w:r>
            <w:r>
              <w:rPr>
                <w:rFonts w:hint="eastAsia"/>
                <w:color w:val="000000"/>
                <w:sz w:val="21"/>
                <w:szCs w:val="21"/>
                <w:highlight w:val="none"/>
                <w:lang w:val="en-US" w:eastAsia="zh-CN"/>
              </w:rPr>
              <w:t>≥</w:t>
            </w:r>
            <w:r>
              <w:rPr>
                <w:rFonts w:hint="eastAsia" w:ascii="宋体" w:hAnsi="宋体"/>
                <w:color w:val="000000"/>
                <w:sz w:val="21"/>
                <w:szCs w:val="21"/>
                <w:highlight w:val="none"/>
                <w:lang w:val="en-US" w:eastAsia="zh-CN"/>
              </w:rPr>
              <w:t>6</w:t>
            </w:r>
            <w:r>
              <w:rPr>
                <w:rFonts w:hint="eastAsia" w:ascii="宋体" w:hAnsi="宋体"/>
                <w:color w:val="000000"/>
                <w:sz w:val="21"/>
                <w:szCs w:val="21"/>
                <w:highlight w:val="none"/>
              </w:rPr>
              <w:t>2G、</w:t>
            </w:r>
            <w:r>
              <w:rPr>
                <w:rFonts w:ascii="宋体" w:hAnsi="宋体"/>
                <w:color w:val="000000"/>
                <w:sz w:val="21"/>
                <w:szCs w:val="21"/>
                <w:highlight w:val="none"/>
              </w:rPr>
              <w:t>内存</w:t>
            </w:r>
            <w:r>
              <w:rPr>
                <w:rFonts w:hint="eastAsia"/>
                <w:color w:val="000000"/>
                <w:sz w:val="21"/>
                <w:szCs w:val="21"/>
                <w:highlight w:val="none"/>
                <w:lang w:val="en-US" w:eastAsia="zh-CN"/>
              </w:rPr>
              <w:t>≥</w:t>
            </w:r>
            <w:r>
              <w:rPr>
                <w:rFonts w:hint="eastAsia" w:ascii="宋体" w:hAnsi="宋体"/>
                <w:color w:val="000000"/>
                <w:sz w:val="21"/>
                <w:szCs w:val="21"/>
                <w:highlight w:val="none"/>
                <w:lang w:val="en-US" w:eastAsia="zh-CN"/>
              </w:rPr>
              <w:t>8</w:t>
            </w:r>
            <w:r>
              <w:rPr>
                <w:rFonts w:hint="eastAsia" w:ascii="宋体" w:hAnsi="宋体"/>
                <w:color w:val="000000"/>
                <w:sz w:val="21"/>
                <w:szCs w:val="21"/>
                <w:highlight w:val="none"/>
              </w:rPr>
              <w:t>G；屏幕尺寸</w:t>
            </w:r>
            <w:r>
              <w:rPr>
                <w:rFonts w:hint="eastAsia"/>
                <w:color w:val="000000"/>
                <w:sz w:val="21"/>
                <w:szCs w:val="21"/>
                <w:highlight w:val="none"/>
                <w:lang w:val="en-US" w:eastAsia="zh-CN"/>
              </w:rPr>
              <w:t>≥</w:t>
            </w:r>
            <w:r>
              <w:rPr>
                <w:rFonts w:hint="eastAsia" w:ascii="宋体" w:hAnsi="宋体"/>
                <w:color w:val="000000"/>
                <w:sz w:val="21"/>
                <w:szCs w:val="21"/>
                <w:highlight w:val="none"/>
                <w:lang w:val="en-US" w:eastAsia="zh-CN"/>
              </w:rPr>
              <w:t>9</w:t>
            </w:r>
            <w:r>
              <w:rPr>
                <w:rFonts w:hint="eastAsia" w:ascii="宋体" w:hAnsi="宋体"/>
                <w:color w:val="000000"/>
                <w:sz w:val="21"/>
                <w:szCs w:val="21"/>
                <w:highlight w:val="none"/>
              </w:rPr>
              <w:t>英寸</w:t>
            </w:r>
            <w:r>
              <w:rPr>
                <w:rFonts w:hint="eastAsia"/>
                <w:color w:val="000000"/>
                <w:sz w:val="21"/>
                <w:szCs w:val="21"/>
                <w:highlight w:val="none"/>
                <w:lang w:eastAsia="zh-CN"/>
              </w:rPr>
              <w:t>，</w:t>
            </w:r>
            <w:r>
              <w:rPr>
                <w:rFonts w:hint="eastAsia" w:ascii="宋体" w:hAnsi="宋体"/>
                <w:color w:val="000000"/>
                <w:sz w:val="21"/>
                <w:szCs w:val="21"/>
                <w:highlight w:val="none"/>
              </w:rPr>
              <w:t>屏幕分辨率</w:t>
            </w:r>
            <w:r>
              <w:rPr>
                <w:rFonts w:hint="eastAsia"/>
                <w:color w:val="000000"/>
                <w:sz w:val="21"/>
                <w:szCs w:val="21"/>
                <w:highlight w:val="none"/>
                <w:lang w:val="en-US" w:eastAsia="zh-CN"/>
              </w:rPr>
              <w:t>≥</w:t>
            </w:r>
            <w:r>
              <w:rPr>
                <w:rFonts w:ascii="宋体" w:hAnsi="宋体"/>
                <w:color w:val="000000"/>
                <w:sz w:val="21"/>
                <w:szCs w:val="21"/>
                <w:highlight w:val="none"/>
              </w:rPr>
              <w:t>2048*1536</w:t>
            </w:r>
          </w:p>
        </w:tc>
        <w:tc>
          <w:tcPr>
            <w:tcW w:w="2132" w:type="dxa"/>
            <w:vAlign w:val="center"/>
          </w:tcPr>
          <w:p w14:paraId="4F2DC4A0">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移动办公,床旁护理</w:t>
            </w:r>
          </w:p>
        </w:tc>
      </w:tr>
      <w:tr w14:paraId="2D74F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688" w:type="dxa"/>
            <w:vAlign w:val="center"/>
          </w:tcPr>
          <w:p w14:paraId="6597D232">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6</w:t>
            </w:r>
          </w:p>
        </w:tc>
        <w:tc>
          <w:tcPr>
            <w:tcW w:w="1184" w:type="dxa"/>
            <w:vAlign w:val="center"/>
          </w:tcPr>
          <w:p w14:paraId="1C38F92F">
            <w:pPr>
              <w:spacing w:line="240" w:lineRule="auto"/>
              <w:rPr>
                <w:rFonts w:hint="eastAsia" w:ascii="宋体" w:hAnsi="宋体"/>
                <w:color w:val="000000"/>
                <w:sz w:val="21"/>
                <w:szCs w:val="21"/>
                <w:highlight w:val="none"/>
              </w:rPr>
            </w:pPr>
            <w:r>
              <w:rPr>
                <w:rFonts w:ascii="宋体" w:hAnsi="宋体"/>
                <w:color w:val="000000"/>
                <w:sz w:val="21"/>
                <w:szCs w:val="21"/>
                <w:highlight w:val="none"/>
              </w:rPr>
              <w:t>串口</w:t>
            </w:r>
            <w:r>
              <w:rPr>
                <w:rFonts w:hint="eastAsia" w:ascii="宋体" w:hAnsi="宋体"/>
                <w:color w:val="000000"/>
                <w:sz w:val="21"/>
                <w:szCs w:val="21"/>
                <w:highlight w:val="none"/>
              </w:rPr>
              <w:t>线</w:t>
            </w:r>
          </w:p>
        </w:tc>
        <w:tc>
          <w:tcPr>
            <w:tcW w:w="688" w:type="dxa"/>
            <w:vAlign w:val="center"/>
          </w:tcPr>
          <w:p w14:paraId="5591ADA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根</w:t>
            </w:r>
          </w:p>
        </w:tc>
        <w:tc>
          <w:tcPr>
            <w:tcW w:w="736" w:type="dxa"/>
            <w:vAlign w:val="center"/>
          </w:tcPr>
          <w:p w14:paraId="03483092">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4</w:t>
            </w:r>
          </w:p>
        </w:tc>
        <w:tc>
          <w:tcPr>
            <w:tcW w:w="3406" w:type="dxa"/>
            <w:vAlign w:val="center"/>
          </w:tcPr>
          <w:p w14:paraId="5BE34A8F">
            <w:pPr>
              <w:spacing w:line="240" w:lineRule="auto"/>
              <w:rPr>
                <w:rFonts w:hint="eastAsia" w:ascii="宋体" w:hAnsi="宋体"/>
                <w:color w:val="000000"/>
                <w:sz w:val="21"/>
                <w:szCs w:val="21"/>
                <w:highlight w:val="none"/>
              </w:rPr>
            </w:pPr>
            <w:r>
              <w:rPr>
                <w:rFonts w:hint="eastAsia"/>
                <w:color w:val="000000"/>
                <w:sz w:val="21"/>
                <w:szCs w:val="21"/>
                <w:highlight w:val="none"/>
                <w:lang w:eastAsia="zh-CN"/>
              </w:rPr>
              <w:t>至少支持</w:t>
            </w:r>
            <w:r>
              <w:rPr>
                <w:rFonts w:hint="eastAsia" w:ascii="宋体" w:hAnsi="宋体"/>
                <w:color w:val="000000"/>
                <w:sz w:val="21"/>
                <w:szCs w:val="21"/>
                <w:highlight w:val="none"/>
              </w:rPr>
              <w:t>R232直通和2、3交叉线</w:t>
            </w:r>
          </w:p>
        </w:tc>
        <w:tc>
          <w:tcPr>
            <w:tcW w:w="2132" w:type="dxa"/>
            <w:vAlign w:val="center"/>
          </w:tcPr>
          <w:p w14:paraId="1E6259D6">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数据传输，连接体重秤、血压计到自助机上</w:t>
            </w:r>
          </w:p>
        </w:tc>
      </w:tr>
      <w:tr w14:paraId="5B4A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88" w:type="dxa"/>
            <w:vAlign w:val="center"/>
          </w:tcPr>
          <w:p w14:paraId="4001EEA1">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7</w:t>
            </w:r>
          </w:p>
        </w:tc>
        <w:tc>
          <w:tcPr>
            <w:tcW w:w="1184" w:type="dxa"/>
            <w:vAlign w:val="center"/>
          </w:tcPr>
          <w:p w14:paraId="638A9DB3">
            <w:pPr>
              <w:spacing w:line="24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液晶</w:t>
            </w:r>
            <w:r>
              <w:rPr>
                <w:rFonts w:hint="eastAsia" w:ascii="宋体" w:hAnsi="宋体"/>
                <w:color w:val="000000"/>
                <w:sz w:val="21"/>
                <w:szCs w:val="21"/>
                <w:highlight w:val="none"/>
                <w:lang w:val="en-US" w:eastAsia="zh-CN"/>
              </w:rPr>
              <w:t>大屏</w:t>
            </w:r>
          </w:p>
        </w:tc>
        <w:tc>
          <w:tcPr>
            <w:tcW w:w="688" w:type="dxa"/>
            <w:vAlign w:val="center"/>
          </w:tcPr>
          <w:p w14:paraId="605B84DC">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台</w:t>
            </w:r>
          </w:p>
        </w:tc>
        <w:tc>
          <w:tcPr>
            <w:tcW w:w="736" w:type="dxa"/>
            <w:vAlign w:val="center"/>
          </w:tcPr>
          <w:p w14:paraId="645C5975">
            <w:pP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1</w:t>
            </w:r>
          </w:p>
        </w:tc>
        <w:tc>
          <w:tcPr>
            <w:tcW w:w="3406" w:type="dxa"/>
            <w:vAlign w:val="center"/>
          </w:tcPr>
          <w:p w14:paraId="24A4A66C">
            <w:pPr>
              <w:spacing w:line="240" w:lineRule="auto"/>
              <w:rPr>
                <w:rFonts w:ascii="宋体" w:hAnsi="宋体"/>
                <w:color w:val="000000"/>
                <w:sz w:val="21"/>
                <w:szCs w:val="21"/>
                <w:highlight w:val="none"/>
              </w:rPr>
            </w:pPr>
            <w:r>
              <w:rPr>
                <w:rFonts w:hint="eastAsia" w:ascii="宋体" w:hAnsi="宋体"/>
                <w:color w:val="000000"/>
                <w:sz w:val="21"/>
                <w:szCs w:val="21"/>
                <w:highlight w:val="none"/>
              </w:rPr>
              <w:t>超高清</w:t>
            </w:r>
            <w:r>
              <w:rPr>
                <w:rFonts w:ascii="宋体" w:hAnsi="宋体"/>
                <w:color w:val="000000"/>
                <w:sz w:val="21"/>
                <w:szCs w:val="21"/>
                <w:highlight w:val="none"/>
              </w:rPr>
              <w:t>HDMI</w:t>
            </w:r>
            <w:r>
              <w:rPr>
                <w:rFonts w:hint="eastAsia" w:ascii="宋体" w:hAnsi="宋体"/>
                <w:color w:val="000000"/>
                <w:sz w:val="21"/>
                <w:szCs w:val="21"/>
                <w:highlight w:val="none"/>
              </w:rPr>
              <w:t>接口电视，</w:t>
            </w:r>
            <w:r>
              <w:rPr>
                <w:rFonts w:hint="eastAsia"/>
                <w:color w:val="000000"/>
                <w:sz w:val="21"/>
                <w:szCs w:val="21"/>
                <w:highlight w:val="none"/>
                <w:lang w:val="en-US" w:eastAsia="zh-CN"/>
              </w:rPr>
              <w:t>≥55寸</w:t>
            </w:r>
            <w:r>
              <w:rPr>
                <w:rFonts w:hint="eastAsia" w:ascii="宋体" w:hAnsi="宋体"/>
                <w:color w:val="000000"/>
                <w:sz w:val="21"/>
                <w:szCs w:val="21"/>
                <w:highlight w:val="none"/>
              </w:rPr>
              <w:t>,</w:t>
            </w:r>
            <w:r>
              <w:rPr>
                <w:rFonts w:hint="eastAsia"/>
                <w:color w:val="000000"/>
                <w:sz w:val="21"/>
                <w:szCs w:val="21"/>
                <w:highlight w:val="none"/>
                <w:lang w:val="en-US" w:eastAsia="zh-CN"/>
              </w:rPr>
              <w:t>≥</w:t>
            </w:r>
            <w:r>
              <w:rPr>
                <w:rFonts w:hint="eastAsia" w:ascii="宋体" w:hAnsi="宋体"/>
                <w:color w:val="000000"/>
                <w:sz w:val="21"/>
                <w:szCs w:val="21"/>
                <w:highlight w:val="none"/>
              </w:rPr>
              <w:t xml:space="preserve">5 核高性能 </w:t>
            </w:r>
            <w:r>
              <w:rPr>
                <w:rFonts w:hint="eastAsia"/>
                <w:color w:val="000000"/>
                <w:sz w:val="21"/>
                <w:szCs w:val="21"/>
                <w:highlight w:val="none"/>
                <w:lang w:eastAsia="zh-CN"/>
              </w:rPr>
              <w:t>，</w:t>
            </w:r>
            <w:r>
              <w:rPr>
                <w:rFonts w:hint="eastAsia"/>
                <w:color w:val="000000"/>
                <w:sz w:val="21"/>
                <w:szCs w:val="21"/>
                <w:highlight w:val="none"/>
                <w:lang w:val="en-US" w:eastAsia="zh-CN"/>
              </w:rPr>
              <w:t>≥</w:t>
            </w:r>
            <w:r>
              <w:rPr>
                <w:rFonts w:hint="eastAsia" w:ascii="宋体" w:hAnsi="宋体"/>
                <w:color w:val="000000"/>
                <w:sz w:val="21"/>
                <w:szCs w:val="21"/>
                <w:highlight w:val="none"/>
              </w:rPr>
              <w:t>4K 图形处理器</w:t>
            </w:r>
          </w:p>
          <w:p w14:paraId="6A893D6D">
            <w:pPr>
              <w:spacing w:line="240" w:lineRule="auto"/>
              <w:rPr>
                <w:rFonts w:hint="eastAsia" w:ascii="宋体" w:hAnsi="宋体"/>
                <w:color w:val="000000"/>
                <w:sz w:val="21"/>
                <w:szCs w:val="21"/>
                <w:highlight w:val="none"/>
              </w:rPr>
            </w:pPr>
          </w:p>
        </w:tc>
        <w:tc>
          <w:tcPr>
            <w:tcW w:w="2132" w:type="dxa"/>
            <w:vAlign w:val="center"/>
          </w:tcPr>
          <w:p w14:paraId="515F26BA">
            <w:pPr>
              <w:spacing w:line="240" w:lineRule="auto"/>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rPr>
              <w:t>大屏显示患者信息，方便就诊及患者家属知悉患者治疗状况</w:t>
            </w:r>
            <w:r>
              <w:rPr>
                <w:rFonts w:hint="eastAsia" w:ascii="宋体" w:hAnsi="宋体"/>
                <w:color w:val="000000"/>
                <w:sz w:val="21"/>
                <w:szCs w:val="21"/>
                <w:highlight w:val="none"/>
                <w:lang w:val="en-US" w:eastAsia="zh-CN"/>
              </w:rPr>
              <w:t>及宣教</w:t>
            </w:r>
          </w:p>
        </w:tc>
      </w:tr>
    </w:tbl>
    <w:p w14:paraId="31430C2E"/>
    <w:p w14:paraId="167D24E0">
      <w:pPr>
        <w:pStyle w:val="24"/>
        <w:keepNext w:val="0"/>
        <w:keepLines w:val="0"/>
        <w:pageBreakBefore w:val="0"/>
        <w:widowControl w:val="0"/>
        <w:numPr>
          <w:ilvl w:val="4"/>
          <w:numId w:val="31"/>
        </w:numPr>
        <w:tabs>
          <w:tab w:val="left" w:pos="1901"/>
        </w:tabs>
        <w:kinsoku/>
        <w:wordWrap/>
        <w:overflowPunct/>
        <w:topLinePunct w:val="0"/>
        <w:autoSpaceDE w:val="0"/>
        <w:autoSpaceDN w:val="0"/>
        <w:bidi w:val="0"/>
        <w:adjustRightInd/>
        <w:snapToGrid/>
        <w:spacing w:before="0" w:line="360" w:lineRule="auto"/>
        <w:ind w:hanging="1199"/>
        <w:jc w:val="both"/>
        <w:textAlignment w:val="auto"/>
        <w:rPr>
          <w:b/>
          <w:color w:val="auto"/>
          <w:sz w:val="24"/>
        </w:rPr>
      </w:pPr>
      <w:r>
        <w:rPr>
          <w:b/>
          <w:color w:val="auto"/>
          <w:spacing w:val="-2"/>
          <w:sz w:val="24"/>
        </w:rPr>
        <w:t>治疗信息管</w:t>
      </w:r>
      <w:r>
        <w:rPr>
          <w:b/>
          <w:color w:val="auto"/>
          <w:spacing w:val="-10"/>
          <w:sz w:val="24"/>
        </w:rPr>
        <w:t>理</w:t>
      </w:r>
    </w:p>
    <w:p w14:paraId="52053BC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w:t>
      </w:r>
      <w:r>
        <w:rPr>
          <w:rFonts w:hint="eastAsia" w:ascii="Arial" w:hAnsi="Arial" w:cs="Arial"/>
          <w:color w:val="auto"/>
          <w:spacing w:val="-2"/>
        </w:rPr>
        <w:t>与现有治疗信息管理系统进行对接，满足国家电子病历系统功能应用水平分级评价四级测评要求。</w:t>
      </w:r>
    </w:p>
    <w:p w14:paraId="341E4F69">
      <w:pPr>
        <w:pStyle w:val="24"/>
        <w:keepNext w:val="0"/>
        <w:keepLines w:val="0"/>
        <w:pageBreakBefore w:val="0"/>
        <w:widowControl w:val="0"/>
        <w:numPr>
          <w:ilvl w:val="4"/>
          <w:numId w:val="31"/>
        </w:numPr>
        <w:tabs>
          <w:tab w:val="left" w:pos="2321"/>
        </w:tabs>
        <w:kinsoku/>
        <w:wordWrap/>
        <w:overflowPunct/>
        <w:topLinePunct w:val="0"/>
        <w:autoSpaceDE w:val="0"/>
        <w:autoSpaceDN w:val="0"/>
        <w:bidi w:val="0"/>
        <w:adjustRightInd/>
        <w:snapToGrid/>
        <w:spacing w:before="0" w:line="360" w:lineRule="auto"/>
        <w:ind w:left="2321" w:hanging="1619"/>
        <w:jc w:val="both"/>
        <w:textAlignment w:val="auto"/>
        <w:rPr>
          <w:b/>
          <w:color w:val="auto"/>
          <w:sz w:val="24"/>
        </w:rPr>
      </w:pPr>
      <w:r>
        <w:rPr>
          <w:b/>
          <w:color w:val="auto"/>
          <w:spacing w:val="-2"/>
          <w:sz w:val="24"/>
        </w:rPr>
        <w:t>中医特色系</w:t>
      </w:r>
      <w:r>
        <w:rPr>
          <w:b/>
          <w:color w:val="auto"/>
          <w:spacing w:val="-10"/>
          <w:sz w:val="24"/>
        </w:rPr>
        <w:t>统</w:t>
      </w:r>
    </w:p>
    <w:p w14:paraId="0141D52B">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rFonts w:hint="default" w:ascii="Arial" w:hAnsi="Arial" w:cs="Arial"/>
          <w:color w:val="auto"/>
          <w:spacing w:val="-2"/>
        </w:rPr>
        <w:t>√</w:t>
      </w:r>
      <w:r>
        <w:rPr>
          <w:color w:val="auto"/>
          <w:spacing w:val="-1"/>
        </w:rPr>
        <w:t>与医院现有中医智能辅助诊疗系统对接。</w:t>
      </w:r>
    </w:p>
    <w:p w14:paraId="2614D7B5">
      <w:pPr>
        <w:pStyle w:val="24"/>
        <w:keepNext w:val="0"/>
        <w:keepLines w:val="0"/>
        <w:pageBreakBefore w:val="0"/>
        <w:widowControl w:val="0"/>
        <w:numPr>
          <w:ilvl w:val="4"/>
          <w:numId w:val="31"/>
        </w:numPr>
        <w:tabs>
          <w:tab w:val="left" w:pos="2321"/>
        </w:tabs>
        <w:kinsoku/>
        <w:wordWrap/>
        <w:overflowPunct/>
        <w:topLinePunct w:val="0"/>
        <w:autoSpaceDE w:val="0"/>
        <w:autoSpaceDN w:val="0"/>
        <w:bidi w:val="0"/>
        <w:adjustRightInd/>
        <w:snapToGrid/>
        <w:spacing w:before="0" w:line="360" w:lineRule="auto"/>
        <w:ind w:left="2321" w:hanging="1619"/>
        <w:jc w:val="both"/>
        <w:textAlignment w:val="auto"/>
        <w:rPr>
          <w:b/>
          <w:color w:val="auto"/>
          <w:sz w:val="24"/>
        </w:rPr>
      </w:pPr>
      <w:r>
        <w:rPr>
          <w:b/>
          <w:color w:val="auto"/>
          <w:spacing w:val="-4"/>
          <w:sz w:val="24"/>
        </w:rPr>
        <w:t>体检系统</w:t>
      </w:r>
    </w:p>
    <w:p w14:paraId="259D731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√体检管理系统应实现将以往人工操作的健康体检过程所得到信息转换成全信息化的电脑管理，使体检过程更为流畅、更有条理，更加便于管理，从而实现体检业务管理的自动化、信息化和规范化。 主要功能应包括：</w:t>
      </w:r>
    </w:p>
    <w:p w14:paraId="6933ED14">
      <w:pPr>
        <w:pStyle w:val="24"/>
        <w:keepNext w:val="0"/>
        <w:keepLines w:val="0"/>
        <w:pageBreakBefore w:val="0"/>
        <w:widowControl w:val="0"/>
        <w:numPr>
          <w:ilvl w:val="5"/>
          <w:numId w:val="31"/>
        </w:numPr>
        <w:tabs>
          <w:tab w:val="left" w:pos="2321"/>
        </w:tabs>
        <w:kinsoku/>
        <w:wordWrap/>
        <w:overflowPunct/>
        <w:topLinePunct w:val="0"/>
        <w:autoSpaceDE w:val="0"/>
        <w:autoSpaceDN w:val="0"/>
        <w:bidi w:val="0"/>
        <w:adjustRightInd/>
        <w:snapToGrid/>
        <w:spacing w:before="0" w:line="360" w:lineRule="auto"/>
        <w:jc w:val="both"/>
        <w:textAlignment w:val="auto"/>
        <w:rPr>
          <w:color w:val="auto"/>
          <w:sz w:val="24"/>
        </w:rPr>
      </w:pPr>
      <w:r>
        <w:rPr>
          <w:color w:val="auto"/>
          <w:spacing w:val="-3"/>
          <w:sz w:val="24"/>
        </w:rPr>
        <w:t>基础维护</w:t>
      </w:r>
    </w:p>
    <w:p w14:paraId="6A282C8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√体检项目、套餐维护：体检项目、套餐基础资料维护科室员工维护：各科室工作人员的基本资料</w:t>
      </w:r>
      <w:r>
        <w:rPr>
          <w:rFonts w:hint="eastAsia" w:ascii="Arial" w:hAnsi="Arial" w:cs="Arial"/>
          <w:color w:val="auto"/>
          <w:spacing w:val="-2"/>
          <w:lang w:eastAsia="zh-CN"/>
        </w:rPr>
        <w:t>；</w:t>
      </w:r>
      <w:r>
        <w:rPr>
          <w:rFonts w:hint="default" w:ascii="Arial" w:hAnsi="Arial" w:cs="Arial"/>
          <w:color w:val="auto"/>
          <w:spacing w:val="-2"/>
        </w:rPr>
        <w:t>体检单位维护：体检单位基本信息的维护</w:t>
      </w:r>
      <w:r>
        <w:rPr>
          <w:rFonts w:hint="eastAsia" w:ascii="Arial" w:hAnsi="Arial" w:cs="Arial"/>
          <w:color w:val="auto"/>
          <w:spacing w:val="-2"/>
          <w:lang w:eastAsia="zh-CN"/>
        </w:rPr>
        <w:t>；</w:t>
      </w:r>
      <w:r>
        <w:rPr>
          <w:rFonts w:hint="default" w:ascii="Arial" w:hAnsi="Arial" w:cs="Arial"/>
          <w:color w:val="auto"/>
          <w:spacing w:val="-2"/>
        </w:rPr>
        <w:t>会员信息管理：维护会员的基本资料</w:t>
      </w:r>
      <w:r>
        <w:rPr>
          <w:rFonts w:hint="eastAsia" w:ascii="Arial" w:hAnsi="Arial" w:cs="Arial"/>
          <w:color w:val="auto"/>
          <w:spacing w:val="-2"/>
          <w:lang w:eastAsia="zh-CN"/>
        </w:rPr>
        <w:t>；</w:t>
      </w:r>
      <w:r>
        <w:rPr>
          <w:rFonts w:hint="default" w:ascii="Arial" w:hAnsi="Arial" w:cs="Arial"/>
          <w:color w:val="auto"/>
          <w:spacing w:val="-2"/>
        </w:rPr>
        <w:t>个人档案维护：对所有受检用户的资料进行维护体检仪器设备维护：体检设备的使用状态维护</w:t>
      </w:r>
      <w:r>
        <w:rPr>
          <w:rFonts w:hint="eastAsia" w:ascii="Arial" w:hAnsi="Arial" w:cs="Arial"/>
          <w:color w:val="auto"/>
          <w:spacing w:val="-2"/>
          <w:lang w:eastAsia="zh-CN"/>
        </w:rPr>
        <w:t>；</w:t>
      </w:r>
      <w:r>
        <w:rPr>
          <w:rFonts w:hint="default" w:ascii="Arial" w:hAnsi="Arial" w:cs="Arial"/>
          <w:color w:val="auto"/>
          <w:spacing w:val="-2"/>
        </w:rPr>
        <w:t>健康采集模板维护：设定模板类别、类型及常见的结果简单自动诊断专家库：设置专家诊断结果内容</w:t>
      </w:r>
      <w:r>
        <w:rPr>
          <w:rFonts w:hint="eastAsia" w:ascii="Arial" w:hAnsi="Arial" w:cs="Arial"/>
          <w:color w:val="auto"/>
          <w:spacing w:val="-2"/>
          <w:lang w:eastAsia="zh-CN"/>
        </w:rPr>
        <w:t>；</w:t>
      </w:r>
      <w:r>
        <w:rPr>
          <w:rFonts w:hint="default" w:ascii="Arial" w:hAnsi="Arial" w:cs="Arial"/>
          <w:color w:val="auto"/>
          <w:spacing w:val="-2"/>
        </w:rPr>
        <w:t>高级自动诊断专家库：进行高级专家诊断结果的内容定制</w:t>
      </w:r>
    </w:p>
    <w:p w14:paraId="172BE223">
      <w:pPr>
        <w:pStyle w:val="24"/>
        <w:keepNext w:val="0"/>
        <w:keepLines w:val="0"/>
        <w:pageBreakBefore w:val="0"/>
        <w:widowControl w:val="0"/>
        <w:numPr>
          <w:ilvl w:val="5"/>
          <w:numId w:val="31"/>
        </w:numPr>
        <w:tabs>
          <w:tab w:val="left" w:pos="2321"/>
        </w:tabs>
        <w:kinsoku/>
        <w:wordWrap/>
        <w:overflowPunct/>
        <w:topLinePunct w:val="0"/>
        <w:autoSpaceDE w:val="0"/>
        <w:autoSpaceDN w:val="0"/>
        <w:bidi w:val="0"/>
        <w:adjustRightInd/>
        <w:snapToGrid/>
        <w:spacing w:before="0" w:line="360" w:lineRule="auto"/>
        <w:jc w:val="both"/>
        <w:textAlignment w:val="auto"/>
        <w:rPr>
          <w:rFonts w:hint="default"/>
          <w:color w:val="auto"/>
          <w:spacing w:val="-3"/>
          <w:sz w:val="24"/>
        </w:rPr>
      </w:pPr>
      <w:r>
        <w:rPr>
          <w:rFonts w:hint="default"/>
          <w:color w:val="auto"/>
          <w:spacing w:val="-3"/>
          <w:sz w:val="24"/>
        </w:rPr>
        <w:t xml:space="preserve"> 预约管理</w:t>
      </w:r>
    </w:p>
    <w:p w14:paraId="08389EE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eastAsia" w:ascii="Arial" w:hAnsi="Arial" w:eastAsia="宋体" w:cs="Arial"/>
          <w:color w:val="auto"/>
          <w:spacing w:val="-2"/>
          <w:lang w:eastAsia="zh-CN"/>
        </w:rPr>
      </w:pPr>
      <w:r>
        <w:rPr>
          <w:rFonts w:hint="default" w:ascii="Arial" w:hAnsi="Arial" w:cs="Arial"/>
          <w:color w:val="auto"/>
          <w:spacing w:val="-2"/>
        </w:rPr>
        <w:t>√预约提醒：对已经生效的预约进行提示</w:t>
      </w:r>
      <w:r>
        <w:rPr>
          <w:rFonts w:hint="eastAsia" w:ascii="Arial" w:hAnsi="Arial" w:cs="Arial"/>
          <w:color w:val="auto"/>
          <w:spacing w:val="-2"/>
          <w:lang w:eastAsia="zh-CN"/>
        </w:rPr>
        <w:t>；</w:t>
      </w:r>
      <w:r>
        <w:rPr>
          <w:rFonts w:hint="default" w:ascii="Arial" w:hAnsi="Arial" w:cs="Arial"/>
          <w:color w:val="auto"/>
          <w:spacing w:val="-2"/>
        </w:rPr>
        <w:t>预约登记：登记预约，并指定生效时间</w:t>
      </w:r>
      <w:r>
        <w:rPr>
          <w:rFonts w:hint="eastAsia" w:ascii="Arial" w:hAnsi="Arial" w:cs="Arial"/>
          <w:color w:val="auto"/>
          <w:spacing w:val="-2"/>
          <w:lang w:eastAsia="zh-CN"/>
        </w:rPr>
        <w:t>；</w:t>
      </w:r>
      <w:r>
        <w:rPr>
          <w:rFonts w:hint="default" w:ascii="Arial" w:hAnsi="Arial" w:cs="Arial"/>
          <w:color w:val="auto"/>
          <w:spacing w:val="-2"/>
        </w:rPr>
        <w:t xml:space="preserve">预约取消：取消已经生效但不将履行的预约 </w:t>
      </w:r>
      <w:r>
        <w:rPr>
          <w:rFonts w:hint="eastAsia" w:ascii="Arial" w:hAnsi="Arial" w:cs="Arial"/>
          <w:color w:val="auto"/>
          <w:spacing w:val="-2"/>
          <w:lang w:eastAsia="zh-CN"/>
        </w:rPr>
        <w:t>。</w:t>
      </w:r>
    </w:p>
    <w:p w14:paraId="6AAAC4AE">
      <w:pPr>
        <w:pStyle w:val="24"/>
        <w:keepNext w:val="0"/>
        <w:keepLines w:val="0"/>
        <w:pageBreakBefore w:val="0"/>
        <w:widowControl w:val="0"/>
        <w:numPr>
          <w:ilvl w:val="5"/>
          <w:numId w:val="31"/>
        </w:numPr>
        <w:tabs>
          <w:tab w:val="left" w:pos="2321"/>
        </w:tabs>
        <w:kinsoku/>
        <w:wordWrap/>
        <w:overflowPunct/>
        <w:topLinePunct w:val="0"/>
        <w:autoSpaceDE w:val="0"/>
        <w:autoSpaceDN w:val="0"/>
        <w:bidi w:val="0"/>
        <w:adjustRightInd/>
        <w:snapToGrid/>
        <w:spacing w:before="0" w:line="360" w:lineRule="auto"/>
        <w:jc w:val="both"/>
        <w:textAlignment w:val="auto"/>
        <w:rPr>
          <w:rFonts w:hint="default"/>
          <w:color w:val="auto"/>
          <w:spacing w:val="-3"/>
          <w:sz w:val="24"/>
          <w:lang w:val="en-US" w:eastAsia="zh-CN"/>
        </w:rPr>
      </w:pPr>
      <w:r>
        <w:rPr>
          <w:rFonts w:hint="default"/>
          <w:color w:val="auto"/>
          <w:spacing w:val="-3"/>
          <w:sz w:val="24"/>
          <w:lang w:val="en-US" w:eastAsia="zh-CN"/>
        </w:rPr>
        <w:t>登记接待</w:t>
      </w:r>
      <w:r>
        <w:rPr>
          <w:rFonts w:hint="eastAsia"/>
          <w:color w:val="auto"/>
          <w:spacing w:val="-3"/>
          <w:sz w:val="24"/>
          <w:lang w:val="en-US" w:eastAsia="zh-CN"/>
        </w:rPr>
        <w:t>；</w:t>
      </w:r>
      <w:r>
        <w:rPr>
          <w:rFonts w:hint="default"/>
          <w:color w:val="auto"/>
          <w:spacing w:val="-3"/>
          <w:sz w:val="24"/>
          <w:lang w:val="en-US" w:eastAsia="zh-CN"/>
        </w:rPr>
        <w:t>登记确认：</w:t>
      </w:r>
    </w:p>
    <w:p w14:paraId="6347A27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√登记体检人员的相关体检的确切信息。接待管理：确认体检信息和受检者的信息，按排体检流程。体检查询：查询体检状态</w:t>
      </w:r>
    </w:p>
    <w:p w14:paraId="71E7E07D">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color w:val="auto"/>
        </w:rPr>
      </w:pPr>
      <w:r>
        <w:rPr>
          <w:color w:val="auto"/>
        </w:rPr>
        <w:t>5.1.5.4.11.4</w:t>
      </w:r>
      <w:r>
        <w:rPr>
          <w:color w:val="auto"/>
          <w:spacing w:val="10"/>
        </w:rPr>
        <w:t xml:space="preserve"> 收费管理</w:t>
      </w:r>
    </w:p>
    <w:p w14:paraId="6714621B">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√个人体检收费：个人体检收费管理</w:t>
      </w:r>
      <w:r>
        <w:rPr>
          <w:rFonts w:hint="eastAsia" w:ascii="Arial" w:hAnsi="Arial" w:cs="Arial"/>
          <w:color w:val="auto"/>
          <w:spacing w:val="-2"/>
          <w:lang w:eastAsia="zh-CN"/>
        </w:rPr>
        <w:t>；</w:t>
      </w:r>
      <w:r>
        <w:rPr>
          <w:rFonts w:hint="default" w:ascii="Arial" w:hAnsi="Arial" w:cs="Arial"/>
          <w:color w:val="auto"/>
          <w:spacing w:val="-2"/>
        </w:rPr>
        <w:t>单位体检结算：单位体检结算及单据管理</w:t>
      </w:r>
      <w:r>
        <w:rPr>
          <w:rFonts w:hint="eastAsia" w:ascii="Arial" w:hAnsi="Arial" w:cs="Arial"/>
          <w:color w:val="auto"/>
          <w:spacing w:val="-2"/>
          <w:lang w:eastAsia="zh-CN"/>
        </w:rPr>
        <w:t>；</w:t>
      </w:r>
      <w:r>
        <w:rPr>
          <w:rFonts w:hint="default" w:ascii="Arial" w:hAnsi="Arial" w:cs="Arial"/>
          <w:color w:val="auto"/>
          <w:spacing w:val="-2"/>
        </w:rPr>
        <w:t>体检管理</w:t>
      </w:r>
      <w:r>
        <w:rPr>
          <w:rFonts w:hint="eastAsia" w:ascii="Arial" w:hAnsi="Arial" w:cs="Arial"/>
          <w:color w:val="auto"/>
          <w:spacing w:val="-2"/>
          <w:lang w:eastAsia="zh-CN"/>
        </w:rPr>
        <w:t>：</w:t>
      </w:r>
      <w:r>
        <w:rPr>
          <w:rFonts w:hint="default" w:ascii="Arial" w:hAnsi="Arial" w:cs="Arial"/>
          <w:color w:val="auto"/>
          <w:spacing w:val="-2"/>
        </w:rPr>
        <w:t>体检结果录入：分科室录入或自动仪器采集检验结果，并自动小结</w:t>
      </w:r>
      <w:r>
        <w:rPr>
          <w:rFonts w:hint="eastAsia" w:ascii="Arial" w:hAnsi="Arial" w:cs="Arial"/>
          <w:color w:val="auto"/>
          <w:spacing w:val="-2"/>
          <w:lang w:eastAsia="zh-CN"/>
        </w:rPr>
        <w:t>；</w:t>
      </w:r>
      <w:r>
        <w:rPr>
          <w:rFonts w:hint="default" w:ascii="Arial" w:hAnsi="Arial" w:cs="Arial"/>
          <w:color w:val="auto"/>
          <w:spacing w:val="-2"/>
        </w:rPr>
        <w:t xml:space="preserve">总检管理：录入或自动生成总检结果体检集中管理：提供体检结果集中录入、管理窗口 </w:t>
      </w:r>
    </w:p>
    <w:p w14:paraId="30164F1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700"/>
        <w:textAlignment w:val="auto"/>
        <w:rPr>
          <w:rFonts w:hint="default"/>
          <w:color w:val="auto"/>
        </w:rPr>
      </w:pPr>
      <w:r>
        <w:rPr>
          <w:rFonts w:hint="default"/>
          <w:color w:val="auto"/>
        </w:rPr>
        <w:t>5.1.5.4.11.5 体检报告管理</w:t>
      </w:r>
    </w:p>
    <w:p w14:paraId="4C4F3CA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color w:val="auto"/>
        </w:rPr>
      </w:pPr>
      <w:r>
        <w:rPr>
          <w:rFonts w:hint="default" w:ascii="Arial" w:hAnsi="Arial" w:cs="Arial"/>
          <w:color w:val="auto"/>
          <w:spacing w:val="-2"/>
        </w:rPr>
        <w:t>√个人体检报告管理：个人体检报告查询、打印等</w:t>
      </w:r>
      <w:r>
        <w:rPr>
          <w:rFonts w:hint="eastAsia" w:ascii="Arial" w:hAnsi="Arial" w:cs="Arial"/>
          <w:color w:val="auto"/>
          <w:spacing w:val="-2"/>
          <w:lang w:eastAsia="zh-CN"/>
        </w:rPr>
        <w:t>；</w:t>
      </w:r>
      <w:r>
        <w:rPr>
          <w:rFonts w:hint="default" w:ascii="Arial" w:hAnsi="Arial" w:cs="Arial"/>
          <w:color w:val="auto"/>
          <w:spacing w:val="-2"/>
        </w:rPr>
        <w:t>单位体检报告管理：单位体检综述报告、阳性汇总表等的查询、打印。综合性报告管理：各类专项统计报告查询、打印</w:t>
      </w:r>
      <w:r>
        <w:rPr>
          <w:rFonts w:hint="eastAsia" w:ascii="Arial" w:hAnsi="Arial" w:cs="Arial"/>
          <w:color w:val="auto"/>
          <w:spacing w:val="-2"/>
          <w:lang w:eastAsia="zh-CN"/>
        </w:rPr>
        <w:t>；</w:t>
      </w:r>
      <w:r>
        <w:rPr>
          <w:rFonts w:hint="default" w:ascii="Arial" w:hAnsi="Arial" w:cs="Arial"/>
          <w:color w:val="auto"/>
          <w:spacing w:val="-2"/>
        </w:rPr>
        <w:t xml:space="preserve">查询统计：工作量统计 医生、科室工作量统计，体检中心工作汇总表体检疾病统计：各类疾病的统计分析综合查询：体检报告综合查询 </w:t>
      </w:r>
      <w:r>
        <w:rPr>
          <w:color w:val="auto"/>
        </w:rPr>
        <w:t>5.1.5.4.11.6 外部接口子系统</w:t>
      </w:r>
    </w:p>
    <w:p w14:paraId="4B8AB2D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eastAsia" w:ascii="宋体" w:hAnsi="宋体" w:eastAsia="宋体" w:cs="宋体"/>
          <w:color w:val="auto"/>
          <w:spacing w:val="-2"/>
        </w:rPr>
      </w:pPr>
      <w:r>
        <w:rPr>
          <w:rFonts w:hint="eastAsia" w:ascii="宋体" w:hAnsi="宋体" w:eastAsia="宋体" w:cs="宋体"/>
          <w:color w:val="auto"/>
          <w:spacing w:val="-2"/>
        </w:rPr>
        <w:t>√LIS 接口：完成与 LIS 的检验结果以及体检的样本信息数据交互</w:t>
      </w:r>
      <w:r>
        <w:rPr>
          <w:rFonts w:hint="eastAsia" w:ascii="宋体" w:hAnsi="宋体" w:eastAsia="宋体" w:cs="宋体"/>
          <w:color w:val="auto"/>
          <w:spacing w:val="-2"/>
          <w:lang w:eastAsia="zh-CN"/>
        </w:rPr>
        <w:t>；</w:t>
      </w:r>
      <w:r>
        <w:rPr>
          <w:rFonts w:hint="eastAsia" w:ascii="宋体" w:hAnsi="宋体" w:eastAsia="宋体" w:cs="宋体"/>
          <w:color w:val="auto"/>
          <w:spacing w:val="-2"/>
        </w:rPr>
        <w:t>RIS、PACS 接口：完成体检与 RIS/PACS 的检查结果与检查者信息的数据交互</w:t>
      </w:r>
      <w:r>
        <w:rPr>
          <w:rFonts w:hint="eastAsia" w:ascii="宋体" w:hAnsi="宋体" w:eastAsia="宋体" w:cs="宋体"/>
          <w:color w:val="auto"/>
          <w:spacing w:val="-2"/>
          <w:lang w:eastAsia="zh-CN"/>
        </w:rPr>
        <w:t>；</w:t>
      </w:r>
      <w:r>
        <w:rPr>
          <w:rFonts w:hint="eastAsia" w:ascii="宋体" w:hAnsi="宋体" w:eastAsia="宋体" w:cs="宋体"/>
          <w:color w:val="auto"/>
          <w:spacing w:val="-2"/>
        </w:rPr>
        <w:t>HIS 接口：完成与 HIS 的收费信息数据交互</w:t>
      </w:r>
    </w:p>
    <w:p w14:paraId="27B48518">
      <w:pPr>
        <w:pStyle w:val="23"/>
        <w:keepNext w:val="0"/>
        <w:keepLines w:val="0"/>
        <w:pageBreakBefore w:val="0"/>
        <w:widowControl w:val="0"/>
        <w:numPr>
          <w:ilvl w:val="2"/>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77" w:name="_bookmark28"/>
      <w:bookmarkEnd w:id="177"/>
      <w:r>
        <w:rPr>
          <w:color w:val="auto"/>
          <w:spacing w:val="-2"/>
        </w:rPr>
        <w:t>患者服务（便民服务</w:t>
      </w:r>
      <w:r>
        <w:rPr>
          <w:color w:val="auto"/>
          <w:spacing w:val="-10"/>
        </w:rPr>
        <w:t>）</w:t>
      </w:r>
    </w:p>
    <w:p w14:paraId="15EE55C6">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互联网应</w:t>
      </w:r>
      <w:r>
        <w:rPr>
          <w:b/>
          <w:color w:val="auto"/>
          <w:spacing w:val="-10"/>
          <w:sz w:val="24"/>
        </w:rPr>
        <w:t>用</w:t>
      </w:r>
    </w:p>
    <w:p w14:paraId="4465FF43">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微信小程</w:t>
      </w:r>
      <w:r>
        <w:rPr>
          <w:b/>
          <w:color w:val="auto"/>
          <w:spacing w:val="-10"/>
          <w:sz w:val="24"/>
        </w:rPr>
        <w:t>序</w:t>
      </w:r>
    </w:p>
    <w:tbl>
      <w:tblPr>
        <w:tblStyle w:val="13"/>
        <w:tblW w:w="807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9"/>
        <w:gridCol w:w="1586"/>
        <w:gridCol w:w="5503"/>
      </w:tblGrid>
      <w:tr w14:paraId="1FD0A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989" w:type="dxa"/>
          </w:tcPr>
          <w:p w14:paraId="13CE003D">
            <w:pPr>
              <w:pStyle w:val="25"/>
              <w:spacing w:before="134"/>
              <w:ind w:left="290" w:right="281"/>
              <w:jc w:val="center"/>
              <w:rPr>
                <w:rFonts w:hint="eastAsia" w:ascii="宋体" w:hAnsi="宋体" w:eastAsia="宋体" w:cs="宋体"/>
                <w:b/>
                <w:color w:val="auto"/>
                <w:sz w:val="20"/>
                <w:szCs w:val="24"/>
              </w:rPr>
            </w:pPr>
            <w:r>
              <w:rPr>
                <w:rFonts w:hint="eastAsia" w:ascii="宋体" w:hAnsi="宋体" w:eastAsia="宋体" w:cs="宋体"/>
                <w:b/>
                <w:color w:val="auto"/>
                <w:sz w:val="20"/>
                <w:szCs w:val="24"/>
              </w:rPr>
              <w:t>分</w:t>
            </w:r>
            <w:r>
              <w:rPr>
                <w:rFonts w:hint="eastAsia" w:ascii="宋体" w:hAnsi="宋体" w:eastAsia="宋体" w:cs="宋体"/>
                <w:b/>
                <w:color w:val="auto"/>
                <w:spacing w:val="-10"/>
                <w:sz w:val="20"/>
                <w:szCs w:val="24"/>
              </w:rPr>
              <w:t>类</w:t>
            </w:r>
          </w:p>
        </w:tc>
        <w:tc>
          <w:tcPr>
            <w:tcW w:w="1586" w:type="dxa"/>
          </w:tcPr>
          <w:p w14:paraId="2E3D7CEF">
            <w:pPr>
              <w:pStyle w:val="25"/>
              <w:spacing w:before="134"/>
              <w:ind w:left="135" w:right="125"/>
              <w:jc w:val="center"/>
              <w:rPr>
                <w:rFonts w:hint="eastAsia" w:ascii="宋体" w:hAnsi="宋体" w:eastAsia="宋体" w:cs="宋体"/>
                <w:b/>
                <w:color w:val="auto"/>
                <w:sz w:val="20"/>
                <w:szCs w:val="24"/>
              </w:rPr>
            </w:pPr>
            <w:r>
              <w:rPr>
                <w:rFonts w:hint="eastAsia" w:ascii="宋体" w:hAnsi="宋体" w:eastAsia="宋体" w:cs="宋体"/>
                <w:b/>
                <w:color w:val="auto"/>
                <w:sz w:val="20"/>
                <w:szCs w:val="24"/>
              </w:rPr>
              <w:t>功</w:t>
            </w:r>
            <w:r>
              <w:rPr>
                <w:rFonts w:hint="eastAsia" w:ascii="宋体" w:hAnsi="宋体" w:eastAsia="宋体" w:cs="宋体"/>
                <w:b/>
                <w:color w:val="auto"/>
                <w:spacing w:val="-10"/>
                <w:sz w:val="20"/>
                <w:szCs w:val="24"/>
              </w:rPr>
              <w:t>能</w:t>
            </w:r>
          </w:p>
        </w:tc>
        <w:tc>
          <w:tcPr>
            <w:tcW w:w="5503" w:type="dxa"/>
          </w:tcPr>
          <w:p w14:paraId="35C2426B">
            <w:pPr>
              <w:pStyle w:val="25"/>
              <w:spacing w:before="134"/>
              <w:ind w:left="2331" w:right="2322"/>
              <w:jc w:val="center"/>
              <w:rPr>
                <w:rFonts w:hint="eastAsia" w:ascii="宋体" w:hAnsi="宋体" w:eastAsia="宋体" w:cs="宋体"/>
                <w:b/>
                <w:color w:val="auto"/>
                <w:sz w:val="20"/>
                <w:szCs w:val="24"/>
              </w:rPr>
            </w:pPr>
            <w:r>
              <w:rPr>
                <w:rFonts w:hint="eastAsia" w:ascii="宋体" w:hAnsi="宋体" w:eastAsia="宋体" w:cs="宋体"/>
                <w:b/>
                <w:color w:val="auto"/>
                <w:spacing w:val="-2"/>
                <w:sz w:val="20"/>
                <w:szCs w:val="24"/>
              </w:rPr>
              <w:t>功能描</w:t>
            </w:r>
            <w:r>
              <w:rPr>
                <w:rFonts w:hint="eastAsia" w:ascii="宋体" w:hAnsi="宋体" w:eastAsia="宋体" w:cs="宋体"/>
                <w:b/>
                <w:color w:val="auto"/>
                <w:spacing w:val="-10"/>
                <w:sz w:val="20"/>
                <w:szCs w:val="24"/>
              </w:rPr>
              <w:t>述</w:t>
            </w:r>
          </w:p>
        </w:tc>
      </w:tr>
      <w:tr w14:paraId="28AAE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989" w:type="dxa"/>
            <w:vMerge w:val="restart"/>
          </w:tcPr>
          <w:p w14:paraId="5331C7B8">
            <w:pPr>
              <w:pStyle w:val="25"/>
              <w:rPr>
                <w:rFonts w:hint="eastAsia" w:ascii="宋体" w:hAnsi="宋体" w:eastAsia="宋体" w:cs="宋体"/>
                <w:b/>
                <w:color w:val="auto"/>
                <w:sz w:val="20"/>
                <w:szCs w:val="24"/>
              </w:rPr>
            </w:pPr>
          </w:p>
          <w:p w14:paraId="25664EB5">
            <w:pPr>
              <w:pStyle w:val="25"/>
              <w:rPr>
                <w:rFonts w:hint="eastAsia" w:ascii="宋体" w:hAnsi="宋体" w:eastAsia="宋体" w:cs="宋体"/>
                <w:b/>
                <w:color w:val="auto"/>
                <w:sz w:val="20"/>
                <w:szCs w:val="24"/>
              </w:rPr>
            </w:pPr>
          </w:p>
          <w:p w14:paraId="4A623133">
            <w:pPr>
              <w:pStyle w:val="25"/>
              <w:spacing w:before="7"/>
              <w:rPr>
                <w:rFonts w:hint="eastAsia" w:ascii="宋体" w:hAnsi="宋体" w:eastAsia="宋体" w:cs="宋体"/>
                <w:b/>
                <w:color w:val="auto"/>
                <w:sz w:val="15"/>
                <w:szCs w:val="24"/>
              </w:rPr>
            </w:pPr>
          </w:p>
          <w:p w14:paraId="613BB9E1">
            <w:pPr>
              <w:pStyle w:val="25"/>
              <w:ind w:left="306"/>
              <w:rPr>
                <w:rFonts w:hint="eastAsia" w:ascii="宋体" w:hAnsi="宋体" w:eastAsia="宋体" w:cs="宋体"/>
                <w:color w:val="auto"/>
                <w:sz w:val="20"/>
                <w:szCs w:val="24"/>
              </w:rPr>
            </w:pPr>
            <w:r>
              <w:rPr>
                <w:rFonts w:hint="eastAsia" w:ascii="宋体" w:hAnsi="宋体" w:eastAsia="宋体" w:cs="宋体"/>
                <w:color w:val="auto"/>
                <w:spacing w:val="-5"/>
                <w:sz w:val="20"/>
                <w:szCs w:val="24"/>
              </w:rPr>
              <w:t>公共</w:t>
            </w:r>
          </w:p>
        </w:tc>
        <w:tc>
          <w:tcPr>
            <w:tcW w:w="1586" w:type="dxa"/>
          </w:tcPr>
          <w:p w14:paraId="65BA1DC0">
            <w:pPr>
              <w:pStyle w:val="25"/>
              <w:spacing w:before="134"/>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5"/>
                <w:sz w:val="20"/>
                <w:szCs w:val="24"/>
              </w:rPr>
              <w:t>注册</w:t>
            </w:r>
          </w:p>
        </w:tc>
        <w:tc>
          <w:tcPr>
            <w:tcW w:w="5503" w:type="dxa"/>
          </w:tcPr>
          <w:p w14:paraId="62F3303E">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1"/>
                <w:sz w:val="20"/>
                <w:szCs w:val="24"/>
              </w:rPr>
              <w:t>用户通过输入手机号、获取验证码操作完成账户注册流程。</w:t>
            </w:r>
          </w:p>
        </w:tc>
      </w:tr>
      <w:tr w14:paraId="59075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989" w:type="dxa"/>
            <w:vMerge w:val="continue"/>
            <w:tcBorders>
              <w:top w:val="nil"/>
            </w:tcBorders>
          </w:tcPr>
          <w:p w14:paraId="315D8B06">
            <w:pPr>
              <w:rPr>
                <w:rFonts w:hint="eastAsia" w:ascii="宋体" w:hAnsi="宋体" w:eastAsia="宋体" w:cs="宋体"/>
                <w:color w:val="auto"/>
                <w:sz w:val="4"/>
                <w:szCs w:val="4"/>
              </w:rPr>
            </w:pPr>
          </w:p>
        </w:tc>
        <w:tc>
          <w:tcPr>
            <w:tcW w:w="1586" w:type="dxa"/>
          </w:tcPr>
          <w:p w14:paraId="6B7B2124">
            <w:pPr>
              <w:pStyle w:val="25"/>
              <w:spacing w:before="134"/>
              <w:ind w:left="135" w:right="128"/>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2"/>
                <w:sz w:val="20"/>
                <w:szCs w:val="24"/>
              </w:rPr>
              <w:t>短信验证码登录</w:t>
            </w:r>
          </w:p>
        </w:tc>
        <w:tc>
          <w:tcPr>
            <w:tcW w:w="5503" w:type="dxa"/>
          </w:tcPr>
          <w:p w14:paraId="1B2E7B00">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1"/>
                <w:sz w:val="20"/>
                <w:szCs w:val="24"/>
              </w:rPr>
              <w:t>注册手机号和获取短信验证码登录操作。</w:t>
            </w:r>
          </w:p>
        </w:tc>
      </w:tr>
      <w:tr w14:paraId="3E561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989" w:type="dxa"/>
            <w:vMerge w:val="continue"/>
            <w:tcBorders>
              <w:top w:val="nil"/>
            </w:tcBorders>
          </w:tcPr>
          <w:p w14:paraId="050C0F4C">
            <w:pPr>
              <w:rPr>
                <w:rFonts w:hint="eastAsia" w:ascii="宋体" w:hAnsi="宋体" w:eastAsia="宋体" w:cs="宋体"/>
                <w:color w:val="auto"/>
                <w:sz w:val="4"/>
                <w:szCs w:val="4"/>
              </w:rPr>
            </w:pPr>
          </w:p>
        </w:tc>
        <w:tc>
          <w:tcPr>
            <w:tcW w:w="1586" w:type="dxa"/>
          </w:tcPr>
          <w:p w14:paraId="670AAEA3">
            <w:pPr>
              <w:pStyle w:val="25"/>
              <w:spacing w:before="134"/>
              <w:ind w:left="135" w:right="127"/>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2"/>
                <w:sz w:val="20"/>
                <w:szCs w:val="24"/>
              </w:rPr>
              <w:t>banner</w:t>
            </w:r>
          </w:p>
        </w:tc>
        <w:tc>
          <w:tcPr>
            <w:tcW w:w="5503" w:type="dxa"/>
          </w:tcPr>
          <w:p w14:paraId="355CB49D">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3"/>
                <w:sz w:val="20"/>
                <w:szCs w:val="24"/>
              </w:rPr>
              <w:t>医院主图</w:t>
            </w:r>
          </w:p>
        </w:tc>
      </w:tr>
      <w:tr w14:paraId="5CA9D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989" w:type="dxa"/>
            <w:vMerge w:val="restart"/>
          </w:tcPr>
          <w:p w14:paraId="1CD2837B">
            <w:pPr>
              <w:pStyle w:val="25"/>
              <w:rPr>
                <w:rFonts w:hint="eastAsia" w:ascii="宋体" w:hAnsi="宋体" w:eastAsia="宋体" w:cs="宋体"/>
                <w:b/>
                <w:color w:val="auto"/>
                <w:sz w:val="20"/>
                <w:szCs w:val="24"/>
              </w:rPr>
            </w:pPr>
          </w:p>
          <w:p w14:paraId="12349497">
            <w:pPr>
              <w:pStyle w:val="25"/>
              <w:rPr>
                <w:rFonts w:hint="eastAsia" w:ascii="宋体" w:hAnsi="宋体" w:eastAsia="宋体" w:cs="宋体"/>
                <w:b/>
                <w:color w:val="auto"/>
                <w:sz w:val="20"/>
                <w:szCs w:val="24"/>
              </w:rPr>
            </w:pPr>
          </w:p>
          <w:p w14:paraId="428B3824">
            <w:pPr>
              <w:pStyle w:val="25"/>
              <w:rPr>
                <w:rFonts w:hint="eastAsia" w:ascii="宋体" w:hAnsi="宋体" w:eastAsia="宋体" w:cs="宋体"/>
                <w:b/>
                <w:color w:val="auto"/>
                <w:sz w:val="20"/>
                <w:szCs w:val="24"/>
              </w:rPr>
            </w:pPr>
          </w:p>
          <w:p w14:paraId="743FF269">
            <w:pPr>
              <w:pStyle w:val="25"/>
              <w:rPr>
                <w:rFonts w:hint="eastAsia" w:ascii="宋体" w:hAnsi="宋体" w:eastAsia="宋体" w:cs="宋体"/>
                <w:b/>
                <w:color w:val="auto"/>
                <w:sz w:val="20"/>
                <w:szCs w:val="24"/>
              </w:rPr>
            </w:pPr>
          </w:p>
          <w:p w14:paraId="47376C6D">
            <w:pPr>
              <w:pStyle w:val="25"/>
              <w:rPr>
                <w:rFonts w:hint="eastAsia" w:ascii="宋体" w:hAnsi="宋体" w:eastAsia="宋体" w:cs="宋体"/>
                <w:b/>
                <w:color w:val="auto"/>
                <w:sz w:val="20"/>
                <w:szCs w:val="24"/>
              </w:rPr>
            </w:pPr>
          </w:p>
          <w:p w14:paraId="7B4D4BC0">
            <w:pPr>
              <w:pStyle w:val="25"/>
              <w:rPr>
                <w:rFonts w:hint="eastAsia" w:ascii="宋体" w:hAnsi="宋体" w:eastAsia="宋体" w:cs="宋体"/>
                <w:b/>
                <w:color w:val="auto"/>
                <w:sz w:val="20"/>
                <w:szCs w:val="24"/>
              </w:rPr>
            </w:pPr>
          </w:p>
          <w:p w14:paraId="32E22547">
            <w:pPr>
              <w:pStyle w:val="25"/>
              <w:rPr>
                <w:rFonts w:hint="eastAsia" w:ascii="宋体" w:hAnsi="宋体" w:eastAsia="宋体" w:cs="宋体"/>
                <w:b/>
                <w:color w:val="auto"/>
                <w:sz w:val="20"/>
                <w:szCs w:val="24"/>
              </w:rPr>
            </w:pPr>
          </w:p>
          <w:p w14:paraId="54756482">
            <w:pPr>
              <w:pStyle w:val="25"/>
              <w:rPr>
                <w:rFonts w:hint="eastAsia" w:ascii="宋体" w:hAnsi="宋体" w:eastAsia="宋体" w:cs="宋体"/>
                <w:b/>
                <w:color w:val="auto"/>
                <w:sz w:val="20"/>
                <w:szCs w:val="24"/>
              </w:rPr>
            </w:pPr>
          </w:p>
          <w:p w14:paraId="029E678E">
            <w:pPr>
              <w:pStyle w:val="25"/>
              <w:rPr>
                <w:rFonts w:hint="eastAsia" w:ascii="宋体" w:hAnsi="宋体" w:eastAsia="宋体" w:cs="宋体"/>
                <w:b/>
                <w:color w:val="auto"/>
                <w:sz w:val="20"/>
                <w:szCs w:val="24"/>
              </w:rPr>
            </w:pPr>
          </w:p>
          <w:p w14:paraId="5D173532">
            <w:pPr>
              <w:pStyle w:val="25"/>
              <w:rPr>
                <w:rFonts w:hint="eastAsia" w:ascii="宋体" w:hAnsi="宋体" w:eastAsia="宋体" w:cs="宋体"/>
                <w:b/>
                <w:color w:val="auto"/>
                <w:sz w:val="20"/>
                <w:szCs w:val="24"/>
              </w:rPr>
            </w:pPr>
          </w:p>
          <w:p w14:paraId="5D912F4A">
            <w:pPr>
              <w:pStyle w:val="25"/>
              <w:rPr>
                <w:rFonts w:hint="eastAsia" w:ascii="宋体" w:hAnsi="宋体" w:eastAsia="宋体" w:cs="宋体"/>
                <w:b/>
                <w:color w:val="auto"/>
                <w:sz w:val="20"/>
                <w:szCs w:val="24"/>
              </w:rPr>
            </w:pPr>
          </w:p>
          <w:p w14:paraId="754B79BA">
            <w:pPr>
              <w:pStyle w:val="25"/>
              <w:rPr>
                <w:rFonts w:hint="eastAsia" w:ascii="宋体" w:hAnsi="宋体" w:eastAsia="宋体" w:cs="宋体"/>
                <w:b/>
                <w:color w:val="auto"/>
                <w:sz w:val="20"/>
                <w:szCs w:val="24"/>
              </w:rPr>
            </w:pPr>
          </w:p>
          <w:p w14:paraId="4ADDFCE7">
            <w:pPr>
              <w:pStyle w:val="25"/>
              <w:rPr>
                <w:rFonts w:hint="eastAsia" w:ascii="宋体" w:hAnsi="宋体" w:eastAsia="宋体" w:cs="宋体"/>
                <w:b/>
                <w:color w:val="auto"/>
                <w:sz w:val="20"/>
                <w:szCs w:val="24"/>
              </w:rPr>
            </w:pPr>
          </w:p>
          <w:p w14:paraId="66247188">
            <w:pPr>
              <w:pStyle w:val="25"/>
              <w:rPr>
                <w:rFonts w:hint="eastAsia" w:ascii="宋体" w:hAnsi="宋体" w:eastAsia="宋体" w:cs="宋体"/>
                <w:b/>
                <w:color w:val="auto"/>
                <w:sz w:val="20"/>
                <w:szCs w:val="24"/>
              </w:rPr>
            </w:pPr>
          </w:p>
          <w:p w14:paraId="0AB98DEB">
            <w:pPr>
              <w:pStyle w:val="25"/>
              <w:rPr>
                <w:rFonts w:hint="eastAsia" w:ascii="宋体" w:hAnsi="宋体" w:eastAsia="宋体" w:cs="宋体"/>
                <w:b/>
                <w:color w:val="auto"/>
                <w:sz w:val="20"/>
                <w:szCs w:val="24"/>
              </w:rPr>
            </w:pPr>
          </w:p>
          <w:p w14:paraId="3FDFA4B5">
            <w:pPr>
              <w:pStyle w:val="25"/>
              <w:rPr>
                <w:rFonts w:hint="eastAsia" w:ascii="宋体" w:hAnsi="宋体" w:eastAsia="宋体" w:cs="宋体"/>
                <w:b/>
                <w:color w:val="auto"/>
                <w:sz w:val="20"/>
                <w:szCs w:val="24"/>
              </w:rPr>
            </w:pPr>
          </w:p>
          <w:p w14:paraId="78443690">
            <w:pPr>
              <w:pStyle w:val="25"/>
              <w:rPr>
                <w:rFonts w:hint="eastAsia" w:ascii="宋体" w:hAnsi="宋体" w:eastAsia="宋体" w:cs="宋体"/>
                <w:b/>
                <w:color w:val="auto"/>
                <w:sz w:val="20"/>
                <w:szCs w:val="24"/>
              </w:rPr>
            </w:pPr>
          </w:p>
          <w:p w14:paraId="32BD29C9">
            <w:pPr>
              <w:pStyle w:val="25"/>
              <w:rPr>
                <w:rFonts w:hint="eastAsia" w:ascii="宋体" w:hAnsi="宋体" w:eastAsia="宋体" w:cs="宋体"/>
                <w:b/>
                <w:color w:val="auto"/>
                <w:sz w:val="20"/>
                <w:szCs w:val="24"/>
              </w:rPr>
            </w:pPr>
          </w:p>
          <w:p w14:paraId="00FB01B5">
            <w:pPr>
              <w:pStyle w:val="25"/>
              <w:rPr>
                <w:rFonts w:hint="eastAsia" w:ascii="宋体" w:hAnsi="宋体" w:eastAsia="宋体" w:cs="宋体"/>
                <w:b/>
                <w:color w:val="auto"/>
                <w:sz w:val="20"/>
                <w:szCs w:val="24"/>
              </w:rPr>
            </w:pPr>
          </w:p>
          <w:p w14:paraId="07B769DC">
            <w:pPr>
              <w:pStyle w:val="25"/>
              <w:rPr>
                <w:rFonts w:hint="eastAsia" w:ascii="宋体" w:hAnsi="宋体" w:eastAsia="宋体" w:cs="宋体"/>
                <w:b/>
                <w:color w:val="auto"/>
                <w:sz w:val="20"/>
                <w:szCs w:val="24"/>
              </w:rPr>
            </w:pPr>
          </w:p>
          <w:p w14:paraId="7A154B2B">
            <w:pPr>
              <w:pStyle w:val="25"/>
              <w:spacing w:before="10"/>
              <w:rPr>
                <w:rFonts w:hint="eastAsia" w:ascii="宋体" w:hAnsi="宋体" w:eastAsia="宋体" w:cs="宋体"/>
                <w:b/>
                <w:color w:val="auto"/>
                <w:sz w:val="15"/>
                <w:szCs w:val="24"/>
              </w:rPr>
            </w:pPr>
          </w:p>
          <w:p w14:paraId="5153FADC">
            <w:pPr>
              <w:pStyle w:val="25"/>
              <w:spacing w:before="1"/>
              <w:ind w:left="306"/>
              <w:rPr>
                <w:rFonts w:hint="eastAsia" w:ascii="宋体" w:hAnsi="宋体" w:eastAsia="宋体" w:cs="宋体"/>
                <w:color w:val="auto"/>
                <w:sz w:val="20"/>
                <w:szCs w:val="24"/>
              </w:rPr>
            </w:pPr>
            <w:r>
              <w:rPr>
                <w:rFonts w:hint="eastAsia" w:ascii="宋体" w:hAnsi="宋体" w:eastAsia="宋体" w:cs="宋体"/>
                <w:color w:val="auto"/>
                <w:spacing w:val="-5"/>
                <w:sz w:val="20"/>
                <w:szCs w:val="24"/>
              </w:rPr>
              <w:t>医疗</w:t>
            </w:r>
          </w:p>
        </w:tc>
        <w:tc>
          <w:tcPr>
            <w:tcW w:w="1586" w:type="dxa"/>
          </w:tcPr>
          <w:p w14:paraId="773ED2A6">
            <w:pPr>
              <w:pStyle w:val="25"/>
              <w:rPr>
                <w:rFonts w:hint="eastAsia" w:ascii="宋体" w:hAnsi="宋体" w:eastAsia="宋体" w:cs="宋体"/>
                <w:b/>
                <w:color w:val="auto"/>
                <w:sz w:val="20"/>
                <w:szCs w:val="24"/>
              </w:rPr>
            </w:pPr>
          </w:p>
          <w:p w14:paraId="77A3E1AB">
            <w:pPr>
              <w:pStyle w:val="25"/>
              <w:spacing w:before="136"/>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医院介绍</w:t>
            </w:r>
          </w:p>
        </w:tc>
        <w:tc>
          <w:tcPr>
            <w:tcW w:w="5503" w:type="dxa"/>
          </w:tcPr>
          <w:p w14:paraId="793CEF69">
            <w:pPr>
              <w:pStyle w:val="25"/>
              <w:spacing w:before="134" w:line="242" w:lineRule="auto"/>
              <w:ind w:left="15" w:right="162"/>
              <w:jc w:val="both"/>
              <w:rPr>
                <w:rFonts w:hint="eastAsia" w:ascii="宋体" w:hAnsi="宋体" w:eastAsia="宋体" w:cs="宋体"/>
                <w:color w:val="auto"/>
                <w:sz w:val="20"/>
                <w:szCs w:val="24"/>
              </w:rPr>
            </w:pPr>
            <w:r>
              <w:rPr>
                <w:rFonts w:hint="eastAsia" w:ascii="宋体" w:hAnsi="宋体" w:eastAsia="宋体" w:cs="宋体"/>
                <w:color w:val="auto"/>
                <w:spacing w:val="-2"/>
                <w:sz w:val="20"/>
                <w:szCs w:val="24"/>
              </w:rPr>
              <w:t>包含医院特色介绍、科室介绍、医生介绍、就诊指南、院内平面导航，让用户能便捷查询医院基本信息。同时提供医院详细地址、公交路线信息、医院服务电话和官方网站地址，方便患者就医。</w:t>
            </w:r>
          </w:p>
        </w:tc>
      </w:tr>
      <w:tr w14:paraId="58C1C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0" w:hRule="atLeast"/>
        </w:trPr>
        <w:tc>
          <w:tcPr>
            <w:tcW w:w="989" w:type="dxa"/>
            <w:vMerge w:val="continue"/>
            <w:tcBorders>
              <w:top w:val="nil"/>
            </w:tcBorders>
          </w:tcPr>
          <w:p w14:paraId="2883DDD1">
            <w:pPr>
              <w:rPr>
                <w:rFonts w:hint="eastAsia" w:ascii="宋体" w:hAnsi="宋体" w:eastAsia="宋体" w:cs="宋体"/>
                <w:color w:val="auto"/>
                <w:sz w:val="4"/>
                <w:szCs w:val="4"/>
              </w:rPr>
            </w:pPr>
          </w:p>
        </w:tc>
        <w:tc>
          <w:tcPr>
            <w:tcW w:w="1586" w:type="dxa"/>
          </w:tcPr>
          <w:p w14:paraId="76BB3450">
            <w:pPr>
              <w:pStyle w:val="25"/>
              <w:rPr>
                <w:rFonts w:hint="eastAsia" w:ascii="宋体" w:hAnsi="宋体" w:eastAsia="宋体" w:cs="宋体"/>
                <w:b/>
                <w:color w:val="auto"/>
                <w:sz w:val="20"/>
                <w:szCs w:val="24"/>
              </w:rPr>
            </w:pPr>
          </w:p>
          <w:p w14:paraId="2244FABC">
            <w:pPr>
              <w:pStyle w:val="25"/>
              <w:rPr>
                <w:rFonts w:hint="eastAsia" w:ascii="宋体" w:hAnsi="宋体" w:eastAsia="宋体" w:cs="宋体"/>
                <w:b/>
                <w:color w:val="auto"/>
                <w:sz w:val="20"/>
                <w:szCs w:val="24"/>
              </w:rPr>
            </w:pPr>
          </w:p>
          <w:p w14:paraId="2BEDA28B">
            <w:pPr>
              <w:pStyle w:val="25"/>
              <w:spacing w:before="2"/>
              <w:rPr>
                <w:rFonts w:hint="eastAsia" w:ascii="宋体" w:hAnsi="宋体" w:eastAsia="宋体" w:cs="宋体"/>
                <w:b/>
                <w:color w:val="auto"/>
                <w:sz w:val="21"/>
                <w:szCs w:val="24"/>
              </w:rPr>
            </w:pPr>
          </w:p>
          <w:p w14:paraId="6DFF53DA">
            <w:pPr>
              <w:pStyle w:val="25"/>
              <w:spacing w:before="1"/>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预约挂号</w:t>
            </w:r>
          </w:p>
        </w:tc>
        <w:tc>
          <w:tcPr>
            <w:tcW w:w="5503" w:type="dxa"/>
          </w:tcPr>
          <w:p w14:paraId="573B261E">
            <w:pPr>
              <w:pStyle w:val="25"/>
              <w:spacing w:before="136" w:line="242" w:lineRule="auto"/>
              <w:ind w:left="15" w:right="161"/>
              <w:jc w:val="both"/>
              <w:rPr>
                <w:rFonts w:hint="eastAsia" w:ascii="宋体" w:hAnsi="宋体" w:eastAsia="宋体" w:cs="宋体"/>
                <w:color w:val="auto"/>
                <w:sz w:val="20"/>
                <w:szCs w:val="24"/>
              </w:rPr>
            </w:pPr>
            <w:r>
              <w:rPr>
                <w:rFonts w:hint="eastAsia" w:ascii="宋体" w:hAnsi="宋体" w:eastAsia="宋体" w:cs="宋体"/>
                <w:color w:val="auto"/>
                <w:spacing w:val="-2"/>
                <w:sz w:val="20"/>
                <w:szCs w:val="24"/>
              </w:rPr>
              <w:t>基于医院的挂号资源进行开发，实现居民通过小程序随时随地进行预约挂号服务。居民在了解自己需要挂号的科室信息后，可以搜索查询附近医院科室的详细信息，如当天排班的所有医生信息、专科医生的数量、剩余号源信息等等，选择号源进行预约挂号。</w:t>
            </w:r>
          </w:p>
          <w:p w14:paraId="5BD773F5">
            <w:pPr>
              <w:pStyle w:val="25"/>
              <w:spacing w:before="3" w:line="242" w:lineRule="auto"/>
              <w:ind w:left="15" w:right="162"/>
              <w:rPr>
                <w:rFonts w:hint="eastAsia" w:ascii="宋体" w:hAnsi="宋体" w:eastAsia="宋体" w:cs="宋体"/>
                <w:color w:val="auto"/>
                <w:sz w:val="20"/>
                <w:szCs w:val="24"/>
              </w:rPr>
            </w:pPr>
            <w:r>
              <w:rPr>
                <w:rFonts w:hint="eastAsia" w:ascii="宋体" w:hAnsi="宋体" w:eastAsia="宋体" w:cs="宋体"/>
                <w:color w:val="auto"/>
                <w:spacing w:val="-2"/>
                <w:sz w:val="20"/>
                <w:szCs w:val="24"/>
              </w:rPr>
              <w:t>通过平台提供的更集约更高效的寻医就诊方式，进行医院、科室、专家（专病）及号源信息展示并进行预约挂号。</w:t>
            </w:r>
          </w:p>
        </w:tc>
      </w:tr>
      <w:tr w14:paraId="6DC98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989" w:type="dxa"/>
            <w:vMerge w:val="continue"/>
            <w:tcBorders>
              <w:top w:val="nil"/>
            </w:tcBorders>
          </w:tcPr>
          <w:p w14:paraId="39DCCAA1">
            <w:pPr>
              <w:rPr>
                <w:rFonts w:hint="eastAsia" w:ascii="宋体" w:hAnsi="宋体" w:eastAsia="宋体" w:cs="宋体"/>
                <w:color w:val="auto"/>
                <w:sz w:val="4"/>
                <w:szCs w:val="4"/>
              </w:rPr>
            </w:pPr>
          </w:p>
        </w:tc>
        <w:tc>
          <w:tcPr>
            <w:tcW w:w="1586" w:type="dxa"/>
          </w:tcPr>
          <w:p w14:paraId="537FAE94">
            <w:pPr>
              <w:pStyle w:val="25"/>
              <w:spacing w:before="10"/>
              <w:rPr>
                <w:rFonts w:hint="eastAsia" w:ascii="宋体" w:hAnsi="宋体" w:eastAsia="宋体" w:cs="宋体"/>
                <w:b/>
                <w:color w:val="auto"/>
                <w:sz w:val="20"/>
                <w:szCs w:val="24"/>
              </w:rPr>
            </w:pPr>
          </w:p>
          <w:p w14:paraId="7BE98A07">
            <w:pPr>
              <w:pStyle w:val="25"/>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签到取号</w:t>
            </w:r>
          </w:p>
        </w:tc>
        <w:tc>
          <w:tcPr>
            <w:tcW w:w="5503" w:type="dxa"/>
          </w:tcPr>
          <w:p w14:paraId="018F9BB8">
            <w:pPr>
              <w:pStyle w:val="25"/>
              <w:spacing w:before="136" w:line="242" w:lineRule="auto"/>
              <w:ind w:left="15" w:right="162"/>
              <w:rPr>
                <w:rFonts w:hint="eastAsia" w:ascii="宋体" w:hAnsi="宋体" w:eastAsia="宋体" w:cs="宋体"/>
                <w:color w:val="auto"/>
                <w:sz w:val="20"/>
                <w:szCs w:val="24"/>
              </w:rPr>
            </w:pPr>
            <w:r>
              <w:rPr>
                <w:rFonts w:hint="eastAsia" w:ascii="宋体" w:hAnsi="宋体" w:eastAsia="宋体" w:cs="宋体"/>
                <w:color w:val="auto"/>
                <w:spacing w:val="-2"/>
                <w:sz w:val="20"/>
                <w:szCs w:val="24"/>
              </w:rPr>
              <w:t>用户预约挂号成功后，在签到取号时间地点范围内（后台可配置可签到取号的时间地点范围）系统支持用户完成在线签到取号。</w:t>
            </w:r>
          </w:p>
        </w:tc>
      </w:tr>
      <w:tr w14:paraId="6651D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989" w:type="dxa"/>
            <w:vMerge w:val="continue"/>
            <w:tcBorders>
              <w:top w:val="nil"/>
            </w:tcBorders>
          </w:tcPr>
          <w:p w14:paraId="0A62E599">
            <w:pPr>
              <w:rPr>
                <w:rFonts w:hint="eastAsia" w:ascii="宋体" w:hAnsi="宋体" w:eastAsia="宋体" w:cs="宋体"/>
                <w:color w:val="auto"/>
                <w:sz w:val="4"/>
                <w:szCs w:val="4"/>
              </w:rPr>
            </w:pPr>
          </w:p>
        </w:tc>
        <w:tc>
          <w:tcPr>
            <w:tcW w:w="1586" w:type="dxa"/>
          </w:tcPr>
          <w:p w14:paraId="44B1AD1F">
            <w:pPr>
              <w:pStyle w:val="25"/>
              <w:rPr>
                <w:rFonts w:hint="eastAsia" w:ascii="宋体" w:hAnsi="宋体" w:eastAsia="宋体" w:cs="宋体"/>
                <w:b/>
                <w:color w:val="auto"/>
                <w:sz w:val="20"/>
                <w:szCs w:val="24"/>
              </w:rPr>
            </w:pPr>
          </w:p>
          <w:p w14:paraId="4677733D">
            <w:pPr>
              <w:pStyle w:val="25"/>
              <w:spacing w:before="136"/>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门诊缴费</w:t>
            </w:r>
          </w:p>
        </w:tc>
        <w:tc>
          <w:tcPr>
            <w:tcW w:w="5503" w:type="dxa"/>
          </w:tcPr>
          <w:p w14:paraId="6B9C4C9A">
            <w:pPr>
              <w:pStyle w:val="25"/>
              <w:spacing w:before="134" w:line="242" w:lineRule="auto"/>
              <w:ind w:left="15" w:right="162"/>
              <w:jc w:val="both"/>
              <w:rPr>
                <w:rFonts w:hint="eastAsia" w:ascii="宋体" w:hAnsi="宋体" w:eastAsia="宋体" w:cs="宋体"/>
                <w:color w:val="auto"/>
                <w:sz w:val="20"/>
                <w:szCs w:val="24"/>
              </w:rPr>
            </w:pPr>
            <w:r>
              <w:rPr>
                <w:rFonts w:hint="eastAsia" w:ascii="宋体" w:hAnsi="宋体" w:eastAsia="宋体" w:cs="宋体"/>
                <w:color w:val="auto"/>
                <w:spacing w:val="-2"/>
                <w:sz w:val="20"/>
                <w:szCs w:val="24"/>
              </w:rPr>
              <w:t>支持居民对门诊待支付项目，包括诊疗预约费用、药费、检查检验费等进行查询、支付，同时支持对已支付项目进行查询，便于居民掌握自己的支付历史情况。</w:t>
            </w:r>
          </w:p>
        </w:tc>
      </w:tr>
      <w:tr w14:paraId="3B94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atLeast"/>
        </w:trPr>
        <w:tc>
          <w:tcPr>
            <w:tcW w:w="989" w:type="dxa"/>
            <w:vMerge w:val="continue"/>
            <w:tcBorders>
              <w:top w:val="nil"/>
            </w:tcBorders>
          </w:tcPr>
          <w:p w14:paraId="6A4AA2E0">
            <w:pPr>
              <w:rPr>
                <w:rFonts w:hint="eastAsia" w:ascii="宋体" w:hAnsi="宋体" w:eastAsia="宋体" w:cs="宋体"/>
                <w:color w:val="auto"/>
                <w:sz w:val="4"/>
                <w:szCs w:val="4"/>
              </w:rPr>
            </w:pPr>
          </w:p>
        </w:tc>
        <w:tc>
          <w:tcPr>
            <w:tcW w:w="1586" w:type="dxa"/>
          </w:tcPr>
          <w:p w14:paraId="3E25626E">
            <w:pPr>
              <w:pStyle w:val="25"/>
              <w:rPr>
                <w:rFonts w:hint="eastAsia" w:ascii="宋体" w:hAnsi="宋体" w:eastAsia="宋体" w:cs="宋体"/>
                <w:b/>
                <w:color w:val="auto"/>
                <w:sz w:val="20"/>
                <w:szCs w:val="24"/>
              </w:rPr>
            </w:pPr>
          </w:p>
          <w:p w14:paraId="3E557ADE">
            <w:pPr>
              <w:pStyle w:val="25"/>
              <w:spacing w:before="10"/>
              <w:rPr>
                <w:rFonts w:hint="eastAsia" w:ascii="宋体" w:hAnsi="宋体" w:eastAsia="宋体" w:cs="宋体"/>
                <w:b/>
                <w:color w:val="auto"/>
                <w:sz w:val="20"/>
                <w:szCs w:val="24"/>
              </w:rPr>
            </w:pPr>
          </w:p>
          <w:p w14:paraId="3BC31CD0">
            <w:pPr>
              <w:pStyle w:val="25"/>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报告查询</w:t>
            </w:r>
          </w:p>
        </w:tc>
        <w:tc>
          <w:tcPr>
            <w:tcW w:w="5503" w:type="dxa"/>
          </w:tcPr>
          <w:p w14:paraId="49713126">
            <w:pPr>
              <w:pStyle w:val="25"/>
              <w:spacing w:before="136" w:line="242" w:lineRule="auto"/>
              <w:ind w:left="15" w:right="161"/>
              <w:jc w:val="both"/>
              <w:rPr>
                <w:rFonts w:hint="eastAsia" w:ascii="宋体" w:hAnsi="宋体" w:eastAsia="宋体" w:cs="宋体"/>
                <w:color w:val="auto"/>
                <w:sz w:val="20"/>
                <w:szCs w:val="24"/>
              </w:rPr>
            </w:pPr>
            <w:r>
              <w:rPr>
                <w:rFonts w:hint="eastAsia" w:ascii="宋体" w:hAnsi="宋体" w:eastAsia="宋体" w:cs="宋体"/>
                <w:color w:val="auto"/>
                <w:spacing w:val="-2"/>
                <w:sz w:val="20"/>
                <w:szCs w:val="24"/>
              </w:rPr>
              <w:t>支持查询用户及绑定家庭成员的检验、检查、病理、体检报告。针对检验报告可以展示每个指标的结果，并以不同的颜色区分出异常指标；针对体检报告可以展示体检建议、检验指标的结果、检查的结果信息及诊断信息。</w:t>
            </w:r>
          </w:p>
        </w:tc>
      </w:tr>
      <w:tr w14:paraId="5C13D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989" w:type="dxa"/>
            <w:vMerge w:val="continue"/>
            <w:tcBorders>
              <w:top w:val="nil"/>
            </w:tcBorders>
          </w:tcPr>
          <w:p w14:paraId="5AACF7BF">
            <w:pPr>
              <w:rPr>
                <w:rFonts w:hint="eastAsia" w:ascii="宋体" w:hAnsi="宋体" w:eastAsia="宋体" w:cs="宋体"/>
                <w:color w:val="auto"/>
                <w:sz w:val="4"/>
                <w:szCs w:val="4"/>
              </w:rPr>
            </w:pPr>
          </w:p>
        </w:tc>
        <w:tc>
          <w:tcPr>
            <w:tcW w:w="1586" w:type="dxa"/>
          </w:tcPr>
          <w:p w14:paraId="5E0DEA47">
            <w:pPr>
              <w:pStyle w:val="25"/>
              <w:spacing w:before="8"/>
              <w:rPr>
                <w:rFonts w:hint="eastAsia" w:ascii="宋体" w:hAnsi="宋体" w:eastAsia="宋体" w:cs="宋体"/>
                <w:b/>
                <w:color w:val="auto"/>
                <w:sz w:val="20"/>
                <w:szCs w:val="24"/>
              </w:rPr>
            </w:pPr>
          </w:p>
          <w:p w14:paraId="59DA932F">
            <w:pPr>
              <w:pStyle w:val="25"/>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费用查询</w:t>
            </w:r>
          </w:p>
        </w:tc>
        <w:tc>
          <w:tcPr>
            <w:tcW w:w="5503" w:type="dxa"/>
          </w:tcPr>
          <w:p w14:paraId="54AA7608">
            <w:pPr>
              <w:pStyle w:val="25"/>
              <w:spacing w:before="134" w:line="244" w:lineRule="auto"/>
              <w:ind w:left="15" w:right="342"/>
              <w:rPr>
                <w:rFonts w:hint="eastAsia" w:ascii="宋体" w:hAnsi="宋体" w:eastAsia="宋体" w:cs="宋体"/>
                <w:color w:val="auto"/>
                <w:sz w:val="20"/>
                <w:szCs w:val="24"/>
              </w:rPr>
            </w:pPr>
            <w:r>
              <w:rPr>
                <w:rFonts w:hint="eastAsia" w:ascii="宋体" w:hAnsi="宋体" w:eastAsia="宋体" w:cs="宋体"/>
                <w:color w:val="auto"/>
                <w:spacing w:val="-2"/>
                <w:sz w:val="20"/>
                <w:szCs w:val="24"/>
              </w:rPr>
              <w:t>实现用户通过移动端对医院门诊和住院过程中产生的相关费用总额、费用明细情况进行查询，了解所花费用的明细情况。</w:t>
            </w:r>
          </w:p>
        </w:tc>
      </w:tr>
      <w:tr w14:paraId="6083F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9" w:hRule="atLeast"/>
        </w:trPr>
        <w:tc>
          <w:tcPr>
            <w:tcW w:w="989" w:type="dxa"/>
            <w:vMerge w:val="continue"/>
            <w:tcBorders>
              <w:top w:val="nil"/>
            </w:tcBorders>
          </w:tcPr>
          <w:p w14:paraId="6DC72468">
            <w:pPr>
              <w:rPr>
                <w:rFonts w:hint="eastAsia" w:ascii="宋体" w:hAnsi="宋体" w:eastAsia="宋体" w:cs="宋体"/>
                <w:color w:val="auto"/>
                <w:sz w:val="4"/>
                <w:szCs w:val="4"/>
              </w:rPr>
            </w:pPr>
          </w:p>
        </w:tc>
        <w:tc>
          <w:tcPr>
            <w:tcW w:w="1586" w:type="dxa"/>
          </w:tcPr>
          <w:p w14:paraId="5AB50B25">
            <w:pPr>
              <w:pStyle w:val="25"/>
              <w:rPr>
                <w:rFonts w:hint="eastAsia" w:ascii="宋体" w:hAnsi="宋体" w:eastAsia="宋体" w:cs="宋体"/>
                <w:b/>
                <w:color w:val="auto"/>
                <w:sz w:val="20"/>
                <w:szCs w:val="24"/>
              </w:rPr>
            </w:pPr>
          </w:p>
          <w:p w14:paraId="4BD9E9FF">
            <w:pPr>
              <w:pStyle w:val="25"/>
              <w:spacing w:before="138"/>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住院押金</w:t>
            </w:r>
          </w:p>
        </w:tc>
        <w:tc>
          <w:tcPr>
            <w:tcW w:w="5503" w:type="dxa"/>
          </w:tcPr>
          <w:p w14:paraId="646802D4">
            <w:pPr>
              <w:pStyle w:val="25"/>
              <w:spacing w:before="134" w:line="242" w:lineRule="auto"/>
              <w:ind w:left="15" w:right="162"/>
              <w:jc w:val="both"/>
              <w:rPr>
                <w:rFonts w:hint="eastAsia" w:ascii="宋体" w:hAnsi="宋体" w:eastAsia="宋体" w:cs="宋体"/>
                <w:color w:val="auto"/>
                <w:sz w:val="20"/>
                <w:szCs w:val="24"/>
              </w:rPr>
            </w:pPr>
            <w:r>
              <w:rPr>
                <w:rFonts w:hint="eastAsia" w:ascii="宋体" w:hAnsi="宋体" w:eastAsia="宋体" w:cs="宋体"/>
                <w:color w:val="auto"/>
                <w:spacing w:val="-2"/>
                <w:sz w:val="20"/>
                <w:szCs w:val="24"/>
              </w:rPr>
              <w:t>实现用户通过移动端在线充值住院预缴金，预缴金充值方式支持微信支付方式。同时支持查询用户本人或其家庭成员（须在院状态）的消费总金额、已缴押金总额、余额、押金缴费记录。</w:t>
            </w:r>
          </w:p>
        </w:tc>
      </w:tr>
      <w:tr w14:paraId="655FF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989" w:type="dxa"/>
            <w:vMerge w:val="continue"/>
            <w:tcBorders>
              <w:top w:val="nil"/>
            </w:tcBorders>
          </w:tcPr>
          <w:p w14:paraId="02475002">
            <w:pPr>
              <w:rPr>
                <w:rFonts w:hint="eastAsia" w:ascii="宋体" w:hAnsi="宋体" w:eastAsia="宋体" w:cs="宋体"/>
                <w:color w:val="auto"/>
                <w:sz w:val="4"/>
                <w:szCs w:val="4"/>
              </w:rPr>
            </w:pPr>
          </w:p>
        </w:tc>
        <w:tc>
          <w:tcPr>
            <w:tcW w:w="1586" w:type="dxa"/>
          </w:tcPr>
          <w:p w14:paraId="2E7A7920">
            <w:pPr>
              <w:pStyle w:val="25"/>
              <w:spacing w:before="8"/>
              <w:rPr>
                <w:rFonts w:hint="eastAsia" w:ascii="宋体" w:hAnsi="宋体" w:eastAsia="宋体" w:cs="宋体"/>
                <w:b/>
                <w:color w:val="auto"/>
                <w:sz w:val="20"/>
                <w:szCs w:val="24"/>
              </w:rPr>
            </w:pPr>
          </w:p>
          <w:p w14:paraId="4A2E8D56">
            <w:pPr>
              <w:pStyle w:val="25"/>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每日清单</w:t>
            </w:r>
          </w:p>
        </w:tc>
        <w:tc>
          <w:tcPr>
            <w:tcW w:w="5503" w:type="dxa"/>
          </w:tcPr>
          <w:p w14:paraId="6FFCDFD6">
            <w:pPr>
              <w:pStyle w:val="25"/>
              <w:spacing w:before="134" w:line="242" w:lineRule="auto"/>
              <w:ind w:left="15" w:right="161"/>
              <w:rPr>
                <w:rFonts w:hint="eastAsia" w:ascii="宋体" w:hAnsi="宋体" w:eastAsia="宋体" w:cs="宋体"/>
                <w:color w:val="auto"/>
                <w:sz w:val="20"/>
                <w:szCs w:val="24"/>
              </w:rPr>
            </w:pPr>
            <w:r>
              <w:rPr>
                <w:rFonts w:hint="eastAsia" w:ascii="宋体" w:hAnsi="宋体" w:eastAsia="宋体" w:cs="宋体"/>
                <w:color w:val="auto"/>
                <w:spacing w:val="-2"/>
                <w:sz w:val="20"/>
                <w:szCs w:val="24"/>
              </w:rPr>
              <w:t>实现用户通过移动端对本人或家庭成员（须在院状态）当日住院费</w:t>
            </w:r>
            <w:r>
              <w:rPr>
                <w:rFonts w:hint="eastAsia" w:ascii="宋体" w:hAnsi="宋体" w:eastAsia="宋体" w:cs="宋体"/>
                <w:color w:val="auto"/>
                <w:spacing w:val="-1"/>
                <w:sz w:val="20"/>
                <w:szCs w:val="24"/>
              </w:rPr>
              <w:t>用清单进行查询，了解每日住院费用总额和所花费用的明细情况。</w:t>
            </w:r>
          </w:p>
        </w:tc>
      </w:tr>
      <w:tr w14:paraId="497D7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Borders>
              <w:top w:val="nil"/>
            </w:tcBorders>
          </w:tcPr>
          <w:p w14:paraId="42723AB2">
            <w:pPr>
              <w:rPr>
                <w:rFonts w:hint="eastAsia" w:ascii="宋体" w:hAnsi="宋体" w:eastAsia="宋体" w:cs="宋体"/>
                <w:color w:val="auto"/>
                <w:sz w:val="4"/>
                <w:szCs w:val="4"/>
              </w:rPr>
            </w:pPr>
          </w:p>
        </w:tc>
        <w:tc>
          <w:tcPr>
            <w:tcW w:w="1586" w:type="dxa"/>
          </w:tcPr>
          <w:p w14:paraId="4417E227">
            <w:pPr>
              <w:pStyle w:val="25"/>
              <w:spacing w:before="134"/>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消息通知</w:t>
            </w:r>
          </w:p>
        </w:tc>
        <w:tc>
          <w:tcPr>
            <w:tcW w:w="5503" w:type="dxa"/>
          </w:tcPr>
          <w:p w14:paraId="44EA0A21">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1"/>
                <w:sz w:val="20"/>
                <w:szCs w:val="24"/>
              </w:rPr>
              <w:t>可以选择挂号消息推送</w:t>
            </w:r>
          </w:p>
        </w:tc>
      </w:tr>
      <w:tr w14:paraId="5BD1D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Borders>
              <w:top w:val="nil"/>
            </w:tcBorders>
          </w:tcPr>
          <w:p w14:paraId="37335F8F">
            <w:pPr>
              <w:rPr>
                <w:rFonts w:hint="eastAsia" w:ascii="宋体" w:hAnsi="宋体" w:eastAsia="宋体" w:cs="宋体"/>
                <w:color w:val="auto"/>
                <w:sz w:val="4"/>
                <w:szCs w:val="4"/>
              </w:rPr>
            </w:pPr>
          </w:p>
        </w:tc>
        <w:tc>
          <w:tcPr>
            <w:tcW w:w="1586" w:type="dxa"/>
          </w:tcPr>
          <w:p w14:paraId="214908B8">
            <w:pPr>
              <w:pStyle w:val="25"/>
              <w:spacing w:before="8"/>
              <w:rPr>
                <w:rFonts w:hint="eastAsia" w:ascii="宋体" w:hAnsi="宋体" w:eastAsia="宋体" w:cs="宋体"/>
                <w:b/>
                <w:color w:val="auto"/>
                <w:sz w:val="20"/>
                <w:szCs w:val="24"/>
              </w:rPr>
            </w:pPr>
          </w:p>
          <w:p w14:paraId="359F8263">
            <w:pPr>
              <w:pStyle w:val="25"/>
              <w:spacing w:before="1"/>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出院清单</w:t>
            </w:r>
          </w:p>
        </w:tc>
        <w:tc>
          <w:tcPr>
            <w:tcW w:w="5503" w:type="dxa"/>
          </w:tcPr>
          <w:p w14:paraId="11BC6E60">
            <w:pPr>
              <w:pStyle w:val="25"/>
              <w:spacing w:before="134" w:line="242" w:lineRule="auto"/>
              <w:ind w:left="15" w:right="162"/>
              <w:rPr>
                <w:rFonts w:hint="eastAsia" w:ascii="宋体" w:hAnsi="宋体" w:eastAsia="宋体" w:cs="宋体"/>
                <w:color w:val="auto"/>
                <w:sz w:val="20"/>
                <w:szCs w:val="24"/>
              </w:rPr>
            </w:pPr>
            <w:r>
              <w:rPr>
                <w:rFonts w:hint="eastAsia" w:ascii="宋体" w:hAnsi="宋体" w:eastAsia="宋体" w:cs="宋体"/>
                <w:color w:val="auto"/>
                <w:spacing w:val="-2"/>
                <w:sz w:val="20"/>
                <w:szCs w:val="24"/>
              </w:rPr>
              <w:t>实现用户通过移动端在出院时查询出院结算记录，电子发票地址复</w:t>
            </w:r>
            <w:r>
              <w:rPr>
                <w:rFonts w:hint="eastAsia" w:ascii="宋体" w:hAnsi="宋体" w:eastAsia="宋体" w:cs="宋体"/>
                <w:color w:val="auto"/>
                <w:spacing w:val="-6"/>
                <w:sz w:val="20"/>
                <w:szCs w:val="24"/>
              </w:rPr>
              <w:t>制。</w:t>
            </w:r>
          </w:p>
        </w:tc>
      </w:tr>
      <w:tr w14:paraId="174A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989" w:type="dxa"/>
            <w:vMerge w:val="continue"/>
            <w:tcBorders>
              <w:top w:val="nil"/>
            </w:tcBorders>
          </w:tcPr>
          <w:p w14:paraId="7F4CD68C">
            <w:pPr>
              <w:rPr>
                <w:rFonts w:hint="eastAsia" w:ascii="宋体" w:hAnsi="宋体" w:eastAsia="宋体" w:cs="宋体"/>
                <w:color w:val="auto"/>
                <w:sz w:val="4"/>
                <w:szCs w:val="4"/>
              </w:rPr>
            </w:pPr>
          </w:p>
        </w:tc>
        <w:tc>
          <w:tcPr>
            <w:tcW w:w="1586" w:type="dxa"/>
          </w:tcPr>
          <w:p w14:paraId="055D7CAB">
            <w:pPr>
              <w:pStyle w:val="25"/>
              <w:spacing w:before="134"/>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出院带药</w:t>
            </w:r>
          </w:p>
        </w:tc>
        <w:tc>
          <w:tcPr>
            <w:tcW w:w="5503" w:type="dxa"/>
          </w:tcPr>
          <w:p w14:paraId="327C0764">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1"/>
                <w:sz w:val="20"/>
                <w:szCs w:val="24"/>
              </w:rPr>
              <w:t>实现用户通过移动端在出院后查看出院药品服用方式等信息。</w:t>
            </w:r>
          </w:p>
        </w:tc>
      </w:tr>
      <w:tr w14:paraId="658CF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Borders>
              <w:top w:val="nil"/>
            </w:tcBorders>
          </w:tcPr>
          <w:p w14:paraId="55C92974">
            <w:pPr>
              <w:rPr>
                <w:rFonts w:hint="eastAsia" w:ascii="宋体" w:hAnsi="宋体" w:eastAsia="宋体" w:cs="宋体"/>
                <w:color w:val="auto"/>
                <w:sz w:val="4"/>
                <w:szCs w:val="4"/>
              </w:rPr>
            </w:pPr>
          </w:p>
        </w:tc>
        <w:tc>
          <w:tcPr>
            <w:tcW w:w="1586" w:type="dxa"/>
          </w:tcPr>
          <w:p w14:paraId="5F170FC9">
            <w:pPr>
              <w:pStyle w:val="25"/>
              <w:spacing w:before="134"/>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门诊排队</w:t>
            </w:r>
          </w:p>
        </w:tc>
        <w:tc>
          <w:tcPr>
            <w:tcW w:w="5503" w:type="dxa"/>
          </w:tcPr>
          <w:p w14:paraId="20BAC1DB">
            <w:pPr>
              <w:pStyle w:val="25"/>
              <w:spacing w:before="134"/>
              <w:ind w:left="15"/>
              <w:rPr>
                <w:rFonts w:hint="eastAsia" w:ascii="宋体" w:hAnsi="宋体" w:eastAsia="宋体" w:cs="宋体"/>
                <w:color w:val="auto"/>
                <w:sz w:val="20"/>
                <w:szCs w:val="24"/>
              </w:rPr>
            </w:pPr>
            <w:r>
              <w:rPr>
                <w:rFonts w:hint="eastAsia" w:ascii="宋体" w:hAnsi="宋体" w:eastAsia="宋体" w:cs="宋体"/>
                <w:color w:val="auto"/>
                <w:spacing w:val="-2"/>
                <w:sz w:val="20"/>
                <w:szCs w:val="24"/>
              </w:rPr>
              <w:t>按签到时间显示</w:t>
            </w:r>
          </w:p>
        </w:tc>
      </w:tr>
      <w:tr w14:paraId="17F4F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989" w:type="dxa"/>
            <w:vMerge w:val="restart"/>
            <w:vAlign w:val="center"/>
          </w:tcPr>
          <w:p w14:paraId="4C0F4D79">
            <w:pPr>
              <w:pStyle w:val="25"/>
              <w:spacing w:before="8"/>
              <w:jc w:val="center"/>
              <w:rPr>
                <w:rFonts w:hint="eastAsia" w:ascii="宋体" w:hAnsi="宋体" w:eastAsia="宋体" w:cs="宋体"/>
                <w:b/>
                <w:color w:val="auto"/>
                <w:sz w:val="20"/>
                <w:szCs w:val="24"/>
              </w:rPr>
            </w:pPr>
          </w:p>
          <w:p w14:paraId="2A3F7293">
            <w:pPr>
              <w:pStyle w:val="25"/>
              <w:ind w:left="290" w:right="281"/>
              <w:jc w:val="center"/>
              <w:rPr>
                <w:rFonts w:hint="eastAsia" w:ascii="宋体" w:hAnsi="宋体" w:eastAsia="宋体" w:cs="宋体"/>
                <w:color w:val="auto"/>
                <w:sz w:val="20"/>
                <w:szCs w:val="24"/>
              </w:rPr>
            </w:pPr>
            <w:r>
              <w:rPr>
                <w:rFonts w:hint="eastAsia" w:ascii="宋体" w:hAnsi="宋体" w:eastAsia="宋体" w:cs="宋体"/>
                <w:color w:val="auto"/>
                <w:spacing w:val="-5"/>
                <w:sz w:val="20"/>
                <w:szCs w:val="24"/>
              </w:rPr>
              <w:t>我的</w:t>
            </w:r>
          </w:p>
        </w:tc>
        <w:tc>
          <w:tcPr>
            <w:tcW w:w="1586" w:type="dxa"/>
          </w:tcPr>
          <w:p w14:paraId="72D61185">
            <w:pPr>
              <w:pStyle w:val="25"/>
              <w:spacing w:before="8"/>
              <w:rPr>
                <w:rFonts w:hint="eastAsia" w:ascii="宋体" w:hAnsi="宋体" w:eastAsia="宋体" w:cs="宋体"/>
                <w:b/>
                <w:color w:val="auto"/>
                <w:sz w:val="20"/>
                <w:szCs w:val="24"/>
              </w:rPr>
            </w:pPr>
          </w:p>
          <w:p w14:paraId="34014CEA">
            <w:pPr>
              <w:pStyle w:val="25"/>
              <w:ind w:left="135" w:right="125"/>
              <w:jc w:val="center"/>
              <w:rPr>
                <w:rFonts w:hint="eastAsia" w:ascii="宋体" w:hAnsi="宋体" w:eastAsia="宋体" w:cs="宋体"/>
                <w:color w:val="auto"/>
                <w:sz w:val="20"/>
                <w:szCs w:val="24"/>
              </w:rPr>
            </w:pPr>
            <w:r>
              <w:rPr>
                <w:rFonts w:hint="default" w:ascii="Arial" w:hAnsi="Arial" w:cs="Arial"/>
                <w:color w:val="auto"/>
                <w:spacing w:val="-2"/>
              </w:rPr>
              <w:t>√</w:t>
            </w:r>
            <w:r>
              <w:rPr>
                <w:rFonts w:hint="eastAsia" w:ascii="宋体" w:hAnsi="宋体" w:eastAsia="宋体" w:cs="宋体"/>
                <w:color w:val="auto"/>
                <w:spacing w:val="-3"/>
                <w:sz w:val="20"/>
                <w:szCs w:val="24"/>
              </w:rPr>
              <w:t>个人信息</w:t>
            </w:r>
          </w:p>
        </w:tc>
        <w:tc>
          <w:tcPr>
            <w:tcW w:w="5503" w:type="dxa"/>
          </w:tcPr>
          <w:p w14:paraId="7E76A6E1">
            <w:pPr>
              <w:pStyle w:val="25"/>
              <w:spacing w:before="134" w:line="242" w:lineRule="auto"/>
              <w:ind w:left="15" w:right="162"/>
              <w:rPr>
                <w:rFonts w:hint="eastAsia" w:ascii="宋体" w:hAnsi="宋体" w:eastAsia="宋体" w:cs="宋体"/>
                <w:color w:val="auto"/>
                <w:sz w:val="20"/>
                <w:szCs w:val="24"/>
              </w:rPr>
            </w:pPr>
            <w:r>
              <w:rPr>
                <w:rFonts w:hint="eastAsia" w:ascii="宋体" w:hAnsi="宋体" w:eastAsia="宋体" w:cs="宋体"/>
                <w:color w:val="auto"/>
                <w:spacing w:val="-2"/>
                <w:sz w:val="20"/>
                <w:szCs w:val="24"/>
              </w:rPr>
              <w:t>提供个人信息完善及维护的入口，包含相关必填信息以及非必填信息的完善，维护好个人信息，便于其他服务的正常使用。</w:t>
            </w:r>
          </w:p>
        </w:tc>
      </w:tr>
      <w:tr w14:paraId="7FEFE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9" w:type="dxa"/>
            <w:vMerge w:val="continue"/>
          </w:tcPr>
          <w:p w14:paraId="26B8E4B2">
            <w:pPr>
              <w:pStyle w:val="25"/>
              <w:ind w:left="290" w:right="281"/>
              <w:jc w:val="center"/>
              <w:rPr>
                <w:rFonts w:hint="eastAsia" w:ascii="宋体" w:hAnsi="宋体" w:eastAsia="宋体" w:cs="宋体"/>
                <w:color w:val="auto"/>
                <w:spacing w:val="-5"/>
                <w:sz w:val="20"/>
                <w:szCs w:val="24"/>
              </w:rPr>
            </w:pPr>
          </w:p>
        </w:tc>
        <w:tc>
          <w:tcPr>
            <w:tcW w:w="1586" w:type="dxa"/>
            <w:shd w:val="clear" w:color="auto" w:fill="auto"/>
            <w:vAlign w:val="top"/>
          </w:tcPr>
          <w:p w14:paraId="39B08EF9">
            <w:pPr>
              <w:pStyle w:val="25"/>
              <w:spacing w:before="134"/>
              <w:ind w:left="309" w:leftChars="0" w:right="307" w:rightChars="0"/>
              <w:jc w:val="center"/>
              <w:rPr>
                <w:rFonts w:hint="eastAsia" w:ascii="宋体" w:hAnsi="宋体" w:eastAsia="宋体" w:cs="宋体"/>
                <w:color w:val="auto"/>
                <w:sz w:val="18"/>
                <w:szCs w:val="22"/>
                <w:lang w:val="en-US" w:eastAsia="zh-CN" w:bidi="ar-SA"/>
              </w:rPr>
            </w:pPr>
            <w:r>
              <w:rPr>
                <w:rFonts w:hint="default" w:ascii="Arial" w:hAnsi="Arial" w:cs="Arial"/>
                <w:color w:val="auto"/>
                <w:spacing w:val="-2"/>
              </w:rPr>
              <w:t>√</w:t>
            </w:r>
            <w:r>
              <w:rPr>
                <w:color w:val="auto"/>
                <w:spacing w:val="-3"/>
                <w:sz w:val="18"/>
              </w:rPr>
              <w:t>实名认证</w:t>
            </w:r>
          </w:p>
        </w:tc>
        <w:tc>
          <w:tcPr>
            <w:tcW w:w="5503" w:type="dxa"/>
            <w:shd w:val="clear" w:color="auto" w:fill="auto"/>
            <w:vAlign w:val="top"/>
          </w:tcPr>
          <w:p w14:paraId="2F0865A5">
            <w:pPr>
              <w:pStyle w:val="25"/>
              <w:spacing w:before="134"/>
              <w:ind w:left="12" w:leftChars="0"/>
              <w:rPr>
                <w:rFonts w:hint="eastAsia" w:ascii="宋体" w:hAnsi="宋体" w:eastAsia="宋体" w:cs="宋体"/>
                <w:color w:val="auto"/>
                <w:sz w:val="18"/>
                <w:szCs w:val="22"/>
                <w:lang w:val="en-US" w:eastAsia="zh-CN" w:bidi="ar-SA"/>
              </w:rPr>
            </w:pPr>
            <w:r>
              <w:rPr>
                <w:color w:val="auto"/>
                <w:sz w:val="18"/>
              </w:rPr>
              <w:t>支持用户在线发起实名认证的申请，（微信人脸若认证</w:t>
            </w:r>
            <w:r>
              <w:rPr>
                <w:color w:val="auto"/>
                <w:spacing w:val="-10"/>
                <w:sz w:val="18"/>
              </w:rPr>
              <w:t>）</w:t>
            </w:r>
          </w:p>
        </w:tc>
      </w:tr>
      <w:tr w14:paraId="79CA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989" w:type="dxa"/>
            <w:vMerge w:val="continue"/>
          </w:tcPr>
          <w:p w14:paraId="65CC09E1">
            <w:pPr>
              <w:pStyle w:val="25"/>
              <w:ind w:left="290" w:right="281"/>
              <w:jc w:val="center"/>
              <w:rPr>
                <w:rFonts w:hint="eastAsia" w:ascii="宋体" w:hAnsi="宋体" w:eastAsia="宋体" w:cs="宋体"/>
                <w:color w:val="auto"/>
                <w:spacing w:val="-5"/>
                <w:sz w:val="20"/>
                <w:szCs w:val="24"/>
              </w:rPr>
            </w:pPr>
          </w:p>
        </w:tc>
        <w:tc>
          <w:tcPr>
            <w:tcW w:w="1586" w:type="dxa"/>
            <w:vMerge w:val="restart"/>
            <w:shd w:val="clear" w:color="auto" w:fill="auto"/>
            <w:vAlign w:val="top"/>
          </w:tcPr>
          <w:p w14:paraId="6EF2CCEA">
            <w:pPr>
              <w:pStyle w:val="25"/>
              <w:rPr>
                <w:b/>
                <w:color w:val="auto"/>
                <w:sz w:val="18"/>
              </w:rPr>
            </w:pPr>
          </w:p>
          <w:p w14:paraId="7A803159">
            <w:pPr>
              <w:pStyle w:val="25"/>
              <w:rPr>
                <w:b/>
                <w:color w:val="auto"/>
                <w:sz w:val="18"/>
              </w:rPr>
            </w:pPr>
          </w:p>
          <w:p w14:paraId="56795185">
            <w:pPr>
              <w:pStyle w:val="25"/>
              <w:spacing w:before="11"/>
              <w:rPr>
                <w:b/>
                <w:color w:val="auto"/>
                <w:sz w:val="21"/>
              </w:rPr>
            </w:pPr>
          </w:p>
          <w:p w14:paraId="48EA0189">
            <w:pPr>
              <w:pStyle w:val="25"/>
              <w:ind w:left="415" w:leftChars="0"/>
              <w:rPr>
                <w:rFonts w:hint="eastAsia" w:ascii="宋体" w:hAnsi="宋体" w:eastAsia="宋体" w:cs="宋体"/>
                <w:color w:val="auto"/>
                <w:sz w:val="18"/>
                <w:szCs w:val="22"/>
                <w:lang w:val="en-US" w:eastAsia="zh-CN" w:bidi="ar-SA"/>
              </w:rPr>
            </w:pPr>
            <w:r>
              <w:rPr>
                <w:rFonts w:hint="default" w:ascii="Arial" w:hAnsi="Arial" w:cs="Arial"/>
                <w:color w:val="auto"/>
                <w:spacing w:val="-2"/>
              </w:rPr>
              <w:t>√</w:t>
            </w:r>
            <w:r>
              <w:rPr>
                <w:color w:val="auto"/>
                <w:spacing w:val="-3"/>
                <w:sz w:val="18"/>
              </w:rPr>
              <w:t>我的家庭</w:t>
            </w:r>
          </w:p>
        </w:tc>
        <w:tc>
          <w:tcPr>
            <w:tcW w:w="5503" w:type="dxa"/>
            <w:shd w:val="clear" w:color="auto" w:fill="auto"/>
            <w:vAlign w:val="top"/>
          </w:tcPr>
          <w:p w14:paraId="32503A8E">
            <w:pPr>
              <w:pStyle w:val="25"/>
              <w:spacing w:before="134"/>
              <w:ind w:left="12"/>
              <w:rPr>
                <w:color w:val="auto"/>
                <w:sz w:val="18"/>
              </w:rPr>
            </w:pPr>
            <w:r>
              <w:rPr>
                <w:color w:val="auto"/>
                <w:spacing w:val="-1"/>
                <w:sz w:val="18"/>
              </w:rPr>
              <w:t>实现用户管理家庭成员。</w:t>
            </w:r>
          </w:p>
          <w:p w14:paraId="247DEBC6">
            <w:pPr>
              <w:pStyle w:val="25"/>
              <w:spacing w:before="4" w:line="242" w:lineRule="auto"/>
              <w:ind w:left="12" w:leftChars="0" w:right="163" w:rightChars="0"/>
              <w:jc w:val="both"/>
              <w:rPr>
                <w:rFonts w:hint="eastAsia" w:ascii="宋体" w:hAnsi="宋体" w:eastAsia="宋体" w:cs="宋体"/>
                <w:color w:val="auto"/>
                <w:sz w:val="18"/>
                <w:szCs w:val="22"/>
                <w:lang w:val="en-US" w:eastAsia="zh-CN" w:bidi="ar-SA"/>
              </w:rPr>
            </w:pPr>
            <w:r>
              <w:rPr>
                <w:color w:val="auto"/>
                <w:spacing w:val="-2"/>
                <w:sz w:val="18"/>
              </w:rPr>
              <w:t>用户通过输入家庭成员基本信息进行添加绑定。绑定后可帮助家庭成员进行挂号预约、报告查询、查看排队信息、预缴充值等操作。帮助居民更好地关注家庭成员的健康状况，有效提升产品体验。</w:t>
            </w:r>
          </w:p>
        </w:tc>
      </w:tr>
      <w:tr w14:paraId="07661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Pr>
          <w:p w14:paraId="0FDFDFBC">
            <w:pPr>
              <w:pStyle w:val="25"/>
              <w:ind w:left="290" w:right="281"/>
              <w:jc w:val="center"/>
              <w:rPr>
                <w:rFonts w:hint="eastAsia" w:ascii="宋体" w:hAnsi="宋体" w:eastAsia="宋体" w:cs="宋体"/>
                <w:color w:val="auto"/>
                <w:spacing w:val="-5"/>
                <w:sz w:val="20"/>
                <w:szCs w:val="24"/>
              </w:rPr>
            </w:pPr>
          </w:p>
        </w:tc>
        <w:tc>
          <w:tcPr>
            <w:tcW w:w="1586" w:type="dxa"/>
            <w:vMerge w:val="continue"/>
          </w:tcPr>
          <w:p w14:paraId="480E8E40">
            <w:pPr>
              <w:pStyle w:val="25"/>
              <w:ind w:left="135" w:right="125"/>
              <w:jc w:val="center"/>
              <w:rPr>
                <w:rFonts w:hint="eastAsia" w:ascii="宋体" w:hAnsi="宋体" w:eastAsia="宋体" w:cs="宋体"/>
                <w:color w:val="auto"/>
                <w:spacing w:val="-3"/>
                <w:sz w:val="20"/>
                <w:szCs w:val="24"/>
              </w:rPr>
            </w:pPr>
          </w:p>
        </w:tc>
        <w:tc>
          <w:tcPr>
            <w:tcW w:w="5503" w:type="dxa"/>
          </w:tcPr>
          <w:p w14:paraId="0882F1A8">
            <w:pPr>
              <w:pStyle w:val="25"/>
              <w:spacing w:before="134" w:line="242" w:lineRule="auto"/>
              <w:ind w:left="15" w:right="162"/>
              <w:rPr>
                <w:rFonts w:hint="eastAsia" w:ascii="宋体" w:hAnsi="宋体" w:eastAsia="宋体" w:cs="宋体"/>
                <w:color w:val="auto"/>
                <w:spacing w:val="-2"/>
                <w:sz w:val="20"/>
                <w:szCs w:val="24"/>
              </w:rPr>
            </w:pPr>
            <w:r>
              <w:rPr>
                <w:color w:val="auto"/>
                <w:spacing w:val="-1"/>
                <w:sz w:val="18"/>
              </w:rPr>
              <w:t>对接公安系统，实现通过人脸识别的方式进行实名认证。</w:t>
            </w:r>
          </w:p>
        </w:tc>
      </w:tr>
      <w:tr w14:paraId="57A46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Pr>
          <w:p w14:paraId="7F4DE728">
            <w:pPr>
              <w:pStyle w:val="25"/>
              <w:ind w:left="290" w:right="281"/>
              <w:jc w:val="center"/>
              <w:rPr>
                <w:rFonts w:hint="eastAsia" w:ascii="宋体" w:hAnsi="宋体" w:eastAsia="宋体" w:cs="宋体"/>
                <w:color w:val="auto"/>
                <w:spacing w:val="-5"/>
                <w:sz w:val="20"/>
                <w:szCs w:val="24"/>
              </w:rPr>
            </w:pPr>
          </w:p>
        </w:tc>
        <w:tc>
          <w:tcPr>
            <w:tcW w:w="1586" w:type="dxa"/>
            <w:shd w:val="clear" w:color="auto" w:fill="auto"/>
            <w:vAlign w:val="top"/>
          </w:tcPr>
          <w:p w14:paraId="34C2D99B">
            <w:pPr>
              <w:pStyle w:val="25"/>
              <w:spacing w:before="134"/>
              <w:ind w:left="309" w:leftChars="0" w:right="309" w:rightChars="0"/>
              <w:jc w:val="center"/>
              <w:rPr>
                <w:rFonts w:hint="eastAsia" w:ascii="宋体" w:hAnsi="宋体" w:eastAsia="宋体" w:cs="宋体"/>
                <w:color w:val="auto"/>
                <w:sz w:val="18"/>
                <w:szCs w:val="22"/>
                <w:lang w:val="en-US" w:eastAsia="zh-CN" w:bidi="ar-SA"/>
              </w:rPr>
            </w:pPr>
            <w:r>
              <w:rPr>
                <w:rFonts w:hint="default" w:ascii="Arial" w:hAnsi="Arial" w:cs="Arial"/>
                <w:color w:val="auto"/>
                <w:spacing w:val="-2"/>
              </w:rPr>
              <w:t>√</w:t>
            </w:r>
            <w:r>
              <w:rPr>
                <w:color w:val="auto"/>
                <w:spacing w:val="-4"/>
                <w:sz w:val="18"/>
              </w:rPr>
              <w:t>卡管理</w:t>
            </w:r>
          </w:p>
        </w:tc>
        <w:tc>
          <w:tcPr>
            <w:tcW w:w="5503" w:type="dxa"/>
            <w:shd w:val="clear" w:color="auto" w:fill="auto"/>
            <w:vAlign w:val="top"/>
          </w:tcPr>
          <w:p w14:paraId="74DC3A41">
            <w:pPr>
              <w:pStyle w:val="25"/>
              <w:spacing w:before="134"/>
              <w:ind w:left="12" w:leftChars="0"/>
              <w:rPr>
                <w:rFonts w:hint="eastAsia" w:ascii="宋体" w:hAnsi="宋体" w:eastAsia="宋体" w:cs="宋体"/>
                <w:color w:val="auto"/>
                <w:sz w:val="18"/>
                <w:szCs w:val="22"/>
                <w:lang w:val="en-US" w:eastAsia="zh-CN" w:bidi="ar-SA"/>
              </w:rPr>
            </w:pPr>
            <w:r>
              <w:rPr>
                <w:color w:val="auto"/>
                <w:spacing w:val="-1"/>
                <w:sz w:val="18"/>
              </w:rPr>
              <w:t>通过移动应用在手机上绑定就诊卡信息。</w:t>
            </w:r>
          </w:p>
        </w:tc>
      </w:tr>
      <w:tr w14:paraId="09473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 w:hRule="atLeast"/>
        </w:trPr>
        <w:tc>
          <w:tcPr>
            <w:tcW w:w="989" w:type="dxa"/>
            <w:vMerge w:val="continue"/>
          </w:tcPr>
          <w:p w14:paraId="48B68E7E">
            <w:pPr>
              <w:pStyle w:val="25"/>
              <w:ind w:left="290" w:right="281"/>
              <w:jc w:val="center"/>
              <w:rPr>
                <w:rFonts w:hint="eastAsia" w:ascii="宋体" w:hAnsi="宋体" w:eastAsia="宋体" w:cs="宋体"/>
                <w:color w:val="auto"/>
                <w:spacing w:val="-5"/>
                <w:sz w:val="20"/>
                <w:szCs w:val="24"/>
              </w:rPr>
            </w:pPr>
          </w:p>
        </w:tc>
        <w:tc>
          <w:tcPr>
            <w:tcW w:w="1586" w:type="dxa"/>
            <w:shd w:val="clear" w:color="auto" w:fill="auto"/>
            <w:vAlign w:val="top"/>
          </w:tcPr>
          <w:p w14:paraId="66F350A5">
            <w:pPr>
              <w:pStyle w:val="25"/>
              <w:spacing w:before="8"/>
              <w:rPr>
                <w:b/>
                <w:color w:val="auto"/>
                <w:sz w:val="19"/>
              </w:rPr>
            </w:pPr>
          </w:p>
          <w:p w14:paraId="6036E06B">
            <w:pPr>
              <w:pStyle w:val="25"/>
              <w:ind w:left="309" w:leftChars="0" w:right="307" w:rightChars="0"/>
              <w:jc w:val="center"/>
              <w:rPr>
                <w:rFonts w:hint="eastAsia" w:ascii="宋体" w:hAnsi="宋体" w:eastAsia="宋体" w:cs="宋体"/>
                <w:color w:val="auto"/>
                <w:sz w:val="18"/>
                <w:szCs w:val="22"/>
                <w:lang w:val="en-US" w:eastAsia="zh-CN" w:bidi="ar-SA"/>
              </w:rPr>
            </w:pPr>
            <w:r>
              <w:rPr>
                <w:rFonts w:hint="default" w:ascii="Arial" w:hAnsi="Arial" w:cs="Arial"/>
                <w:color w:val="auto"/>
                <w:spacing w:val="-2"/>
              </w:rPr>
              <w:t>√</w:t>
            </w:r>
            <w:r>
              <w:rPr>
                <w:color w:val="auto"/>
                <w:spacing w:val="-3"/>
                <w:sz w:val="18"/>
              </w:rPr>
              <w:t>我的发票</w:t>
            </w:r>
          </w:p>
        </w:tc>
        <w:tc>
          <w:tcPr>
            <w:tcW w:w="5503" w:type="dxa"/>
            <w:shd w:val="clear" w:color="auto" w:fill="auto"/>
            <w:vAlign w:val="top"/>
          </w:tcPr>
          <w:p w14:paraId="4DA90F57">
            <w:pPr>
              <w:pStyle w:val="25"/>
              <w:spacing w:before="134" w:line="242" w:lineRule="auto"/>
              <w:ind w:left="12" w:leftChars="0" w:right="163" w:rightChars="0"/>
              <w:rPr>
                <w:rFonts w:hint="eastAsia" w:ascii="宋体" w:hAnsi="宋体" w:eastAsia="宋体" w:cs="宋体"/>
                <w:color w:val="auto"/>
                <w:sz w:val="18"/>
                <w:szCs w:val="22"/>
                <w:lang w:val="en-US" w:eastAsia="zh-CN" w:bidi="ar-SA"/>
              </w:rPr>
            </w:pPr>
            <w:r>
              <w:rPr>
                <w:color w:val="auto"/>
                <w:spacing w:val="-2"/>
                <w:sz w:val="18"/>
              </w:rPr>
              <w:t>用户可查看账户名下所有已认证就诊人的院内发票记录，并支持在线生成电子发票。</w:t>
            </w:r>
          </w:p>
        </w:tc>
      </w:tr>
      <w:tr w14:paraId="77369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 w:hRule="atLeast"/>
        </w:trPr>
        <w:tc>
          <w:tcPr>
            <w:tcW w:w="989" w:type="dxa"/>
            <w:vMerge w:val="continue"/>
          </w:tcPr>
          <w:p w14:paraId="2A6A6D7E">
            <w:pPr>
              <w:pStyle w:val="25"/>
              <w:ind w:left="290" w:right="281"/>
              <w:jc w:val="center"/>
              <w:rPr>
                <w:rFonts w:hint="eastAsia" w:ascii="宋体" w:hAnsi="宋体" w:eastAsia="宋体" w:cs="宋体"/>
                <w:color w:val="auto"/>
                <w:spacing w:val="-5"/>
                <w:sz w:val="20"/>
                <w:szCs w:val="24"/>
              </w:rPr>
            </w:pPr>
          </w:p>
        </w:tc>
        <w:tc>
          <w:tcPr>
            <w:tcW w:w="1586" w:type="dxa"/>
            <w:shd w:val="clear" w:color="auto" w:fill="auto"/>
            <w:vAlign w:val="top"/>
          </w:tcPr>
          <w:p w14:paraId="26CEF0A7">
            <w:pPr>
              <w:pStyle w:val="25"/>
              <w:spacing w:before="134"/>
              <w:ind w:left="309" w:leftChars="0" w:right="307" w:rightChars="0"/>
              <w:jc w:val="center"/>
              <w:rPr>
                <w:rFonts w:ascii="宋体" w:hAnsi="宋体" w:eastAsia="宋体" w:cs="宋体"/>
                <w:color w:val="auto"/>
                <w:sz w:val="18"/>
                <w:szCs w:val="22"/>
                <w:lang w:val="en-US" w:eastAsia="zh-CN" w:bidi="ar-SA"/>
              </w:rPr>
            </w:pPr>
            <w:r>
              <w:rPr>
                <w:rFonts w:hint="default" w:ascii="Arial" w:hAnsi="Arial" w:cs="Arial"/>
                <w:color w:val="auto"/>
                <w:spacing w:val="-2"/>
              </w:rPr>
              <w:t>√</w:t>
            </w:r>
            <w:r>
              <w:rPr>
                <w:color w:val="auto"/>
                <w:spacing w:val="-3"/>
                <w:sz w:val="18"/>
              </w:rPr>
              <w:t>预约记录</w:t>
            </w:r>
          </w:p>
        </w:tc>
        <w:tc>
          <w:tcPr>
            <w:tcW w:w="5503" w:type="dxa"/>
            <w:shd w:val="clear" w:color="auto" w:fill="auto"/>
            <w:vAlign w:val="top"/>
          </w:tcPr>
          <w:p w14:paraId="29E5EA2C">
            <w:pPr>
              <w:pStyle w:val="25"/>
              <w:spacing w:before="134"/>
              <w:ind w:left="12" w:leftChars="0"/>
              <w:rPr>
                <w:rFonts w:ascii="宋体" w:hAnsi="宋体" w:eastAsia="宋体" w:cs="宋体"/>
                <w:color w:val="auto"/>
                <w:sz w:val="18"/>
                <w:szCs w:val="22"/>
                <w:lang w:val="en-US" w:eastAsia="zh-CN" w:bidi="ar-SA"/>
              </w:rPr>
            </w:pPr>
            <w:r>
              <w:rPr>
                <w:color w:val="auto"/>
                <w:spacing w:val="-1"/>
                <w:sz w:val="18"/>
              </w:rPr>
              <w:t>查询预约挂号记录信息。</w:t>
            </w:r>
          </w:p>
        </w:tc>
      </w:tr>
      <w:tr w14:paraId="6EB66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9" w:type="dxa"/>
            <w:vMerge w:val="continue"/>
          </w:tcPr>
          <w:p w14:paraId="79E6BB58">
            <w:pPr>
              <w:pStyle w:val="25"/>
              <w:ind w:left="290" w:right="281"/>
              <w:jc w:val="center"/>
              <w:rPr>
                <w:rFonts w:hint="eastAsia" w:ascii="宋体" w:hAnsi="宋体" w:eastAsia="宋体" w:cs="宋体"/>
                <w:color w:val="auto"/>
                <w:spacing w:val="-5"/>
                <w:sz w:val="20"/>
                <w:szCs w:val="24"/>
              </w:rPr>
            </w:pPr>
          </w:p>
        </w:tc>
        <w:tc>
          <w:tcPr>
            <w:tcW w:w="1586" w:type="dxa"/>
            <w:shd w:val="clear" w:color="auto" w:fill="auto"/>
            <w:vAlign w:val="top"/>
          </w:tcPr>
          <w:p w14:paraId="2EB2D8E4">
            <w:pPr>
              <w:pStyle w:val="25"/>
              <w:spacing w:before="134"/>
              <w:ind w:left="309" w:leftChars="0" w:right="307" w:rightChars="0"/>
              <w:jc w:val="center"/>
              <w:rPr>
                <w:color w:val="auto"/>
                <w:spacing w:val="-3"/>
                <w:sz w:val="18"/>
              </w:rPr>
            </w:pPr>
            <w:r>
              <w:rPr>
                <w:rFonts w:hint="default" w:ascii="Arial" w:hAnsi="Arial" w:cs="Arial"/>
                <w:color w:val="auto"/>
                <w:spacing w:val="-2"/>
              </w:rPr>
              <w:t>√</w:t>
            </w:r>
            <w:r>
              <w:rPr>
                <w:color w:val="auto"/>
                <w:spacing w:val="-2"/>
                <w:sz w:val="18"/>
              </w:rPr>
              <w:t>我的二维码</w:t>
            </w:r>
          </w:p>
        </w:tc>
        <w:tc>
          <w:tcPr>
            <w:tcW w:w="5503" w:type="dxa"/>
            <w:shd w:val="clear" w:color="auto" w:fill="auto"/>
            <w:vAlign w:val="top"/>
          </w:tcPr>
          <w:p w14:paraId="5941EDB1">
            <w:pPr>
              <w:pStyle w:val="25"/>
              <w:spacing w:before="134"/>
              <w:ind w:left="12" w:leftChars="0"/>
              <w:rPr>
                <w:color w:val="auto"/>
                <w:spacing w:val="-1"/>
                <w:sz w:val="18"/>
              </w:rPr>
            </w:pPr>
          </w:p>
        </w:tc>
      </w:tr>
    </w:tbl>
    <w:p w14:paraId="1489F20E">
      <w:pPr>
        <w:spacing w:line="242" w:lineRule="auto"/>
        <w:rPr>
          <w:color w:val="auto"/>
          <w:sz w:val="18"/>
        </w:rPr>
      </w:pPr>
    </w:p>
    <w:p w14:paraId="31EE83AE">
      <w:pPr>
        <w:pStyle w:val="4"/>
        <w:spacing w:before="0"/>
        <w:ind w:left="0"/>
        <w:rPr>
          <w:b/>
          <w:color w:val="auto"/>
          <w:sz w:val="20"/>
        </w:rPr>
      </w:pPr>
    </w:p>
    <w:p w14:paraId="4545112B">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统一支付平</w:t>
      </w:r>
      <w:r>
        <w:rPr>
          <w:b/>
          <w:color w:val="auto"/>
          <w:spacing w:val="-10"/>
          <w:sz w:val="24"/>
        </w:rPr>
        <w:t>台</w:t>
      </w:r>
    </w:p>
    <w:p w14:paraId="7257F42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w:t>
      </w:r>
      <w:r>
        <w:rPr>
          <w:rFonts w:hint="eastAsia" w:ascii="宋体" w:hAnsi="宋体" w:eastAsia="宋体" w:cs="宋体"/>
          <w:color w:val="auto"/>
          <w:spacing w:val="-2"/>
        </w:rPr>
        <w:t>聚合支付平台应集成线上移动支付、线下移动支付（当面付、扫码付）、互联网网页支付等多应用模式于一体，接通支付宝支付、微信支付、银联卡支付等多种支付渠道，以全新的支付系统理念服务医疗领域。平台涵盖支付管理、渠道管理、应用管理、数据报表等功能，统一接入微信、支付宝、银联、各银行、医保、商保等支付方式，为预约挂号缴费、诊间支付、住院费缴费等提供聚合支付、统一对账、统一客服等服务。系统主要功能应包括：</w:t>
      </w:r>
    </w:p>
    <w:p w14:paraId="45A1070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一、平台服务</w:t>
      </w:r>
    </w:p>
    <w:p w14:paraId="5C587C4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√平台应涵盖支付管理、渠道管理、应用管理、数据报表等功能，统一接入 微信、支付宝、银联、各银行、商保等支付方式，为预约挂号缴费、诊间支付、住院费缴费等提供聚合支付、统一对账、统一客服等服务。系统主要功能应包括：</w:t>
      </w:r>
    </w:p>
    <w:p w14:paraId="6E2BB12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1、登记接入统一支付平台的医院信息，并制作数字安全证书，配置接入安全及数据传输安全机制。2、处理所有通过支付平台的交易请求指令，包括支付请求、查询结果请求，交易退款请求指令等，并且形成待对账流水。3、管理统一支付平台已对接开通的支付渠道，例如支付宝、微信、银联在线等渠道。4、聚合支付云平台每日自动向支付宝、微信、银联渠道发起下载对账清单，进行对账。并对单边张进行相应的调账处理。5、为医院提供 web 端界面，查询所有需渠道交易流水、excel 导出，以及相关统计分析。6、统一封装支付宝、微信、银联卡 3 大主要支付移渠道的移动应用支付中间件，包括 IOS 苹果版和安卓版。支付平台统一渠道入网，免除外围应用去多个渠道申请手续和时间周期上的烦恼。7、前置网关模块是支付云平台的对外暴露在公网的功能模块，是平台软件系统级别的一道安全屏障。管理移动应用和互联网应用准入登记、接入授权功能模块。输出相关接口和接入安全要求。</w:t>
      </w:r>
    </w:p>
    <w:p w14:paraId="2910C9C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二、交易平台</w:t>
      </w:r>
    </w:p>
    <w:p w14:paraId="750441A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提供与支付宝、微信、银联的交易服务。对内接收各终端业务系统的支付请求，对外与银联、支付宝、微信支付渠道进行支付交易，把支付交易结果信息返回给各终端业务系统。交易的更新、处理、完成等全过程管理及完整的日志记录，全程可追踪。提供直观的、可显化的查询界面。</w:t>
      </w:r>
    </w:p>
    <w:p w14:paraId="08BAAFD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Arial" w:hAnsi="Arial" w:cs="Arial"/>
          <w:color w:val="auto"/>
          <w:spacing w:val="-2"/>
        </w:rPr>
      </w:pPr>
      <w:r>
        <w:rPr>
          <w:rFonts w:hint="default" w:ascii="Arial" w:hAnsi="Arial" w:cs="Arial"/>
          <w:color w:val="auto"/>
          <w:spacing w:val="-2"/>
        </w:rPr>
        <w:t>三、对账管理平台</w:t>
      </w:r>
    </w:p>
    <w:p w14:paraId="4DA8A90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√对账平台主要是进行财务对账，集成内部各终端业务应用系统的交易信息、各外部银联、支付宝、微信的交易信息，完成各终端业务系统、各账户、各银  行间的对账。提供可视化界面，显示异常记录明细。</w:t>
      </w:r>
    </w:p>
    <w:p w14:paraId="0BED7C2A">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预约管理</w:t>
      </w:r>
    </w:p>
    <w:p w14:paraId="0DFCDAC0">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分时段挂号</w:t>
      </w:r>
      <w:r>
        <w:rPr>
          <w:b/>
          <w:color w:val="auto"/>
          <w:spacing w:val="-4"/>
          <w:sz w:val="24"/>
        </w:rPr>
        <w:t>预约中心</w:t>
      </w:r>
    </w:p>
    <w:p w14:paraId="1A3E0A88">
      <w:pPr>
        <w:pStyle w:val="24"/>
        <w:keepNext w:val="0"/>
        <w:keepLines w:val="0"/>
        <w:pageBreakBefore w:val="0"/>
        <w:widowControl w:val="0"/>
        <w:numPr>
          <w:ilvl w:val="0"/>
          <w:numId w:val="34"/>
        </w:numPr>
        <w:tabs>
          <w:tab w:val="left" w:pos="942"/>
        </w:tabs>
        <w:kinsoku/>
        <w:wordWrap/>
        <w:overflowPunct/>
        <w:topLinePunct w:val="0"/>
        <w:autoSpaceDE w:val="0"/>
        <w:autoSpaceDN w:val="0"/>
        <w:bidi w:val="0"/>
        <w:adjustRightInd/>
        <w:snapToGrid/>
        <w:spacing w:before="0" w:line="360" w:lineRule="auto"/>
        <w:ind w:hanging="242"/>
        <w:textAlignment w:val="auto"/>
        <w:rPr>
          <w:color w:val="auto"/>
          <w:sz w:val="24"/>
        </w:rPr>
      </w:pPr>
      <w:r>
        <w:rPr>
          <w:color w:val="auto"/>
          <w:spacing w:val="-2"/>
          <w:sz w:val="24"/>
        </w:rPr>
        <w:t>支持号源同步管理</w:t>
      </w:r>
    </w:p>
    <w:p w14:paraId="571BC6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需要支持排班医生及号源同步，医生诊间复诊预约，预约号源查询统计功能。支持通过系统途径：查询医院科室信息；查询预约挂号开诊医生明细列表；查询预约挂号开诊医生值班日期；查询开诊医生当日排班、查询开诊医生近期的排班信息；外围渠道进行预约挂号，平台生成预约订单号给外围渠道。</w:t>
      </w:r>
    </w:p>
    <w:p w14:paraId="3DF58369">
      <w:pPr>
        <w:pStyle w:val="24"/>
        <w:keepNext w:val="0"/>
        <w:keepLines w:val="0"/>
        <w:pageBreakBefore w:val="0"/>
        <w:widowControl w:val="0"/>
        <w:numPr>
          <w:ilvl w:val="0"/>
          <w:numId w:val="34"/>
        </w:numPr>
        <w:tabs>
          <w:tab w:val="left" w:pos="942"/>
        </w:tabs>
        <w:kinsoku/>
        <w:wordWrap/>
        <w:overflowPunct/>
        <w:topLinePunct w:val="0"/>
        <w:autoSpaceDE w:val="0"/>
        <w:autoSpaceDN w:val="0"/>
        <w:bidi w:val="0"/>
        <w:adjustRightInd/>
        <w:snapToGrid/>
        <w:spacing w:before="0" w:line="360" w:lineRule="auto"/>
        <w:ind w:hanging="242"/>
        <w:textAlignment w:val="auto"/>
        <w:rPr>
          <w:color w:val="auto"/>
          <w:sz w:val="24"/>
        </w:rPr>
      </w:pPr>
      <w:r>
        <w:rPr>
          <w:color w:val="auto"/>
          <w:spacing w:val="-2"/>
          <w:sz w:val="24"/>
        </w:rPr>
        <w:t>支持预约管理</w:t>
      </w:r>
    </w:p>
    <w:p w14:paraId="3DBE7C27">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√操作员在 HIS 系统中进行排班操作，同步给提交给预约平台。预约平台需要根据预的约渠道来分配可预约的时间范围信息。号源变更功能——修改号源系统能够限制需要提前 2 天进行操作，如果不能修改，需要提示消息返回拒绝操作原因。医生停诊管理——进行停诊操作，需要将医生停诊信息传给预约平台，由预约平台取消所有的与本次停诊相关的号源，取消成功并发送短信后（已经取号的患者不发短信）提示信息管理系统（HIS）可以进行停诊操作。预约挂号流程及功能支持——患者在医院人工窗口或院内自助使用医院诊疗卡（自助设备上需要输入诊疗卡密码）进行预约挂号时，如果患者信息不全（如：没有身份证号、联系电话）时，需要患者出示二代身份证在人工窗口或院内自助上进行信息补登。预约取号功能说明——患者在预约当天（预约时段之前）到医院自助设备上进行预约取号，患者选择取号时系统需要显示“初诊患者”和“持诊疗卡患者”的选项，如果有诊疗卡则直接从预交金中扣除挂号费；如果是初诊患者，则提示将二代身份证放置在身份证阅读区，系统查询出预约记录后提示患者进行充值取号（与办卡流程一致）并吐出诊疗卡。患者在自助设备或者在护士分诊、导诊台取号时将进行科室排队：具体排队原则是预约号与现场号交替叫号。预约取消功能说明（现场挂号无号源限制）——患者已经在预约平台预约过的患者，在预约时段前需要进行预约取消的操作。</w:t>
      </w:r>
    </w:p>
    <w:p w14:paraId="56E3F34C">
      <w:pPr>
        <w:pStyle w:val="24"/>
        <w:keepNext w:val="0"/>
        <w:keepLines w:val="0"/>
        <w:pageBreakBefore w:val="0"/>
        <w:widowControl w:val="0"/>
        <w:numPr>
          <w:ilvl w:val="0"/>
          <w:numId w:val="34"/>
        </w:numPr>
        <w:tabs>
          <w:tab w:val="left" w:pos="942"/>
        </w:tabs>
        <w:kinsoku/>
        <w:wordWrap/>
        <w:overflowPunct/>
        <w:topLinePunct w:val="0"/>
        <w:autoSpaceDE w:val="0"/>
        <w:autoSpaceDN w:val="0"/>
        <w:bidi w:val="0"/>
        <w:adjustRightInd/>
        <w:snapToGrid/>
        <w:spacing w:before="0" w:line="360" w:lineRule="auto"/>
        <w:ind w:hanging="242"/>
        <w:textAlignment w:val="auto"/>
        <w:rPr>
          <w:color w:val="auto"/>
          <w:sz w:val="24"/>
        </w:rPr>
      </w:pPr>
      <w:r>
        <w:rPr>
          <w:color w:val="auto"/>
          <w:spacing w:val="-2"/>
          <w:sz w:val="24"/>
        </w:rPr>
        <w:t>支持预约挂号统计</w:t>
      </w:r>
    </w:p>
    <w:p w14:paraId="1D6DD6AE">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√预约来源渠道统计功能、门诊医生预约工作量统计功能、门诊科室预约工作量统计功能、医院预约复诊率统计功能、患者爽约率查询等。</w:t>
      </w:r>
    </w:p>
    <w:p w14:paraId="196BD0DD">
      <w:pPr>
        <w:pStyle w:val="24"/>
        <w:keepNext w:val="0"/>
        <w:keepLines w:val="0"/>
        <w:pageBreakBefore w:val="0"/>
        <w:widowControl w:val="0"/>
        <w:numPr>
          <w:ilvl w:val="0"/>
          <w:numId w:val="34"/>
        </w:numPr>
        <w:tabs>
          <w:tab w:val="left" w:pos="942"/>
        </w:tabs>
        <w:kinsoku/>
        <w:wordWrap/>
        <w:overflowPunct/>
        <w:topLinePunct w:val="0"/>
        <w:autoSpaceDE w:val="0"/>
        <w:autoSpaceDN w:val="0"/>
        <w:bidi w:val="0"/>
        <w:adjustRightInd/>
        <w:snapToGrid/>
        <w:spacing w:before="0" w:line="360" w:lineRule="auto"/>
        <w:ind w:hanging="242"/>
        <w:textAlignment w:val="auto"/>
        <w:rPr>
          <w:color w:val="auto"/>
          <w:sz w:val="24"/>
        </w:rPr>
      </w:pPr>
      <w:r>
        <w:rPr>
          <w:color w:val="auto"/>
          <w:spacing w:val="-2"/>
          <w:sz w:val="24"/>
        </w:rPr>
        <w:t>支持患者黑名单管理</w:t>
      </w:r>
    </w:p>
    <w:p w14:paraId="4565523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√如果在医院规定一个月内， 连续 3 次不来医院取号的患者，将在 7 天内不能使用医院的任何预约挂号渠道进行挂号。患者黑名单取消——操作员通过查询预约时间段或患者姓名或诊疗卡号或电话号码或身份证号码等查询条件，找出黑名单中的患者记录，为患者解除黑名单。</w:t>
      </w:r>
    </w:p>
    <w:p w14:paraId="27CB411B">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就诊管理</w:t>
      </w:r>
    </w:p>
    <w:p w14:paraId="3E304911">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自助服务管理系</w:t>
      </w:r>
      <w:r>
        <w:rPr>
          <w:b/>
          <w:color w:val="auto"/>
          <w:spacing w:val="-10"/>
          <w:sz w:val="24"/>
        </w:rPr>
        <w:t>统</w:t>
      </w:r>
    </w:p>
    <w:p w14:paraId="36EAF78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√自助服务系统需要实现自助建档、智能导诊、预约挂号、医技预约、签到取号、挂号 及缴费、各类检验检查报告单打印、影像胶片打印、病理报告打印、病历打印、电子票据 打印、补打指引单、住院预交金、医院各类公示信息查询、满意度评价等应用的自助操作，将服务延伸到各个角落，为患者提供方便快捷的服务，从而进一步提高就诊效率和服务质 量，减少人力成本，改善医院整体的就医环境，改善患者就医体验。通过这样的综合自助 服务系统建设，达到对就诊流程进行优化的目的。</w:t>
      </w:r>
    </w:p>
    <w:p w14:paraId="715E10FE">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排队叫号系</w:t>
      </w:r>
      <w:r>
        <w:rPr>
          <w:b/>
          <w:color w:val="auto"/>
          <w:spacing w:val="-10"/>
          <w:sz w:val="24"/>
        </w:rPr>
        <w:t>统</w:t>
      </w:r>
    </w:p>
    <w:p w14:paraId="62335F7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提供各科室挂号病人信息、分配病人到各个医生（支持手工、自动分配病人）、针对每个医生有病人等待队列，医生叫号，病人到诊室就诊。1、支持显示科室当日号源信息；2、支持手工分诊与自动分诊；3、支持病人叫号功能；4、支持查询功能，包括查询就诊状态、排队情况、叫号情况等信息；5、支持多媒体，能够与语音叫号系统、显示屏系统衔接。</w:t>
      </w:r>
    </w:p>
    <w:p w14:paraId="18E3F280">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sz w:val="25"/>
        </w:rPr>
      </w:pPr>
    </w:p>
    <w:p w14:paraId="2A548245">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医技计费管理系</w:t>
      </w:r>
      <w:r>
        <w:rPr>
          <w:b/>
          <w:color w:val="auto"/>
          <w:spacing w:val="-10"/>
          <w:sz w:val="24"/>
        </w:rPr>
        <w:t>统</w:t>
      </w:r>
    </w:p>
    <w:p w14:paraId="48A6A67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eastAsia" w:ascii="宋体" w:hAnsi="宋体" w:eastAsia="宋体" w:cs="宋体"/>
          <w:color w:val="auto"/>
          <w:spacing w:val="-2"/>
          <w:lang w:eastAsia="zh-CN"/>
        </w:rPr>
      </w:pPr>
      <w:r>
        <w:rPr>
          <w:rFonts w:hint="default" w:ascii="宋体" w:hAnsi="宋体" w:eastAsia="宋体" w:cs="宋体"/>
          <w:color w:val="auto"/>
          <w:spacing w:val="-2"/>
        </w:rPr>
        <w:t>√门急诊终端执行确认/取消；住院终端执行确认/取消；手术室退药申请/收费/退费</w:t>
      </w:r>
      <w:r>
        <w:rPr>
          <w:rFonts w:hint="eastAsia" w:cs="宋体"/>
          <w:color w:val="auto"/>
          <w:spacing w:val="-2"/>
          <w:lang w:eastAsia="zh-CN"/>
        </w:rPr>
        <w:t>。</w:t>
      </w:r>
    </w:p>
    <w:p w14:paraId="6FDEA5E8">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门诊护士</w:t>
      </w:r>
      <w:r>
        <w:rPr>
          <w:b/>
          <w:color w:val="auto"/>
          <w:spacing w:val="-10"/>
          <w:sz w:val="24"/>
        </w:rPr>
        <w:t>站</w:t>
      </w:r>
    </w:p>
    <w:p w14:paraId="50B3E75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一、基本信息维护1、支持诊室维护，护士可以对各诊区的诊室进行添加，删除，修改；2、支持诊台维护，护士可以对各诊室的诊台进行添加，删除，修改；3、支持分诊队列维护，护士可以对各分诊队列进行添加，删除，修改；4、支持患者转归信息维护，护士可以按时间，挂号科室，挂号医生进行查询患者转归信息，支持信息修改；5、支持门诊排班变更信息查询，护士可以对门诊医生排班变更信息就行查询；6、支持患者基本信息查询，护士可以按就诊卡号和时间进行查询患者的基本信息；</w:t>
      </w:r>
    </w:p>
    <w:p w14:paraId="3316792F">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二、分诊管理：1、支持自动分诊，系统自动对待分诊的患者进行分诊诊室；2、支持手动分诊，护士可以对患者进行退出诊台，退出队列，调整队列位置以及设置分诊队列上限人数；3、支持候诊队列信息查询，查询当前科室、专家当日候诊队列信息。</w:t>
      </w:r>
    </w:p>
    <w:p w14:paraId="0B0BFF43">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三、门诊输液：1、支持院注登记，登记门急诊患者院内注射的项目及次数等信息；2、支持输液配药，门诊护士根据院注登记的信息完成配药并确认操作；3、支持注射拔针，门诊护士在完成注射操作后，确认执行；</w:t>
      </w:r>
    </w:p>
    <w:p w14:paraId="5230CBD7">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结算管理</w:t>
      </w:r>
    </w:p>
    <w:p w14:paraId="1F3612F3">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门诊挂号划价收费管理</w:t>
      </w:r>
      <w:r>
        <w:rPr>
          <w:b/>
          <w:color w:val="auto"/>
          <w:spacing w:val="-6"/>
          <w:sz w:val="24"/>
        </w:rPr>
        <w:t>系统</w:t>
      </w:r>
    </w:p>
    <w:p w14:paraId="1AF24F78">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eastAsia" w:ascii="宋体" w:hAnsi="宋体" w:eastAsia="宋体" w:cs="宋体"/>
          <w:color w:val="auto"/>
          <w:spacing w:val="-2"/>
          <w:lang w:eastAsia="zh-CN"/>
        </w:rPr>
      </w:pPr>
      <w:r>
        <w:rPr>
          <w:rFonts w:hint="default" w:ascii="宋体" w:hAnsi="宋体" w:eastAsia="宋体" w:cs="宋体"/>
          <w:color w:val="auto"/>
          <w:spacing w:val="-2"/>
        </w:rPr>
        <w:t>√1、门急诊收费、退费要求提供自动获取或直接录入收费信息。要求提供多种结算方式，并支持全部或者部分退费。2、门急诊发票重打要求提供录入门急诊发票号重新打印，作废原发票。3、收费员日结算要求提供收款员收费进行结存并打印日结报表。4、其他功能要求提供使用发票号和机器生成号管理发票。要求提供日结、多种结算方式、多种支付方式，能灵活设置发票归集项，提供收费处输入药品时自动检测药房数量。5、查询统计要求提供收费员发票查询、收费员工作量统计功能。要求提供门诊收费分项查询功能。6、支持以统一账户管理支持信用就医流程，在信用额度中，提供患者信用额度的修改功能</w:t>
      </w:r>
      <w:r>
        <w:rPr>
          <w:rFonts w:hint="eastAsia" w:cs="宋体"/>
          <w:color w:val="auto"/>
          <w:spacing w:val="-2"/>
          <w:lang w:eastAsia="zh-CN"/>
        </w:rPr>
        <w:t>。</w:t>
      </w:r>
    </w:p>
    <w:p w14:paraId="257CE424">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right="5779" w:firstLine="0" w:firstLineChars="0"/>
        <w:textAlignment w:val="auto"/>
        <w:rPr>
          <w:color w:val="auto"/>
          <w:sz w:val="24"/>
        </w:rPr>
      </w:pPr>
      <w:r>
        <w:rPr>
          <w:b/>
          <w:color w:val="auto"/>
          <w:spacing w:val="-4"/>
          <w:sz w:val="24"/>
        </w:rPr>
        <w:t>出入院管理</w:t>
      </w:r>
    </w:p>
    <w:p w14:paraId="19577E55">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w:t>
      </w:r>
      <w:r>
        <w:rPr>
          <w:rFonts w:hint="default" w:ascii="宋体" w:hAnsi="宋体" w:eastAsia="宋体" w:cs="宋体"/>
          <w:color w:val="auto"/>
          <w:spacing w:val="-2"/>
          <w:lang w:eastAsia="zh-CN"/>
        </w:rPr>
        <w:t>1、</w:t>
      </w:r>
      <w:r>
        <w:rPr>
          <w:rFonts w:hint="eastAsia" w:ascii="宋体" w:hAnsi="宋体" w:eastAsia="宋体" w:cs="宋体"/>
          <w:color w:val="auto"/>
          <w:spacing w:val="-2"/>
          <w:lang w:val="en-US" w:eastAsia="zh-CN"/>
        </w:rPr>
        <w:t>入</w:t>
      </w:r>
      <w:r>
        <w:rPr>
          <w:rFonts w:hint="default" w:ascii="宋体" w:hAnsi="宋体" w:eastAsia="宋体" w:cs="宋体"/>
          <w:color w:val="auto"/>
          <w:spacing w:val="-2"/>
        </w:rPr>
        <w:t>院登记——要求提供为患者办理入院登记、收取住院预交金、住院处直接接诊流程、未被病房接诊患者修改住院科室。要求提供患者登记同时录入担保信息。2、出院登记——要求提供住院处直接出院登记流程及确认患者医嘱和费用信息无误后办理出院登记。3、出院召回——要求提供住院处出院召回操作。4、患者信息修改——要求提供检索患者的基本信息，修改患者姓名、出生日期、民族、籍贯等基本信息。5、无费退院——要求提供为没有发生费用的患者办理无费退院。6、担保管理——要求提供担保金的收取、返还、补打等操作，要求提供担保信息查询。7、身份变更——要求提供自费转医保、医保转自费、自费转公费、公费转自费等不同身份类别之间的变更功能。8、查询——要求提供患者入院情况查询、患者出院情况查询；9、预交金管理——要求提供住院患者预交金的收取，返还，补打等。要求提供打印预交金收据凭证。10、预交金日结算——要求提供预交金日结并打印清单。11、非药品收费——要求提供对单项费用录入和复合项目、组套项目费用录入功能选择。12、非药品退费——要求提供手工集中退费功能。13、退费确认；要求提供对于退费申请进行退费确认。14、催款单打印；要求提供查询打印低于警戒线的患者的催款单。15、欠费标准设置；要求提供全院，病区，科室，个人，合同单位设置警戒线。16、手工开封帐管理——要求提供单个在院患者手工开封帐操作、按科室进行批量患者手工开封帐操作。17、查询——要求提供预交金查询、患者费用查询、在院患者日费用清单查询。18、中途结算——要求提供患者住院中阶段性的结算，并打印结算收据。19、出院结算——要求提供患者出院结算并打印结算收据。20、欠费结算——要求提供患者欠费结算，并打印票据（根据实际情况）。21、结算召回——要求提供对中途结算、出院结算和欠费结算的患者进行取消结算。22、操作员日结——要求提供统计预交金在院病人各项费用、出院病人结账和退款统计。23、查询统计——要求提供按照不同方式查询预交金并打印清单、查询出院登记未结算的患者费用清单、结算发票信息查询。</w:t>
      </w:r>
    </w:p>
    <w:p w14:paraId="23549836">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right="6019" w:firstLine="0" w:firstLineChars="0"/>
        <w:jc w:val="left"/>
        <w:textAlignment w:val="auto"/>
        <w:rPr>
          <w:color w:val="auto"/>
          <w:sz w:val="24"/>
        </w:rPr>
      </w:pPr>
      <w:r>
        <w:rPr>
          <w:b/>
          <w:color w:val="auto"/>
          <w:spacing w:val="-4"/>
          <w:sz w:val="24"/>
        </w:rPr>
        <w:t>诊间结算</w:t>
      </w:r>
    </w:p>
    <w:p w14:paraId="19E9BA0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√支持自助诊间结算。</w:t>
      </w:r>
    </w:p>
    <w:p w14:paraId="7068BA31">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78" w:name="_bookmark29"/>
      <w:bookmarkEnd w:id="178"/>
      <w:r>
        <w:rPr>
          <w:color w:val="auto"/>
          <w:spacing w:val="-4"/>
        </w:rPr>
        <w:t>导诊管理</w:t>
      </w:r>
    </w:p>
    <w:p w14:paraId="3D6A2380">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right="0" w:firstLine="0" w:firstLineChars="0"/>
        <w:jc w:val="left"/>
        <w:textAlignment w:val="auto"/>
        <w:rPr>
          <w:b/>
          <w:color w:val="auto"/>
          <w:spacing w:val="-4"/>
          <w:sz w:val="24"/>
        </w:rPr>
      </w:pPr>
      <w:r>
        <w:rPr>
          <w:b/>
          <w:color w:val="auto"/>
          <w:spacing w:val="-4"/>
          <w:sz w:val="24"/>
        </w:rPr>
        <w:t>门诊导诊系</w:t>
      </w:r>
      <w:r>
        <w:rPr>
          <w:rFonts w:hint="eastAsia"/>
          <w:b/>
          <w:color w:val="auto"/>
          <w:spacing w:val="-4"/>
          <w:sz w:val="24"/>
          <w:lang w:val="en-US" w:eastAsia="zh-CN"/>
        </w:rPr>
        <w:t>统</w:t>
      </w:r>
    </w:p>
    <w:p w14:paraId="7624ED9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eastAsia" w:ascii="宋体" w:hAnsi="宋体" w:eastAsia="宋体" w:cs="宋体"/>
          <w:color w:val="auto"/>
          <w:spacing w:val="-2"/>
          <w:lang w:eastAsia="zh-CN"/>
        </w:rPr>
      </w:pPr>
      <w:r>
        <w:rPr>
          <w:rFonts w:hint="default" w:ascii="宋体" w:hAnsi="宋体" w:eastAsia="宋体" w:cs="宋体"/>
          <w:color w:val="auto"/>
          <w:spacing w:val="-2"/>
        </w:rPr>
        <w:t>√为患者提供预约挂号、自助缴费、检验检查结果的查询、诊间结算、就诊流程引导、费用查询等门诊便民业务</w:t>
      </w:r>
      <w:r>
        <w:rPr>
          <w:rFonts w:hint="eastAsia" w:ascii="宋体" w:hAnsi="宋体" w:eastAsia="宋体" w:cs="宋体"/>
          <w:color w:val="auto"/>
          <w:spacing w:val="-2"/>
          <w:lang w:eastAsia="zh-CN"/>
        </w:rPr>
        <w:t>。</w:t>
      </w:r>
    </w:p>
    <w:p w14:paraId="13139046">
      <w:pPr>
        <w:pStyle w:val="24"/>
        <w:keepNext w:val="0"/>
        <w:keepLines w:val="0"/>
        <w:pageBreakBefore w:val="0"/>
        <w:widowControl w:val="0"/>
        <w:numPr>
          <w:ilvl w:val="3"/>
          <w:numId w:val="33"/>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79" w:name="_bookmark30"/>
      <w:bookmarkEnd w:id="179"/>
      <w:r>
        <w:rPr>
          <w:color w:val="auto"/>
          <w:spacing w:val="-4"/>
        </w:rPr>
        <w:t>信息推送</w:t>
      </w:r>
    </w:p>
    <w:p w14:paraId="2C43B4A3">
      <w:pPr>
        <w:pStyle w:val="24"/>
        <w:keepNext w:val="0"/>
        <w:keepLines w:val="0"/>
        <w:pageBreakBefore w:val="0"/>
        <w:widowControl w:val="0"/>
        <w:numPr>
          <w:ilvl w:val="4"/>
          <w:numId w:val="33"/>
        </w:numPr>
        <w:tabs>
          <w:tab w:val="left" w:pos="1901"/>
        </w:tabs>
        <w:kinsoku/>
        <w:wordWrap/>
        <w:overflowPunct/>
        <w:topLinePunct w:val="0"/>
        <w:autoSpaceDE w:val="0"/>
        <w:autoSpaceDN w:val="0"/>
        <w:bidi w:val="0"/>
        <w:adjustRightInd/>
        <w:snapToGrid/>
        <w:spacing w:before="0" w:line="360" w:lineRule="auto"/>
        <w:ind w:left="425" w:leftChars="0" w:right="0" w:firstLine="0" w:firstLineChars="0"/>
        <w:jc w:val="left"/>
        <w:textAlignment w:val="auto"/>
        <w:rPr>
          <w:b/>
          <w:color w:val="auto"/>
          <w:spacing w:val="-4"/>
          <w:sz w:val="24"/>
        </w:rPr>
      </w:pPr>
      <w:r>
        <w:rPr>
          <w:b/>
          <w:color w:val="auto"/>
          <w:spacing w:val="-4"/>
          <w:sz w:val="24"/>
        </w:rPr>
        <w:t>消息推送服务平台对接</w:t>
      </w:r>
    </w:p>
    <w:p w14:paraId="70A2D0B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√对接平台，实现无人值守的自动信息服务（包括信息查询，预约，挂号，咨询，提醒，问候，宣传等等）</w:t>
      </w:r>
    </w:p>
    <w:p w14:paraId="4666F2B3">
      <w:pPr>
        <w:pStyle w:val="23"/>
        <w:keepNext w:val="0"/>
        <w:keepLines w:val="0"/>
        <w:pageBreakBefore w:val="0"/>
        <w:widowControl w:val="0"/>
        <w:numPr>
          <w:ilvl w:val="2"/>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color w:val="auto"/>
        </w:rPr>
      </w:pPr>
      <w:bookmarkStart w:id="180" w:name="_bookmark31"/>
      <w:bookmarkEnd w:id="180"/>
      <w:r>
        <w:rPr>
          <w:color w:val="auto"/>
          <w:spacing w:val="-4"/>
        </w:rPr>
        <w:t>运管管理</w:t>
      </w:r>
    </w:p>
    <w:p w14:paraId="0F2BF460">
      <w:pPr>
        <w:pStyle w:val="24"/>
        <w:keepNext w:val="0"/>
        <w:keepLines w:val="0"/>
        <w:pageBreakBefore w:val="0"/>
        <w:widowControl w:val="0"/>
        <w:numPr>
          <w:ilvl w:val="3"/>
          <w:numId w:val="35"/>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物资管理</w:t>
      </w:r>
    </w:p>
    <w:p w14:paraId="1C8859F6">
      <w:pPr>
        <w:pStyle w:val="24"/>
        <w:keepNext w:val="0"/>
        <w:keepLines w:val="0"/>
        <w:pageBreakBefore w:val="0"/>
        <w:widowControl w:val="0"/>
        <w:numPr>
          <w:ilvl w:val="4"/>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字典维护</w:t>
      </w:r>
    </w:p>
    <w:p w14:paraId="051B160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1、支持物资分类维护，支持维护物资分类科目信息，支持多级科目维护；2、支持物资字典维护，支持维护物资分类科目下的具体物资项目信息（包括物资的文档、图片信息等），如规格、零售价、最小单位，加价规则等；维护与物资项目相关的厂家注册信息（包括文档、图片信息等），如生产厂家、注册号、注册时间等；3、支持供应商维护，支持维护供货公司、生产厂家的基本信息，如公司名称、公司地址、电话等，可维护许可证、合同等扩展信息。4、支持物资加价率维护：支持维护物资项目的加价率信息；5、支持入出库科室维护：支持维护具体的物资仓库、物资使用科室的入库科室、出库科室；提供物资非药品对照功能，可对照物资与非药品收费项目（用于对非药品收费项目收费时扣除物资库存）。</w:t>
      </w:r>
    </w:p>
    <w:p w14:paraId="7EC0E988">
      <w:pPr>
        <w:pStyle w:val="24"/>
        <w:keepNext w:val="0"/>
        <w:keepLines w:val="0"/>
        <w:pageBreakBefore w:val="0"/>
        <w:widowControl w:val="0"/>
        <w:numPr>
          <w:ilvl w:val="4"/>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入出库管</w:t>
      </w:r>
      <w:r>
        <w:rPr>
          <w:b/>
          <w:color w:val="auto"/>
          <w:spacing w:val="-10"/>
          <w:sz w:val="24"/>
        </w:rPr>
        <w:t>理</w:t>
      </w:r>
    </w:p>
    <w:p w14:paraId="43BB3650">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1、支持系统初始化时初始化库房物资的库存数量。2、支持入库管理，支持库房的正常入库、发票入库、核准入库、入库退库、特殊入库、备货入库、备货换货、备货退货等多种入库类型，并可以按照采购计划生成的采购单、备货物资进行入库；支持科室的物资入库申请；支持打印入库单、条形码。3、支持出库管理，支持正常出库、特殊出库、出库退库、出库审批等多种出库类型，支持按照科室的入库申请单、采购计划单出库；支持打印出库单。</w:t>
      </w:r>
    </w:p>
    <w:p w14:paraId="51CD1085">
      <w:pPr>
        <w:pStyle w:val="24"/>
        <w:keepNext w:val="0"/>
        <w:keepLines w:val="0"/>
        <w:pageBreakBefore w:val="0"/>
        <w:widowControl w:val="0"/>
        <w:numPr>
          <w:ilvl w:val="4"/>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4"/>
          <w:sz w:val="24"/>
        </w:rPr>
        <w:t>库存管理</w:t>
      </w:r>
    </w:p>
    <w:p w14:paraId="18C0F4E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rPr>
          <w:rFonts w:hint="default" w:ascii="宋体" w:hAnsi="宋体" w:eastAsia="宋体" w:cs="宋体"/>
          <w:color w:val="auto"/>
          <w:spacing w:val="-2"/>
        </w:rPr>
        <w:t>√1、支持管理库房库存、备货物资库存的库存数量、上下限数量、库位号，支持多条件组合查询物资库存情况。2、支持盘点管理，支持对库房物资项目进行库存盘点、打印，支持查看历史盘点单。3、支持高值耗材管理，支持对高值耗材从入库到出库的流动跟踪。4、支持月结管理，支持对库房物资的月结操作，支持撤销、汇总、打印月结数据。5、支持科室物资请领，临床科室从物资库申请物资。</w:t>
      </w:r>
    </w:p>
    <w:p w14:paraId="5EA815C8">
      <w:pPr>
        <w:pStyle w:val="24"/>
        <w:keepNext w:val="0"/>
        <w:keepLines w:val="0"/>
        <w:pageBreakBefore w:val="0"/>
        <w:widowControl w:val="0"/>
        <w:numPr>
          <w:ilvl w:val="4"/>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查询统计</w:t>
      </w:r>
    </w:p>
    <w:p w14:paraId="79AF75E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rPr>
      </w:pPr>
      <w:r>
        <w:tab/>
      </w:r>
      <w:r>
        <w:rPr>
          <w:rFonts w:hint="default" w:ascii="宋体" w:hAnsi="宋体" w:eastAsia="宋体" w:cs="宋体"/>
          <w:color w:val="auto"/>
          <w:spacing w:val="-2"/>
          <w:lang w:val="en-US" w:eastAsia="zh-CN"/>
        </w:rPr>
        <w:t>√支持物资出入库统计，通过多条件组合设置查询物资的入库、出库信息；支持单据查询补打，支持补打入库单、出库单、结存单单据。</w:t>
      </w:r>
    </w:p>
    <w:p w14:paraId="61F132C8">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b/>
          <w:color w:val="auto"/>
          <w:sz w:val="24"/>
        </w:rPr>
      </w:pPr>
      <w:r>
        <w:rPr>
          <w:b/>
          <w:color w:val="auto"/>
          <w:spacing w:val="-2"/>
          <w:sz w:val="24"/>
        </w:rPr>
        <w:t>高值耗材管</w:t>
      </w:r>
      <w:r>
        <w:rPr>
          <w:b/>
          <w:color w:val="auto"/>
          <w:spacing w:val="-10"/>
          <w:sz w:val="24"/>
        </w:rPr>
        <w:t>理</w:t>
      </w:r>
    </w:p>
    <w:p w14:paraId="7EE338B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lang w:val="en-US" w:eastAsia="zh-CN"/>
        </w:rPr>
      </w:pPr>
      <w:r>
        <w:rPr>
          <w:rFonts w:hint="default"/>
          <w:lang w:val="en-US" w:eastAsia="zh-CN"/>
        </w:rPr>
        <w:t>√高值耗材条码化追溯管理系统应满足现代医院对高值耗材的管理需要，系统应支持条码技术，与医院 HIS 系统有机结合，并在管理流程中实行严格的多环节核对功能，最终达到高值医用耗材的规范化管理目标。主要功能应包括：备货产品目录管理：将供货商提供的高值耗材产品目录导入系统，导入时，若系统中无高值耗材的字典，则会自动创建，而不需要用户手工去维护高值耗  材的字典。导入后，中心库房对导入成功的高值耗材进行审核。审核通过的进  行备货操作。备货信息管理及使用管理：与 HIS 做接口，手术室备货确认并计费后，在对应的手术室所在的二级库房直接生成病人的备货使用单，生成时扣除该耗材的备货数量。</w:t>
      </w:r>
    </w:p>
    <w:p w14:paraId="2803E561">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rPr>
      </w:pPr>
    </w:p>
    <w:p w14:paraId="5AF46BF8">
      <w:pPr>
        <w:pStyle w:val="24"/>
        <w:keepNext w:val="0"/>
        <w:keepLines w:val="0"/>
        <w:pageBreakBefore w:val="0"/>
        <w:widowControl w:val="0"/>
        <w:numPr>
          <w:ilvl w:val="3"/>
          <w:numId w:val="35"/>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4"/>
          <w:sz w:val="24"/>
        </w:rPr>
        <w:t>资产管理</w:t>
      </w:r>
    </w:p>
    <w:p w14:paraId="536DEA44">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√中心库房管理系统（固定资产）对医院各医疗设备（包括总务后勤资产） 的入库、出库、报废、盘存等业务进行规范化管理，实现整个医院设备资产的统一管理，使设备资产从科室提交采购需求到执行采购，到入库，直至进入医院的各个部门，都可以在计算机上进行处理、查询，做到账账相符、账物相符，并最终为财务及管理部门提供详细、完备、准确的业务记录和分析数据。完成基础数据维护，包括设备资产的分类、账簿、固定资产名称规格字典等。要求能够按照自定义要求进行添加、修改，同时支持多套国家标准。提供包括入库业务、出库业务、转科业务、报损业务、库房盘存功能、月末结账等基本功能。实现中心库房管理系统与设备采购管理系统的有效对接，科室执行采购、到货安装验收后可以根据合同编号快速完成入库处理，减轻手工进行入库、出库的工作量，减少人为工作造成的差错。支持采购入库自动转出库功能。提供详细的查询统计功能。可以按自定义条件对业务单据、业务明细、库存批次、科室在用帐、资产汇总报表、业务汇总报表等进行查询统计分析。在进行设备出库时自动生成资产编码并打印。支持各类资产折旧管理。</w:t>
      </w:r>
    </w:p>
    <w:p w14:paraId="151C9554">
      <w:pPr>
        <w:pStyle w:val="24"/>
        <w:keepNext w:val="0"/>
        <w:keepLines w:val="0"/>
        <w:pageBreakBefore w:val="0"/>
        <w:widowControl w:val="0"/>
        <w:numPr>
          <w:ilvl w:val="3"/>
          <w:numId w:val="35"/>
        </w:numPr>
        <w:tabs>
          <w:tab w:val="left" w:pos="2320"/>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财务管理系统（全成本核算、预算系统</w:t>
      </w:r>
      <w:r>
        <w:rPr>
          <w:b/>
          <w:color w:val="auto"/>
          <w:spacing w:val="-10"/>
          <w:sz w:val="24"/>
        </w:rPr>
        <w:t>）</w:t>
      </w:r>
    </w:p>
    <w:p w14:paraId="6A1EC4F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√1、与财务管理系统对接；2、包含医院科室成本管理的成本数据采集、分摊设置及成本计算功能；3、支持查询分析医院对外报送和对内管理所使用的报表；4、包含 HIS 数据成本核算接口；5、支持与原有用友系统对接</w:t>
      </w:r>
      <w:r>
        <w:rPr>
          <w:rFonts w:hint="eastAsia" w:ascii="宋体" w:hAnsi="宋体" w:eastAsia="宋体" w:cs="宋体"/>
          <w:color w:val="auto"/>
          <w:spacing w:val="-2"/>
          <w:lang w:val="en-US" w:eastAsia="zh-CN"/>
        </w:rPr>
        <w:t>（包含与江苏省预算管理一体化系统的接口）</w:t>
      </w:r>
      <w:r>
        <w:rPr>
          <w:rFonts w:hint="default" w:ascii="宋体" w:hAnsi="宋体" w:eastAsia="宋体" w:cs="宋体"/>
          <w:color w:val="auto"/>
          <w:spacing w:val="-2"/>
          <w:lang w:val="en-US" w:eastAsia="zh-CN"/>
        </w:rPr>
        <w:t>。6、预算体系创建平台：通过该平台搭建用户的多维预算体系，达到实现医疗机构个性化预算体系的要求；7、支持预算填制的过程管理平台和预算填制的全流程：可以实现预算填制的过程管理，监控下级的预算填制过程；支持从院部预算目标下达、下级预算填报、预算数据上报、预算数据批复、数据汇总、预算数据调整等全过程的预算填制过程；支持预算几上几下的填报过程；8、预算的分析和执行监控平台：能够提供执行监控功能，能够从业务数据获取执行数，对业务系统进行预算控制和预警；支持预算数据通过医疗机构报表进行分析；支持预算多维数据通过自由报表、商业智能平台展现；</w:t>
      </w:r>
    </w:p>
    <w:p w14:paraId="06F909BE">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jc w:val="both"/>
        <w:textAlignment w:val="auto"/>
        <w:rPr>
          <w:rFonts w:hint="eastAsia" w:ascii="宋体" w:hAnsi="宋体" w:eastAsia="宋体" w:cs="宋体"/>
          <w:b/>
          <w:color w:val="auto"/>
          <w:sz w:val="24"/>
        </w:rPr>
      </w:pPr>
      <w:r>
        <w:rPr>
          <w:rFonts w:hint="eastAsia" w:ascii="宋体" w:hAnsi="宋体" w:eastAsia="宋体" w:cs="宋体"/>
          <w:b/>
          <w:color w:val="auto"/>
          <w:spacing w:val="-22"/>
          <w:sz w:val="24"/>
        </w:rPr>
        <w:t xml:space="preserve">办公 </w:t>
      </w:r>
      <w:r>
        <w:rPr>
          <w:rFonts w:hint="eastAsia" w:ascii="宋体" w:hAnsi="宋体" w:eastAsia="宋体" w:cs="宋体"/>
          <w:b/>
          <w:color w:val="auto"/>
          <w:spacing w:val="-7"/>
          <w:sz w:val="24"/>
        </w:rPr>
        <w:t>OA</w:t>
      </w:r>
    </w:p>
    <w:p w14:paraId="0D38A72C">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具有门户管理、通知公告、发文管理、收文管理、督办管理、文件传阅、工作论坛、日程管理、车辆管理、任务管理、满意度调查、医德考评、会议管理、考勤管理、工作流管理、薪酬查询、表单引擎、问卷管理、请假管理等功能。</w:t>
      </w:r>
    </w:p>
    <w:p w14:paraId="00288CBF">
      <w:pPr>
        <w:pStyle w:val="23"/>
        <w:keepNext w:val="0"/>
        <w:keepLines w:val="0"/>
        <w:pageBreakBefore w:val="0"/>
        <w:widowControl w:val="0"/>
        <w:numPr>
          <w:ilvl w:val="2"/>
          <w:numId w:val="35"/>
        </w:numPr>
        <w:tabs>
          <w:tab w:val="left" w:pos="1901"/>
        </w:tabs>
        <w:kinsoku/>
        <w:wordWrap/>
        <w:overflowPunct/>
        <w:topLinePunct w:val="0"/>
        <w:autoSpaceDE w:val="0"/>
        <w:autoSpaceDN w:val="0"/>
        <w:bidi w:val="0"/>
        <w:adjustRightInd/>
        <w:snapToGrid/>
        <w:spacing w:before="0" w:line="360" w:lineRule="auto"/>
        <w:ind w:left="425" w:leftChars="0" w:firstLine="0" w:firstLineChars="0"/>
        <w:jc w:val="both"/>
        <w:textAlignment w:val="auto"/>
        <w:rPr>
          <w:color w:val="auto"/>
        </w:rPr>
      </w:pPr>
      <w:bookmarkStart w:id="181" w:name="_bookmark32"/>
      <w:bookmarkEnd w:id="181"/>
      <w:r>
        <w:rPr>
          <w:color w:val="auto"/>
          <w:spacing w:val="-4"/>
        </w:rPr>
        <w:t>统一接口</w:t>
      </w:r>
    </w:p>
    <w:p w14:paraId="2CF931AE">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医疗协同（中医院中心对接卫健委医网通</w:t>
      </w:r>
      <w:r>
        <w:rPr>
          <w:b/>
          <w:color w:val="auto"/>
          <w:spacing w:val="-10"/>
          <w:sz w:val="24"/>
        </w:rPr>
        <w:t>）</w:t>
      </w:r>
    </w:p>
    <w:p w14:paraId="0C08270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√双向转诊对接、分级诊疗对接、远程影像对接、远程会诊对接（含远程会 诊中心硬件）、集中审方对接、健康随访对接、临床检验对接、网络心电对接、消毒供应对接、药物配供对接、医护调度对接、区域共享中药房、其他对接等 接口接入区域医共体平台（符合“医网通”建设需求）</w:t>
      </w:r>
    </w:p>
    <w:p w14:paraId="2578B0B8">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上报及接口（包含且不限于所列接口</w:t>
      </w:r>
      <w:r>
        <w:rPr>
          <w:b/>
          <w:color w:val="auto"/>
          <w:spacing w:val="-10"/>
          <w:sz w:val="24"/>
        </w:rPr>
        <w:t>）</w:t>
      </w:r>
    </w:p>
    <w:p w14:paraId="1D26E0D2">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康复管理系统接口、医废管理系统接口、自助发药机分包机接口、排队叫号接口、治未病诊疗系统接口、发热门诊医疗服务检测接口、省阳光采购平台招采子系统（含网采率上报）、省健康信息管理平台、省影像云、省妇幼系统接口、医保结算清单上报、公立医院绩效考核上报、省卫统上报、电子发票系统(含医保及财政)、城市驾驶舱卫生分舱、我的盐城APP（更换或含第三方对接软件模块）、江苏医保云（更换或含第三方对接软件模块）、电子处方流转、医保智能监管平台、食源性慢病上报、传染病上报（含国家传染病智能监测预警对接）、慢性阻塞性肺疾病上报、死亡医学证明书报告卡、中暑报告卡、农药中毒报告卡、慢五病上传、医保DRG、电子处方流转、双通道药品流转、医保平台接口（含工伤、计划生育、医保追溯码等）、血糖监测、自助挂号缴费报告机（含影像、检验）、县区域健康信息平台对接、银联接口（含数字人民币）、财务接口、远程医疗接口、离休接口（含第三方对接软件模块）、省检验共享平台对接、门（急）诊诊疗信息页质量上传等院内其他在用成熟接口对接</w:t>
      </w:r>
      <w:r>
        <w:rPr>
          <w:rFonts w:hint="eastAsia" w:cs="宋体"/>
          <w:color w:val="auto"/>
          <w:spacing w:val="-2"/>
          <w:lang w:val="en-US" w:eastAsia="zh-CN"/>
        </w:rPr>
        <w:t>。</w:t>
      </w:r>
    </w:p>
    <w:p w14:paraId="2851E3AF">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离休前置服务开</w:t>
      </w:r>
      <w:r>
        <w:rPr>
          <w:b/>
          <w:color w:val="auto"/>
          <w:spacing w:val="-10"/>
          <w:sz w:val="24"/>
        </w:rPr>
        <w:t>发</w:t>
      </w:r>
    </w:p>
    <w:p w14:paraId="6EB956E1">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√按照现有离休业务流程，开发离休患者结报服务，满足医院使用需求。</w:t>
      </w:r>
    </w:p>
    <w:p w14:paraId="2CC57A52">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textAlignment w:val="auto"/>
        <w:rPr>
          <w:color w:val="auto"/>
          <w:sz w:val="16"/>
        </w:rPr>
      </w:pPr>
    </w:p>
    <w:p w14:paraId="0037C784">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12"/>
          <w:sz w:val="24"/>
        </w:rPr>
        <w:t xml:space="preserve">我的盐城 </w:t>
      </w:r>
      <w:r>
        <w:rPr>
          <w:rFonts w:ascii="等线" w:eastAsia="等线"/>
          <w:b/>
          <w:color w:val="auto"/>
          <w:spacing w:val="-2"/>
          <w:sz w:val="24"/>
        </w:rPr>
        <w:t>app</w:t>
      </w:r>
      <w:r>
        <w:rPr>
          <w:b/>
          <w:color w:val="auto"/>
          <w:spacing w:val="-2"/>
          <w:sz w:val="24"/>
        </w:rPr>
        <w:t>（业务开发</w:t>
      </w:r>
      <w:r>
        <w:rPr>
          <w:b/>
          <w:color w:val="auto"/>
          <w:spacing w:val="-10"/>
          <w:sz w:val="24"/>
        </w:rPr>
        <w:t>）</w:t>
      </w:r>
    </w:p>
    <w:p w14:paraId="5AF343B9">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按照“我的盐城 APP”的接口要求完成接口开发，满足医院使用需求。</w:t>
      </w:r>
    </w:p>
    <w:tbl>
      <w:tblPr>
        <w:tblStyle w:val="13"/>
        <w:tblW w:w="8954" w:type="dxa"/>
        <w:tblInd w:w="0" w:type="dxa"/>
        <w:tblLayout w:type="fixed"/>
        <w:tblCellMar>
          <w:top w:w="15" w:type="dxa"/>
          <w:left w:w="15" w:type="dxa"/>
          <w:bottom w:w="15" w:type="dxa"/>
          <w:right w:w="15" w:type="dxa"/>
        </w:tblCellMar>
      </w:tblPr>
      <w:tblGrid>
        <w:gridCol w:w="1258"/>
        <w:gridCol w:w="2080"/>
        <w:gridCol w:w="1360"/>
        <w:gridCol w:w="4256"/>
      </w:tblGrid>
      <w:tr w14:paraId="498F8E3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274B275">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序号</w:t>
            </w:r>
          </w:p>
        </w:tc>
        <w:tc>
          <w:tcPr>
            <w:tcW w:w="208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6C98074">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接口大类</w:t>
            </w:r>
          </w:p>
        </w:tc>
        <w:tc>
          <w:tcPr>
            <w:tcW w:w="1360" w:type="dxa"/>
            <w:tcBorders>
              <w:top w:val="single" w:color="auto" w:sz="4" w:space="0"/>
              <w:left w:val="single" w:color="auto" w:sz="4" w:space="0"/>
              <w:bottom w:val="single" w:color="auto" w:sz="4" w:space="0"/>
              <w:right w:val="single" w:color="auto" w:sz="4" w:space="0"/>
            </w:tcBorders>
            <w:vAlign w:val="center"/>
          </w:tcPr>
          <w:p w14:paraId="6CD9A3ED">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类别</w:t>
            </w: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FEE04D7">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接口名称</w:t>
            </w:r>
          </w:p>
        </w:tc>
      </w:tr>
      <w:tr w14:paraId="140B4956">
        <w:tblPrEx>
          <w:tblCellMar>
            <w:top w:w="15" w:type="dxa"/>
            <w:left w:w="15" w:type="dxa"/>
            <w:bottom w:w="15" w:type="dxa"/>
            <w:right w:w="15" w:type="dxa"/>
          </w:tblCellMar>
        </w:tblPrEx>
        <w:trPr>
          <w:trHeight w:val="463" w:hRule="atLeast"/>
        </w:trPr>
        <w:tc>
          <w:tcPr>
            <w:tcW w:w="1258" w:type="dxa"/>
            <w:tcBorders>
              <w:top w:val="single" w:color="auto" w:sz="4" w:space="0"/>
              <w:left w:val="single" w:color="auto" w:sz="4" w:space="0"/>
              <w:bottom w:val="single" w:color="auto" w:sz="4" w:space="0"/>
              <w:right w:val="single" w:color="auto" w:sz="4" w:space="0"/>
            </w:tcBorders>
            <w:vAlign w:val="center"/>
          </w:tcPr>
          <w:p w14:paraId="331034B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w:t>
            </w:r>
          </w:p>
        </w:tc>
        <w:tc>
          <w:tcPr>
            <w:tcW w:w="2080" w:type="dxa"/>
            <w:vMerge w:val="restart"/>
            <w:tcBorders>
              <w:top w:val="single" w:color="auto" w:sz="4" w:space="0"/>
              <w:left w:val="single" w:color="auto" w:sz="4" w:space="0"/>
              <w:right w:val="single" w:color="auto" w:sz="4" w:space="0"/>
            </w:tcBorders>
            <w:shd w:val="clear" w:color="auto" w:fill="auto"/>
            <w:tcMar>
              <w:top w:w="83" w:type="dxa"/>
              <w:left w:w="180" w:type="dxa"/>
              <w:bottom w:w="83" w:type="dxa"/>
              <w:right w:w="180" w:type="dxa"/>
            </w:tcMar>
            <w:vAlign w:val="center"/>
          </w:tcPr>
          <w:p w14:paraId="5FF55C84">
            <w:pPr>
              <w:ind w:left="0" w:firstLine="0" w:firstLineChars="0"/>
              <w:jc w:val="both"/>
              <w:rPr>
                <w:rFonts w:hint="eastAsia" w:ascii="宋体" w:hAnsi="宋体" w:eastAsia="宋体" w:cs="宋体"/>
                <w:color w:val="auto"/>
                <w:kern w:val="0"/>
                <w:szCs w:val="30"/>
              </w:rPr>
            </w:pPr>
            <w:bookmarkStart w:id="182" w:name="_Toc5139"/>
            <w:r>
              <w:rPr>
                <w:rFonts w:hint="default" w:ascii="宋体" w:hAnsi="宋体" w:eastAsia="宋体" w:cs="宋体"/>
                <w:color w:val="auto"/>
                <w:spacing w:val="-2"/>
                <w:lang w:val="en-US" w:eastAsia="zh-CN"/>
              </w:rPr>
              <w:t>√</w:t>
            </w:r>
            <w:r>
              <w:rPr>
                <w:rFonts w:hint="eastAsia" w:ascii="宋体" w:hAnsi="宋体" w:eastAsia="宋体" w:cs="宋体"/>
                <w:color w:val="auto"/>
                <w:szCs w:val="30"/>
              </w:rPr>
              <w:t>医院基础信息</w:t>
            </w:r>
            <w:bookmarkEnd w:id="182"/>
          </w:p>
        </w:tc>
        <w:tc>
          <w:tcPr>
            <w:tcW w:w="1360" w:type="dxa"/>
            <w:vMerge w:val="restart"/>
            <w:tcBorders>
              <w:top w:val="single" w:color="auto" w:sz="4" w:space="0"/>
              <w:left w:val="single" w:color="auto" w:sz="4" w:space="0"/>
              <w:right w:val="single" w:color="auto" w:sz="4" w:space="0"/>
            </w:tcBorders>
            <w:vAlign w:val="center"/>
          </w:tcPr>
          <w:p w14:paraId="5C151DF5">
            <w:pPr>
              <w:ind w:left="0" w:firstLine="0" w:firstLineChars="0"/>
              <w:jc w:val="both"/>
              <w:rPr>
                <w:rFonts w:hint="eastAsia" w:ascii="宋体" w:hAnsi="宋体" w:eastAsia="宋体" w:cs="宋体"/>
                <w:color w:val="auto"/>
                <w:kern w:val="0"/>
                <w:szCs w:val="30"/>
              </w:rPr>
            </w:pPr>
            <w:bookmarkStart w:id="183" w:name="_Toc6976"/>
            <w:r>
              <w:rPr>
                <w:rFonts w:hint="eastAsia" w:ascii="宋体" w:hAnsi="宋体" w:eastAsia="宋体" w:cs="宋体"/>
                <w:color w:val="auto"/>
                <w:szCs w:val="30"/>
              </w:rPr>
              <w:t>查询类</w:t>
            </w:r>
            <w:bookmarkEnd w:id="183"/>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CCC6E3D">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医院信息查询</w:t>
            </w:r>
          </w:p>
        </w:tc>
      </w:tr>
      <w:tr w14:paraId="6B82110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409638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BB75D40">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1E8587EE">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6D4ADEE">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科室信息查询</w:t>
            </w:r>
          </w:p>
        </w:tc>
      </w:tr>
      <w:tr w14:paraId="1DD0113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318231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9541024">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159CF138">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7E39E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普通医生信息查询</w:t>
            </w:r>
          </w:p>
        </w:tc>
      </w:tr>
      <w:tr w14:paraId="37973F0C">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F9C72D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614EEDF">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75A1FD55">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9E227E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专家医生信息查询</w:t>
            </w:r>
          </w:p>
        </w:tc>
      </w:tr>
      <w:tr w14:paraId="01D1273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E1B38A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950F04F">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02297B14">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78CE3D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护士信息查询</w:t>
            </w:r>
          </w:p>
        </w:tc>
      </w:tr>
      <w:tr w14:paraId="302AD96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A2240C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260DE3C">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639CA24E">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6E2929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麻醉师信息查询</w:t>
            </w:r>
          </w:p>
        </w:tc>
      </w:tr>
      <w:tr w14:paraId="075CC59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009E74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F357ADD">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1E077E39">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AE799E1">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药师信息查询</w:t>
            </w:r>
          </w:p>
        </w:tc>
      </w:tr>
      <w:tr w14:paraId="0778046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1C3A3A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w:t>
            </w:r>
          </w:p>
        </w:tc>
        <w:tc>
          <w:tcPr>
            <w:tcW w:w="2080" w:type="dxa"/>
            <w:vMerge w:val="continue"/>
            <w:tcBorders>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EF6E06E">
            <w:pPr>
              <w:ind w:firstLine="600"/>
              <w:jc w:val="center"/>
              <w:rPr>
                <w:rFonts w:hint="eastAsia" w:ascii="宋体" w:hAnsi="宋体" w:eastAsia="宋体" w:cs="宋体"/>
                <w:color w:val="auto"/>
                <w:szCs w:val="30"/>
              </w:rPr>
            </w:pPr>
          </w:p>
        </w:tc>
        <w:tc>
          <w:tcPr>
            <w:tcW w:w="1360" w:type="dxa"/>
            <w:vMerge w:val="continue"/>
            <w:tcBorders>
              <w:left w:val="single" w:color="auto" w:sz="4" w:space="0"/>
              <w:bottom w:val="single" w:color="auto" w:sz="4" w:space="0"/>
              <w:right w:val="single" w:color="auto" w:sz="4" w:space="0"/>
            </w:tcBorders>
            <w:vAlign w:val="center"/>
          </w:tcPr>
          <w:p w14:paraId="24048980">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E88DF5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其他人员信息查询</w:t>
            </w:r>
          </w:p>
        </w:tc>
      </w:tr>
      <w:tr w14:paraId="0170D26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AF21AB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w:t>
            </w:r>
          </w:p>
        </w:tc>
        <w:tc>
          <w:tcPr>
            <w:tcW w:w="2080" w:type="dxa"/>
            <w:vMerge w:val="restart"/>
            <w:tcBorders>
              <w:top w:val="single" w:color="auto" w:sz="4" w:space="0"/>
              <w:left w:val="single" w:color="auto" w:sz="4" w:space="0"/>
              <w:right w:val="single" w:color="auto" w:sz="4" w:space="0"/>
            </w:tcBorders>
            <w:shd w:val="clear" w:color="auto" w:fill="auto"/>
            <w:tcMar>
              <w:top w:w="83" w:type="dxa"/>
              <w:left w:w="180" w:type="dxa"/>
              <w:bottom w:w="83" w:type="dxa"/>
              <w:right w:w="180" w:type="dxa"/>
            </w:tcMar>
            <w:vAlign w:val="center"/>
          </w:tcPr>
          <w:p w14:paraId="07D72851">
            <w:pPr>
              <w:ind w:left="0" w:firstLine="0" w:firstLineChars="0"/>
              <w:jc w:val="both"/>
              <w:rPr>
                <w:rFonts w:hint="eastAsia" w:ascii="宋体" w:hAnsi="宋体" w:eastAsia="宋体" w:cs="宋体"/>
                <w:color w:val="auto"/>
                <w:kern w:val="0"/>
                <w:szCs w:val="30"/>
              </w:rPr>
            </w:pPr>
            <w:bookmarkStart w:id="184" w:name="_Toc8961"/>
            <w:r>
              <w:rPr>
                <w:rFonts w:hint="default" w:ascii="宋体" w:hAnsi="宋体" w:eastAsia="宋体" w:cs="宋体"/>
                <w:color w:val="auto"/>
                <w:spacing w:val="-2"/>
                <w:lang w:val="en-US" w:eastAsia="zh-CN"/>
              </w:rPr>
              <w:t>√</w:t>
            </w:r>
            <w:r>
              <w:rPr>
                <w:rFonts w:hint="eastAsia" w:ascii="宋体" w:hAnsi="宋体" w:eastAsia="宋体" w:cs="宋体"/>
                <w:color w:val="auto"/>
                <w:szCs w:val="30"/>
              </w:rPr>
              <w:t>门诊病人信息</w:t>
            </w:r>
            <w:bookmarkEnd w:id="184"/>
          </w:p>
        </w:tc>
        <w:tc>
          <w:tcPr>
            <w:tcW w:w="1360" w:type="dxa"/>
            <w:vMerge w:val="restart"/>
            <w:tcBorders>
              <w:top w:val="single" w:color="auto" w:sz="4" w:space="0"/>
              <w:left w:val="single" w:color="auto" w:sz="4" w:space="0"/>
              <w:right w:val="single" w:color="auto" w:sz="4" w:space="0"/>
            </w:tcBorders>
            <w:vAlign w:val="center"/>
          </w:tcPr>
          <w:p w14:paraId="38F8D1BB">
            <w:pPr>
              <w:ind w:left="0" w:firstLine="0" w:firstLineChars="0"/>
              <w:jc w:val="both"/>
              <w:rPr>
                <w:rFonts w:hint="eastAsia" w:ascii="宋体" w:hAnsi="宋体" w:eastAsia="宋体" w:cs="宋体"/>
                <w:color w:val="auto"/>
                <w:kern w:val="0"/>
                <w:szCs w:val="30"/>
              </w:rPr>
            </w:pPr>
            <w:bookmarkStart w:id="185" w:name="_Toc18921"/>
            <w:r>
              <w:rPr>
                <w:rFonts w:hint="eastAsia" w:ascii="宋体" w:hAnsi="宋体" w:eastAsia="宋体" w:cs="宋体"/>
                <w:color w:val="auto"/>
                <w:szCs w:val="30"/>
              </w:rPr>
              <w:t>查询类</w:t>
            </w:r>
            <w:bookmarkEnd w:id="185"/>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C610E7A">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门诊患者基本信息(证件号)</w:t>
            </w:r>
          </w:p>
        </w:tc>
      </w:tr>
      <w:tr w14:paraId="274B63E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59ED195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A14AA15">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1B9CC3B9">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891A9D">
            <w:pPr>
              <w:ind w:left="0" w:firstLine="0" w:firstLineChars="0"/>
              <w:rPr>
                <w:rFonts w:hint="eastAsia" w:ascii="宋体" w:hAnsi="宋体" w:eastAsia="宋体" w:cs="宋体"/>
                <w:color w:val="auto"/>
                <w:kern w:val="0"/>
                <w:szCs w:val="30"/>
              </w:rPr>
            </w:pPr>
            <w:bookmarkStart w:id="186" w:name="_Toc28684"/>
            <w:r>
              <w:rPr>
                <w:rFonts w:hint="eastAsia" w:ascii="宋体" w:hAnsi="宋体" w:eastAsia="宋体" w:cs="宋体"/>
                <w:color w:val="auto"/>
                <w:szCs w:val="30"/>
              </w:rPr>
              <w:t>查询门诊患者基本信息(常规卡号)</w:t>
            </w:r>
            <w:bookmarkEnd w:id="186"/>
          </w:p>
        </w:tc>
      </w:tr>
      <w:tr w14:paraId="56602CA4">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9CED51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11</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58B227EA">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5EC05D6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926A14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查询门诊患者基本信息(外部电子健康卡)</w:t>
            </w:r>
          </w:p>
        </w:tc>
      </w:tr>
      <w:tr w14:paraId="4A14721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968ACA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E49B115">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628306CD">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D2F01E">
            <w:pPr>
              <w:ind w:left="0" w:firstLine="0" w:firstLineChars="0"/>
              <w:rPr>
                <w:rFonts w:hint="eastAsia" w:ascii="宋体" w:hAnsi="宋体" w:eastAsia="宋体" w:cs="宋体"/>
                <w:color w:val="auto"/>
                <w:kern w:val="0"/>
                <w:szCs w:val="30"/>
              </w:rPr>
            </w:pPr>
            <w:bookmarkStart w:id="187" w:name="_Toc32142"/>
            <w:r>
              <w:rPr>
                <w:rFonts w:hint="eastAsia" w:ascii="宋体" w:hAnsi="宋体" w:eastAsia="宋体" w:cs="宋体"/>
                <w:color w:val="auto"/>
                <w:szCs w:val="30"/>
              </w:rPr>
              <w:t>查询门诊患者基本信息(PATID)</w:t>
            </w:r>
            <w:bookmarkEnd w:id="187"/>
          </w:p>
        </w:tc>
      </w:tr>
      <w:tr w14:paraId="77C6F374">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11DB18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8D29699">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29F1BB16">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192460">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患者配送信息查询</w:t>
            </w:r>
          </w:p>
        </w:tc>
      </w:tr>
      <w:tr w14:paraId="0AD16BB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767AEC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3EB39E9">
            <w:pPr>
              <w:ind w:firstLine="600"/>
              <w:jc w:val="center"/>
              <w:rPr>
                <w:rFonts w:hint="eastAsia" w:ascii="宋体" w:hAnsi="宋体" w:eastAsia="宋体" w:cs="宋体"/>
                <w:color w:val="auto"/>
                <w:kern w:val="0"/>
                <w:szCs w:val="30"/>
              </w:rPr>
            </w:pPr>
          </w:p>
        </w:tc>
        <w:tc>
          <w:tcPr>
            <w:tcW w:w="1360" w:type="dxa"/>
            <w:vMerge w:val="restart"/>
            <w:tcBorders>
              <w:top w:val="single" w:color="auto" w:sz="4" w:space="0"/>
              <w:left w:val="single" w:color="auto" w:sz="4" w:space="0"/>
              <w:right w:val="single" w:color="auto" w:sz="4" w:space="0"/>
            </w:tcBorders>
          </w:tcPr>
          <w:p w14:paraId="3FC60599">
            <w:pPr>
              <w:ind w:left="0" w:firstLine="0" w:firstLineChars="0"/>
              <w:jc w:val="both"/>
              <w:rPr>
                <w:rFonts w:hint="eastAsia" w:ascii="宋体" w:hAnsi="宋体" w:eastAsia="宋体" w:cs="宋体"/>
                <w:color w:val="auto"/>
                <w:kern w:val="0"/>
                <w:szCs w:val="30"/>
              </w:rPr>
            </w:pPr>
            <w:bookmarkStart w:id="188" w:name="_Toc26104"/>
            <w:r>
              <w:rPr>
                <w:rFonts w:hint="eastAsia" w:ascii="宋体" w:hAnsi="宋体" w:eastAsia="宋体" w:cs="宋体"/>
                <w:color w:val="auto"/>
                <w:szCs w:val="30"/>
              </w:rPr>
              <w:t>业务操作类</w:t>
            </w:r>
            <w:bookmarkEnd w:id="188"/>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805024">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患者身份证建档</w:t>
            </w:r>
          </w:p>
        </w:tc>
      </w:tr>
      <w:tr w14:paraId="5F22F72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5FCD5C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91AD0F8">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2E007CC7">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FA64A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患者户口簿建档</w:t>
            </w:r>
          </w:p>
        </w:tc>
      </w:tr>
      <w:tr w14:paraId="5CACD0F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EA862B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B141EB5">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1EAB1353">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70E2013">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患者护照建档</w:t>
            </w:r>
          </w:p>
        </w:tc>
      </w:tr>
      <w:tr w14:paraId="16B4D7A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FCC1AE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16A3299">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8635F06">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4AC64B5">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患者军官证建档</w:t>
            </w:r>
          </w:p>
        </w:tc>
      </w:tr>
      <w:tr w14:paraId="145699D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271D7A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18</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6EB9A5A6">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FCD7F1F">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2BB97C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患者驾驶证建档</w:t>
            </w:r>
          </w:p>
        </w:tc>
      </w:tr>
      <w:tr w14:paraId="7407A10D">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BAB321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19</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6BB577F">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2ED5939E">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35ED892">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患者港澳居民通行证建档</w:t>
            </w:r>
          </w:p>
        </w:tc>
      </w:tr>
      <w:tr w14:paraId="62925174">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3385C2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20</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9C35C6C">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3C6DD855">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51B1F68">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患者台湾居民通行证建档</w:t>
            </w:r>
          </w:p>
        </w:tc>
      </w:tr>
      <w:tr w14:paraId="0E2B08D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8FBCC8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21</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4C8D2D5">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039A3E6C">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840031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患者外国人永久居留证 建档</w:t>
            </w:r>
          </w:p>
        </w:tc>
      </w:tr>
      <w:tr w14:paraId="1118B5DD">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D337A1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325C753">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7CA85F34">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D4BE99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患者入出境通行证建档</w:t>
            </w:r>
          </w:p>
        </w:tc>
      </w:tr>
      <w:tr w14:paraId="68756D1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305B1D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47193EB">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CBCC63A">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7602AAD">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患者旅行证建档</w:t>
            </w:r>
          </w:p>
        </w:tc>
      </w:tr>
      <w:tr w14:paraId="492C88E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A03EB6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0CD10A8">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67C33B37">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D8124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患者其他有效法定证件建档</w:t>
            </w:r>
          </w:p>
        </w:tc>
      </w:tr>
      <w:tr w14:paraId="7A746BF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516E976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89EB6CF">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0BAB8D0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82B3972">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住院患者基本信息更新</w:t>
            </w:r>
          </w:p>
        </w:tc>
      </w:tr>
      <w:tr w14:paraId="142ABEA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724DDA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10211902">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32B66B85">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8204028">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门诊患者基本信息更新</w:t>
            </w:r>
          </w:p>
        </w:tc>
      </w:tr>
      <w:tr w14:paraId="10F22AF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7B849B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144ADD9">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58707C7">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F34067E">
            <w:pPr>
              <w:ind w:left="0" w:firstLine="0" w:firstLineChars="0"/>
              <w:rPr>
                <w:rFonts w:hint="eastAsia" w:ascii="宋体" w:hAnsi="宋体" w:eastAsia="宋体" w:cs="宋体"/>
                <w:color w:val="auto"/>
                <w:kern w:val="0"/>
                <w:szCs w:val="30"/>
              </w:rPr>
            </w:pPr>
            <w:bookmarkStart w:id="189" w:name="_Toc31820"/>
            <w:bookmarkStart w:id="190" w:name="_Toc101188838"/>
            <w:bookmarkStart w:id="191" w:name="_Toc7945"/>
            <w:r>
              <w:rPr>
                <w:rFonts w:hint="eastAsia" w:ascii="宋体" w:hAnsi="宋体" w:eastAsia="宋体" w:cs="宋体"/>
                <w:color w:val="auto"/>
                <w:szCs w:val="30"/>
              </w:rPr>
              <w:t>患者配送信息登记</w:t>
            </w:r>
            <w:bookmarkEnd w:id="189"/>
            <w:bookmarkEnd w:id="190"/>
            <w:bookmarkEnd w:id="191"/>
          </w:p>
        </w:tc>
      </w:tr>
      <w:tr w14:paraId="6E7D18D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9C780F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28</w:t>
            </w:r>
          </w:p>
        </w:tc>
        <w:tc>
          <w:tcPr>
            <w:tcW w:w="2080" w:type="dxa"/>
            <w:vMerge w:val="continue"/>
            <w:tcBorders>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65B180C">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13D4C0C0">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46A1C5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患者配送信息更新</w:t>
            </w:r>
          </w:p>
        </w:tc>
      </w:tr>
      <w:tr w14:paraId="6C819A4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D73E07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29</w:t>
            </w:r>
          </w:p>
        </w:tc>
        <w:tc>
          <w:tcPr>
            <w:tcW w:w="2080" w:type="dxa"/>
            <w:vMerge w:val="restart"/>
            <w:tcBorders>
              <w:top w:val="single" w:color="auto" w:sz="4" w:space="0"/>
              <w:left w:val="single" w:color="auto" w:sz="4" w:space="0"/>
              <w:right w:val="single" w:color="auto" w:sz="4" w:space="0"/>
            </w:tcBorders>
            <w:shd w:val="clear" w:color="auto" w:fill="auto"/>
            <w:tcMar>
              <w:top w:w="83" w:type="dxa"/>
              <w:left w:w="180" w:type="dxa"/>
              <w:bottom w:w="83" w:type="dxa"/>
              <w:right w:w="180" w:type="dxa"/>
            </w:tcMar>
            <w:vAlign w:val="center"/>
          </w:tcPr>
          <w:p w14:paraId="6248C20D">
            <w:pPr>
              <w:ind w:left="0" w:firstLine="0" w:firstLineChars="0"/>
              <w:jc w:val="both"/>
              <w:rPr>
                <w:rFonts w:hint="eastAsia" w:ascii="宋体" w:hAnsi="宋体" w:eastAsia="宋体" w:cs="宋体"/>
                <w:color w:val="auto"/>
                <w:kern w:val="0"/>
                <w:szCs w:val="30"/>
              </w:rPr>
            </w:pPr>
            <w:bookmarkStart w:id="192" w:name="_Toc15709"/>
            <w:r>
              <w:rPr>
                <w:rFonts w:hint="default" w:ascii="宋体" w:hAnsi="宋体" w:eastAsia="宋体" w:cs="宋体"/>
                <w:color w:val="auto"/>
                <w:spacing w:val="-2"/>
                <w:lang w:val="en-US" w:eastAsia="zh-CN"/>
              </w:rPr>
              <w:t>√</w:t>
            </w:r>
            <w:r>
              <w:rPr>
                <w:rFonts w:hint="eastAsia" w:ascii="宋体" w:hAnsi="宋体" w:eastAsia="宋体" w:cs="宋体"/>
                <w:color w:val="auto"/>
                <w:szCs w:val="30"/>
              </w:rPr>
              <w:t>门诊当班挂号</w:t>
            </w:r>
            <w:bookmarkEnd w:id="192"/>
          </w:p>
        </w:tc>
        <w:tc>
          <w:tcPr>
            <w:tcW w:w="1360" w:type="dxa"/>
            <w:vMerge w:val="restart"/>
            <w:tcBorders>
              <w:top w:val="single" w:color="auto" w:sz="4" w:space="0"/>
              <w:left w:val="single" w:color="auto" w:sz="4" w:space="0"/>
              <w:right w:val="single" w:color="auto" w:sz="4" w:space="0"/>
            </w:tcBorders>
            <w:vAlign w:val="center"/>
          </w:tcPr>
          <w:p w14:paraId="57B90EA3">
            <w:pPr>
              <w:ind w:left="0" w:firstLine="0" w:firstLineChars="0"/>
              <w:jc w:val="both"/>
              <w:rPr>
                <w:rFonts w:hint="eastAsia" w:ascii="宋体" w:hAnsi="宋体" w:eastAsia="宋体" w:cs="宋体"/>
                <w:color w:val="auto"/>
                <w:kern w:val="0"/>
                <w:szCs w:val="30"/>
              </w:rPr>
            </w:pPr>
            <w:bookmarkStart w:id="193" w:name="_Toc30905"/>
            <w:r>
              <w:rPr>
                <w:rFonts w:hint="eastAsia" w:ascii="宋体" w:hAnsi="宋体" w:eastAsia="宋体" w:cs="宋体"/>
                <w:color w:val="auto"/>
                <w:szCs w:val="30"/>
              </w:rPr>
              <w:t>查询类</w:t>
            </w:r>
            <w:bookmarkEnd w:id="193"/>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F4429CA">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线下就诊当班出诊科室查询</w:t>
            </w:r>
          </w:p>
        </w:tc>
      </w:tr>
      <w:tr w14:paraId="2B500226">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058542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30</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C6121C9">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3DF336CC">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37F3A51">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线上就诊当班出诊科室查询</w:t>
            </w:r>
          </w:p>
        </w:tc>
      </w:tr>
      <w:tr w14:paraId="5620CCFF">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5484541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31</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674E52B6">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73FA61FD">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3E4036">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全部当班出诊科室查询</w:t>
            </w:r>
          </w:p>
        </w:tc>
      </w:tr>
      <w:tr w14:paraId="3987417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7F3D3E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F627073">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026AE61">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3AF4EA4">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线下就诊当班出诊医生查询</w:t>
            </w:r>
          </w:p>
        </w:tc>
      </w:tr>
      <w:tr w14:paraId="722699E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AF36D4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0BFF72F">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043970CD">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9D1925E">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线上就诊当班出诊医生查询</w:t>
            </w:r>
          </w:p>
        </w:tc>
      </w:tr>
      <w:tr w14:paraId="1116D99C">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6BEC438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68DBFA00">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262B2234">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59B11C6">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全部当班出诊医生查询</w:t>
            </w:r>
          </w:p>
        </w:tc>
      </w:tr>
      <w:tr w14:paraId="18223904">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79D215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54843B67">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78878B51">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BCAA582">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线下就诊当班科室信息查询</w:t>
            </w:r>
          </w:p>
        </w:tc>
      </w:tr>
      <w:tr w14:paraId="2A74E7D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DD53E8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53AB6F2">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98FC80E">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74952E">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线上就诊当班科室信息查询</w:t>
            </w:r>
          </w:p>
        </w:tc>
      </w:tr>
      <w:tr w14:paraId="4CA1F7C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B3578A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4C1C338">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7FE0C7A">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67DCC00">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全部当班科室信息查询</w:t>
            </w:r>
          </w:p>
        </w:tc>
      </w:tr>
      <w:tr w14:paraId="2288003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C9F646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38</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D484F7C">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1BD34370">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4C91CFE">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线下就诊当班科室号源信息查询</w:t>
            </w:r>
          </w:p>
        </w:tc>
      </w:tr>
      <w:tr w14:paraId="50150DC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9D6D92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39</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64A79019">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2C6E83B0">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7D28109">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线上就诊当班科室号源信息查询</w:t>
            </w:r>
          </w:p>
        </w:tc>
      </w:tr>
      <w:tr w14:paraId="4D8AB74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604AC3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40</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4CF50CC">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0F24D05B">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EF1BAA4">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全部当班科室号源信息查询</w:t>
            </w:r>
          </w:p>
        </w:tc>
      </w:tr>
      <w:tr w14:paraId="60A74F8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0918C5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41</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6C074DD">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3A4F7BA6">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5922671">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线下就诊当班医生号源信息查询</w:t>
            </w:r>
          </w:p>
        </w:tc>
      </w:tr>
      <w:tr w14:paraId="3412EEA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403AB0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548E55E3">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3C11171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4CEC1F5">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线上就诊当班医生号源信息查询</w:t>
            </w:r>
          </w:p>
        </w:tc>
      </w:tr>
      <w:tr w14:paraId="633D135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79A236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288361C">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55648CB7">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F13F02">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全部当班医生号源信息查询</w:t>
            </w:r>
          </w:p>
        </w:tc>
      </w:tr>
      <w:tr w14:paraId="5A3AE4C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6DC682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02CB3EB">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11BCCBA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58F5522">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线下就诊当天排班号序查询</w:t>
            </w:r>
          </w:p>
        </w:tc>
      </w:tr>
      <w:tr w14:paraId="209F4AB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B10C35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7C99367">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6CD5DFB6">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BBE1E1F">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线上就诊当天排班号序查询</w:t>
            </w:r>
          </w:p>
        </w:tc>
      </w:tr>
      <w:tr w14:paraId="38EC4A4F">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96D84F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898CCE6">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2819B51B">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DDA94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全部当天排班号序查询</w:t>
            </w:r>
          </w:p>
        </w:tc>
      </w:tr>
      <w:tr w14:paraId="7A70D373">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A95411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E11E296">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7ADE6DB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9E8E8E">
            <w:pPr>
              <w:ind w:left="0" w:firstLine="0" w:firstLineChars="0"/>
              <w:rPr>
                <w:rFonts w:hint="eastAsia" w:ascii="宋体" w:hAnsi="宋体" w:eastAsia="宋体" w:cs="宋体"/>
                <w:color w:val="auto"/>
                <w:kern w:val="0"/>
                <w:szCs w:val="30"/>
              </w:rPr>
            </w:pPr>
            <w:bookmarkStart w:id="194" w:name="_Toc10701"/>
            <w:r>
              <w:rPr>
                <w:rFonts w:hint="eastAsia" w:ascii="宋体" w:hAnsi="宋体" w:eastAsia="宋体" w:cs="宋体"/>
                <w:color w:val="auto"/>
                <w:szCs w:val="30"/>
              </w:rPr>
              <w:t>关联当前挂号途径查询门诊患者挂号记录(PATID)</w:t>
            </w:r>
            <w:bookmarkEnd w:id="194"/>
          </w:p>
        </w:tc>
      </w:tr>
      <w:tr w14:paraId="6A4920A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108EB6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48</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6C8E040">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07E27C12">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1FFAEE">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不关联挂号途径查询门诊患者挂号记录(PATID)</w:t>
            </w:r>
          </w:p>
        </w:tc>
      </w:tr>
      <w:tr w14:paraId="6355B93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E09879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49</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78DC3489">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067A2E1D">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AE78CC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关联当前挂号途径查询门诊患者挂号记录(ghxh)</w:t>
            </w:r>
          </w:p>
        </w:tc>
      </w:tr>
      <w:tr w14:paraId="38DB630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53D48FC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50</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C5EEFF4">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18F86EF6">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1EB7183">
            <w:pPr>
              <w:ind w:left="0" w:firstLine="0" w:firstLineChars="0"/>
              <w:rPr>
                <w:rFonts w:hint="eastAsia" w:ascii="宋体" w:hAnsi="宋体" w:eastAsia="宋体" w:cs="宋体"/>
                <w:color w:val="auto"/>
                <w:kern w:val="0"/>
                <w:szCs w:val="30"/>
              </w:rPr>
            </w:pPr>
            <w:bookmarkStart w:id="195" w:name="_Toc6537"/>
            <w:r>
              <w:rPr>
                <w:rFonts w:hint="eastAsia" w:ascii="宋体" w:hAnsi="宋体" w:eastAsia="宋体" w:cs="宋体"/>
                <w:color w:val="auto"/>
                <w:szCs w:val="30"/>
              </w:rPr>
              <w:t>不关联挂号途径查询门诊患者挂号记录(ghxh)</w:t>
            </w:r>
            <w:bookmarkEnd w:id="195"/>
          </w:p>
        </w:tc>
      </w:tr>
      <w:tr w14:paraId="4D48ECF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740EE5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51</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4B0BB1BF">
            <w:pPr>
              <w:ind w:firstLine="600"/>
              <w:jc w:val="center"/>
              <w:rPr>
                <w:rFonts w:hint="eastAsia" w:ascii="宋体" w:hAnsi="宋体" w:eastAsia="宋体" w:cs="宋体"/>
                <w:color w:val="auto"/>
                <w:kern w:val="0"/>
                <w:szCs w:val="30"/>
              </w:rPr>
            </w:pPr>
          </w:p>
        </w:tc>
        <w:tc>
          <w:tcPr>
            <w:tcW w:w="1360" w:type="dxa"/>
            <w:vMerge w:val="restart"/>
            <w:tcBorders>
              <w:top w:val="single" w:color="auto" w:sz="4" w:space="0"/>
              <w:left w:val="single" w:color="auto" w:sz="4" w:space="0"/>
              <w:right w:val="single" w:color="auto" w:sz="4" w:space="0"/>
            </w:tcBorders>
            <w:vAlign w:val="center"/>
          </w:tcPr>
          <w:p w14:paraId="49ABAE99">
            <w:pPr>
              <w:ind w:left="0" w:firstLine="0" w:firstLineChars="0"/>
              <w:jc w:val="both"/>
              <w:rPr>
                <w:rFonts w:hint="eastAsia" w:ascii="宋体" w:hAnsi="宋体" w:eastAsia="宋体" w:cs="宋体"/>
                <w:color w:val="auto"/>
                <w:kern w:val="0"/>
                <w:szCs w:val="30"/>
              </w:rPr>
            </w:pPr>
            <w:bookmarkStart w:id="196" w:name="_Toc5724"/>
            <w:r>
              <w:rPr>
                <w:rFonts w:hint="eastAsia" w:ascii="宋体" w:hAnsi="宋体" w:eastAsia="宋体" w:cs="宋体"/>
                <w:color w:val="auto"/>
                <w:szCs w:val="30"/>
              </w:rPr>
              <w:t>业务操作类</w:t>
            </w:r>
            <w:bookmarkEnd w:id="196"/>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2F40B6">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线下就诊进行门诊挂号预算</w:t>
            </w:r>
          </w:p>
        </w:tc>
      </w:tr>
      <w:tr w14:paraId="1EF35969">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384D54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52</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9EA2AFE">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vAlign w:val="center"/>
          </w:tcPr>
          <w:p w14:paraId="23C0D5A4">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7A383A1">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线上就诊进行门诊挂号预算</w:t>
            </w:r>
          </w:p>
        </w:tc>
      </w:tr>
      <w:tr w14:paraId="5B69B4C1">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DDF05E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53</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57966091">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vAlign w:val="center"/>
          </w:tcPr>
          <w:p w14:paraId="14487D42">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AFE25EF">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60图文就诊进行门诊挂号预算</w:t>
            </w:r>
          </w:p>
        </w:tc>
      </w:tr>
      <w:tr w14:paraId="49F5807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FE5FCD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5DC5E1C1">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vAlign w:val="center"/>
          </w:tcPr>
          <w:p w14:paraId="0FE37ADA">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7F4C83">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60视频就诊进行门诊挂号预算</w:t>
            </w:r>
          </w:p>
        </w:tc>
      </w:tr>
      <w:tr w14:paraId="54C5038C">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8B68CA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55</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F78ECBA">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749608F8">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D6EB88">
            <w:pPr>
              <w:ind w:left="0" w:firstLine="0" w:firstLineChars="0"/>
              <w:rPr>
                <w:rFonts w:hint="eastAsia" w:ascii="宋体" w:hAnsi="宋体" w:eastAsia="宋体" w:cs="宋体"/>
                <w:color w:val="auto"/>
                <w:kern w:val="0"/>
                <w:szCs w:val="30"/>
              </w:rPr>
            </w:pPr>
            <w:bookmarkStart w:id="197" w:name="_Toc32326"/>
            <w:r>
              <w:rPr>
                <w:rFonts w:hint="eastAsia" w:ascii="宋体" w:hAnsi="宋体" w:eastAsia="宋体" w:cs="宋体"/>
                <w:color w:val="auto"/>
                <w:szCs w:val="30"/>
              </w:rPr>
              <w:t xml:space="preserve">门诊医保挂号结算 </w:t>
            </w:r>
            <w:bookmarkEnd w:id="197"/>
          </w:p>
        </w:tc>
      </w:tr>
      <w:tr w14:paraId="56D1C03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7160C2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0E7ACC00">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tcPr>
          <w:p w14:paraId="4D0D4714">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05460E1">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 xml:space="preserve">门诊自费挂号结算 </w:t>
            </w:r>
          </w:p>
        </w:tc>
      </w:tr>
      <w:tr w14:paraId="49ACF9D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0ED645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57</w:t>
            </w:r>
          </w:p>
        </w:tc>
        <w:tc>
          <w:tcPr>
            <w:tcW w:w="2080" w:type="dxa"/>
            <w:vMerge w:val="continue"/>
            <w:tcBorders>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D594C8B">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4760CAEF">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AA5D785">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门诊医保挂号取消</w:t>
            </w:r>
          </w:p>
        </w:tc>
      </w:tr>
      <w:tr w14:paraId="7983694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5AA1CD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58</w:t>
            </w:r>
          </w:p>
        </w:tc>
        <w:tc>
          <w:tcPr>
            <w:tcW w:w="2080" w:type="dxa"/>
            <w:vMerge w:val="continue"/>
            <w:tcBorders>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4D5506">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bottom w:val="single" w:color="auto" w:sz="4" w:space="0"/>
              <w:right w:val="single" w:color="auto" w:sz="4" w:space="0"/>
            </w:tcBorders>
          </w:tcPr>
          <w:p w14:paraId="48CF6D6E">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335BBF3">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门诊自费挂号取消</w:t>
            </w:r>
          </w:p>
        </w:tc>
      </w:tr>
      <w:tr w14:paraId="7A3CBC0C">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C1889B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65</w:t>
            </w:r>
          </w:p>
        </w:tc>
        <w:tc>
          <w:tcPr>
            <w:tcW w:w="2080" w:type="dxa"/>
            <w:vMerge w:val="restart"/>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D702A1">
            <w:pPr>
              <w:ind w:left="0" w:firstLine="0" w:firstLineChars="0"/>
              <w:jc w:val="both"/>
              <w:rPr>
                <w:rFonts w:hint="eastAsia" w:ascii="宋体" w:hAnsi="宋体" w:eastAsia="宋体" w:cs="宋体"/>
                <w:color w:val="auto"/>
                <w:kern w:val="0"/>
                <w:szCs w:val="30"/>
              </w:rPr>
            </w:pPr>
            <w:bookmarkStart w:id="198" w:name="_Toc28128"/>
            <w:r>
              <w:rPr>
                <w:rFonts w:hint="default" w:ascii="宋体" w:hAnsi="宋体" w:eastAsia="宋体" w:cs="宋体"/>
                <w:color w:val="auto"/>
                <w:spacing w:val="-2"/>
                <w:lang w:val="en-US" w:eastAsia="zh-CN"/>
              </w:rPr>
              <w:t>√</w:t>
            </w:r>
            <w:r>
              <w:rPr>
                <w:rFonts w:hint="eastAsia" w:ascii="宋体" w:hAnsi="宋体" w:eastAsia="宋体" w:cs="宋体"/>
                <w:color w:val="auto"/>
                <w:szCs w:val="30"/>
              </w:rPr>
              <w:t>门诊缴费</w:t>
            </w:r>
            <w:bookmarkEnd w:id="198"/>
          </w:p>
        </w:tc>
        <w:tc>
          <w:tcPr>
            <w:tcW w:w="1360" w:type="dxa"/>
            <w:vMerge w:val="restart"/>
            <w:tcBorders>
              <w:top w:val="single" w:color="auto" w:sz="4" w:space="0"/>
              <w:left w:val="single" w:color="auto" w:sz="4" w:space="0"/>
              <w:bottom w:val="single" w:color="auto" w:sz="4" w:space="0"/>
              <w:right w:val="single" w:color="auto" w:sz="4" w:space="0"/>
            </w:tcBorders>
            <w:vAlign w:val="center"/>
          </w:tcPr>
          <w:p w14:paraId="54507C83">
            <w:pPr>
              <w:ind w:left="0" w:firstLine="0" w:firstLineChars="0"/>
              <w:jc w:val="both"/>
              <w:rPr>
                <w:rFonts w:hint="eastAsia" w:ascii="宋体" w:hAnsi="宋体" w:eastAsia="宋体" w:cs="宋体"/>
                <w:color w:val="auto"/>
                <w:kern w:val="0"/>
                <w:szCs w:val="30"/>
              </w:rPr>
            </w:pPr>
            <w:bookmarkStart w:id="199" w:name="_Toc29799"/>
            <w:r>
              <w:rPr>
                <w:rFonts w:hint="eastAsia" w:ascii="宋体" w:hAnsi="宋体" w:eastAsia="宋体" w:cs="宋体"/>
                <w:color w:val="auto"/>
                <w:szCs w:val="30"/>
              </w:rPr>
              <w:t>查询类</w:t>
            </w:r>
            <w:bookmarkEnd w:id="199"/>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0FA5AA6">
            <w:pPr>
              <w:ind w:left="0" w:firstLine="0" w:firstLineChars="0"/>
              <w:rPr>
                <w:rFonts w:hint="eastAsia" w:ascii="宋体" w:hAnsi="宋体" w:eastAsia="宋体" w:cs="宋体"/>
                <w:color w:val="auto"/>
                <w:kern w:val="0"/>
                <w:szCs w:val="30"/>
              </w:rPr>
            </w:pPr>
            <w:bookmarkStart w:id="200" w:name="_Toc13404"/>
            <w:r>
              <w:rPr>
                <w:rFonts w:hint="eastAsia" w:ascii="宋体" w:hAnsi="宋体" w:eastAsia="宋体" w:cs="宋体"/>
                <w:color w:val="auto"/>
                <w:szCs w:val="30"/>
              </w:rPr>
              <w:t>查询门诊患者正常收费结算信息(PATID)</w:t>
            </w:r>
            <w:bookmarkEnd w:id="200"/>
          </w:p>
        </w:tc>
      </w:tr>
      <w:tr w14:paraId="2420506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2D3A62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66</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3CF819AA">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2D6C85F6">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1058DF">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查询门诊患者退费结算信息(PATID)</w:t>
            </w:r>
          </w:p>
        </w:tc>
      </w:tr>
      <w:tr w14:paraId="1F717FB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AAD7B5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67</w:t>
            </w:r>
          </w:p>
        </w:tc>
        <w:tc>
          <w:tcPr>
            <w:tcW w:w="2080" w:type="dxa"/>
            <w:vMerge w:val="continue"/>
            <w:tcBorders>
              <w:left w:val="single" w:color="auto" w:sz="4" w:space="0"/>
              <w:right w:val="single" w:color="auto" w:sz="4" w:space="0"/>
            </w:tcBorders>
            <w:shd w:val="clear" w:color="auto" w:fill="auto"/>
            <w:tcMar>
              <w:top w:w="83" w:type="dxa"/>
              <w:left w:w="180" w:type="dxa"/>
              <w:bottom w:w="83" w:type="dxa"/>
              <w:right w:w="180" w:type="dxa"/>
            </w:tcMar>
            <w:vAlign w:val="center"/>
          </w:tcPr>
          <w:p w14:paraId="2AC40635">
            <w:pPr>
              <w:ind w:firstLine="600"/>
              <w:jc w:val="center"/>
              <w:rPr>
                <w:rFonts w:hint="eastAsia" w:ascii="宋体" w:hAnsi="宋体" w:eastAsia="宋体" w:cs="宋体"/>
                <w:color w:val="auto"/>
                <w:szCs w:val="30"/>
              </w:rPr>
            </w:pPr>
          </w:p>
        </w:tc>
        <w:tc>
          <w:tcPr>
            <w:tcW w:w="1360" w:type="dxa"/>
            <w:vMerge w:val="continue"/>
            <w:tcBorders>
              <w:left w:val="single" w:color="auto" w:sz="4" w:space="0"/>
              <w:right w:val="single" w:color="auto" w:sz="4" w:space="0"/>
            </w:tcBorders>
            <w:vAlign w:val="center"/>
          </w:tcPr>
          <w:p w14:paraId="52EBC06B">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074FC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查询门诊患者红冲结算信息(PATID)</w:t>
            </w:r>
          </w:p>
        </w:tc>
      </w:tr>
      <w:tr w14:paraId="444EFBF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BB66A2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68</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3D8F282">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1A6827CB">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0F990FC">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西药处方</w:t>
            </w:r>
            <w:r>
              <w:rPr>
                <w:rFonts w:hint="eastAsia" w:ascii="宋体" w:hAnsi="宋体" w:eastAsia="宋体" w:cs="宋体"/>
                <w:color w:val="auto"/>
                <w:szCs w:val="30"/>
              </w:rPr>
              <w:t>收费结算明细信息</w:t>
            </w:r>
          </w:p>
        </w:tc>
      </w:tr>
      <w:tr w14:paraId="28302A4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54CC223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69</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7BEF70">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54AAA94">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B941C7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中药处方</w:t>
            </w:r>
            <w:r>
              <w:rPr>
                <w:rFonts w:hint="eastAsia" w:ascii="宋体" w:hAnsi="宋体" w:eastAsia="宋体" w:cs="宋体"/>
                <w:color w:val="auto"/>
                <w:szCs w:val="30"/>
              </w:rPr>
              <w:t>收费结算明细信息</w:t>
            </w:r>
          </w:p>
        </w:tc>
      </w:tr>
      <w:tr w14:paraId="407A2955">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767FCA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70</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B035260">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2B0F9E2E">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8D14CC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查询门诊患者草</w:t>
            </w:r>
            <w:r>
              <w:rPr>
                <w:rFonts w:hint="eastAsia" w:ascii="宋体" w:hAnsi="宋体" w:eastAsia="宋体" w:cs="宋体"/>
                <w:color w:val="auto"/>
                <w:szCs w:val="30"/>
                <w:lang w:val="zh-CN"/>
              </w:rPr>
              <w:t>药处方</w:t>
            </w:r>
            <w:r>
              <w:rPr>
                <w:rFonts w:hint="eastAsia" w:ascii="宋体" w:hAnsi="宋体" w:eastAsia="宋体" w:cs="宋体"/>
                <w:color w:val="auto"/>
                <w:szCs w:val="30"/>
              </w:rPr>
              <w:t>收费结算明细信息</w:t>
            </w:r>
          </w:p>
        </w:tc>
      </w:tr>
      <w:tr w14:paraId="6693DBB6">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46DAD9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71</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2F8A837">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5C38F31F">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A50C62">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治疗处方</w:t>
            </w:r>
            <w:r>
              <w:rPr>
                <w:rFonts w:hint="eastAsia" w:ascii="宋体" w:hAnsi="宋体" w:eastAsia="宋体" w:cs="宋体"/>
                <w:color w:val="auto"/>
                <w:szCs w:val="30"/>
              </w:rPr>
              <w:t>收费结算明细信息</w:t>
            </w:r>
          </w:p>
        </w:tc>
      </w:tr>
      <w:tr w14:paraId="40DF68B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83ECF6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72</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44E553A">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5EEF6B25">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EF14CCC">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医技</w:t>
            </w:r>
            <w:r>
              <w:rPr>
                <w:rFonts w:hint="eastAsia" w:ascii="宋体" w:hAnsi="宋体" w:eastAsia="宋体" w:cs="宋体"/>
                <w:color w:val="auto"/>
                <w:szCs w:val="30"/>
              </w:rPr>
              <w:t>收费结算明细信息</w:t>
            </w:r>
          </w:p>
        </w:tc>
      </w:tr>
      <w:tr w14:paraId="209D16AB">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828523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73</w:t>
            </w:r>
          </w:p>
        </w:tc>
        <w:tc>
          <w:tcPr>
            <w:tcW w:w="2080" w:type="dxa"/>
            <w:vMerge w:val="restart"/>
            <w:tcBorders>
              <w:top w:val="single" w:color="auto" w:sz="4" w:space="0"/>
              <w:left w:val="single" w:color="auto" w:sz="4" w:space="0"/>
              <w:right w:val="single" w:color="auto" w:sz="4" w:space="0"/>
            </w:tcBorders>
            <w:shd w:val="clear" w:color="auto" w:fill="auto"/>
            <w:tcMar>
              <w:top w:w="83" w:type="dxa"/>
              <w:left w:w="180" w:type="dxa"/>
              <w:bottom w:w="83" w:type="dxa"/>
              <w:right w:w="180" w:type="dxa"/>
            </w:tcMar>
            <w:vAlign w:val="center"/>
          </w:tcPr>
          <w:p w14:paraId="2BAE802C">
            <w:pPr>
              <w:ind w:firstLine="600"/>
              <w:jc w:val="center"/>
              <w:rPr>
                <w:rFonts w:hint="eastAsia" w:ascii="宋体" w:hAnsi="宋体" w:eastAsia="宋体" w:cs="宋体"/>
                <w:color w:val="auto"/>
                <w:kern w:val="0"/>
                <w:szCs w:val="30"/>
              </w:rPr>
            </w:pPr>
          </w:p>
        </w:tc>
        <w:tc>
          <w:tcPr>
            <w:tcW w:w="1360" w:type="dxa"/>
            <w:vMerge w:val="restart"/>
            <w:tcBorders>
              <w:top w:val="single" w:color="auto" w:sz="4" w:space="0"/>
              <w:left w:val="single" w:color="auto" w:sz="4" w:space="0"/>
              <w:right w:val="single" w:color="auto" w:sz="4" w:space="0"/>
            </w:tcBorders>
          </w:tcPr>
          <w:p w14:paraId="460D3D9B">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8BD66E5">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体检处方</w:t>
            </w:r>
            <w:r>
              <w:rPr>
                <w:rFonts w:hint="eastAsia" w:ascii="宋体" w:hAnsi="宋体" w:eastAsia="宋体" w:cs="宋体"/>
                <w:color w:val="auto"/>
                <w:szCs w:val="30"/>
              </w:rPr>
              <w:t>收费结算明细信息</w:t>
            </w:r>
          </w:p>
        </w:tc>
      </w:tr>
      <w:tr w14:paraId="2FD593E7">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2E142F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74</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8ED1158">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3962B40">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84904F6">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w:t>
            </w:r>
            <w:r>
              <w:rPr>
                <w:rFonts w:hint="eastAsia" w:ascii="宋体" w:hAnsi="宋体" w:eastAsia="宋体" w:cs="宋体"/>
                <w:color w:val="auto"/>
                <w:szCs w:val="30"/>
                <w:lang w:val="zh-CN"/>
              </w:rPr>
              <w:t>自动挂号产生挂号收费信息</w:t>
            </w:r>
            <w:r>
              <w:rPr>
                <w:rFonts w:hint="eastAsia" w:ascii="宋体" w:hAnsi="宋体" w:eastAsia="宋体" w:cs="宋体"/>
                <w:color w:val="auto"/>
                <w:szCs w:val="30"/>
              </w:rPr>
              <w:t>收费结算明细信息</w:t>
            </w:r>
          </w:p>
        </w:tc>
      </w:tr>
      <w:tr w14:paraId="0CF8E540">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A61087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75</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157A97">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23F4948">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003ABF1">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查询门诊患者未结算的待缴费处方信息(PATID)</w:t>
            </w:r>
          </w:p>
        </w:tc>
      </w:tr>
      <w:tr w14:paraId="17170C06">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7A9ACC7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76</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7D3BC7">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5647CCA">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1622567">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查询门诊患者预算完成的待缴费处方信息(PATID)</w:t>
            </w:r>
          </w:p>
        </w:tc>
      </w:tr>
      <w:tr w14:paraId="1B0D81E2">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255C4BA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77</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C2D8322">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069E8415">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F5FE729">
            <w:pPr>
              <w:ind w:left="0" w:firstLine="0" w:firstLineChars="0"/>
              <w:rPr>
                <w:rFonts w:hint="eastAsia" w:ascii="宋体" w:hAnsi="宋体" w:eastAsia="宋体" w:cs="宋体"/>
                <w:color w:val="auto"/>
                <w:kern w:val="0"/>
                <w:szCs w:val="30"/>
              </w:rPr>
            </w:pPr>
            <w:bookmarkStart w:id="201" w:name="_Toc7089"/>
            <w:r>
              <w:rPr>
                <w:rFonts w:hint="eastAsia" w:ascii="宋体" w:hAnsi="宋体" w:eastAsia="宋体" w:cs="宋体"/>
                <w:color w:val="auto"/>
                <w:szCs w:val="30"/>
              </w:rPr>
              <w:t>查询门诊患者已正常结算的待缴费处方信息(PATID)</w:t>
            </w:r>
            <w:bookmarkEnd w:id="201"/>
          </w:p>
        </w:tc>
      </w:tr>
      <w:tr w14:paraId="64A4A706">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044C156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78</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1EB01C">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814326C">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1E00C03">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查询门诊患者无需结算(仅限自备标识=1时)的待缴费处方信息(PATID)</w:t>
            </w:r>
          </w:p>
        </w:tc>
      </w:tr>
      <w:tr w14:paraId="28622CF6">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F555AE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79</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EBBCFCD">
            <w:pPr>
              <w:ind w:firstLine="600"/>
              <w:jc w:val="center"/>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42D4AFA0">
            <w:pPr>
              <w:ind w:firstLine="600"/>
              <w:jc w:val="center"/>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FE807BF">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查询支付结果</w:t>
            </w:r>
          </w:p>
        </w:tc>
      </w:tr>
      <w:tr w14:paraId="658A67AA">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934A77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80</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4AAB9FE">
            <w:pPr>
              <w:ind w:firstLine="600"/>
              <w:jc w:val="center"/>
              <w:rPr>
                <w:rFonts w:hint="eastAsia" w:ascii="宋体" w:hAnsi="宋体" w:eastAsia="宋体" w:cs="宋体"/>
                <w:color w:val="auto"/>
                <w:kern w:val="0"/>
                <w:szCs w:val="30"/>
              </w:rPr>
            </w:pPr>
          </w:p>
        </w:tc>
        <w:tc>
          <w:tcPr>
            <w:tcW w:w="1360" w:type="dxa"/>
            <w:vMerge w:val="restart"/>
            <w:tcBorders>
              <w:top w:val="single" w:color="auto" w:sz="4" w:space="0"/>
              <w:left w:val="single" w:color="auto" w:sz="4" w:space="0"/>
              <w:bottom w:val="single" w:color="auto" w:sz="4" w:space="0"/>
              <w:right w:val="single" w:color="auto" w:sz="4" w:space="0"/>
            </w:tcBorders>
            <w:vAlign w:val="center"/>
          </w:tcPr>
          <w:p w14:paraId="4E7C184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业务操作类</w:t>
            </w: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FF420FE">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可进行不从院内账户走的门诊收费预算</w:t>
            </w:r>
          </w:p>
        </w:tc>
      </w:tr>
      <w:tr w14:paraId="2D280944">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3279A8F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81</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D2F7590">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vAlign w:val="center"/>
          </w:tcPr>
          <w:p w14:paraId="5A472BD0">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0EC987B">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可进行走院内账户的门诊收费预算</w:t>
            </w:r>
          </w:p>
        </w:tc>
      </w:tr>
      <w:tr w14:paraId="572600BE">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1BA6061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82</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131EA2F">
            <w:pPr>
              <w:ind w:firstLine="600"/>
              <w:jc w:val="center"/>
              <w:rPr>
                <w:rFonts w:hint="eastAsia" w:ascii="宋体" w:hAnsi="宋体" w:eastAsia="宋体" w:cs="宋体"/>
                <w:color w:val="auto"/>
                <w:kern w:val="0"/>
                <w:szCs w:val="30"/>
              </w:rPr>
            </w:pPr>
          </w:p>
        </w:tc>
        <w:tc>
          <w:tcPr>
            <w:tcW w:w="1360" w:type="dxa"/>
            <w:vMerge w:val="continue"/>
            <w:tcBorders>
              <w:left w:val="single" w:color="auto" w:sz="4" w:space="0"/>
              <w:right w:val="single" w:color="auto" w:sz="4" w:space="0"/>
            </w:tcBorders>
            <w:vAlign w:val="center"/>
          </w:tcPr>
          <w:p w14:paraId="024DF183">
            <w:pPr>
              <w:ind w:firstLine="600"/>
              <w:jc w:val="center"/>
              <w:rPr>
                <w:rFonts w:hint="eastAsia" w:ascii="宋体" w:hAnsi="宋体" w:eastAsia="宋体" w:cs="宋体"/>
                <w:color w:val="auto"/>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E33FE8">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可进行不从院内账户走的门诊收费结算</w:t>
            </w:r>
          </w:p>
        </w:tc>
      </w:tr>
      <w:tr w14:paraId="7DB3E7B8">
        <w:tblPrEx>
          <w:tblCellMar>
            <w:top w:w="15" w:type="dxa"/>
            <w:left w:w="15" w:type="dxa"/>
            <w:bottom w:w="15" w:type="dxa"/>
            <w:right w:w="15" w:type="dxa"/>
          </w:tblCellMar>
        </w:tblPrEx>
        <w:trPr>
          <w:trHeight w:val="454" w:hRule="atLeast"/>
        </w:trPr>
        <w:tc>
          <w:tcPr>
            <w:tcW w:w="1258" w:type="dxa"/>
            <w:tcBorders>
              <w:top w:val="single" w:color="auto" w:sz="4" w:space="0"/>
              <w:left w:val="single" w:color="auto" w:sz="4" w:space="0"/>
              <w:bottom w:val="single" w:color="auto" w:sz="4" w:space="0"/>
              <w:right w:val="single" w:color="auto" w:sz="4" w:space="0"/>
            </w:tcBorders>
            <w:vAlign w:val="center"/>
          </w:tcPr>
          <w:p w14:paraId="4C1DAE5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83</w:t>
            </w:r>
          </w:p>
        </w:tc>
        <w:tc>
          <w:tcPr>
            <w:tcW w:w="2080" w:type="dxa"/>
            <w:vMerge w:val="continue"/>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E7EFA3">
            <w:pPr>
              <w:ind w:firstLine="600"/>
              <w:rPr>
                <w:rFonts w:hint="eastAsia" w:ascii="宋体" w:hAnsi="宋体" w:eastAsia="宋体" w:cs="宋体"/>
                <w:color w:val="auto"/>
                <w:kern w:val="0"/>
                <w:szCs w:val="30"/>
              </w:rPr>
            </w:pPr>
          </w:p>
        </w:tc>
        <w:tc>
          <w:tcPr>
            <w:tcW w:w="1360" w:type="dxa"/>
            <w:vMerge w:val="continue"/>
            <w:tcBorders>
              <w:top w:val="single" w:color="auto" w:sz="4" w:space="0"/>
              <w:left w:val="single" w:color="auto" w:sz="4" w:space="0"/>
              <w:bottom w:val="single" w:color="auto" w:sz="4" w:space="0"/>
              <w:right w:val="single" w:color="auto" w:sz="4" w:space="0"/>
            </w:tcBorders>
          </w:tcPr>
          <w:p w14:paraId="5310577D">
            <w:pPr>
              <w:ind w:firstLine="600"/>
              <w:rPr>
                <w:rFonts w:hint="eastAsia" w:ascii="宋体" w:hAnsi="宋体" w:eastAsia="宋体" w:cs="宋体"/>
                <w:color w:val="auto"/>
                <w:kern w:val="0"/>
                <w:szCs w:val="30"/>
              </w:rPr>
            </w:pPr>
          </w:p>
        </w:tc>
        <w:tc>
          <w:tcPr>
            <w:tcW w:w="425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F82701E">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可进行走院内账户的门诊收费结算</w:t>
            </w:r>
          </w:p>
        </w:tc>
      </w:tr>
    </w:tbl>
    <w:p w14:paraId="1391186B">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0" w:line="360" w:lineRule="auto"/>
        <w:ind w:left="425" w:leftChars="0" w:firstLine="0" w:firstLineChars="0"/>
        <w:textAlignment w:val="auto"/>
        <w:rPr>
          <w:b/>
          <w:color w:val="auto"/>
          <w:sz w:val="24"/>
        </w:rPr>
      </w:pPr>
      <w:r>
        <w:rPr>
          <w:b/>
          <w:color w:val="auto"/>
          <w:spacing w:val="-2"/>
          <w:sz w:val="24"/>
        </w:rPr>
        <w:t>江苏医保云（业务开发</w:t>
      </w:r>
      <w:r>
        <w:rPr>
          <w:b/>
          <w:color w:val="auto"/>
          <w:spacing w:val="-10"/>
          <w:sz w:val="24"/>
        </w:rPr>
        <w:t>）</w:t>
      </w:r>
    </w:p>
    <w:p w14:paraId="5500C07D">
      <w:pPr>
        <w:pStyle w:val="4"/>
        <w:keepNext w:val="0"/>
        <w:keepLines w:val="0"/>
        <w:pageBreakBefore w:val="0"/>
        <w:widowControl w:val="0"/>
        <w:kinsoku/>
        <w:wordWrap/>
        <w:overflowPunct/>
        <w:topLinePunct w:val="0"/>
        <w:autoSpaceDE w:val="0"/>
        <w:autoSpaceDN w:val="0"/>
        <w:bidi w:val="0"/>
        <w:adjustRightInd/>
        <w:snapToGrid/>
        <w:spacing w:before="0" w:line="360" w:lineRule="auto"/>
        <w:ind w:right="350" w:firstLine="479"/>
        <w:textAlignment w:val="auto"/>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t>√按照“江苏省医保云”的接口要求完成接口开发，满足医院使用需求。</w:t>
      </w:r>
    </w:p>
    <w:tbl>
      <w:tblPr>
        <w:tblStyle w:val="13"/>
        <w:tblW w:w="9035" w:type="dxa"/>
        <w:jc w:val="center"/>
        <w:tblLayout w:type="fixed"/>
        <w:tblCellMar>
          <w:top w:w="15" w:type="dxa"/>
          <w:left w:w="15" w:type="dxa"/>
          <w:bottom w:w="15" w:type="dxa"/>
          <w:right w:w="15" w:type="dxa"/>
        </w:tblCellMar>
      </w:tblPr>
      <w:tblGrid>
        <w:gridCol w:w="1399"/>
        <w:gridCol w:w="1660"/>
        <w:gridCol w:w="2700"/>
        <w:gridCol w:w="3276"/>
      </w:tblGrid>
      <w:tr w14:paraId="475F22B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80916D8">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序号</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38732D7">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接口编号</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9DB2C2C">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接口名称</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F404798">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描 述</w:t>
            </w:r>
          </w:p>
        </w:tc>
      </w:tr>
      <w:tr w14:paraId="635ACFE7">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8C9F8F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1E071A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14C2E5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获取医院患者ID信息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BF49CAB">
            <w:pPr>
              <w:ind w:left="0" w:firstLine="0" w:firstLineChars="0"/>
              <w:rPr>
                <w:rFonts w:hint="eastAsia" w:ascii="宋体" w:hAnsi="宋体" w:eastAsia="宋体" w:cs="宋体"/>
                <w:color w:val="auto"/>
                <w:kern w:val="0"/>
                <w:szCs w:val="30"/>
              </w:rPr>
            </w:pPr>
            <w:r>
              <w:rPr>
                <w:rFonts w:hint="eastAsia" w:ascii="宋体" w:hAnsi="宋体" w:eastAsia="宋体" w:cs="宋体"/>
                <w:color w:val="auto"/>
                <w:kern w:val="0"/>
                <w:szCs w:val="30"/>
              </w:rPr>
              <w:t>获取门急诊患者ID信息</w:t>
            </w:r>
          </w:p>
        </w:tc>
      </w:tr>
      <w:tr w14:paraId="76C219B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6E0BE0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46CEDB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73F78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获取医院患者ID信息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F18670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获取住院患者ID信息</w:t>
            </w:r>
          </w:p>
        </w:tc>
      </w:tr>
      <w:tr w14:paraId="283A4EF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827B81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CEF1B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45837F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获取院区信息查询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601342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获取院区信息查询</w:t>
            </w:r>
          </w:p>
        </w:tc>
      </w:tr>
      <w:tr w14:paraId="1C03EC5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07CE4C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00813F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0A9B56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F2F0D2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输入院区代码</w:t>
            </w:r>
            <w:r>
              <w:rPr>
                <w:rFonts w:hint="eastAsia" w:ascii="宋体" w:hAnsi="宋体" w:eastAsia="宋体" w:cs="宋体"/>
                <w:color w:val="auto"/>
                <w:kern w:val="0"/>
                <w:szCs w:val="30"/>
              </w:rPr>
              <w:t>获取门急诊科室列表信息</w:t>
            </w:r>
          </w:p>
        </w:tc>
      </w:tr>
      <w:tr w14:paraId="064DBF4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3A7D8A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87819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FB4735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BC4F77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输入院区代码</w:t>
            </w:r>
            <w:r>
              <w:rPr>
                <w:rFonts w:hint="eastAsia" w:ascii="宋体" w:hAnsi="宋体" w:eastAsia="宋体" w:cs="宋体"/>
                <w:color w:val="auto"/>
                <w:kern w:val="0"/>
                <w:szCs w:val="30"/>
              </w:rPr>
              <w:t>获取住院科室列表信息</w:t>
            </w:r>
          </w:p>
        </w:tc>
      </w:tr>
      <w:tr w14:paraId="4702BBA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E4E946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03E63E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C3D7E2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FD11B98">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w:t>
            </w:r>
            <w:r>
              <w:rPr>
                <w:rFonts w:hint="eastAsia" w:ascii="宋体" w:hAnsi="宋体" w:eastAsia="宋体" w:cs="宋体"/>
                <w:color w:val="auto"/>
                <w:kern w:val="0"/>
                <w:szCs w:val="30"/>
              </w:rPr>
              <w:t>获取其它科室列表信息</w:t>
            </w:r>
          </w:p>
        </w:tc>
      </w:tr>
      <w:tr w14:paraId="571765C0">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4CCC6E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678DE9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3E14E0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B0C5BE9">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输入院区代码+科室代码精确查询门急诊科室信息</w:t>
            </w:r>
          </w:p>
        </w:tc>
      </w:tr>
      <w:tr w14:paraId="4735844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889FE2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769065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67480D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7A6BC82">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输入院区代码+科室代码精确查询住院科室信息</w:t>
            </w:r>
          </w:p>
        </w:tc>
      </w:tr>
      <w:tr w14:paraId="36703C4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40CC66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C717CA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5CCA57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52F51C">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输入院区代码+科室代码精确查询其它科室信息</w:t>
            </w:r>
          </w:p>
        </w:tc>
      </w:tr>
      <w:tr w14:paraId="4C8F7A8A">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8E864C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BECC2B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A18214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0E7250D">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输入院区代码+科室名称模糊查询门急诊科室信息</w:t>
            </w:r>
          </w:p>
        </w:tc>
      </w:tr>
      <w:tr w14:paraId="09E1BBB7">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DBC4A7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C95275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F9A6F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C35713D">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输入院区代码+科室名称模糊查询住院科室信息</w:t>
            </w:r>
          </w:p>
        </w:tc>
      </w:tr>
      <w:tr w14:paraId="31F8E5F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38F3D3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D82E35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19343E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71657D">
            <w:pPr>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输入院区代码+科室名称模糊查询其它科室信息</w:t>
            </w:r>
          </w:p>
        </w:tc>
      </w:tr>
      <w:tr w14:paraId="6DAECEB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F9BF5E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3C26B1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D10FC6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获取科室列表信息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EDCD3D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获取住院科室列表信息</w:t>
            </w:r>
          </w:p>
        </w:tc>
      </w:tr>
      <w:tr w14:paraId="550FB07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F13650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9E0ED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97757D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C1D90A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获取门急诊科室简介</w:t>
            </w:r>
          </w:p>
        </w:tc>
      </w:tr>
      <w:tr w14:paraId="1D8E30A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C92C4C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9DE42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AF969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4F2D3C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获取门急诊科室位置信息</w:t>
            </w:r>
          </w:p>
        </w:tc>
      </w:tr>
      <w:tr w14:paraId="3835C0C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BEE86D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3358D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E68CCD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FD59A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获取住院科室简介</w:t>
            </w:r>
          </w:p>
        </w:tc>
      </w:tr>
      <w:tr w14:paraId="378DBC2B">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8B4FEA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00B17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D2639E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41F257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获取住院科室位置信息</w:t>
            </w:r>
          </w:p>
        </w:tc>
      </w:tr>
      <w:tr w14:paraId="032A8CB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F535F5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023006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A10111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1EEB3F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获取其它科室简介</w:t>
            </w:r>
          </w:p>
        </w:tc>
      </w:tr>
      <w:tr w14:paraId="6901AE2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73D5AD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8E2EAA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2792F0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获取科室详情</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F6B496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获取其它科室位置信息</w:t>
            </w:r>
          </w:p>
        </w:tc>
      </w:tr>
      <w:tr w14:paraId="0B0F5BD3">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DD4C7C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06C007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2C508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获取医生信息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E40E12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输入科室代码查询科室下所有医生信息</w:t>
            </w:r>
          </w:p>
        </w:tc>
      </w:tr>
      <w:tr w14:paraId="1C2DFB11">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7BFE8D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8D39C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B0D626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获取医生信息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9EBA4D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输入科室代码+医生代码精确查询医生信息</w:t>
            </w:r>
          </w:p>
        </w:tc>
      </w:tr>
      <w:tr w14:paraId="6A83DB6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F94727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EDC0BC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ABF74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获取医生信息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A31D8B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输入科室代码+医生名称根据医生名模糊查询医生信息</w:t>
            </w:r>
          </w:p>
        </w:tc>
      </w:tr>
      <w:tr w14:paraId="0451711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44F3D9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B5D4E5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1D2695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获取医生信息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876CC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输入科室代码+医生名称根据医生名模糊查询医生信息</w:t>
            </w:r>
          </w:p>
        </w:tc>
      </w:tr>
      <w:tr w14:paraId="372ECAB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CE0BC5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73985E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22868B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F98594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入参号源开始时间、结束时间传入参数一致（按天查询号源信息）</w:t>
            </w:r>
          </w:p>
        </w:tc>
      </w:tr>
      <w:tr w14:paraId="1F61B03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D717F3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D3270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72F05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90020A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输出-号源日期列表信息中专科专家号医生姓名传本人姓名，普通号名称按本医院普通号名称回传</w:t>
            </w:r>
          </w:p>
        </w:tc>
      </w:tr>
      <w:tr w14:paraId="7029C98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D958A6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028277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BF2EEB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E0BE7D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当医生排班表下没有号源信息时，排班表信息不返回</w:t>
            </w:r>
          </w:p>
        </w:tc>
      </w:tr>
      <w:tr w14:paraId="2DB30A20">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B3D217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90E127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0EAD69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F25F1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获取出诊号源信息</w:t>
            </w:r>
          </w:p>
        </w:tc>
      </w:tr>
      <w:tr w14:paraId="3969EAA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BAA8D8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1FF714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63C54A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D652FC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获取停诊号源信息</w:t>
            </w:r>
          </w:p>
        </w:tc>
      </w:tr>
      <w:tr w14:paraId="3753CEC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7E2907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404D07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D21E5A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获取号源</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7AF159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获取约满号源信息</w:t>
            </w:r>
          </w:p>
        </w:tc>
      </w:tr>
      <w:tr w14:paraId="0DCC5E8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A7984A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6B1D6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915E22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6FDB82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根据</w:t>
            </w:r>
            <w:r>
              <w:rPr>
                <w:rFonts w:hint="eastAsia" w:ascii="宋体" w:hAnsi="宋体" w:eastAsia="宋体" w:cs="宋体"/>
                <w:color w:val="auto"/>
                <w:szCs w:val="30"/>
              </w:rPr>
              <w:t>科室信息进行</w:t>
            </w:r>
            <w:r>
              <w:rPr>
                <w:rFonts w:hint="eastAsia" w:ascii="宋体" w:hAnsi="宋体" w:eastAsia="宋体" w:cs="宋体"/>
                <w:color w:val="auto"/>
                <w:kern w:val="0"/>
                <w:szCs w:val="30"/>
              </w:rPr>
              <w:t>占号</w:t>
            </w:r>
          </w:p>
        </w:tc>
      </w:tr>
      <w:tr w14:paraId="736BFD2A">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7C13E5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11ABD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6AE125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4162D1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根据</w:t>
            </w:r>
            <w:r>
              <w:rPr>
                <w:rFonts w:hint="eastAsia" w:ascii="宋体" w:hAnsi="宋体" w:eastAsia="宋体" w:cs="宋体"/>
                <w:color w:val="auto"/>
                <w:szCs w:val="30"/>
              </w:rPr>
              <w:t>医生信息进行</w:t>
            </w:r>
            <w:r>
              <w:rPr>
                <w:rFonts w:hint="eastAsia" w:ascii="宋体" w:hAnsi="宋体" w:eastAsia="宋体" w:cs="宋体"/>
                <w:color w:val="auto"/>
                <w:kern w:val="0"/>
                <w:szCs w:val="30"/>
              </w:rPr>
              <w:t>占号</w:t>
            </w:r>
          </w:p>
        </w:tc>
      </w:tr>
      <w:tr w14:paraId="1497C82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AE3C46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DB4300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A573AA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EAAFB3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根据</w:t>
            </w:r>
            <w:r>
              <w:rPr>
                <w:rFonts w:hint="eastAsia" w:ascii="宋体" w:hAnsi="宋体" w:eastAsia="宋体" w:cs="宋体"/>
                <w:color w:val="auto"/>
                <w:szCs w:val="30"/>
              </w:rPr>
              <w:t>号源信息进行</w:t>
            </w:r>
            <w:r>
              <w:rPr>
                <w:rFonts w:hint="eastAsia" w:ascii="宋体" w:hAnsi="宋体" w:eastAsia="宋体" w:cs="宋体"/>
                <w:color w:val="auto"/>
                <w:kern w:val="0"/>
                <w:szCs w:val="30"/>
              </w:rPr>
              <w:t>占号</w:t>
            </w:r>
          </w:p>
        </w:tc>
      </w:tr>
      <w:tr w14:paraId="564D456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FFEE45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4A8B6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AB944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906BED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挂号后没有进行支付</w:t>
            </w:r>
            <w:r>
              <w:rPr>
                <w:rFonts w:hint="eastAsia" w:ascii="宋体" w:hAnsi="宋体" w:eastAsia="宋体" w:cs="宋体"/>
                <w:color w:val="auto"/>
                <w:kern w:val="0"/>
                <w:szCs w:val="30"/>
              </w:rPr>
              <w:t>取消占号</w:t>
            </w:r>
          </w:p>
        </w:tc>
      </w:tr>
      <w:tr w14:paraId="1F267EA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315E74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3D77A9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CAE854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3CEF08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挂号并进行了支付后</w:t>
            </w:r>
            <w:r>
              <w:rPr>
                <w:rFonts w:hint="eastAsia" w:ascii="宋体" w:hAnsi="宋体" w:eastAsia="宋体" w:cs="宋体"/>
                <w:color w:val="auto"/>
                <w:kern w:val="0"/>
                <w:szCs w:val="30"/>
              </w:rPr>
              <w:t>取消占号</w:t>
            </w:r>
          </w:p>
        </w:tc>
      </w:tr>
      <w:tr w14:paraId="2E4F8DB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C8A150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7F6C20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F20F6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CD16F3">
            <w:pPr>
              <w:ind w:left="0" w:firstLine="0" w:firstLineChars="0"/>
              <w:jc w:val="both"/>
              <w:rPr>
                <w:rFonts w:hint="eastAsia" w:ascii="宋体" w:hAnsi="宋体" w:eastAsia="宋体" w:cs="宋体"/>
                <w:color w:val="auto"/>
                <w:szCs w:val="30"/>
              </w:rPr>
            </w:pPr>
            <w:r>
              <w:rPr>
                <w:rFonts w:hint="eastAsia" w:ascii="宋体" w:hAnsi="宋体" w:eastAsia="宋体" w:cs="宋体"/>
                <w:color w:val="auto"/>
                <w:kern w:val="0"/>
                <w:szCs w:val="30"/>
              </w:rPr>
              <w:t>根据门诊流水号取消占号</w:t>
            </w:r>
          </w:p>
        </w:tc>
      </w:tr>
      <w:tr w14:paraId="4FBC3A2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F4F902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DAA060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A67790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64ABE1C">
            <w:pPr>
              <w:ind w:left="0" w:firstLine="0" w:firstLineChars="0"/>
              <w:jc w:val="both"/>
              <w:rPr>
                <w:rFonts w:hint="eastAsia" w:ascii="宋体" w:hAnsi="宋体" w:eastAsia="宋体" w:cs="宋体"/>
                <w:color w:val="auto"/>
                <w:szCs w:val="30"/>
              </w:rPr>
            </w:pPr>
            <w:r>
              <w:rPr>
                <w:rFonts w:hint="eastAsia" w:ascii="宋体" w:hAnsi="宋体" w:eastAsia="宋体" w:cs="宋体"/>
                <w:color w:val="auto"/>
                <w:kern w:val="0"/>
                <w:szCs w:val="30"/>
              </w:rPr>
              <w:t>根据医疗机构订单号取消占号</w:t>
            </w:r>
          </w:p>
        </w:tc>
      </w:tr>
      <w:tr w14:paraId="3BFB787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9F5B5E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9AFCC0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41F870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3540B2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挂号登记和号源释放都成功后返回成功标志</w:t>
            </w:r>
          </w:p>
        </w:tc>
      </w:tr>
      <w:tr w14:paraId="0278AAB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925D14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CD4ABC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78443C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CB8EB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挂号登记失败，号源释放成功，返回失败标志</w:t>
            </w:r>
          </w:p>
        </w:tc>
      </w:tr>
      <w:tr w14:paraId="6628D034">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1289D8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508CE8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D52186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55BE66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挂号登记成果，号源释放失败，返回失败标志</w:t>
            </w:r>
          </w:p>
        </w:tc>
      </w:tr>
      <w:tr w14:paraId="00511A9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596E1A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9B6B3A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E942A8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取消占号</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AB0D31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通过江苏医保云平台挂号并支付成功之后的取消挂号，第一步先在</w:t>
            </w:r>
            <w:r>
              <w:rPr>
                <w:rFonts w:hint="eastAsia" w:ascii="宋体" w:hAnsi="宋体" w:eastAsia="宋体" w:cs="宋体"/>
                <w:color w:val="auto"/>
                <w:szCs w:val="30"/>
              </w:rPr>
              <w:t>江苏</w:t>
            </w:r>
            <w:r>
              <w:rPr>
                <w:rFonts w:hint="eastAsia" w:ascii="宋体" w:hAnsi="宋体" w:eastAsia="宋体" w:cs="宋体"/>
                <w:color w:val="auto"/>
                <w:kern w:val="0"/>
                <w:szCs w:val="30"/>
              </w:rPr>
              <w:t>医保云平台进行退费操作，江苏医保云平台退费成功后再向医药机构发起取消挂号申请</w:t>
            </w:r>
          </w:p>
        </w:tc>
      </w:tr>
      <w:tr w14:paraId="522E7510">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D036EA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2B1363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2266</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849FD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查询挂号信息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96A987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查询当日挂号信息</w:t>
            </w:r>
          </w:p>
        </w:tc>
      </w:tr>
      <w:tr w14:paraId="7A83D26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C909D0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329651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2266</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381F26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查询挂号信息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8328F3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查询预约挂号信息</w:t>
            </w:r>
          </w:p>
        </w:tc>
      </w:tr>
      <w:tr w14:paraId="1F5F6C6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555CE1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670A9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B43A2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待缴费列表查询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93252D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门急诊费用明细查询</w:t>
            </w:r>
          </w:p>
        </w:tc>
      </w:tr>
      <w:tr w14:paraId="070DDA8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092104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3AD256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E71E15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待缴费列表查询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5AE5DF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住院费用明细查询</w:t>
            </w:r>
          </w:p>
        </w:tc>
      </w:tr>
      <w:tr w14:paraId="2963C19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C40E9B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F00831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86720E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待缴费列表查询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F7F467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门急诊费用汇总查询</w:t>
            </w:r>
          </w:p>
        </w:tc>
      </w:tr>
      <w:tr w14:paraId="372BB3F0">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711CB4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13A0C5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A1DE9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待缴费列表查询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36968F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住院费用汇总查询</w:t>
            </w:r>
          </w:p>
        </w:tc>
      </w:tr>
      <w:tr w14:paraId="7B75B12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865421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FEC12C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814869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医疗机构订单状态查询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F75210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医疗机构无就诊介质订单状态查询</w:t>
            </w:r>
          </w:p>
        </w:tc>
      </w:tr>
      <w:tr w14:paraId="253DFF9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F0C251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9CC7C2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0F374B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医疗机构订单状态查询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927869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医疗机构电子凭证订单状态查询</w:t>
            </w:r>
          </w:p>
        </w:tc>
      </w:tr>
      <w:tr w14:paraId="33F70E0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1FF4B6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95C5D8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C21D8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医疗机构订单状态查询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A47F2F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医疗机构居民身份证订单状态查询</w:t>
            </w:r>
          </w:p>
        </w:tc>
      </w:tr>
      <w:tr w14:paraId="5C0DA0D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224C18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DA3B11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8023F3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医疗机构订单状态查询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404C5D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医疗机构社会保障卡订单状态查询</w:t>
            </w:r>
          </w:p>
        </w:tc>
      </w:tr>
      <w:tr w14:paraId="2E0F5644">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F105FF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FC8DDD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76833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诊断明细查询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46467B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本次门急诊诊断明细信息查询</w:t>
            </w:r>
          </w:p>
        </w:tc>
      </w:tr>
      <w:tr w14:paraId="4D47FC0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B6B93E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83229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0EF6D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诊断明细查询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9F8E13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本次住院诊断明细信息查询</w:t>
            </w:r>
          </w:p>
        </w:tc>
      </w:tr>
      <w:tr w14:paraId="3FFBDAE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EC706C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86BD32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AD65FC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诊断明细查询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C8318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本次门急诊症状明细信息查询</w:t>
            </w:r>
          </w:p>
        </w:tc>
      </w:tr>
      <w:tr w14:paraId="065B4CCB">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352B8A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2140FF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44997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诊断明细查询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8C2F7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本次住院症状明细信息查询</w:t>
            </w:r>
          </w:p>
        </w:tc>
      </w:tr>
      <w:tr w14:paraId="29904FCC">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8E2396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C2EEC7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EF3444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费用明细查询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AC5888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门急诊外购处方费用明细查询</w:t>
            </w:r>
          </w:p>
        </w:tc>
      </w:tr>
      <w:tr w14:paraId="3B164317">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0983E1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44475B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99F733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费用明细查询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211CC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住院外购处方费用明细查询</w:t>
            </w:r>
          </w:p>
        </w:tc>
      </w:tr>
      <w:tr w14:paraId="1F5D445B">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9A74FE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E14CC3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BE05E8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费用明细查询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7D4F01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门急诊非外购处方费用明细查询</w:t>
            </w:r>
          </w:p>
        </w:tc>
      </w:tr>
      <w:tr w14:paraId="132BB08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531442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3E1263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6264</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404D24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费用明细查询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5B7FF0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住院非外购处方费用明细查询</w:t>
            </w:r>
          </w:p>
        </w:tc>
      </w:tr>
      <w:tr w14:paraId="3FFD3967">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5D611D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A4B8D4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4B8AB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78FA03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医疗机构线下进行</w:t>
            </w:r>
            <w:r>
              <w:rPr>
                <w:rFonts w:hint="eastAsia" w:ascii="宋体" w:hAnsi="宋体" w:eastAsia="宋体" w:cs="宋体"/>
                <w:color w:val="auto"/>
                <w:szCs w:val="30"/>
              </w:rPr>
              <w:t>现金部分退费</w:t>
            </w:r>
            <w:r>
              <w:rPr>
                <w:rFonts w:hint="eastAsia" w:ascii="宋体" w:hAnsi="宋体" w:eastAsia="宋体" w:cs="宋体"/>
                <w:color w:val="auto"/>
                <w:kern w:val="0"/>
                <w:szCs w:val="30"/>
              </w:rPr>
              <w:t>的时候调用平台进行退费</w:t>
            </w:r>
          </w:p>
        </w:tc>
      </w:tr>
      <w:tr w14:paraId="7F37142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52C25A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8DDE24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B0730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D0CC62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医疗机构线下进行</w:t>
            </w:r>
            <w:r>
              <w:rPr>
                <w:rFonts w:hint="eastAsia" w:ascii="宋体" w:hAnsi="宋体" w:eastAsia="宋体" w:cs="宋体"/>
                <w:color w:val="auto"/>
                <w:szCs w:val="30"/>
              </w:rPr>
              <w:t>医保部分退费</w:t>
            </w:r>
            <w:r>
              <w:rPr>
                <w:rFonts w:hint="eastAsia" w:ascii="宋体" w:hAnsi="宋体" w:eastAsia="宋体" w:cs="宋体"/>
                <w:color w:val="auto"/>
                <w:kern w:val="0"/>
                <w:szCs w:val="30"/>
              </w:rPr>
              <w:t>的时候调用平台进行退费</w:t>
            </w:r>
          </w:p>
        </w:tc>
      </w:tr>
      <w:tr w14:paraId="41B56D62">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73672D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1652E2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20D09D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9F48E5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将结果返回给定点医疗机构</w:t>
            </w:r>
          </w:p>
        </w:tc>
      </w:tr>
      <w:tr w14:paraId="6E312831">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CD81D3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999453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89E3F2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查询退款状态</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985B13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查询门急诊退款结果，可使用该接口查询自已通过申请退款提交的退款请求是否执行成功</w:t>
            </w:r>
          </w:p>
        </w:tc>
      </w:tr>
      <w:tr w14:paraId="05ADF81E">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F486C0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F8C996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F1399D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查询退款状态</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FFCE6D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查询住院退款结果，可使用该接口查询自已通过申请退款提交的退款请求是否执行成功</w:t>
            </w:r>
          </w:p>
        </w:tc>
      </w:tr>
      <w:tr w14:paraId="73869B4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CF02DB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FE8DE1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871A2F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医保退费检查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710DA8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医保退费检查定点医疗机构是否可以进行门急诊退费</w:t>
            </w:r>
          </w:p>
        </w:tc>
      </w:tr>
      <w:tr w14:paraId="31171011">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1A1E92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0FC790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6261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1AFA9A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医保退费检查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FD19FA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医保退费检查定点医疗机构是否可以进行住院退费</w:t>
            </w:r>
          </w:p>
        </w:tc>
      </w:tr>
      <w:tr w14:paraId="2AF968B4">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F4ADB3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25BA61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AD4E3B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医保订单结算结果查询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2B9E90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医保自费全部订单状态查询</w:t>
            </w:r>
          </w:p>
        </w:tc>
      </w:tr>
      <w:tr w14:paraId="2C7F614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945288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266FBC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BC16F6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医保订单结算结果查询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52DA9B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只结现金订单状态查询</w:t>
            </w:r>
          </w:p>
        </w:tc>
      </w:tr>
      <w:tr w14:paraId="5027B54A">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853257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B82D14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D3FA85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医保订单结算结果查询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3EE86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只结医保订单状态查询</w:t>
            </w:r>
          </w:p>
        </w:tc>
      </w:tr>
      <w:tr w14:paraId="3171D3E8">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C53304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45BE33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417DE8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医保结算结果通知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85C908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通知医疗机构</w:t>
            </w:r>
            <w:r>
              <w:rPr>
                <w:rFonts w:hint="eastAsia" w:ascii="宋体" w:hAnsi="宋体" w:eastAsia="宋体" w:cs="宋体"/>
                <w:color w:val="auto"/>
                <w:szCs w:val="30"/>
              </w:rPr>
              <w:t>回调类型</w:t>
            </w:r>
          </w:p>
        </w:tc>
      </w:tr>
      <w:tr w14:paraId="5020DED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BEF7BE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EC6064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17BB1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医保结算结果通知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018092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通知医疗机构</w:t>
            </w:r>
            <w:r>
              <w:rPr>
                <w:rFonts w:hint="eastAsia" w:ascii="宋体" w:hAnsi="宋体" w:eastAsia="宋体" w:cs="宋体"/>
                <w:color w:val="auto"/>
                <w:szCs w:val="30"/>
              </w:rPr>
              <w:t>结算类型</w:t>
            </w:r>
          </w:p>
        </w:tc>
      </w:tr>
      <w:tr w14:paraId="3B162D83">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4D7683E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AF5778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2D7739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医保结算结果通知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4C62F5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通知医疗机构</w:t>
            </w:r>
            <w:r>
              <w:rPr>
                <w:rFonts w:hint="eastAsia" w:ascii="宋体" w:hAnsi="宋体" w:eastAsia="宋体" w:cs="宋体"/>
                <w:color w:val="auto"/>
                <w:szCs w:val="30"/>
              </w:rPr>
              <w:t>冲正授权的有效期</w:t>
            </w:r>
          </w:p>
        </w:tc>
      </w:tr>
      <w:tr w14:paraId="1E95D7A3">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85677C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53E984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C20718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3D4AF3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江苏医保云平台调用定点医疗机构发起退费结果通知</w:t>
            </w:r>
          </w:p>
        </w:tc>
      </w:tr>
      <w:tr w14:paraId="326D4ED2">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9C8DAD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E82CD7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A48678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A436ED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定点医疗结构把医保退费结果数据回写系统</w:t>
            </w:r>
          </w:p>
        </w:tc>
      </w:tr>
      <w:tr w14:paraId="03F22B70">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875DED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068A90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AAD54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3D1383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系统内退费确认</w:t>
            </w:r>
          </w:p>
        </w:tc>
      </w:tr>
      <w:tr w14:paraId="768CB544">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9AAFEB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2715A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6362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ED8E17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医保退费结果通知</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21606C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szCs w:val="30"/>
              </w:rPr>
              <w:t>返回退费成功标识或退费失败标识</w:t>
            </w:r>
          </w:p>
        </w:tc>
      </w:tr>
      <w:tr w14:paraId="6AA7E934">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0A2E67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50843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4A062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BB123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根据</w:t>
            </w:r>
            <w:r>
              <w:rPr>
                <w:rFonts w:hint="eastAsia" w:ascii="宋体" w:hAnsi="宋体" w:eastAsia="宋体" w:cs="宋体"/>
                <w:color w:val="auto"/>
                <w:kern w:val="0"/>
                <w:szCs w:val="30"/>
                <w:lang w:val="zh-CN"/>
              </w:rPr>
              <w:t>证件号码</w:t>
            </w:r>
            <w:r>
              <w:rPr>
                <w:rFonts w:hint="eastAsia" w:ascii="宋体" w:hAnsi="宋体" w:eastAsia="宋体" w:cs="宋体"/>
                <w:color w:val="auto"/>
                <w:szCs w:val="30"/>
              </w:rPr>
              <w:t>进行</w:t>
            </w:r>
            <w:r>
              <w:rPr>
                <w:rFonts w:hint="eastAsia" w:ascii="宋体" w:hAnsi="宋体" w:eastAsia="宋体" w:cs="宋体"/>
                <w:color w:val="auto"/>
                <w:kern w:val="0"/>
                <w:szCs w:val="30"/>
              </w:rPr>
              <w:t>押金查询</w:t>
            </w:r>
          </w:p>
        </w:tc>
      </w:tr>
      <w:tr w14:paraId="3AEAC9F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56E4EE7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58D9AC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23ABD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0EB95F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根据</w:t>
            </w:r>
            <w:r>
              <w:rPr>
                <w:rFonts w:hint="eastAsia" w:ascii="宋体" w:hAnsi="宋体" w:eastAsia="宋体" w:cs="宋体"/>
                <w:color w:val="auto"/>
                <w:kern w:val="0"/>
                <w:szCs w:val="30"/>
                <w:lang w:val="zh-CN"/>
              </w:rPr>
              <w:t>患者ID</w:t>
            </w:r>
            <w:r>
              <w:rPr>
                <w:rFonts w:hint="eastAsia" w:ascii="宋体" w:hAnsi="宋体" w:eastAsia="宋体" w:cs="宋体"/>
                <w:color w:val="auto"/>
                <w:szCs w:val="30"/>
              </w:rPr>
              <w:t>进行</w:t>
            </w:r>
            <w:r>
              <w:rPr>
                <w:rFonts w:hint="eastAsia" w:ascii="宋体" w:hAnsi="宋体" w:eastAsia="宋体" w:cs="宋体"/>
                <w:color w:val="auto"/>
                <w:kern w:val="0"/>
                <w:szCs w:val="30"/>
              </w:rPr>
              <w:t>押金查询</w:t>
            </w:r>
          </w:p>
        </w:tc>
      </w:tr>
      <w:tr w14:paraId="5A977C91">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735A50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5B95B3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D78AD5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押金缴纳</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FCCBDC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医保方式押金缴纳</w:t>
            </w:r>
          </w:p>
        </w:tc>
      </w:tr>
      <w:tr w14:paraId="6044AC4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417040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CF2D1A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4451E0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押金缴纳</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4E546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非医保方式押金缴纳</w:t>
            </w:r>
          </w:p>
        </w:tc>
      </w:tr>
      <w:tr w14:paraId="29709B3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C5CEB9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65DFEE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096381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押金退款</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23A82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lang w:val="zh-CN"/>
              </w:rPr>
              <w:t>缴纳押金后没有办理入院时可以从线上发起线上退费</w:t>
            </w:r>
          </w:p>
        </w:tc>
      </w:tr>
      <w:tr w14:paraId="7CBF947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EFDC85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87</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6DB6A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2462</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0716F1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押金退款</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6B03C9B">
            <w:pPr>
              <w:ind w:left="0" w:firstLine="0" w:firstLineChars="0"/>
              <w:jc w:val="both"/>
              <w:rPr>
                <w:rFonts w:hint="eastAsia" w:ascii="宋体" w:hAnsi="宋体" w:eastAsia="宋体" w:cs="宋体"/>
                <w:color w:val="auto"/>
                <w:kern w:val="0"/>
                <w:szCs w:val="30"/>
                <w:lang w:val="zh-CN"/>
              </w:rPr>
            </w:pPr>
            <w:r>
              <w:rPr>
                <w:rFonts w:hint="eastAsia" w:ascii="宋体" w:hAnsi="宋体" w:eastAsia="宋体" w:cs="宋体"/>
                <w:color w:val="auto"/>
                <w:kern w:val="0"/>
                <w:szCs w:val="30"/>
                <w:lang w:val="zh-CN"/>
              </w:rPr>
              <w:t>出院完成后离院后可以发起退押金操作</w:t>
            </w:r>
          </w:p>
        </w:tc>
      </w:tr>
      <w:tr w14:paraId="4AD41E86">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055E3BE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88</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C2CB5A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0032E2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项目互认信息查询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77C0E9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检验项目互认信息查询</w:t>
            </w:r>
          </w:p>
        </w:tc>
      </w:tr>
      <w:tr w14:paraId="6C767CE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66DBB6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89</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89F2B6B">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73B81A">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项目互认信息查询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E5F64F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检查项目互认信息查询</w:t>
            </w:r>
          </w:p>
        </w:tc>
      </w:tr>
      <w:tr w14:paraId="2764A005">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1B2771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90</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38CB5F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5460</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C66A11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项目互认信息查询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FF55A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其它项目互认信息查询</w:t>
            </w:r>
          </w:p>
        </w:tc>
      </w:tr>
      <w:tr w14:paraId="7549F8D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366315A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91</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0F1D90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1F4C6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报告明细信息查询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FC279DB">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检验报告明细信息查询</w:t>
            </w:r>
          </w:p>
        </w:tc>
      </w:tr>
      <w:tr w14:paraId="6378985D">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14201878">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92</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412FF2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D04D7D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报告明细信息查询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ADC183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检查报告明细信息查询</w:t>
            </w:r>
          </w:p>
        </w:tc>
      </w:tr>
      <w:tr w14:paraId="5E00D2B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8DAD64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93</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F73126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5461</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29A86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报告明细信息查询</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A0F774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其它报告明细信息查询</w:t>
            </w:r>
          </w:p>
        </w:tc>
      </w:tr>
      <w:tr w14:paraId="6F20026A">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753A101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94</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D0E0BE5">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5463</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2E3A4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住院日清单</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31DC3F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住院日清单</w:t>
            </w:r>
          </w:p>
        </w:tc>
      </w:tr>
      <w:tr w14:paraId="2AC33C2F">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201FB99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95</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B8377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5465</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280015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消息推送</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56174F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消息推送</w:t>
            </w:r>
          </w:p>
        </w:tc>
      </w:tr>
      <w:tr w14:paraId="097E90D9">
        <w:tblPrEx>
          <w:tblCellMar>
            <w:top w:w="15" w:type="dxa"/>
            <w:left w:w="15" w:type="dxa"/>
            <w:bottom w:w="15" w:type="dxa"/>
            <w:right w:w="15" w:type="dxa"/>
          </w:tblCellMar>
        </w:tblPrEx>
        <w:trPr>
          <w:trHeight w:val="454" w:hRule="atLeast"/>
          <w:jc w:val="center"/>
        </w:trPr>
        <w:tc>
          <w:tcPr>
            <w:tcW w:w="1399" w:type="dxa"/>
            <w:tcBorders>
              <w:top w:val="single" w:color="auto" w:sz="4" w:space="0"/>
              <w:left w:val="single" w:color="auto" w:sz="4" w:space="0"/>
              <w:bottom w:val="single" w:color="auto" w:sz="4" w:space="0"/>
              <w:right w:val="single" w:color="auto" w:sz="4" w:space="0"/>
            </w:tcBorders>
            <w:vAlign w:val="center"/>
          </w:tcPr>
          <w:p w14:paraId="6791064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96</w:t>
            </w:r>
          </w:p>
        </w:tc>
        <w:tc>
          <w:tcPr>
            <w:tcW w:w="166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37A00E4">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5466</w:t>
            </w:r>
          </w:p>
        </w:tc>
        <w:tc>
          <w:tcPr>
            <w:tcW w:w="2700"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2C92F7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获取对账信息</w:t>
            </w:r>
          </w:p>
        </w:tc>
        <w:tc>
          <w:tcPr>
            <w:tcW w:w="3276"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20F8B6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获取对账信息</w:t>
            </w:r>
          </w:p>
        </w:tc>
      </w:tr>
    </w:tbl>
    <w:p w14:paraId="789C7319">
      <w:pPr>
        <w:pStyle w:val="24"/>
        <w:numPr>
          <w:ilvl w:val="3"/>
          <w:numId w:val="35"/>
        </w:numPr>
        <w:tabs>
          <w:tab w:val="left" w:pos="2321"/>
        </w:tabs>
        <w:spacing w:before="161"/>
        <w:ind w:left="425" w:leftChars="0" w:firstLine="0" w:firstLineChars="0"/>
        <w:rPr>
          <w:rFonts w:hint="eastAsia"/>
          <w:b/>
          <w:color w:val="auto"/>
          <w:spacing w:val="-2"/>
          <w:sz w:val="24"/>
        </w:rPr>
      </w:pPr>
      <w:r>
        <w:rPr>
          <w:rFonts w:hint="eastAsia"/>
          <w:b/>
          <w:color w:val="auto"/>
          <w:spacing w:val="-2"/>
          <w:sz w:val="24"/>
        </w:rPr>
        <w:t>城市驾驶舱卫生分舱</w:t>
      </w:r>
    </w:p>
    <w:p w14:paraId="0E0BA632">
      <w:pPr>
        <w:pStyle w:val="24"/>
        <w:numPr>
          <w:ilvl w:val="0"/>
          <w:numId w:val="0"/>
        </w:numPr>
        <w:tabs>
          <w:tab w:val="left" w:pos="2321"/>
        </w:tabs>
        <w:spacing w:before="161"/>
        <w:ind w:left="425" w:leftChars="0"/>
        <w:rPr>
          <w:rFonts w:hint="eastAsia"/>
          <w:b/>
          <w:color w:val="auto"/>
          <w:spacing w:val="-2"/>
          <w:sz w:val="24"/>
        </w:rPr>
      </w:pPr>
    </w:p>
    <w:tbl>
      <w:tblPr>
        <w:tblStyle w:val="13"/>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373"/>
        <w:gridCol w:w="2190"/>
        <w:gridCol w:w="5356"/>
      </w:tblGrid>
      <w:tr w14:paraId="42FC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7E51C3A">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序号</w:t>
            </w:r>
          </w:p>
        </w:tc>
        <w:tc>
          <w:tcPr>
            <w:tcW w:w="2190" w:type="dxa"/>
            <w:tcBorders>
              <w:tl2br w:val="nil"/>
              <w:tr2bl w:val="nil"/>
            </w:tcBorders>
            <w:shd w:val="clear" w:color="auto" w:fill="auto"/>
            <w:tcMar>
              <w:top w:w="83" w:type="dxa"/>
              <w:left w:w="180" w:type="dxa"/>
              <w:bottom w:w="83" w:type="dxa"/>
              <w:right w:w="180" w:type="dxa"/>
            </w:tcMar>
            <w:vAlign w:val="center"/>
          </w:tcPr>
          <w:p w14:paraId="3FE9AB0A">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接口名称</w:t>
            </w:r>
          </w:p>
        </w:tc>
        <w:tc>
          <w:tcPr>
            <w:tcW w:w="5356" w:type="dxa"/>
            <w:tcBorders>
              <w:tl2br w:val="nil"/>
              <w:tr2bl w:val="nil"/>
            </w:tcBorders>
            <w:shd w:val="clear" w:color="auto" w:fill="auto"/>
            <w:tcMar>
              <w:top w:w="83" w:type="dxa"/>
              <w:left w:w="180" w:type="dxa"/>
              <w:bottom w:w="83" w:type="dxa"/>
              <w:right w:w="180" w:type="dxa"/>
            </w:tcMar>
            <w:vAlign w:val="center"/>
          </w:tcPr>
          <w:p w14:paraId="3F5784E8">
            <w:pPr>
              <w:ind w:left="0" w:firstLine="0" w:firstLineChars="0"/>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描述</w:t>
            </w:r>
          </w:p>
        </w:tc>
      </w:tr>
      <w:tr w14:paraId="1B4E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C8D03FF">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36FC0C12">
            <w:pPr>
              <w:ind w:left="0" w:firstLine="0" w:firstLineChars="0"/>
              <w:jc w:val="center"/>
              <w:rPr>
                <w:rFonts w:hint="eastAsia" w:ascii="宋体" w:hAnsi="宋体" w:eastAsia="宋体" w:cs="宋体"/>
                <w:color w:val="auto"/>
                <w:kern w:val="0"/>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基础目录</w:t>
            </w:r>
          </w:p>
        </w:tc>
        <w:tc>
          <w:tcPr>
            <w:tcW w:w="5356" w:type="dxa"/>
            <w:tcBorders>
              <w:tl2br w:val="nil"/>
              <w:tr2bl w:val="nil"/>
            </w:tcBorders>
            <w:shd w:val="clear" w:color="auto" w:fill="auto"/>
            <w:tcMar>
              <w:top w:w="83" w:type="dxa"/>
              <w:left w:w="180" w:type="dxa"/>
              <w:bottom w:w="83" w:type="dxa"/>
              <w:right w:w="180" w:type="dxa"/>
            </w:tcMar>
            <w:vAlign w:val="center"/>
          </w:tcPr>
          <w:p w14:paraId="6CD3846E">
            <w:pPr>
              <w:ind w:firstLine="600"/>
              <w:rPr>
                <w:rFonts w:hint="eastAsia" w:ascii="宋体" w:hAnsi="宋体" w:eastAsia="宋体" w:cs="宋体"/>
                <w:color w:val="auto"/>
                <w:kern w:val="0"/>
                <w:szCs w:val="30"/>
              </w:rPr>
            </w:pPr>
            <w:r>
              <w:rPr>
                <w:rFonts w:hint="eastAsia" w:ascii="宋体" w:hAnsi="宋体" w:eastAsia="宋体" w:cs="宋体"/>
                <w:color w:val="auto"/>
                <w:szCs w:val="30"/>
              </w:rPr>
              <w:t>医院基本信息</w:t>
            </w:r>
          </w:p>
        </w:tc>
      </w:tr>
      <w:tr w14:paraId="04B6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0A757D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6B180AE">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4B8D559F">
            <w:pPr>
              <w:ind w:firstLine="600"/>
              <w:rPr>
                <w:rFonts w:hint="eastAsia" w:ascii="宋体" w:hAnsi="宋体" w:eastAsia="宋体" w:cs="宋体"/>
                <w:color w:val="auto"/>
                <w:szCs w:val="30"/>
              </w:rPr>
            </w:pPr>
            <w:r>
              <w:rPr>
                <w:rFonts w:hint="eastAsia" w:ascii="宋体" w:hAnsi="宋体" w:eastAsia="宋体" w:cs="宋体"/>
                <w:color w:val="auto"/>
                <w:szCs w:val="30"/>
              </w:rPr>
              <w:t>医生人员信息</w:t>
            </w:r>
          </w:p>
        </w:tc>
      </w:tr>
      <w:tr w14:paraId="3642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9000F6A">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4343FE3">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BD99D7B">
            <w:pPr>
              <w:ind w:firstLine="600"/>
              <w:rPr>
                <w:rFonts w:hint="eastAsia" w:ascii="宋体" w:hAnsi="宋体" w:eastAsia="宋体" w:cs="宋体"/>
                <w:color w:val="auto"/>
                <w:szCs w:val="30"/>
              </w:rPr>
            </w:pPr>
            <w:r>
              <w:rPr>
                <w:rFonts w:hint="eastAsia" w:ascii="宋体" w:hAnsi="宋体" w:eastAsia="宋体" w:cs="宋体"/>
                <w:color w:val="auto"/>
                <w:szCs w:val="30"/>
              </w:rPr>
              <w:t>护理人员信息</w:t>
            </w:r>
          </w:p>
        </w:tc>
      </w:tr>
      <w:tr w14:paraId="74854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7099D8D">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25BBE10">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185A0FE">
            <w:pPr>
              <w:ind w:firstLine="600"/>
              <w:rPr>
                <w:rFonts w:hint="eastAsia" w:ascii="宋体" w:hAnsi="宋体" w:eastAsia="宋体" w:cs="宋体"/>
                <w:color w:val="auto"/>
                <w:szCs w:val="30"/>
              </w:rPr>
            </w:pPr>
            <w:r>
              <w:rPr>
                <w:rFonts w:hint="eastAsia" w:ascii="宋体" w:hAnsi="宋体" w:eastAsia="宋体" w:cs="宋体"/>
                <w:color w:val="auto"/>
                <w:szCs w:val="30"/>
              </w:rPr>
              <w:t>其他人员信息</w:t>
            </w:r>
          </w:p>
        </w:tc>
      </w:tr>
      <w:tr w14:paraId="2A71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F444BA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8F31CE7">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BB28DCB">
            <w:pPr>
              <w:ind w:firstLine="600"/>
              <w:rPr>
                <w:rFonts w:hint="eastAsia" w:ascii="宋体" w:hAnsi="宋体" w:eastAsia="宋体" w:cs="宋体"/>
                <w:color w:val="auto"/>
                <w:szCs w:val="30"/>
              </w:rPr>
            </w:pPr>
            <w:r>
              <w:rPr>
                <w:rFonts w:hint="eastAsia" w:ascii="宋体" w:hAnsi="宋体" w:eastAsia="宋体" w:cs="宋体"/>
                <w:color w:val="auto"/>
                <w:szCs w:val="30"/>
              </w:rPr>
              <w:t>门急诊科室信息</w:t>
            </w:r>
          </w:p>
        </w:tc>
      </w:tr>
      <w:tr w14:paraId="67F21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3B552C9">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3A6EE2D">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4E185AC">
            <w:pPr>
              <w:ind w:firstLine="600"/>
              <w:rPr>
                <w:rFonts w:hint="eastAsia" w:ascii="宋体" w:hAnsi="宋体" w:eastAsia="宋体" w:cs="宋体"/>
                <w:color w:val="auto"/>
                <w:szCs w:val="30"/>
              </w:rPr>
            </w:pPr>
            <w:r>
              <w:rPr>
                <w:rFonts w:hint="eastAsia" w:ascii="宋体" w:hAnsi="宋体" w:eastAsia="宋体" w:cs="宋体"/>
                <w:color w:val="auto"/>
                <w:szCs w:val="30"/>
              </w:rPr>
              <w:t>住院科室信息</w:t>
            </w:r>
          </w:p>
        </w:tc>
      </w:tr>
      <w:tr w14:paraId="5EF3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56F5231">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6954855">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3DE8F59">
            <w:pPr>
              <w:ind w:firstLine="600"/>
              <w:rPr>
                <w:rFonts w:hint="eastAsia" w:ascii="宋体" w:hAnsi="宋体" w:eastAsia="宋体" w:cs="宋体"/>
                <w:color w:val="auto"/>
                <w:szCs w:val="30"/>
              </w:rPr>
            </w:pPr>
            <w:r>
              <w:rPr>
                <w:rFonts w:hint="eastAsia" w:ascii="宋体" w:hAnsi="宋体" w:eastAsia="宋体" w:cs="宋体"/>
                <w:color w:val="auto"/>
                <w:szCs w:val="30"/>
              </w:rPr>
              <w:t>其他科室信息</w:t>
            </w:r>
          </w:p>
        </w:tc>
      </w:tr>
      <w:tr w14:paraId="66D4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FB4C45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D7C41A5">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333B1504">
            <w:pPr>
              <w:ind w:firstLine="600"/>
              <w:rPr>
                <w:rFonts w:hint="eastAsia" w:ascii="宋体" w:hAnsi="宋体" w:eastAsia="宋体" w:cs="宋体"/>
                <w:color w:val="auto"/>
                <w:szCs w:val="30"/>
              </w:rPr>
            </w:pPr>
            <w:r>
              <w:rPr>
                <w:rFonts w:hint="eastAsia" w:ascii="宋体" w:hAnsi="宋体" w:eastAsia="宋体" w:cs="宋体"/>
                <w:color w:val="auto"/>
                <w:szCs w:val="30"/>
              </w:rPr>
              <w:t>收费项目目录</w:t>
            </w:r>
          </w:p>
        </w:tc>
      </w:tr>
      <w:tr w14:paraId="4D8E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D39E7E3">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9</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9D2FB90">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8682474">
            <w:pPr>
              <w:ind w:firstLine="600"/>
              <w:rPr>
                <w:rFonts w:hint="eastAsia" w:ascii="宋体" w:hAnsi="宋体" w:eastAsia="宋体" w:cs="宋体"/>
                <w:color w:val="auto"/>
                <w:szCs w:val="30"/>
              </w:rPr>
            </w:pPr>
            <w:r>
              <w:rPr>
                <w:rFonts w:hint="eastAsia" w:ascii="宋体" w:hAnsi="宋体" w:eastAsia="宋体" w:cs="宋体"/>
                <w:color w:val="auto"/>
                <w:szCs w:val="30"/>
              </w:rPr>
              <w:t>材料目录</w:t>
            </w:r>
          </w:p>
        </w:tc>
      </w:tr>
      <w:tr w14:paraId="122B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47E179A">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0296419">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3B2852AD">
            <w:pPr>
              <w:ind w:firstLine="600"/>
              <w:rPr>
                <w:rFonts w:hint="eastAsia" w:ascii="宋体" w:hAnsi="宋体" w:eastAsia="宋体" w:cs="宋体"/>
                <w:color w:val="auto"/>
                <w:szCs w:val="30"/>
              </w:rPr>
            </w:pPr>
            <w:r>
              <w:rPr>
                <w:rFonts w:hint="eastAsia" w:ascii="宋体" w:hAnsi="宋体" w:eastAsia="宋体" w:cs="宋体"/>
                <w:color w:val="auto"/>
                <w:szCs w:val="30"/>
              </w:rPr>
              <w:t>疾病诊断目录</w:t>
            </w:r>
          </w:p>
        </w:tc>
      </w:tr>
      <w:tr w14:paraId="3CE4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FAD711D">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9E1E543">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11913D7">
            <w:pPr>
              <w:ind w:firstLine="600"/>
              <w:rPr>
                <w:rFonts w:hint="eastAsia" w:ascii="宋体" w:hAnsi="宋体" w:eastAsia="宋体" w:cs="宋体"/>
                <w:color w:val="auto"/>
                <w:szCs w:val="30"/>
              </w:rPr>
            </w:pPr>
            <w:r>
              <w:rPr>
                <w:rFonts w:hint="eastAsia" w:ascii="宋体" w:hAnsi="宋体" w:eastAsia="宋体" w:cs="宋体"/>
                <w:color w:val="auto"/>
                <w:szCs w:val="30"/>
              </w:rPr>
              <w:t>手术目录</w:t>
            </w:r>
          </w:p>
        </w:tc>
      </w:tr>
      <w:tr w14:paraId="69C0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BDA9423">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EF84ED3">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5D7DCDA">
            <w:pPr>
              <w:ind w:firstLine="600"/>
              <w:rPr>
                <w:rFonts w:hint="eastAsia" w:ascii="宋体" w:hAnsi="宋体" w:eastAsia="宋体" w:cs="宋体"/>
                <w:color w:val="auto"/>
                <w:szCs w:val="30"/>
              </w:rPr>
            </w:pPr>
            <w:r>
              <w:rPr>
                <w:rFonts w:hint="eastAsia" w:ascii="宋体" w:hAnsi="宋体" w:eastAsia="宋体" w:cs="宋体"/>
                <w:color w:val="auto"/>
                <w:szCs w:val="30"/>
              </w:rPr>
              <w:t>药品基本信息</w:t>
            </w:r>
          </w:p>
        </w:tc>
      </w:tr>
      <w:tr w14:paraId="6D57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312E567">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13</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4A8EFDDB">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患者基本信息</w:t>
            </w:r>
          </w:p>
        </w:tc>
        <w:tc>
          <w:tcPr>
            <w:tcW w:w="5356" w:type="dxa"/>
            <w:tcBorders>
              <w:tl2br w:val="nil"/>
              <w:tr2bl w:val="nil"/>
            </w:tcBorders>
            <w:shd w:val="clear" w:color="auto" w:fill="auto"/>
            <w:tcMar>
              <w:top w:w="83" w:type="dxa"/>
              <w:left w:w="180" w:type="dxa"/>
              <w:bottom w:w="83" w:type="dxa"/>
              <w:right w:w="180" w:type="dxa"/>
            </w:tcMar>
            <w:vAlign w:val="center"/>
          </w:tcPr>
          <w:p w14:paraId="70AC8AC9">
            <w:pPr>
              <w:ind w:firstLine="600"/>
              <w:rPr>
                <w:rFonts w:hint="eastAsia" w:ascii="宋体" w:hAnsi="宋体" w:eastAsia="宋体" w:cs="宋体"/>
                <w:color w:val="auto"/>
                <w:szCs w:val="30"/>
              </w:rPr>
            </w:pPr>
            <w:r>
              <w:rPr>
                <w:rFonts w:hint="eastAsia" w:ascii="宋体" w:hAnsi="宋体" w:eastAsia="宋体" w:cs="宋体"/>
                <w:color w:val="auto"/>
                <w:szCs w:val="30"/>
              </w:rPr>
              <w:t>门急诊患者基本信息表</w:t>
            </w:r>
          </w:p>
        </w:tc>
      </w:tr>
      <w:tr w14:paraId="7515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C3D039B">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303DEDA">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1B76E7E">
            <w:pPr>
              <w:ind w:firstLine="600"/>
              <w:rPr>
                <w:rFonts w:hint="eastAsia" w:ascii="宋体" w:hAnsi="宋体" w:eastAsia="宋体" w:cs="宋体"/>
                <w:color w:val="auto"/>
                <w:szCs w:val="30"/>
              </w:rPr>
            </w:pPr>
            <w:r>
              <w:rPr>
                <w:rFonts w:hint="eastAsia" w:ascii="宋体" w:hAnsi="宋体" w:eastAsia="宋体" w:cs="宋体"/>
                <w:color w:val="auto"/>
                <w:szCs w:val="30"/>
              </w:rPr>
              <w:t>住院患者基本信息表</w:t>
            </w:r>
          </w:p>
        </w:tc>
      </w:tr>
      <w:tr w14:paraId="34CF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9524C80">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15</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70A516F9">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门（急）诊信息</w:t>
            </w:r>
          </w:p>
        </w:tc>
        <w:tc>
          <w:tcPr>
            <w:tcW w:w="5356" w:type="dxa"/>
            <w:tcBorders>
              <w:tl2br w:val="nil"/>
              <w:tr2bl w:val="nil"/>
            </w:tcBorders>
            <w:shd w:val="clear" w:color="auto" w:fill="auto"/>
            <w:tcMar>
              <w:top w:w="83" w:type="dxa"/>
              <w:left w:w="180" w:type="dxa"/>
              <w:bottom w:w="83" w:type="dxa"/>
              <w:right w:w="180" w:type="dxa"/>
            </w:tcMar>
            <w:vAlign w:val="center"/>
          </w:tcPr>
          <w:p w14:paraId="053C1C04">
            <w:pPr>
              <w:ind w:firstLine="600"/>
              <w:rPr>
                <w:rFonts w:hint="eastAsia" w:ascii="宋体" w:hAnsi="宋体" w:eastAsia="宋体" w:cs="宋体"/>
                <w:color w:val="auto"/>
                <w:szCs w:val="30"/>
              </w:rPr>
            </w:pPr>
            <w:r>
              <w:rPr>
                <w:rFonts w:hint="eastAsia" w:ascii="宋体" w:hAnsi="宋体" w:eastAsia="宋体" w:cs="宋体"/>
                <w:color w:val="auto"/>
                <w:szCs w:val="30"/>
              </w:rPr>
              <w:t>门诊挂号表</w:t>
            </w:r>
          </w:p>
        </w:tc>
      </w:tr>
      <w:tr w14:paraId="433ED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6CCF854">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D8BC4DD">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C94D0BE">
            <w:pPr>
              <w:ind w:firstLine="600"/>
              <w:rPr>
                <w:rFonts w:hint="eastAsia" w:ascii="宋体" w:hAnsi="宋体" w:eastAsia="宋体" w:cs="宋体"/>
                <w:color w:val="auto"/>
                <w:szCs w:val="30"/>
              </w:rPr>
            </w:pPr>
            <w:r>
              <w:rPr>
                <w:rFonts w:hint="eastAsia" w:ascii="宋体" w:hAnsi="宋体" w:eastAsia="宋体" w:cs="宋体"/>
                <w:color w:val="auto"/>
                <w:szCs w:val="30"/>
              </w:rPr>
              <w:t>门诊就诊记录表</w:t>
            </w:r>
          </w:p>
        </w:tc>
      </w:tr>
      <w:tr w14:paraId="5C84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35F3A49">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17</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00BD292">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9B08DD0">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门（急）诊医嘱明细表（药品类）</w:t>
            </w:r>
          </w:p>
        </w:tc>
      </w:tr>
      <w:tr w14:paraId="079B9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568B793">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46315B4A">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0C61205">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门（急）诊医嘱明细表（检查类）</w:t>
            </w:r>
          </w:p>
        </w:tc>
      </w:tr>
      <w:tr w14:paraId="6860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94FA588">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19</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6EC87DE">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28BB6A5">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门（急）诊医嘱明细表（检验类）</w:t>
            </w:r>
          </w:p>
        </w:tc>
      </w:tr>
      <w:tr w14:paraId="0A6B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A9B2EB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C99F9A4">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DBE335B">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门（急）诊医嘱明细表（手术类）</w:t>
            </w:r>
          </w:p>
        </w:tc>
      </w:tr>
      <w:tr w14:paraId="668F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576804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2E6FDBF">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3E995C8">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门（急）诊医嘱明细表（处置类）</w:t>
            </w:r>
          </w:p>
        </w:tc>
      </w:tr>
      <w:tr w14:paraId="316F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9792C6F">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90BE2AE">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3C768A9">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门（急）诊医嘱明细表（材料类）</w:t>
            </w:r>
          </w:p>
        </w:tc>
      </w:tr>
      <w:tr w14:paraId="1CF5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8817A08">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23</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391BAC5">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80FE955">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门（急）诊医嘱明细表（嘱托）</w:t>
            </w:r>
          </w:p>
        </w:tc>
      </w:tr>
      <w:tr w14:paraId="0428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CCBFC11">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18CC6FC">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A31018E">
            <w:pPr>
              <w:ind w:firstLine="600"/>
              <w:rPr>
                <w:rFonts w:hint="eastAsia" w:ascii="宋体" w:hAnsi="宋体" w:eastAsia="宋体" w:cs="宋体"/>
                <w:color w:val="auto"/>
                <w:szCs w:val="30"/>
              </w:rPr>
            </w:pPr>
            <w:r>
              <w:rPr>
                <w:rFonts w:hint="eastAsia" w:ascii="宋体" w:hAnsi="宋体" w:eastAsia="宋体" w:cs="宋体"/>
                <w:color w:val="auto"/>
                <w:szCs w:val="30"/>
              </w:rPr>
              <w:t>门（急）诊医嘱明细表（其它）</w:t>
            </w:r>
          </w:p>
        </w:tc>
      </w:tr>
      <w:tr w14:paraId="06F7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C4683DE">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D2FCAEA">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FEAC77E">
            <w:pPr>
              <w:ind w:firstLine="600"/>
              <w:rPr>
                <w:rFonts w:hint="eastAsia" w:ascii="宋体" w:hAnsi="宋体" w:eastAsia="宋体" w:cs="宋体"/>
                <w:color w:val="auto"/>
                <w:szCs w:val="30"/>
              </w:rPr>
            </w:pPr>
            <w:r>
              <w:rPr>
                <w:rFonts w:hint="eastAsia" w:ascii="宋体" w:hAnsi="宋体" w:eastAsia="宋体" w:cs="宋体"/>
                <w:color w:val="auto"/>
                <w:szCs w:val="30"/>
              </w:rPr>
              <w:t>门诊收费记录表</w:t>
            </w:r>
          </w:p>
        </w:tc>
      </w:tr>
      <w:tr w14:paraId="24F5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9F784B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60C893F">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BDD56EE">
            <w:pPr>
              <w:ind w:firstLine="600"/>
              <w:rPr>
                <w:rFonts w:hint="eastAsia" w:ascii="宋体" w:hAnsi="宋体" w:eastAsia="宋体" w:cs="宋体"/>
                <w:color w:val="auto"/>
                <w:szCs w:val="30"/>
              </w:rPr>
            </w:pPr>
            <w:r>
              <w:rPr>
                <w:rFonts w:hint="eastAsia" w:ascii="宋体" w:hAnsi="宋体" w:eastAsia="宋体" w:cs="宋体"/>
                <w:color w:val="auto"/>
                <w:szCs w:val="30"/>
              </w:rPr>
              <w:t>门诊收费明细表</w:t>
            </w:r>
          </w:p>
        </w:tc>
      </w:tr>
      <w:tr w14:paraId="553A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C9F628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27</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0C245DC1">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住院信息</w:t>
            </w:r>
          </w:p>
        </w:tc>
        <w:tc>
          <w:tcPr>
            <w:tcW w:w="5356" w:type="dxa"/>
            <w:tcBorders>
              <w:tl2br w:val="nil"/>
              <w:tr2bl w:val="nil"/>
            </w:tcBorders>
            <w:shd w:val="clear" w:color="auto" w:fill="auto"/>
            <w:tcMar>
              <w:top w:w="83" w:type="dxa"/>
              <w:left w:w="180" w:type="dxa"/>
              <w:bottom w:w="83" w:type="dxa"/>
              <w:right w:w="180" w:type="dxa"/>
            </w:tcMar>
            <w:vAlign w:val="center"/>
          </w:tcPr>
          <w:p w14:paraId="1C383749">
            <w:pPr>
              <w:ind w:firstLine="600"/>
              <w:rPr>
                <w:rFonts w:hint="eastAsia" w:ascii="宋体" w:hAnsi="宋体" w:eastAsia="宋体" w:cs="宋体"/>
                <w:color w:val="auto"/>
                <w:szCs w:val="30"/>
              </w:rPr>
            </w:pPr>
            <w:r>
              <w:rPr>
                <w:rFonts w:hint="eastAsia" w:ascii="宋体" w:hAnsi="宋体" w:eastAsia="宋体" w:cs="宋体"/>
                <w:color w:val="auto"/>
                <w:szCs w:val="30"/>
              </w:rPr>
              <w:t>住院就诊记录表</w:t>
            </w:r>
          </w:p>
        </w:tc>
      </w:tr>
      <w:tr w14:paraId="71D8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FD594F2">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E3CB964">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0A64285">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住院医嘱明细表（药品类医嘱）</w:t>
            </w:r>
          </w:p>
        </w:tc>
      </w:tr>
      <w:tr w14:paraId="0ACF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097190D">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29</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A160A78">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2062485">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住院医嘱明细表（检查类医嘱）</w:t>
            </w:r>
          </w:p>
        </w:tc>
      </w:tr>
      <w:tr w14:paraId="6421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4354416">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63B7C89">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9103162">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住院医嘱明细表（检验类医嘱）</w:t>
            </w:r>
          </w:p>
        </w:tc>
      </w:tr>
      <w:tr w14:paraId="2326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12FFE93">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3362CF1">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F750A22">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住院医嘱明细表（手术类医嘱）</w:t>
            </w:r>
          </w:p>
        </w:tc>
      </w:tr>
      <w:tr w14:paraId="2D17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EFD1CE2">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8889AA7">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CECB058">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住院医嘱明细表（处置类医嘱）</w:t>
            </w:r>
          </w:p>
        </w:tc>
      </w:tr>
      <w:tr w14:paraId="27B4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116E82D">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33</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776CE983">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6EEB801">
            <w:pPr>
              <w:ind w:firstLine="600"/>
              <w:rPr>
                <w:rFonts w:hint="eastAsia" w:ascii="宋体" w:hAnsi="宋体" w:eastAsia="宋体" w:cs="宋体"/>
                <w:b/>
                <w:bCs/>
                <w:color w:val="auto"/>
                <w:szCs w:val="30"/>
              </w:rPr>
            </w:pPr>
            <w:r>
              <w:rPr>
                <w:rFonts w:hint="eastAsia" w:ascii="宋体" w:hAnsi="宋体" w:eastAsia="宋体" w:cs="宋体"/>
                <w:color w:val="auto"/>
                <w:szCs w:val="30"/>
              </w:rPr>
              <w:t>住院医嘱明细表（材料类医嘱）</w:t>
            </w:r>
          </w:p>
        </w:tc>
      </w:tr>
      <w:tr w14:paraId="0B0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ACF0356">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081CC8C">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58F92AD">
            <w:pPr>
              <w:ind w:firstLine="600"/>
              <w:rPr>
                <w:rFonts w:hint="eastAsia" w:ascii="宋体" w:hAnsi="宋体" w:eastAsia="宋体" w:cs="宋体"/>
                <w:color w:val="auto"/>
                <w:szCs w:val="30"/>
              </w:rPr>
            </w:pPr>
            <w:r>
              <w:rPr>
                <w:rFonts w:hint="eastAsia" w:ascii="宋体" w:hAnsi="宋体" w:eastAsia="宋体" w:cs="宋体"/>
                <w:color w:val="auto"/>
                <w:szCs w:val="30"/>
              </w:rPr>
              <w:t>住院医嘱明细表（嘱托医嘱）</w:t>
            </w:r>
          </w:p>
        </w:tc>
      </w:tr>
      <w:tr w14:paraId="6DE5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38822EB">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48D16AAA">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FFD4A7C">
            <w:pPr>
              <w:ind w:firstLine="600"/>
              <w:rPr>
                <w:rFonts w:hint="eastAsia" w:ascii="宋体" w:hAnsi="宋体" w:eastAsia="宋体" w:cs="宋体"/>
                <w:color w:val="auto"/>
                <w:szCs w:val="30"/>
              </w:rPr>
            </w:pPr>
            <w:r>
              <w:rPr>
                <w:rFonts w:hint="eastAsia" w:ascii="宋体" w:hAnsi="宋体" w:eastAsia="宋体" w:cs="宋体"/>
                <w:color w:val="auto"/>
                <w:szCs w:val="30"/>
              </w:rPr>
              <w:t>出院患者收费记录表</w:t>
            </w:r>
          </w:p>
        </w:tc>
      </w:tr>
      <w:tr w14:paraId="4E28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509924E">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3B18E21">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7F33765">
            <w:pPr>
              <w:ind w:firstLine="600"/>
              <w:rPr>
                <w:rFonts w:hint="eastAsia" w:ascii="宋体" w:hAnsi="宋体" w:eastAsia="宋体" w:cs="宋体"/>
                <w:color w:val="auto"/>
                <w:szCs w:val="30"/>
              </w:rPr>
            </w:pPr>
            <w:r>
              <w:rPr>
                <w:rFonts w:hint="eastAsia" w:ascii="宋体" w:hAnsi="宋体" w:eastAsia="宋体" w:cs="宋体"/>
                <w:color w:val="auto"/>
                <w:szCs w:val="30"/>
              </w:rPr>
              <w:t>出院患者收费明细表</w:t>
            </w:r>
          </w:p>
        </w:tc>
      </w:tr>
      <w:tr w14:paraId="7A83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BDDF7A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37</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621764F">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4FF56DB">
            <w:pPr>
              <w:ind w:firstLine="600"/>
              <w:rPr>
                <w:rFonts w:hint="eastAsia" w:ascii="宋体" w:hAnsi="宋体" w:eastAsia="宋体" w:cs="宋体"/>
                <w:color w:val="auto"/>
                <w:szCs w:val="30"/>
              </w:rPr>
            </w:pPr>
            <w:r>
              <w:rPr>
                <w:rFonts w:hint="eastAsia" w:ascii="宋体" w:hAnsi="宋体" w:eastAsia="宋体" w:cs="宋体"/>
                <w:color w:val="auto"/>
                <w:szCs w:val="30"/>
              </w:rPr>
              <w:t>住院出院小结报告</w:t>
            </w:r>
          </w:p>
        </w:tc>
      </w:tr>
      <w:tr w14:paraId="39D8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AF3526A">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BAA2096">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479714F5">
            <w:pPr>
              <w:ind w:firstLine="600"/>
              <w:rPr>
                <w:rFonts w:hint="eastAsia" w:ascii="宋体" w:hAnsi="宋体" w:eastAsia="宋体" w:cs="宋体"/>
                <w:color w:val="auto"/>
                <w:szCs w:val="30"/>
              </w:rPr>
            </w:pPr>
            <w:r>
              <w:rPr>
                <w:rFonts w:hint="eastAsia" w:ascii="宋体" w:hAnsi="宋体" w:eastAsia="宋体" w:cs="宋体"/>
                <w:color w:val="auto"/>
                <w:szCs w:val="30"/>
              </w:rPr>
              <w:t>住院死亡记录</w:t>
            </w:r>
          </w:p>
        </w:tc>
      </w:tr>
      <w:tr w14:paraId="473B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F2CB097">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39</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358165B9">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西医病案首页</w:t>
            </w:r>
          </w:p>
        </w:tc>
        <w:tc>
          <w:tcPr>
            <w:tcW w:w="5356" w:type="dxa"/>
            <w:tcBorders>
              <w:tl2br w:val="nil"/>
              <w:tr2bl w:val="nil"/>
            </w:tcBorders>
            <w:shd w:val="clear" w:color="auto" w:fill="auto"/>
            <w:tcMar>
              <w:top w:w="83" w:type="dxa"/>
              <w:left w:w="180" w:type="dxa"/>
              <w:bottom w:w="83" w:type="dxa"/>
              <w:right w:w="180" w:type="dxa"/>
            </w:tcMar>
            <w:vAlign w:val="center"/>
          </w:tcPr>
          <w:p w14:paraId="24FFD5C3">
            <w:pPr>
              <w:ind w:firstLine="600"/>
              <w:rPr>
                <w:rFonts w:hint="eastAsia" w:ascii="宋体" w:hAnsi="宋体" w:eastAsia="宋体" w:cs="宋体"/>
                <w:color w:val="auto"/>
                <w:szCs w:val="30"/>
              </w:rPr>
            </w:pPr>
            <w:r>
              <w:rPr>
                <w:rFonts w:hint="eastAsia" w:ascii="宋体" w:hAnsi="宋体" w:eastAsia="宋体" w:cs="宋体"/>
                <w:color w:val="auto"/>
                <w:szCs w:val="30"/>
              </w:rPr>
              <w:t>西医病案首页</w:t>
            </w:r>
          </w:p>
        </w:tc>
      </w:tr>
      <w:tr w14:paraId="12AC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4802AF24">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2326B992">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E5B6846">
            <w:pPr>
              <w:ind w:firstLine="600"/>
              <w:rPr>
                <w:rFonts w:hint="eastAsia" w:ascii="宋体" w:hAnsi="宋体" w:eastAsia="宋体" w:cs="宋体"/>
                <w:color w:val="auto"/>
                <w:szCs w:val="30"/>
              </w:rPr>
            </w:pPr>
            <w:r>
              <w:rPr>
                <w:rFonts w:hint="eastAsia" w:ascii="宋体" w:hAnsi="宋体" w:eastAsia="宋体" w:cs="宋体"/>
                <w:color w:val="auto"/>
                <w:szCs w:val="30"/>
              </w:rPr>
              <w:t>西医病案首页手术</w:t>
            </w:r>
          </w:p>
        </w:tc>
      </w:tr>
      <w:tr w14:paraId="2CD7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0FCC537">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7C1ED1A">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0F391B5">
            <w:pPr>
              <w:ind w:firstLine="600"/>
              <w:rPr>
                <w:rFonts w:hint="eastAsia" w:ascii="宋体" w:hAnsi="宋体" w:eastAsia="宋体" w:cs="宋体"/>
                <w:color w:val="auto"/>
                <w:szCs w:val="30"/>
              </w:rPr>
            </w:pPr>
            <w:r>
              <w:rPr>
                <w:rFonts w:hint="eastAsia" w:ascii="宋体" w:hAnsi="宋体" w:eastAsia="宋体" w:cs="宋体"/>
                <w:color w:val="auto"/>
                <w:szCs w:val="30"/>
              </w:rPr>
              <w:t>西医病案首页出院诊断</w:t>
            </w:r>
          </w:p>
        </w:tc>
      </w:tr>
      <w:tr w14:paraId="2BC3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2805E4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42</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481EBB49">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中医病案首页</w:t>
            </w:r>
          </w:p>
        </w:tc>
        <w:tc>
          <w:tcPr>
            <w:tcW w:w="5356" w:type="dxa"/>
            <w:tcBorders>
              <w:tl2br w:val="nil"/>
              <w:tr2bl w:val="nil"/>
            </w:tcBorders>
            <w:shd w:val="clear" w:color="auto" w:fill="auto"/>
            <w:tcMar>
              <w:top w:w="83" w:type="dxa"/>
              <w:left w:w="180" w:type="dxa"/>
              <w:bottom w:w="83" w:type="dxa"/>
              <w:right w:w="180" w:type="dxa"/>
            </w:tcMar>
            <w:vAlign w:val="center"/>
          </w:tcPr>
          <w:p w14:paraId="122EF466">
            <w:pPr>
              <w:ind w:firstLine="600"/>
              <w:rPr>
                <w:rFonts w:hint="eastAsia" w:ascii="宋体" w:hAnsi="宋体" w:eastAsia="宋体" w:cs="宋体"/>
                <w:color w:val="auto"/>
                <w:szCs w:val="30"/>
              </w:rPr>
            </w:pPr>
            <w:r>
              <w:rPr>
                <w:rFonts w:hint="eastAsia" w:ascii="宋体" w:hAnsi="宋体" w:eastAsia="宋体" w:cs="宋体"/>
                <w:color w:val="auto"/>
                <w:szCs w:val="30"/>
              </w:rPr>
              <w:t>中医病案首页</w:t>
            </w:r>
          </w:p>
        </w:tc>
      </w:tr>
      <w:tr w14:paraId="6FAC1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95FC65F">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43</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AD9E4FE">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34AAA15">
            <w:pPr>
              <w:ind w:firstLine="600"/>
              <w:rPr>
                <w:rFonts w:hint="eastAsia" w:ascii="宋体" w:hAnsi="宋体" w:eastAsia="宋体" w:cs="宋体"/>
                <w:color w:val="auto"/>
                <w:szCs w:val="30"/>
              </w:rPr>
            </w:pPr>
            <w:r>
              <w:rPr>
                <w:rFonts w:hint="eastAsia" w:ascii="宋体" w:hAnsi="宋体" w:eastAsia="宋体" w:cs="宋体"/>
                <w:color w:val="auto"/>
                <w:szCs w:val="30"/>
              </w:rPr>
              <w:t>中医病案首页手术</w:t>
            </w:r>
          </w:p>
        </w:tc>
      </w:tr>
      <w:tr w14:paraId="2794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7EEE5BF">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44771F34">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711EFB0">
            <w:pPr>
              <w:ind w:firstLine="600"/>
              <w:rPr>
                <w:rFonts w:hint="eastAsia" w:ascii="宋体" w:hAnsi="宋体" w:eastAsia="宋体" w:cs="宋体"/>
                <w:color w:val="auto"/>
                <w:szCs w:val="30"/>
              </w:rPr>
            </w:pPr>
            <w:r>
              <w:rPr>
                <w:rFonts w:hint="eastAsia" w:ascii="宋体" w:hAnsi="宋体" w:eastAsia="宋体" w:cs="宋体"/>
                <w:color w:val="auto"/>
                <w:szCs w:val="30"/>
              </w:rPr>
              <w:t>中医病案首页治疗性操作</w:t>
            </w:r>
          </w:p>
        </w:tc>
      </w:tr>
      <w:tr w14:paraId="1441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4543358">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D608398">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BB1A3B3">
            <w:pPr>
              <w:ind w:firstLine="600"/>
              <w:rPr>
                <w:rFonts w:hint="eastAsia" w:ascii="宋体" w:hAnsi="宋体" w:eastAsia="宋体" w:cs="宋体"/>
                <w:color w:val="auto"/>
                <w:szCs w:val="30"/>
              </w:rPr>
            </w:pPr>
            <w:r>
              <w:rPr>
                <w:rFonts w:hint="eastAsia" w:ascii="宋体" w:hAnsi="宋体" w:eastAsia="宋体" w:cs="宋体"/>
                <w:color w:val="auto"/>
                <w:szCs w:val="30"/>
              </w:rPr>
              <w:t>中医病案首页出院诊断</w:t>
            </w:r>
          </w:p>
        </w:tc>
      </w:tr>
      <w:tr w14:paraId="0586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E144B59">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46</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1479EC3B">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检查检验记录</w:t>
            </w:r>
          </w:p>
        </w:tc>
        <w:tc>
          <w:tcPr>
            <w:tcW w:w="5356" w:type="dxa"/>
            <w:tcBorders>
              <w:tl2br w:val="nil"/>
              <w:tr2bl w:val="nil"/>
            </w:tcBorders>
            <w:shd w:val="clear" w:color="auto" w:fill="auto"/>
            <w:tcMar>
              <w:top w:w="83" w:type="dxa"/>
              <w:left w:w="180" w:type="dxa"/>
              <w:bottom w:w="83" w:type="dxa"/>
              <w:right w:w="180" w:type="dxa"/>
            </w:tcMar>
            <w:vAlign w:val="center"/>
          </w:tcPr>
          <w:p w14:paraId="394B6BE4">
            <w:pPr>
              <w:ind w:firstLine="600"/>
              <w:rPr>
                <w:rFonts w:hint="eastAsia" w:ascii="宋体" w:hAnsi="宋体" w:eastAsia="宋体" w:cs="宋体"/>
                <w:color w:val="auto"/>
                <w:szCs w:val="30"/>
              </w:rPr>
            </w:pPr>
            <w:r>
              <w:rPr>
                <w:rFonts w:hint="eastAsia" w:ascii="宋体" w:hAnsi="宋体" w:eastAsia="宋体" w:cs="宋体"/>
                <w:color w:val="auto"/>
                <w:szCs w:val="30"/>
              </w:rPr>
              <w:t>门急诊检验记录表</w:t>
            </w:r>
          </w:p>
        </w:tc>
      </w:tr>
      <w:tr w14:paraId="1F60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D759AD4">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47</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4700E1A">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309FF31">
            <w:pPr>
              <w:ind w:firstLine="600"/>
              <w:rPr>
                <w:rFonts w:hint="eastAsia" w:ascii="宋体" w:hAnsi="宋体" w:eastAsia="宋体" w:cs="宋体"/>
                <w:color w:val="auto"/>
                <w:szCs w:val="30"/>
              </w:rPr>
            </w:pPr>
            <w:r>
              <w:rPr>
                <w:rFonts w:hint="eastAsia" w:ascii="宋体" w:hAnsi="宋体" w:eastAsia="宋体" w:cs="宋体"/>
                <w:color w:val="auto"/>
                <w:szCs w:val="30"/>
              </w:rPr>
              <w:t>门急诊检验明细表</w:t>
            </w:r>
          </w:p>
        </w:tc>
      </w:tr>
      <w:tr w14:paraId="6AD0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BE83139">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4C535B50">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9CD9A92">
            <w:pPr>
              <w:ind w:firstLine="600"/>
              <w:rPr>
                <w:rFonts w:hint="eastAsia" w:ascii="宋体" w:hAnsi="宋体" w:eastAsia="宋体" w:cs="宋体"/>
                <w:color w:val="auto"/>
                <w:szCs w:val="30"/>
              </w:rPr>
            </w:pPr>
            <w:r>
              <w:rPr>
                <w:rFonts w:hint="eastAsia" w:ascii="宋体" w:hAnsi="宋体" w:eastAsia="宋体" w:cs="宋体"/>
                <w:color w:val="auto"/>
                <w:szCs w:val="30"/>
              </w:rPr>
              <w:t>住院检验记录表</w:t>
            </w:r>
          </w:p>
        </w:tc>
      </w:tr>
      <w:tr w14:paraId="7D57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D1FD1D0">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49</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40DB9E7">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82F2EA2">
            <w:pPr>
              <w:ind w:firstLine="600"/>
              <w:rPr>
                <w:rFonts w:hint="eastAsia" w:ascii="宋体" w:hAnsi="宋体" w:eastAsia="宋体" w:cs="宋体"/>
                <w:color w:val="auto"/>
                <w:szCs w:val="30"/>
              </w:rPr>
            </w:pPr>
            <w:r>
              <w:rPr>
                <w:rFonts w:hint="eastAsia" w:ascii="宋体" w:hAnsi="宋体" w:eastAsia="宋体" w:cs="宋体"/>
                <w:color w:val="auto"/>
                <w:szCs w:val="30"/>
              </w:rPr>
              <w:t>住院检验明细表</w:t>
            </w:r>
          </w:p>
        </w:tc>
      </w:tr>
      <w:tr w14:paraId="0E6C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9B5D6E0">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719C5A93">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42740DA3">
            <w:pPr>
              <w:ind w:firstLine="600"/>
              <w:rPr>
                <w:rFonts w:hint="eastAsia" w:ascii="宋体" w:hAnsi="宋体" w:eastAsia="宋体" w:cs="宋体"/>
                <w:color w:val="auto"/>
                <w:szCs w:val="30"/>
              </w:rPr>
            </w:pPr>
            <w:r>
              <w:rPr>
                <w:rFonts w:hint="eastAsia" w:ascii="宋体" w:hAnsi="宋体" w:eastAsia="宋体" w:cs="宋体"/>
                <w:color w:val="auto"/>
                <w:szCs w:val="30"/>
              </w:rPr>
              <w:t>体检检验记录表</w:t>
            </w:r>
          </w:p>
        </w:tc>
      </w:tr>
      <w:tr w14:paraId="41E9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285BD28">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C83B18E">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2F04BBA">
            <w:pPr>
              <w:ind w:firstLine="600"/>
              <w:rPr>
                <w:rFonts w:hint="eastAsia" w:ascii="宋体" w:hAnsi="宋体" w:eastAsia="宋体" w:cs="宋体"/>
                <w:color w:val="auto"/>
                <w:szCs w:val="30"/>
              </w:rPr>
            </w:pPr>
            <w:r>
              <w:rPr>
                <w:rFonts w:hint="eastAsia" w:ascii="宋体" w:hAnsi="宋体" w:eastAsia="宋体" w:cs="宋体"/>
                <w:color w:val="auto"/>
                <w:szCs w:val="30"/>
              </w:rPr>
              <w:t>体检检验明细表</w:t>
            </w:r>
          </w:p>
        </w:tc>
      </w:tr>
      <w:tr w14:paraId="498E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4F85CBB">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2BDF380">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4DABDFB0">
            <w:pPr>
              <w:ind w:firstLine="600"/>
              <w:rPr>
                <w:rFonts w:hint="eastAsia" w:ascii="宋体" w:hAnsi="宋体" w:eastAsia="宋体" w:cs="宋体"/>
                <w:color w:val="auto"/>
                <w:szCs w:val="30"/>
              </w:rPr>
            </w:pPr>
            <w:r>
              <w:rPr>
                <w:rFonts w:hint="eastAsia" w:ascii="宋体" w:hAnsi="宋体" w:eastAsia="宋体" w:cs="宋体"/>
                <w:color w:val="auto"/>
                <w:szCs w:val="30"/>
              </w:rPr>
              <w:t>检验互认项目对照表</w:t>
            </w:r>
          </w:p>
        </w:tc>
      </w:tr>
      <w:tr w14:paraId="3992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A905177">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53</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7FC4BCE1">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1D81874">
            <w:pPr>
              <w:ind w:firstLine="600"/>
              <w:rPr>
                <w:rFonts w:hint="eastAsia" w:ascii="宋体" w:hAnsi="宋体" w:eastAsia="宋体" w:cs="宋体"/>
                <w:color w:val="auto"/>
                <w:szCs w:val="30"/>
              </w:rPr>
            </w:pPr>
            <w:r>
              <w:rPr>
                <w:rFonts w:hint="eastAsia" w:ascii="宋体" w:hAnsi="宋体" w:eastAsia="宋体" w:cs="宋体"/>
                <w:color w:val="auto"/>
                <w:szCs w:val="30"/>
              </w:rPr>
              <w:t>门急诊检查记录表</w:t>
            </w:r>
          </w:p>
        </w:tc>
      </w:tr>
      <w:tr w14:paraId="39EA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CDD1BE6">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6B362099">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DB0E0F6">
            <w:pPr>
              <w:ind w:firstLine="600"/>
              <w:rPr>
                <w:rFonts w:hint="eastAsia" w:ascii="宋体" w:hAnsi="宋体" w:eastAsia="宋体" w:cs="宋体"/>
                <w:color w:val="auto"/>
                <w:szCs w:val="30"/>
              </w:rPr>
            </w:pPr>
            <w:r>
              <w:rPr>
                <w:rFonts w:hint="eastAsia" w:ascii="宋体" w:hAnsi="宋体" w:eastAsia="宋体" w:cs="宋体"/>
                <w:color w:val="auto"/>
                <w:szCs w:val="30"/>
              </w:rPr>
              <w:t>住院检查记录表</w:t>
            </w:r>
          </w:p>
        </w:tc>
      </w:tr>
      <w:tr w14:paraId="3A90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365ABE7">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66D3065">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4B0EF35E">
            <w:pPr>
              <w:ind w:firstLine="600"/>
              <w:rPr>
                <w:rFonts w:hint="eastAsia" w:ascii="宋体" w:hAnsi="宋体" w:eastAsia="宋体" w:cs="宋体"/>
                <w:color w:val="auto"/>
                <w:szCs w:val="30"/>
              </w:rPr>
            </w:pPr>
            <w:r>
              <w:rPr>
                <w:rFonts w:hint="eastAsia" w:ascii="宋体" w:hAnsi="宋体" w:eastAsia="宋体" w:cs="宋体"/>
                <w:color w:val="auto"/>
                <w:szCs w:val="30"/>
              </w:rPr>
              <w:t>体检检查记录表</w:t>
            </w:r>
          </w:p>
        </w:tc>
      </w:tr>
      <w:tr w14:paraId="629E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8B1F562">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7B5C412">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1571EB41">
            <w:pPr>
              <w:ind w:firstLine="600"/>
              <w:rPr>
                <w:rFonts w:hint="eastAsia" w:ascii="宋体" w:hAnsi="宋体" w:eastAsia="宋体" w:cs="宋体"/>
                <w:color w:val="auto"/>
                <w:szCs w:val="30"/>
              </w:rPr>
            </w:pPr>
            <w:r>
              <w:rPr>
                <w:rFonts w:hint="eastAsia" w:ascii="宋体" w:hAnsi="宋体" w:eastAsia="宋体" w:cs="宋体"/>
                <w:color w:val="auto"/>
                <w:szCs w:val="30"/>
              </w:rPr>
              <w:t>检查互认项目对照表</w:t>
            </w:r>
          </w:p>
        </w:tc>
      </w:tr>
      <w:tr w14:paraId="000A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F1BD36A">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57</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110CEE25">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手术输血记录</w:t>
            </w:r>
          </w:p>
        </w:tc>
        <w:tc>
          <w:tcPr>
            <w:tcW w:w="5356" w:type="dxa"/>
            <w:tcBorders>
              <w:tl2br w:val="nil"/>
              <w:tr2bl w:val="nil"/>
            </w:tcBorders>
            <w:shd w:val="clear" w:color="auto" w:fill="auto"/>
            <w:tcMar>
              <w:top w:w="83" w:type="dxa"/>
              <w:left w:w="180" w:type="dxa"/>
              <w:bottom w:w="83" w:type="dxa"/>
              <w:right w:w="180" w:type="dxa"/>
            </w:tcMar>
            <w:vAlign w:val="center"/>
          </w:tcPr>
          <w:p w14:paraId="0385AE7A">
            <w:pPr>
              <w:ind w:firstLine="600"/>
              <w:rPr>
                <w:rFonts w:hint="eastAsia" w:ascii="宋体" w:hAnsi="宋体" w:eastAsia="宋体" w:cs="宋体"/>
                <w:color w:val="auto"/>
                <w:szCs w:val="30"/>
              </w:rPr>
            </w:pPr>
            <w:r>
              <w:rPr>
                <w:rFonts w:hint="eastAsia" w:ascii="宋体" w:hAnsi="宋体" w:eastAsia="宋体" w:cs="宋体"/>
                <w:color w:val="auto"/>
                <w:szCs w:val="30"/>
              </w:rPr>
              <w:t>手术记录</w:t>
            </w:r>
          </w:p>
        </w:tc>
      </w:tr>
      <w:tr w14:paraId="3D8E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C8ECC0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58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0CFA5ADF">
            <w:pPr>
              <w:ind w:firstLine="600"/>
              <w:jc w:val="center"/>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0AC401D8">
            <w:pPr>
              <w:ind w:firstLine="600"/>
              <w:rPr>
                <w:rFonts w:hint="eastAsia" w:ascii="宋体" w:hAnsi="宋体" w:eastAsia="宋体" w:cs="宋体"/>
                <w:color w:val="auto"/>
                <w:szCs w:val="30"/>
              </w:rPr>
            </w:pPr>
            <w:r>
              <w:rPr>
                <w:rFonts w:hint="eastAsia" w:ascii="宋体" w:hAnsi="宋体" w:eastAsia="宋体" w:cs="宋体"/>
                <w:color w:val="auto"/>
                <w:szCs w:val="30"/>
              </w:rPr>
              <w:t>输血记录</w:t>
            </w:r>
          </w:p>
        </w:tc>
      </w:tr>
      <w:tr w14:paraId="3F18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4A6B3C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65</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743B6712">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药品出入库信息</w:t>
            </w:r>
          </w:p>
        </w:tc>
        <w:tc>
          <w:tcPr>
            <w:tcW w:w="5356" w:type="dxa"/>
            <w:tcBorders>
              <w:tl2br w:val="nil"/>
              <w:tr2bl w:val="nil"/>
            </w:tcBorders>
            <w:shd w:val="clear" w:color="auto" w:fill="auto"/>
            <w:tcMar>
              <w:top w:w="83" w:type="dxa"/>
              <w:left w:w="180" w:type="dxa"/>
              <w:bottom w:w="83" w:type="dxa"/>
              <w:right w:w="180" w:type="dxa"/>
            </w:tcMar>
            <w:vAlign w:val="center"/>
          </w:tcPr>
          <w:p w14:paraId="5308A3AA">
            <w:pPr>
              <w:ind w:firstLine="600"/>
              <w:rPr>
                <w:rFonts w:hint="eastAsia" w:ascii="宋体" w:hAnsi="宋体" w:eastAsia="宋体" w:cs="宋体"/>
                <w:color w:val="auto"/>
                <w:szCs w:val="30"/>
              </w:rPr>
            </w:pPr>
            <w:r>
              <w:rPr>
                <w:rFonts w:hint="eastAsia" w:ascii="宋体" w:hAnsi="宋体" w:eastAsia="宋体" w:cs="宋体"/>
                <w:color w:val="auto"/>
                <w:szCs w:val="30"/>
              </w:rPr>
              <w:t>西药药品入库明细</w:t>
            </w:r>
          </w:p>
        </w:tc>
      </w:tr>
      <w:tr w14:paraId="2997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5E110BAE">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66</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1BBD2FA1">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215E384">
            <w:pPr>
              <w:ind w:firstLine="600"/>
              <w:rPr>
                <w:rFonts w:hint="eastAsia" w:ascii="宋体" w:hAnsi="宋体" w:eastAsia="宋体" w:cs="宋体"/>
                <w:color w:val="auto"/>
                <w:szCs w:val="30"/>
              </w:rPr>
            </w:pPr>
            <w:r>
              <w:rPr>
                <w:rFonts w:hint="eastAsia" w:ascii="宋体" w:hAnsi="宋体" w:eastAsia="宋体" w:cs="宋体"/>
                <w:color w:val="auto"/>
                <w:szCs w:val="30"/>
              </w:rPr>
              <w:t>中成药药品入库明细</w:t>
            </w:r>
          </w:p>
        </w:tc>
      </w:tr>
      <w:tr w14:paraId="4930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7A5C0113">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67</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3801031">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7D32C9E8">
            <w:pPr>
              <w:ind w:firstLine="600"/>
              <w:rPr>
                <w:rFonts w:hint="eastAsia" w:ascii="宋体" w:hAnsi="宋体" w:eastAsia="宋体" w:cs="宋体"/>
                <w:color w:val="auto"/>
                <w:szCs w:val="30"/>
              </w:rPr>
            </w:pPr>
            <w:r>
              <w:rPr>
                <w:rFonts w:hint="eastAsia" w:ascii="宋体" w:hAnsi="宋体" w:eastAsia="宋体" w:cs="宋体"/>
                <w:color w:val="auto"/>
                <w:szCs w:val="30"/>
              </w:rPr>
              <w:t>中草药药品入库明细</w:t>
            </w:r>
          </w:p>
        </w:tc>
      </w:tr>
      <w:tr w14:paraId="0C86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68F28962">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68</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738ECC4">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604EBD27">
            <w:pPr>
              <w:ind w:firstLine="600"/>
              <w:rPr>
                <w:rFonts w:hint="eastAsia" w:ascii="宋体" w:hAnsi="宋体" w:eastAsia="宋体" w:cs="宋体"/>
                <w:color w:val="auto"/>
                <w:szCs w:val="30"/>
              </w:rPr>
            </w:pPr>
            <w:r>
              <w:rPr>
                <w:rFonts w:hint="eastAsia" w:ascii="宋体" w:hAnsi="宋体" w:eastAsia="宋体" w:cs="宋体"/>
                <w:color w:val="auto"/>
                <w:szCs w:val="30"/>
              </w:rPr>
              <w:t>其它药品入库明细</w:t>
            </w:r>
          </w:p>
        </w:tc>
      </w:tr>
      <w:tr w14:paraId="53C5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2C08BD1D">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69</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E403F52">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3FB8BA3B">
            <w:pPr>
              <w:ind w:firstLine="600"/>
              <w:rPr>
                <w:rFonts w:hint="eastAsia" w:ascii="宋体" w:hAnsi="宋体" w:eastAsia="宋体" w:cs="宋体"/>
                <w:color w:val="auto"/>
                <w:szCs w:val="30"/>
              </w:rPr>
            </w:pPr>
            <w:r>
              <w:rPr>
                <w:rFonts w:hint="eastAsia" w:ascii="宋体" w:hAnsi="宋体" w:eastAsia="宋体" w:cs="宋体"/>
                <w:color w:val="auto"/>
                <w:szCs w:val="30"/>
              </w:rPr>
              <w:t>西药药品出库明细</w:t>
            </w:r>
          </w:p>
        </w:tc>
      </w:tr>
      <w:tr w14:paraId="30CC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041DA1E">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70</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395BEE3">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CD87996">
            <w:pPr>
              <w:ind w:firstLine="600"/>
              <w:rPr>
                <w:rFonts w:hint="eastAsia" w:ascii="宋体" w:hAnsi="宋体" w:eastAsia="宋体" w:cs="宋体"/>
                <w:color w:val="auto"/>
                <w:szCs w:val="30"/>
              </w:rPr>
            </w:pPr>
            <w:r>
              <w:rPr>
                <w:rFonts w:hint="eastAsia" w:ascii="宋体" w:hAnsi="宋体" w:eastAsia="宋体" w:cs="宋体"/>
                <w:color w:val="auto"/>
                <w:szCs w:val="30"/>
              </w:rPr>
              <w:t>中成药药品出库明细</w:t>
            </w:r>
          </w:p>
        </w:tc>
      </w:tr>
      <w:tr w14:paraId="72C7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2B3AD1C">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71</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55EEED25">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B03754D">
            <w:pPr>
              <w:ind w:firstLine="600"/>
              <w:rPr>
                <w:rFonts w:hint="eastAsia" w:ascii="宋体" w:hAnsi="宋体" w:eastAsia="宋体" w:cs="宋体"/>
                <w:color w:val="auto"/>
                <w:szCs w:val="30"/>
              </w:rPr>
            </w:pPr>
            <w:r>
              <w:rPr>
                <w:rFonts w:hint="eastAsia" w:ascii="宋体" w:hAnsi="宋体" w:eastAsia="宋体" w:cs="宋体"/>
                <w:color w:val="auto"/>
                <w:szCs w:val="30"/>
              </w:rPr>
              <w:t>草药药品出库明细</w:t>
            </w:r>
          </w:p>
        </w:tc>
      </w:tr>
      <w:tr w14:paraId="2E55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16B96F76">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72</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4F25D306">
            <w:pPr>
              <w:ind w:firstLine="600"/>
              <w:jc w:val="both"/>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37931D41">
            <w:pPr>
              <w:ind w:firstLine="600"/>
              <w:rPr>
                <w:rFonts w:hint="eastAsia" w:ascii="宋体" w:hAnsi="宋体" w:eastAsia="宋体" w:cs="宋体"/>
                <w:color w:val="auto"/>
                <w:szCs w:val="30"/>
              </w:rPr>
            </w:pPr>
            <w:r>
              <w:rPr>
                <w:rFonts w:hint="eastAsia" w:ascii="宋体" w:hAnsi="宋体" w:eastAsia="宋体" w:cs="宋体"/>
                <w:color w:val="auto"/>
                <w:szCs w:val="30"/>
              </w:rPr>
              <w:t>其它药品出库明细</w:t>
            </w:r>
          </w:p>
        </w:tc>
      </w:tr>
      <w:tr w14:paraId="297B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2B85529">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73</w:t>
            </w:r>
          </w:p>
        </w:tc>
        <w:tc>
          <w:tcPr>
            <w:tcW w:w="2190" w:type="dxa"/>
            <w:vMerge w:val="restart"/>
            <w:tcBorders>
              <w:tl2br w:val="nil"/>
              <w:tr2bl w:val="nil"/>
            </w:tcBorders>
            <w:shd w:val="clear" w:color="auto" w:fill="auto"/>
            <w:tcMar>
              <w:top w:w="83" w:type="dxa"/>
              <w:left w:w="180" w:type="dxa"/>
              <w:bottom w:w="83" w:type="dxa"/>
              <w:right w:w="180" w:type="dxa"/>
            </w:tcMar>
            <w:vAlign w:val="center"/>
          </w:tcPr>
          <w:p w14:paraId="0C135429">
            <w:pPr>
              <w:ind w:left="0"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szCs w:val="30"/>
              </w:rPr>
              <w:t>三级公立医院绩效考核</w:t>
            </w:r>
          </w:p>
        </w:tc>
        <w:tc>
          <w:tcPr>
            <w:tcW w:w="5356" w:type="dxa"/>
            <w:tcBorders>
              <w:tl2br w:val="nil"/>
              <w:tr2bl w:val="nil"/>
            </w:tcBorders>
            <w:shd w:val="clear" w:color="auto" w:fill="auto"/>
            <w:tcMar>
              <w:top w:w="83" w:type="dxa"/>
              <w:left w:w="180" w:type="dxa"/>
              <w:bottom w:w="83" w:type="dxa"/>
              <w:right w:w="180" w:type="dxa"/>
            </w:tcMar>
            <w:vAlign w:val="center"/>
          </w:tcPr>
          <w:p w14:paraId="39F5609F">
            <w:pPr>
              <w:ind w:firstLine="600"/>
              <w:rPr>
                <w:rFonts w:hint="eastAsia" w:ascii="宋体" w:hAnsi="宋体" w:eastAsia="宋体" w:cs="宋体"/>
                <w:color w:val="auto"/>
                <w:szCs w:val="30"/>
              </w:rPr>
            </w:pPr>
            <w:r>
              <w:rPr>
                <w:rFonts w:hint="eastAsia" w:ascii="宋体" w:hAnsi="宋体" w:eastAsia="宋体" w:cs="宋体"/>
                <w:color w:val="auto"/>
                <w:szCs w:val="30"/>
              </w:rPr>
              <w:t>门诊数据上报表</w:t>
            </w:r>
          </w:p>
        </w:tc>
      </w:tr>
      <w:tr w14:paraId="78786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094610B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74</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732213BC">
            <w:pPr>
              <w:ind w:firstLine="600"/>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5CF96173">
            <w:pPr>
              <w:ind w:firstLine="600"/>
              <w:rPr>
                <w:rFonts w:hint="eastAsia" w:ascii="宋体" w:hAnsi="宋体" w:eastAsia="宋体" w:cs="宋体"/>
                <w:color w:val="auto"/>
                <w:szCs w:val="30"/>
              </w:rPr>
            </w:pPr>
            <w:r>
              <w:rPr>
                <w:rFonts w:hint="eastAsia" w:ascii="宋体" w:hAnsi="宋体" w:eastAsia="宋体" w:cs="宋体"/>
                <w:color w:val="auto"/>
                <w:szCs w:val="30"/>
              </w:rPr>
              <w:t>住院数据上报表</w:t>
            </w:r>
          </w:p>
        </w:tc>
      </w:tr>
      <w:tr w14:paraId="4FF9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1373" w:type="dxa"/>
            <w:tcBorders>
              <w:tl2br w:val="nil"/>
              <w:tr2bl w:val="nil"/>
            </w:tcBorders>
            <w:vAlign w:val="center"/>
          </w:tcPr>
          <w:p w14:paraId="3564D005">
            <w:pPr>
              <w:ind w:firstLine="600"/>
              <w:jc w:val="both"/>
              <w:rPr>
                <w:rFonts w:hint="eastAsia" w:ascii="宋体" w:hAnsi="宋体" w:eastAsia="宋体" w:cs="宋体"/>
                <w:color w:val="auto"/>
                <w:kern w:val="0"/>
                <w:szCs w:val="30"/>
              </w:rPr>
            </w:pPr>
            <w:r>
              <w:rPr>
                <w:rFonts w:hint="eastAsia" w:ascii="宋体" w:hAnsi="宋体" w:eastAsia="宋体" w:cs="宋体"/>
                <w:color w:val="auto"/>
                <w:kern w:val="0"/>
                <w:szCs w:val="30"/>
              </w:rPr>
              <w:t>75</w:t>
            </w:r>
          </w:p>
        </w:tc>
        <w:tc>
          <w:tcPr>
            <w:tcW w:w="2190" w:type="dxa"/>
            <w:vMerge w:val="continue"/>
            <w:tcBorders>
              <w:tl2br w:val="nil"/>
              <w:tr2bl w:val="nil"/>
            </w:tcBorders>
            <w:shd w:val="clear" w:color="auto" w:fill="auto"/>
            <w:tcMar>
              <w:top w:w="83" w:type="dxa"/>
              <w:left w:w="180" w:type="dxa"/>
              <w:bottom w:w="83" w:type="dxa"/>
              <w:right w:w="180" w:type="dxa"/>
            </w:tcMar>
            <w:vAlign w:val="center"/>
          </w:tcPr>
          <w:p w14:paraId="3B875624">
            <w:pPr>
              <w:ind w:firstLine="600"/>
              <w:rPr>
                <w:rFonts w:hint="eastAsia" w:ascii="宋体" w:hAnsi="宋体" w:eastAsia="宋体" w:cs="宋体"/>
                <w:color w:val="auto"/>
                <w:szCs w:val="30"/>
              </w:rPr>
            </w:pPr>
          </w:p>
        </w:tc>
        <w:tc>
          <w:tcPr>
            <w:tcW w:w="5356" w:type="dxa"/>
            <w:tcBorders>
              <w:tl2br w:val="nil"/>
              <w:tr2bl w:val="nil"/>
            </w:tcBorders>
            <w:shd w:val="clear" w:color="auto" w:fill="auto"/>
            <w:tcMar>
              <w:top w:w="83" w:type="dxa"/>
              <w:left w:w="180" w:type="dxa"/>
              <w:bottom w:w="83" w:type="dxa"/>
              <w:right w:w="180" w:type="dxa"/>
            </w:tcMar>
            <w:vAlign w:val="center"/>
          </w:tcPr>
          <w:p w14:paraId="29F84D32">
            <w:pPr>
              <w:ind w:firstLine="600"/>
              <w:rPr>
                <w:rFonts w:hint="eastAsia" w:ascii="宋体" w:hAnsi="宋体" w:eastAsia="宋体" w:cs="宋体"/>
                <w:color w:val="auto"/>
                <w:szCs w:val="30"/>
              </w:rPr>
            </w:pPr>
            <w:r>
              <w:rPr>
                <w:rFonts w:hint="eastAsia" w:ascii="宋体" w:hAnsi="宋体" w:eastAsia="宋体" w:cs="宋体"/>
                <w:color w:val="auto"/>
                <w:szCs w:val="30"/>
              </w:rPr>
              <w:t>医院数据上报表</w:t>
            </w:r>
          </w:p>
        </w:tc>
      </w:tr>
    </w:tbl>
    <w:p w14:paraId="688C3E43">
      <w:pPr>
        <w:pStyle w:val="24"/>
        <w:numPr>
          <w:ilvl w:val="3"/>
          <w:numId w:val="35"/>
        </w:numPr>
        <w:tabs>
          <w:tab w:val="left" w:pos="2321"/>
        </w:tabs>
        <w:spacing w:before="161"/>
        <w:ind w:left="425" w:leftChars="0" w:firstLine="0" w:firstLineChars="0"/>
        <w:rPr>
          <w:rFonts w:hint="eastAsia"/>
          <w:b/>
          <w:color w:val="auto"/>
          <w:spacing w:val="-2"/>
          <w:sz w:val="24"/>
        </w:rPr>
      </w:pPr>
      <w:r>
        <w:rPr>
          <w:rFonts w:hint="default" w:ascii="Arial" w:hAnsi="Arial" w:cs="Arial"/>
          <w:color w:val="auto"/>
          <w:spacing w:val="-2"/>
        </w:rPr>
        <w:t>√</w:t>
      </w:r>
      <w:r>
        <w:rPr>
          <w:rFonts w:hint="eastAsia"/>
          <w:b/>
          <w:color w:val="auto"/>
          <w:spacing w:val="-2"/>
          <w:sz w:val="24"/>
        </w:rPr>
        <w:t>电子处方流转</w:t>
      </w:r>
    </w:p>
    <w:p w14:paraId="128622AC">
      <w:pPr>
        <w:pStyle w:val="24"/>
        <w:numPr>
          <w:ilvl w:val="0"/>
          <w:numId w:val="0"/>
        </w:numPr>
        <w:tabs>
          <w:tab w:val="left" w:pos="2321"/>
        </w:tabs>
        <w:spacing w:before="161"/>
        <w:ind w:left="425" w:leftChars="0"/>
        <w:rPr>
          <w:rFonts w:hint="eastAsia"/>
          <w:b/>
          <w:color w:val="auto"/>
          <w:spacing w:val="-2"/>
          <w:sz w:val="24"/>
        </w:rPr>
      </w:pPr>
    </w:p>
    <w:tbl>
      <w:tblPr>
        <w:tblStyle w:val="13"/>
        <w:tblW w:w="9075" w:type="dxa"/>
        <w:jc w:val="center"/>
        <w:tblLayout w:type="fixed"/>
        <w:tblCellMar>
          <w:top w:w="15" w:type="dxa"/>
          <w:left w:w="15" w:type="dxa"/>
          <w:bottom w:w="15" w:type="dxa"/>
          <w:right w:w="15" w:type="dxa"/>
        </w:tblCellMar>
      </w:tblPr>
      <w:tblGrid>
        <w:gridCol w:w="1432"/>
        <w:gridCol w:w="3459"/>
        <w:gridCol w:w="4184"/>
      </w:tblGrid>
      <w:tr w14:paraId="2B54C209">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6581CD6">
            <w:pPr>
              <w:ind w:firstLine="602"/>
              <w:jc w:val="both"/>
              <w:rPr>
                <w:rFonts w:hint="eastAsia" w:ascii="宋体" w:hAnsi="宋体" w:eastAsia="宋体" w:cs="宋体"/>
                <w:b/>
                <w:color w:val="auto"/>
                <w:kern w:val="0"/>
                <w:szCs w:val="30"/>
              </w:rPr>
            </w:pPr>
            <w:r>
              <w:rPr>
                <w:rFonts w:hint="eastAsia" w:ascii="宋体" w:hAnsi="宋体" w:eastAsia="宋体" w:cs="宋体"/>
                <w:b/>
                <w:color w:val="auto"/>
                <w:kern w:val="0"/>
                <w:szCs w:val="30"/>
              </w:rPr>
              <w:t>序号</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514EC8E">
            <w:pPr>
              <w:ind w:firstLine="602"/>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接口名称</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2B7268">
            <w:pPr>
              <w:ind w:firstLine="602"/>
              <w:jc w:val="center"/>
              <w:rPr>
                <w:rFonts w:hint="eastAsia" w:ascii="宋体" w:hAnsi="宋体" w:eastAsia="宋体" w:cs="宋体"/>
                <w:b/>
                <w:color w:val="auto"/>
                <w:kern w:val="0"/>
                <w:szCs w:val="30"/>
              </w:rPr>
            </w:pPr>
            <w:r>
              <w:rPr>
                <w:rFonts w:hint="eastAsia" w:ascii="宋体" w:hAnsi="宋体" w:eastAsia="宋体" w:cs="宋体"/>
                <w:b/>
                <w:color w:val="auto"/>
                <w:kern w:val="0"/>
                <w:szCs w:val="30"/>
              </w:rPr>
              <w:t>描 述</w:t>
            </w:r>
          </w:p>
        </w:tc>
      </w:tr>
      <w:tr w14:paraId="2B31DC8A">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46566F6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CFA08F7">
            <w:pPr>
              <w:ind w:left="0" w:firstLine="0" w:firstLineChars="0"/>
              <w:rPr>
                <w:rFonts w:hint="eastAsia" w:ascii="宋体" w:hAnsi="宋体" w:eastAsia="宋体" w:cs="宋体"/>
                <w:color w:val="auto"/>
                <w:kern w:val="0"/>
                <w:szCs w:val="30"/>
              </w:rPr>
            </w:pPr>
            <w:bookmarkStart w:id="202" w:name="_Toc16616"/>
            <w:bookmarkStart w:id="203" w:name="_Toc106648086"/>
            <w:r>
              <w:rPr>
                <w:rFonts w:hint="eastAsia" w:ascii="宋体" w:hAnsi="宋体" w:eastAsia="宋体" w:cs="宋体"/>
                <w:color w:val="auto"/>
                <w:szCs w:val="30"/>
              </w:rPr>
              <w:t>电子处方上传预核验</w:t>
            </w:r>
            <w:bookmarkEnd w:id="202"/>
            <w:bookmarkEnd w:id="203"/>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D0A8B11">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输入-处方信息</w:t>
            </w:r>
          </w:p>
        </w:tc>
      </w:tr>
      <w:tr w14:paraId="2E2835DA">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6D7D30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F5874C">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D392FE1">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输入-处方明细信息</w:t>
            </w:r>
          </w:p>
        </w:tc>
      </w:tr>
      <w:tr w14:paraId="012A3A0E">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50D9BF2E">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3</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5606C5D">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FAFBE45">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输入-就诊信息</w:t>
            </w:r>
          </w:p>
        </w:tc>
      </w:tr>
      <w:tr w14:paraId="5D3C820B">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6AA4E2C7">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4</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8CADA89">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8FA47C8">
            <w:pPr>
              <w:ind w:left="0" w:firstLine="0" w:firstLineChars="0"/>
              <w:rPr>
                <w:rFonts w:hint="eastAsia" w:ascii="宋体" w:hAnsi="宋体" w:eastAsia="宋体" w:cs="宋体"/>
                <w:color w:val="auto"/>
                <w:szCs w:val="30"/>
              </w:rPr>
            </w:pPr>
            <w:r>
              <w:rPr>
                <w:rFonts w:hint="eastAsia" w:ascii="宋体" w:hAnsi="宋体" w:eastAsia="宋体" w:cs="宋体"/>
                <w:color w:val="auto"/>
                <w:szCs w:val="30"/>
              </w:rPr>
              <w:t>输入-诊断信息</w:t>
            </w:r>
          </w:p>
        </w:tc>
      </w:tr>
      <w:tr w14:paraId="13E3B756">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BE8CE9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5</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9DC09F4">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E82DC2C">
            <w:pPr>
              <w:ind w:left="0" w:firstLine="0" w:firstLineChars="0"/>
              <w:rPr>
                <w:rFonts w:hint="eastAsia" w:ascii="宋体" w:hAnsi="宋体" w:eastAsia="宋体" w:cs="宋体"/>
                <w:color w:val="auto"/>
                <w:kern w:val="0"/>
                <w:szCs w:val="30"/>
              </w:rPr>
            </w:pPr>
            <w:r>
              <w:rPr>
                <w:rFonts w:hint="eastAsia" w:ascii="宋体" w:hAnsi="宋体" w:eastAsia="宋体" w:cs="宋体"/>
                <w:color w:val="auto"/>
                <w:szCs w:val="30"/>
              </w:rPr>
              <w:t>实现医师开方时的医保电子处方信息预核验</w:t>
            </w:r>
          </w:p>
        </w:tc>
      </w:tr>
      <w:tr w14:paraId="16AE04BD">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C437D4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6</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F798D8C">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26EB84BE">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预核验通过的处方才能进行上传</w:t>
            </w:r>
          </w:p>
        </w:tc>
      </w:tr>
      <w:tr w14:paraId="4B173DA3">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14888CF9">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7</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5E71C3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电子处方上传预核验</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769DFE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上传时处方须经定点医疗机构医保医师签名且院内医保药师审核通过</w:t>
            </w:r>
          </w:p>
        </w:tc>
      </w:tr>
      <w:tr w14:paraId="5999095F">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828FD3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8</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E09FA0A">
            <w:pPr>
              <w:ind w:left="0" w:firstLine="0" w:firstLineChars="0"/>
              <w:jc w:val="both"/>
              <w:rPr>
                <w:rFonts w:hint="eastAsia" w:ascii="宋体" w:hAnsi="宋体" w:eastAsia="宋体" w:cs="宋体"/>
                <w:color w:val="auto"/>
                <w:kern w:val="0"/>
                <w:szCs w:val="30"/>
              </w:rPr>
            </w:pPr>
            <w:bookmarkStart w:id="204" w:name="_Toc27631"/>
            <w:bookmarkStart w:id="205" w:name="_Toc106648087"/>
            <w:r>
              <w:rPr>
                <w:rFonts w:hint="eastAsia" w:ascii="宋体" w:hAnsi="宋体" w:eastAsia="宋体" w:cs="宋体"/>
                <w:color w:val="auto"/>
                <w:kern w:val="0"/>
                <w:szCs w:val="30"/>
              </w:rPr>
              <w:t>电子处方医保电子签名</w:t>
            </w:r>
            <w:bookmarkEnd w:id="204"/>
            <w:bookmarkEnd w:id="205"/>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AB87DC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定点医疗机构使用全国统一的医保信息平台下发的国密数字证书</w:t>
            </w:r>
          </w:p>
        </w:tc>
      </w:tr>
      <w:tr w14:paraId="26CEF2E7">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0A4313C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9</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2637DE1">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电子处方医保电子签名</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BC0A2D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对上传的电子处方信息及处方格式化电子文件进行医保电子签名</w:t>
            </w:r>
          </w:p>
        </w:tc>
      </w:tr>
      <w:tr w14:paraId="1AB1DE4E">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13E5E8B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10</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A5AF666">
            <w:pPr>
              <w:ind w:left="0" w:firstLine="0" w:firstLineChars="0"/>
              <w:jc w:val="both"/>
              <w:rPr>
                <w:rFonts w:hint="eastAsia" w:ascii="宋体" w:hAnsi="宋体" w:eastAsia="宋体" w:cs="宋体"/>
                <w:color w:val="auto"/>
                <w:kern w:val="0"/>
                <w:szCs w:val="30"/>
              </w:rPr>
            </w:pPr>
            <w:bookmarkStart w:id="206" w:name="_Toc106648088"/>
            <w:bookmarkStart w:id="207" w:name="_Toc8281"/>
            <w:r>
              <w:rPr>
                <w:rFonts w:hint="eastAsia" w:ascii="宋体" w:hAnsi="宋体" w:eastAsia="宋体" w:cs="宋体"/>
                <w:color w:val="auto"/>
                <w:kern w:val="0"/>
                <w:szCs w:val="30"/>
              </w:rPr>
              <w:t>电子处方上传</w:t>
            </w:r>
            <w:bookmarkEnd w:id="206"/>
            <w:bookmarkEnd w:id="207"/>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97C6A5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定点医疗机构将医保电子签名后的签名结果上传至医保电子处方中心</w:t>
            </w:r>
          </w:p>
        </w:tc>
      </w:tr>
      <w:tr w14:paraId="62A86E9C">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6A32E3EC">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11</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B56212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电子处方上传</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5FE4B54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定点医疗机构将医保电子签名后的处方文件上传至医保电子处方中心</w:t>
            </w:r>
          </w:p>
        </w:tc>
      </w:tr>
      <w:tr w14:paraId="0B64FE3F">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2F83CF5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12</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51F2CA5">
            <w:pPr>
              <w:ind w:left="0" w:firstLine="0" w:firstLineChars="0"/>
              <w:jc w:val="both"/>
              <w:rPr>
                <w:rFonts w:hint="eastAsia" w:ascii="宋体" w:hAnsi="宋体" w:eastAsia="宋体" w:cs="宋体"/>
                <w:color w:val="auto"/>
                <w:kern w:val="0"/>
                <w:szCs w:val="30"/>
              </w:rPr>
            </w:pPr>
            <w:bookmarkStart w:id="208" w:name="_Toc106648089"/>
            <w:bookmarkStart w:id="209" w:name="_Toc18569"/>
            <w:r>
              <w:rPr>
                <w:rFonts w:hint="eastAsia" w:ascii="宋体" w:hAnsi="宋体" w:eastAsia="宋体" w:cs="宋体"/>
                <w:color w:val="auto"/>
                <w:kern w:val="0"/>
                <w:szCs w:val="30"/>
              </w:rPr>
              <w:t>电子处方撤销</w:t>
            </w:r>
            <w:bookmarkEnd w:id="208"/>
            <w:bookmarkEnd w:id="209"/>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020863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定点医疗机构对还未结算的异常电子处方进行撤销操作</w:t>
            </w:r>
          </w:p>
        </w:tc>
      </w:tr>
      <w:tr w14:paraId="75D9B64D">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166E095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13</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B656F9B">
            <w:pPr>
              <w:ind w:left="0" w:firstLine="0" w:firstLineChars="0"/>
              <w:jc w:val="both"/>
              <w:rPr>
                <w:rFonts w:hint="eastAsia" w:ascii="宋体" w:hAnsi="宋体" w:eastAsia="宋体" w:cs="宋体"/>
                <w:color w:val="auto"/>
                <w:kern w:val="0"/>
                <w:szCs w:val="30"/>
              </w:rPr>
            </w:pPr>
            <w:bookmarkStart w:id="210" w:name="_Toc3552"/>
            <w:bookmarkStart w:id="211" w:name="_Toc106648090"/>
            <w:r>
              <w:rPr>
                <w:rFonts w:hint="eastAsia" w:ascii="宋体" w:hAnsi="宋体" w:eastAsia="宋体" w:cs="宋体"/>
                <w:color w:val="auto"/>
                <w:kern w:val="0"/>
                <w:szCs w:val="30"/>
              </w:rPr>
              <w:t>电子处方信息查询</w:t>
            </w:r>
            <w:bookmarkEnd w:id="210"/>
            <w:bookmarkEnd w:id="211"/>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2BB56BF">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定点医疗机构可查询上传的患者处方内容</w:t>
            </w:r>
          </w:p>
        </w:tc>
      </w:tr>
      <w:tr w14:paraId="5AFEB482">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DBE6EC0">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14</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D27F80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电子处方信息查询</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206F3B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定点医疗机构可查询上传的患者处方状态</w:t>
            </w:r>
          </w:p>
        </w:tc>
      </w:tr>
      <w:tr w14:paraId="2B2D9D80">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5757443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15</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7A0B04E">
            <w:pPr>
              <w:ind w:left="0" w:firstLine="0" w:firstLineChars="0"/>
              <w:jc w:val="both"/>
              <w:rPr>
                <w:rFonts w:hint="eastAsia" w:ascii="宋体" w:hAnsi="宋体" w:eastAsia="宋体" w:cs="宋体"/>
                <w:color w:val="auto"/>
                <w:kern w:val="0"/>
                <w:szCs w:val="30"/>
              </w:rPr>
            </w:pPr>
            <w:bookmarkStart w:id="212" w:name="_Toc6550"/>
            <w:bookmarkStart w:id="213" w:name="_Toc106648091"/>
            <w:r>
              <w:rPr>
                <w:rFonts w:hint="eastAsia" w:ascii="宋体" w:hAnsi="宋体" w:eastAsia="宋体" w:cs="宋体"/>
                <w:color w:val="auto"/>
                <w:kern w:val="0"/>
                <w:szCs w:val="30"/>
              </w:rPr>
              <w:t>电子处方审核结果反馈</w:t>
            </w:r>
            <w:bookmarkEnd w:id="212"/>
            <w:bookmarkEnd w:id="213"/>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F756A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定点医疗机构可接收在取药机构的电子处方审核结果通知信息</w:t>
            </w:r>
          </w:p>
        </w:tc>
      </w:tr>
      <w:tr w14:paraId="042DAD83">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04473826">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16</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F80AC0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电子处方审核结果反馈</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8F33332">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定点医疗机构可根据自身</w:t>
            </w:r>
            <w:r>
              <w:rPr>
                <w:rFonts w:hint="eastAsia" w:ascii="宋体" w:hAnsi="宋体" w:eastAsia="宋体" w:cs="宋体"/>
                <w:color w:val="auto"/>
                <w:spacing w:val="0"/>
                <w:kern w:val="0"/>
                <w:szCs w:val="30"/>
              </w:rPr>
              <w:t>业务需要，考虑是否对接该接口实现实时接收处方审核结果通知</w:t>
            </w:r>
          </w:p>
        </w:tc>
      </w:tr>
      <w:tr w14:paraId="25081FB4">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4396EFD3">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17</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A6C9510">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电子处方审核结果查询</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83A4F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定点医疗机构可主动查询为患者开具的处方在取药机构的处方审核结果信息</w:t>
            </w:r>
          </w:p>
        </w:tc>
      </w:tr>
      <w:tr w14:paraId="0726C07C">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0B2D4BED">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18</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69DBCAF2">
            <w:pPr>
              <w:ind w:left="0" w:firstLine="0" w:firstLineChars="0"/>
              <w:jc w:val="both"/>
              <w:rPr>
                <w:rFonts w:hint="eastAsia" w:ascii="宋体" w:hAnsi="宋体" w:eastAsia="宋体" w:cs="宋体"/>
                <w:color w:val="auto"/>
                <w:kern w:val="0"/>
                <w:szCs w:val="30"/>
              </w:rPr>
            </w:pPr>
            <w:bookmarkStart w:id="214" w:name="_Toc606"/>
            <w:bookmarkStart w:id="215" w:name="_Toc106648093"/>
            <w:r>
              <w:rPr>
                <w:rFonts w:hint="eastAsia" w:ascii="宋体" w:hAnsi="宋体" w:eastAsia="宋体" w:cs="宋体"/>
                <w:color w:val="auto"/>
                <w:kern w:val="0"/>
                <w:szCs w:val="30"/>
              </w:rPr>
              <w:t>电子处方取药结果反馈</w:t>
            </w:r>
            <w:bookmarkEnd w:id="214"/>
            <w:bookmarkEnd w:id="215"/>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EECCF3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定点医疗机构可接收在取药机构的电子处方取药结果通知信息</w:t>
            </w:r>
          </w:p>
        </w:tc>
      </w:tr>
      <w:tr w14:paraId="67B71F3A">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5CE1523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19</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16E69AD9">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电子处方取药结果反馈</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8B307E3">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定点医疗机构可根据自身</w:t>
            </w:r>
            <w:r>
              <w:rPr>
                <w:rFonts w:hint="eastAsia" w:ascii="宋体" w:hAnsi="宋体" w:eastAsia="宋体" w:cs="宋体"/>
                <w:color w:val="auto"/>
                <w:spacing w:val="0"/>
                <w:kern w:val="0"/>
                <w:szCs w:val="30"/>
              </w:rPr>
              <w:t>业务需要，考虑是否对接该接口来实现实时接收处方取药结果通知</w:t>
            </w:r>
          </w:p>
        </w:tc>
      </w:tr>
      <w:tr w14:paraId="1EF14D72">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33F4B832">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20</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FB354F4">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电子处方取药结果查询</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3E73968">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定点医疗机构可主动查询为患者开具的处方在取药机构的处方结算结果信息</w:t>
            </w:r>
          </w:p>
        </w:tc>
      </w:tr>
      <w:tr w14:paraId="7FC3E907">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73218B51">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22</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C1EF056">
            <w:pPr>
              <w:ind w:left="0" w:firstLine="0" w:firstLineChars="0"/>
              <w:jc w:val="both"/>
              <w:rPr>
                <w:rFonts w:hint="eastAsia" w:ascii="宋体" w:hAnsi="宋体" w:eastAsia="宋体" w:cs="宋体"/>
                <w:color w:val="auto"/>
                <w:kern w:val="0"/>
                <w:szCs w:val="30"/>
              </w:rPr>
            </w:pPr>
            <w:bookmarkStart w:id="216" w:name="_Toc20936"/>
            <w:r>
              <w:rPr>
                <w:rFonts w:hint="eastAsia" w:ascii="宋体" w:hAnsi="宋体" w:eastAsia="宋体" w:cs="宋体"/>
                <w:color w:val="auto"/>
                <w:kern w:val="0"/>
                <w:szCs w:val="30"/>
              </w:rPr>
              <w:t>电子处方药品目录查询</w:t>
            </w:r>
            <w:bookmarkEnd w:id="216"/>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35924A45">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定点医药机构查询可开具的电子处方药品目录范围</w:t>
            </w:r>
          </w:p>
        </w:tc>
      </w:tr>
      <w:tr w14:paraId="264F04B0">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6C8AA10F">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23</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712A6B96">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电子处方药品目录查询</w:t>
            </w:r>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463875D">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定点医药机构查询可取药的电子处方药品目录范围</w:t>
            </w:r>
          </w:p>
        </w:tc>
      </w:tr>
      <w:tr w14:paraId="781D679E">
        <w:tblPrEx>
          <w:tblCellMar>
            <w:top w:w="15" w:type="dxa"/>
            <w:left w:w="15" w:type="dxa"/>
            <w:bottom w:w="15" w:type="dxa"/>
            <w:right w:w="15" w:type="dxa"/>
          </w:tblCellMar>
        </w:tblPrEx>
        <w:trPr>
          <w:trHeight w:val="454" w:hRule="atLeast"/>
          <w:jc w:val="center"/>
        </w:trPr>
        <w:tc>
          <w:tcPr>
            <w:tcW w:w="1432" w:type="dxa"/>
            <w:tcBorders>
              <w:top w:val="single" w:color="auto" w:sz="4" w:space="0"/>
              <w:left w:val="single" w:color="auto" w:sz="4" w:space="0"/>
              <w:bottom w:val="single" w:color="auto" w:sz="4" w:space="0"/>
              <w:right w:val="single" w:color="auto" w:sz="4" w:space="0"/>
            </w:tcBorders>
            <w:vAlign w:val="center"/>
          </w:tcPr>
          <w:p w14:paraId="1502BC4A">
            <w:pPr>
              <w:ind w:left="0"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24</w:t>
            </w:r>
          </w:p>
        </w:tc>
        <w:tc>
          <w:tcPr>
            <w:tcW w:w="3459"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029D5969">
            <w:pPr>
              <w:ind w:left="0" w:firstLine="0" w:firstLineChars="0"/>
              <w:jc w:val="both"/>
              <w:rPr>
                <w:rFonts w:hint="eastAsia" w:ascii="宋体" w:hAnsi="宋体" w:eastAsia="宋体" w:cs="宋体"/>
                <w:color w:val="auto"/>
                <w:kern w:val="0"/>
                <w:szCs w:val="30"/>
              </w:rPr>
            </w:pPr>
            <w:bookmarkStart w:id="217" w:name="_Toc22187"/>
            <w:r>
              <w:rPr>
                <w:rFonts w:hint="eastAsia" w:ascii="宋体" w:hAnsi="宋体" w:eastAsia="宋体" w:cs="宋体"/>
                <w:color w:val="auto"/>
                <w:kern w:val="0"/>
                <w:szCs w:val="30"/>
              </w:rPr>
              <w:t>电子处方购药库存校验</w:t>
            </w:r>
            <w:bookmarkEnd w:id="217"/>
          </w:p>
        </w:tc>
        <w:tc>
          <w:tcPr>
            <w:tcW w:w="4184" w:type="dxa"/>
            <w:tcBorders>
              <w:top w:val="single" w:color="auto" w:sz="4" w:space="0"/>
              <w:left w:val="single" w:color="auto" w:sz="4" w:space="0"/>
              <w:bottom w:val="single" w:color="auto" w:sz="4" w:space="0"/>
              <w:right w:val="single" w:color="auto" w:sz="4" w:space="0"/>
            </w:tcBorders>
            <w:shd w:val="clear" w:color="auto" w:fill="auto"/>
            <w:tcMar>
              <w:top w:w="83" w:type="dxa"/>
              <w:left w:w="180" w:type="dxa"/>
              <w:bottom w:w="83" w:type="dxa"/>
              <w:right w:w="180" w:type="dxa"/>
            </w:tcMar>
            <w:vAlign w:val="center"/>
          </w:tcPr>
          <w:p w14:paraId="4B124717">
            <w:pPr>
              <w:ind w:left="0" w:firstLine="0" w:firstLineChars="0"/>
              <w:jc w:val="both"/>
              <w:rPr>
                <w:rFonts w:hint="eastAsia" w:ascii="宋体" w:hAnsi="宋体" w:eastAsia="宋体" w:cs="宋体"/>
                <w:color w:val="auto"/>
                <w:kern w:val="0"/>
                <w:szCs w:val="30"/>
              </w:rPr>
            </w:pPr>
            <w:r>
              <w:rPr>
                <w:rFonts w:hint="eastAsia" w:ascii="宋体" w:hAnsi="宋体" w:eastAsia="宋体" w:cs="宋体"/>
                <w:color w:val="auto"/>
                <w:kern w:val="0"/>
                <w:szCs w:val="30"/>
              </w:rPr>
              <w:t>定点医疗机构主动查询药品库存是否满足需求</w:t>
            </w:r>
          </w:p>
        </w:tc>
      </w:tr>
    </w:tbl>
    <w:p w14:paraId="60B6AF0E">
      <w:pPr>
        <w:pStyle w:val="24"/>
        <w:numPr>
          <w:ilvl w:val="3"/>
          <w:numId w:val="35"/>
        </w:numPr>
        <w:tabs>
          <w:tab w:val="left" w:pos="2321"/>
        </w:tabs>
        <w:spacing w:before="161"/>
        <w:ind w:left="425" w:leftChars="0" w:firstLine="0" w:firstLineChars="0"/>
        <w:rPr>
          <w:rFonts w:hint="eastAsia"/>
          <w:b/>
          <w:color w:val="auto"/>
          <w:spacing w:val="-2"/>
          <w:sz w:val="24"/>
        </w:rPr>
      </w:pPr>
      <w:r>
        <w:rPr>
          <w:b/>
          <w:color w:val="auto"/>
          <w:spacing w:val="-2"/>
          <w:sz w:val="24"/>
        </w:rPr>
        <w:t>省阳光采购平台对接</w:t>
      </w:r>
    </w:p>
    <w:p w14:paraId="76C0AEDA">
      <w:pPr>
        <w:pStyle w:val="24"/>
        <w:numPr>
          <w:ilvl w:val="0"/>
          <w:numId w:val="0"/>
        </w:numPr>
        <w:tabs>
          <w:tab w:val="left" w:pos="2321"/>
        </w:tabs>
        <w:spacing w:before="161"/>
        <w:ind w:left="425" w:leftChars="0"/>
        <w:rPr>
          <w:rFonts w:hint="eastAsia"/>
          <w:b/>
          <w:color w:val="auto"/>
          <w:spacing w:val="-2"/>
          <w:sz w:val="24"/>
        </w:rPr>
      </w:pPr>
    </w:p>
    <w:tbl>
      <w:tblPr>
        <w:tblStyle w:val="14"/>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0"/>
        <w:gridCol w:w="4770"/>
        <w:gridCol w:w="1725"/>
      </w:tblGrid>
      <w:tr w14:paraId="5020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tcPr>
          <w:p w14:paraId="50C95275">
            <w:pPr>
              <w:spacing w:line="360" w:lineRule="auto"/>
              <w:ind w:firstLine="0" w:firstLineChars="0"/>
              <w:jc w:val="center"/>
              <w:rPr>
                <w:rFonts w:hint="eastAsia" w:ascii="宋体" w:hAnsi="宋体" w:eastAsia="宋体" w:cs="宋体"/>
                <w:b/>
                <w:bCs/>
                <w:color w:val="auto"/>
                <w:szCs w:val="30"/>
              </w:rPr>
            </w:pPr>
            <w:r>
              <w:rPr>
                <w:rFonts w:hint="eastAsia" w:ascii="宋体" w:hAnsi="宋体" w:eastAsia="宋体" w:cs="宋体"/>
                <w:b/>
                <w:bCs/>
                <w:color w:val="auto"/>
                <w:szCs w:val="30"/>
              </w:rPr>
              <w:t>需求</w:t>
            </w:r>
          </w:p>
        </w:tc>
        <w:tc>
          <w:tcPr>
            <w:tcW w:w="4770" w:type="dxa"/>
          </w:tcPr>
          <w:p w14:paraId="541EB975">
            <w:pPr>
              <w:spacing w:line="360" w:lineRule="auto"/>
              <w:ind w:firstLine="0" w:firstLineChars="0"/>
              <w:jc w:val="center"/>
              <w:rPr>
                <w:rFonts w:hint="eastAsia" w:ascii="宋体" w:hAnsi="宋体" w:eastAsia="宋体" w:cs="宋体"/>
                <w:b/>
                <w:bCs/>
                <w:color w:val="auto"/>
                <w:szCs w:val="30"/>
              </w:rPr>
            </w:pPr>
            <w:r>
              <w:rPr>
                <w:rFonts w:hint="eastAsia" w:ascii="宋体" w:hAnsi="宋体" w:eastAsia="宋体" w:cs="宋体"/>
                <w:b/>
                <w:bCs/>
                <w:color w:val="auto"/>
                <w:szCs w:val="30"/>
              </w:rPr>
              <w:t>明细清单</w:t>
            </w:r>
          </w:p>
        </w:tc>
        <w:tc>
          <w:tcPr>
            <w:tcW w:w="1725" w:type="dxa"/>
          </w:tcPr>
          <w:p w14:paraId="7F41EABD">
            <w:pPr>
              <w:spacing w:line="360" w:lineRule="auto"/>
              <w:ind w:firstLine="0" w:firstLineChars="0"/>
              <w:jc w:val="center"/>
              <w:rPr>
                <w:rFonts w:hint="eastAsia" w:ascii="宋体" w:hAnsi="宋体" w:eastAsia="宋体" w:cs="宋体"/>
                <w:b/>
                <w:bCs/>
                <w:color w:val="auto"/>
                <w:szCs w:val="30"/>
              </w:rPr>
            </w:pPr>
            <w:r>
              <w:rPr>
                <w:rFonts w:hint="eastAsia" w:ascii="宋体" w:hAnsi="宋体" w:eastAsia="宋体" w:cs="宋体"/>
                <w:b/>
                <w:bCs/>
                <w:color w:val="auto"/>
                <w:szCs w:val="30"/>
              </w:rPr>
              <w:t>备注</w:t>
            </w:r>
          </w:p>
        </w:tc>
      </w:tr>
      <w:tr w14:paraId="1E35A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restart"/>
            <w:vAlign w:val="center"/>
          </w:tcPr>
          <w:p w14:paraId="1B2E56A6">
            <w:pPr>
              <w:spacing w:line="360" w:lineRule="auto"/>
              <w:ind w:firstLine="0" w:firstLineChars="0"/>
              <w:jc w:val="center"/>
              <w:rPr>
                <w:rFonts w:hint="eastAsia" w:ascii="宋体" w:hAnsi="宋体" w:eastAsia="宋体" w:cs="宋体"/>
                <w:color w:val="auto"/>
                <w:kern w:val="0"/>
                <w:szCs w:val="30"/>
              </w:rPr>
            </w:pPr>
            <w:r>
              <w:rPr>
                <w:rFonts w:hint="default" w:ascii="宋体" w:hAnsi="宋体" w:eastAsia="宋体" w:cs="宋体"/>
                <w:color w:val="auto"/>
                <w:spacing w:val="-2"/>
                <w:lang w:val="en-US" w:eastAsia="zh-CN"/>
              </w:rPr>
              <w:t>√</w:t>
            </w:r>
            <w:r>
              <w:rPr>
                <w:rFonts w:hint="eastAsia" w:ascii="宋体" w:hAnsi="宋体" w:eastAsia="宋体" w:cs="宋体"/>
                <w:color w:val="auto"/>
                <w:kern w:val="0"/>
                <w:szCs w:val="30"/>
              </w:rPr>
              <w:t>采购业务交换需求（耗材采购业务对接要求）</w:t>
            </w:r>
          </w:p>
        </w:tc>
        <w:tc>
          <w:tcPr>
            <w:tcW w:w="4770" w:type="dxa"/>
          </w:tcPr>
          <w:p w14:paraId="2C5966CE">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接口列表-H001连通性测试</w:t>
            </w:r>
          </w:p>
        </w:tc>
        <w:tc>
          <w:tcPr>
            <w:tcW w:w="1725" w:type="dxa"/>
            <w:vMerge w:val="restart"/>
            <w:vAlign w:val="center"/>
          </w:tcPr>
          <w:p w14:paraId="1E18AD08">
            <w:pPr>
              <w:spacing w:line="360" w:lineRule="auto"/>
              <w:ind w:firstLine="0" w:firstLineChars="0"/>
              <w:jc w:val="center"/>
              <w:rPr>
                <w:rFonts w:hint="eastAsia" w:ascii="宋体" w:hAnsi="宋体" w:eastAsia="宋体" w:cs="宋体"/>
                <w:color w:val="auto"/>
                <w:szCs w:val="30"/>
              </w:rPr>
            </w:pPr>
            <w:r>
              <w:rPr>
                <w:rFonts w:hint="eastAsia" w:ascii="宋体" w:hAnsi="宋体" w:eastAsia="宋体" w:cs="宋体"/>
                <w:color w:val="auto"/>
                <w:szCs w:val="30"/>
              </w:rPr>
              <w:t>按照《江苏省药品（医用耗材）阳光采购和综合监管平台采购业务对接实施方案》执行</w:t>
            </w:r>
          </w:p>
        </w:tc>
      </w:tr>
      <w:tr w14:paraId="37E1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580" w:type="dxa"/>
            <w:vMerge w:val="continue"/>
            <w:vAlign w:val="center"/>
          </w:tcPr>
          <w:p w14:paraId="59294BF7">
            <w:pPr>
              <w:spacing w:line="360" w:lineRule="auto"/>
              <w:ind w:firstLine="0" w:firstLineChars="0"/>
              <w:jc w:val="center"/>
              <w:rPr>
                <w:rFonts w:hint="eastAsia" w:ascii="宋体" w:hAnsi="宋体" w:eastAsia="宋体" w:cs="宋体"/>
                <w:color w:val="auto"/>
                <w:kern w:val="0"/>
                <w:szCs w:val="30"/>
              </w:rPr>
            </w:pPr>
          </w:p>
        </w:tc>
        <w:tc>
          <w:tcPr>
            <w:tcW w:w="4770" w:type="dxa"/>
          </w:tcPr>
          <w:p w14:paraId="532324B9">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接口列表-H002获取接口调用凭据</w:t>
            </w:r>
          </w:p>
        </w:tc>
        <w:tc>
          <w:tcPr>
            <w:tcW w:w="1725" w:type="dxa"/>
            <w:vMerge w:val="continue"/>
          </w:tcPr>
          <w:p w14:paraId="6AC1F94A">
            <w:pPr>
              <w:spacing w:line="360" w:lineRule="auto"/>
              <w:ind w:firstLine="0" w:firstLineChars="0"/>
              <w:rPr>
                <w:rFonts w:hint="eastAsia" w:ascii="宋体" w:hAnsi="宋体" w:eastAsia="宋体" w:cs="宋体"/>
                <w:color w:val="auto"/>
                <w:szCs w:val="30"/>
              </w:rPr>
            </w:pPr>
          </w:p>
        </w:tc>
      </w:tr>
      <w:tr w14:paraId="4E6F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2E65A2C4">
            <w:pPr>
              <w:spacing w:line="360" w:lineRule="auto"/>
              <w:ind w:firstLine="0" w:firstLineChars="0"/>
              <w:jc w:val="center"/>
              <w:rPr>
                <w:rFonts w:hint="eastAsia" w:ascii="宋体" w:hAnsi="宋体" w:eastAsia="宋体" w:cs="宋体"/>
                <w:color w:val="auto"/>
                <w:kern w:val="0"/>
                <w:szCs w:val="30"/>
              </w:rPr>
            </w:pPr>
          </w:p>
        </w:tc>
        <w:tc>
          <w:tcPr>
            <w:tcW w:w="4770" w:type="dxa"/>
          </w:tcPr>
          <w:p w14:paraId="159920FE">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接口列表-H003获取采购目录</w:t>
            </w:r>
          </w:p>
        </w:tc>
        <w:tc>
          <w:tcPr>
            <w:tcW w:w="1725" w:type="dxa"/>
            <w:vMerge w:val="continue"/>
          </w:tcPr>
          <w:p w14:paraId="7B4F42C1">
            <w:pPr>
              <w:spacing w:line="360" w:lineRule="auto"/>
              <w:ind w:firstLine="0" w:firstLineChars="0"/>
              <w:rPr>
                <w:rFonts w:hint="eastAsia" w:ascii="宋体" w:hAnsi="宋体" w:eastAsia="宋体" w:cs="宋体"/>
                <w:color w:val="auto"/>
                <w:szCs w:val="30"/>
              </w:rPr>
            </w:pPr>
          </w:p>
        </w:tc>
      </w:tr>
      <w:tr w14:paraId="34E9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2DEF9891">
            <w:pPr>
              <w:spacing w:line="360" w:lineRule="auto"/>
              <w:ind w:firstLine="0" w:firstLineChars="0"/>
              <w:jc w:val="center"/>
              <w:rPr>
                <w:rFonts w:hint="eastAsia" w:ascii="宋体" w:hAnsi="宋体" w:eastAsia="宋体" w:cs="宋体"/>
                <w:color w:val="auto"/>
                <w:kern w:val="0"/>
                <w:szCs w:val="30"/>
              </w:rPr>
            </w:pPr>
          </w:p>
        </w:tc>
        <w:tc>
          <w:tcPr>
            <w:tcW w:w="4770" w:type="dxa"/>
          </w:tcPr>
          <w:p w14:paraId="78EFCDEA">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接口列表-H004获取产品规格、型号</w:t>
            </w:r>
          </w:p>
        </w:tc>
        <w:tc>
          <w:tcPr>
            <w:tcW w:w="1725" w:type="dxa"/>
            <w:vMerge w:val="continue"/>
          </w:tcPr>
          <w:p w14:paraId="7CC7A08F">
            <w:pPr>
              <w:spacing w:line="360" w:lineRule="auto"/>
              <w:ind w:firstLine="0" w:firstLineChars="0"/>
              <w:rPr>
                <w:rFonts w:hint="eastAsia" w:ascii="宋体" w:hAnsi="宋体" w:eastAsia="宋体" w:cs="宋体"/>
                <w:color w:val="auto"/>
                <w:szCs w:val="30"/>
              </w:rPr>
            </w:pPr>
          </w:p>
        </w:tc>
      </w:tr>
      <w:tr w14:paraId="2FC7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3B39EADC">
            <w:pPr>
              <w:spacing w:line="360" w:lineRule="auto"/>
              <w:ind w:firstLine="0" w:firstLineChars="0"/>
              <w:jc w:val="center"/>
              <w:rPr>
                <w:rFonts w:hint="eastAsia" w:ascii="宋体" w:hAnsi="宋体" w:eastAsia="宋体" w:cs="宋体"/>
                <w:color w:val="auto"/>
                <w:kern w:val="0"/>
                <w:szCs w:val="30"/>
              </w:rPr>
            </w:pPr>
          </w:p>
        </w:tc>
        <w:tc>
          <w:tcPr>
            <w:tcW w:w="4770" w:type="dxa"/>
          </w:tcPr>
          <w:p w14:paraId="0BFF787D">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接口列表-H005新建采购订单</w:t>
            </w:r>
          </w:p>
        </w:tc>
        <w:tc>
          <w:tcPr>
            <w:tcW w:w="1725" w:type="dxa"/>
            <w:vMerge w:val="continue"/>
          </w:tcPr>
          <w:p w14:paraId="6EC198E7">
            <w:pPr>
              <w:spacing w:line="360" w:lineRule="auto"/>
              <w:ind w:firstLine="0" w:firstLineChars="0"/>
              <w:rPr>
                <w:rFonts w:hint="eastAsia" w:ascii="宋体" w:hAnsi="宋体" w:eastAsia="宋体" w:cs="宋体"/>
                <w:color w:val="auto"/>
                <w:szCs w:val="30"/>
              </w:rPr>
            </w:pPr>
          </w:p>
        </w:tc>
      </w:tr>
      <w:tr w14:paraId="53E9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4AF073CF">
            <w:pPr>
              <w:spacing w:line="360" w:lineRule="auto"/>
              <w:ind w:firstLine="0" w:firstLineChars="0"/>
              <w:jc w:val="center"/>
              <w:rPr>
                <w:rFonts w:hint="eastAsia" w:ascii="宋体" w:hAnsi="宋体" w:eastAsia="宋体" w:cs="宋体"/>
                <w:color w:val="auto"/>
                <w:kern w:val="0"/>
                <w:szCs w:val="30"/>
              </w:rPr>
            </w:pPr>
          </w:p>
        </w:tc>
        <w:tc>
          <w:tcPr>
            <w:tcW w:w="4770" w:type="dxa"/>
          </w:tcPr>
          <w:p w14:paraId="5DADF54B">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接口列表-H006添加采购订单明细</w:t>
            </w:r>
          </w:p>
        </w:tc>
        <w:tc>
          <w:tcPr>
            <w:tcW w:w="1725" w:type="dxa"/>
            <w:vMerge w:val="continue"/>
          </w:tcPr>
          <w:p w14:paraId="1919DE84">
            <w:pPr>
              <w:spacing w:line="360" w:lineRule="auto"/>
              <w:ind w:firstLine="0" w:firstLineChars="0"/>
              <w:rPr>
                <w:rFonts w:hint="eastAsia" w:ascii="宋体" w:hAnsi="宋体" w:eastAsia="宋体" w:cs="宋体"/>
                <w:color w:val="auto"/>
                <w:szCs w:val="30"/>
              </w:rPr>
            </w:pPr>
          </w:p>
        </w:tc>
      </w:tr>
      <w:tr w14:paraId="19E1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2A7E7635">
            <w:pPr>
              <w:spacing w:line="360" w:lineRule="auto"/>
              <w:ind w:firstLine="0" w:firstLineChars="0"/>
              <w:jc w:val="center"/>
              <w:rPr>
                <w:rFonts w:hint="eastAsia" w:ascii="宋体" w:hAnsi="宋体" w:eastAsia="宋体" w:cs="宋体"/>
                <w:color w:val="auto"/>
                <w:kern w:val="0"/>
                <w:szCs w:val="30"/>
              </w:rPr>
            </w:pPr>
          </w:p>
        </w:tc>
        <w:tc>
          <w:tcPr>
            <w:tcW w:w="4770" w:type="dxa"/>
          </w:tcPr>
          <w:p w14:paraId="172DDBDE">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接口列表-H007提交采购订单</w:t>
            </w:r>
          </w:p>
        </w:tc>
        <w:tc>
          <w:tcPr>
            <w:tcW w:w="1725" w:type="dxa"/>
            <w:vMerge w:val="continue"/>
          </w:tcPr>
          <w:p w14:paraId="137AC7B3">
            <w:pPr>
              <w:spacing w:line="360" w:lineRule="auto"/>
              <w:ind w:firstLine="0" w:firstLineChars="0"/>
              <w:rPr>
                <w:rFonts w:hint="eastAsia" w:ascii="宋体" w:hAnsi="宋体" w:eastAsia="宋体" w:cs="宋体"/>
                <w:color w:val="auto"/>
                <w:szCs w:val="30"/>
              </w:rPr>
            </w:pPr>
          </w:p>
        </w:tc>
      </w:tr>
      <w:tr w14:paraId="6232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6057C760">
            <w:pPr>
              <w:spacing w:line="360" w:lineRule="auto"/>
              <w:ind w:firstLine="0" w:firstLineChars="0"/>
              <w:jc w:val="center"/>
              <w:rPr>
                <w:rFonts w:hint="eastAsia" w:ascii="宋体" w:hAnsi="宋体" w:eastAsia="宋体" w:cs="宋体"/>
                <w:color w:val="auto"/>
                <w:kern w:val="0"/>
                <w:szCs w:val="30"/>
              </w:rPr>
            </w:pPr>
          </w:p>
        </w:tc>
        <w:tc>
          <w:tcPr>
            <w:tcW w:w="4770" w:type="dxa"/>
          </w:tcPr>
          <w:p w14:paraId="7109B82C">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接口列表-H008获取订单明细信息</w:t>
            </w:r>
          </w:p>
        </w:tc>
        <w:tc>
          <w:tcPr>
            <w:tcW w:w="1725" w:type="dxa"/>
            <w:vMerge w:val="continue"/>
          </w:tcPr>
          <w:p w14:paraId="2D66E8CC">
            <w:pPr>
              <w:spacing w:line="360" w:lineRule="auto"/>
              <w:ind w:firstLine="0" w:firstLineChars="0"/>
              <w:rPr>
                <w:rFonts w:hint="eastAsia" w:ascii="宋体" w:hAnsi="宋体" w:eastAsia="宋体" w:cs="宋体"/>
                <w:color w:val="auto"/>
                <w:szCs w:val="30"/>
              </w:rPr>
            </w:pPr>
          </w:p>
        </w:tc>
      </w:tr>
      <w:tr w14:paraId="0DA7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0264F522">
            <w:pPr>
              <w:spacing w:line="360" w:lineRule="auto"/>
              <w:ind w:firstLine="0" w:firstLineChars="0"/>
              <w:jc w:val="center"/>
              <w:rPr>
                <w:rFonts w:hint="eastAsia" w:ascii="宋体" w:hAnsi="宋体" w:eastAsia="宋体" w:cs="宋体"/>
                <w:color w:val="auto"/>
                <w:kern w:val="0"/>
                <w:szCs w:val="30"/>
              </w:rPr>
            </w:pPr>
          </w:p>
        </w:tc>
        <w:tc>
          <w:tcPr>
            <w:tcW w:w="4770" w:type="dxa"/>
          </w:tcPr>
          <w:p w14:paraId="27BAAF61">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接口列表-H009获取配送信息</w:t>
            </w:r>
          </w:p>
        </w:tc>
        <w:tc>
          <w:tcPr>
            <w:tcW w:w="1725" w:type="dxa"/>
            <w:vMerge w:val="continue"/>
          </w:tcPr>
          <w:p w14:paraId="367B6E74">
            <w:pPr>
              <w:spacing w:line="360" w:lineRule="auto"/>
              <w:ind w:firstLine="0" w:firstLineChars="0"/>
              <w:rPr>
                <w:rFonts w:hint="eastAsia" w:ascii="宋体" w:hAnsi="宋体" w:eastAsia="宋体" w:cs="宋体"/>
                <w:color w:val="auto"/>
                <w:szCs w:val="30"/>
              </w:rPr>
            </w:pPr>
          </w:p>
        </w:tc>
      </w:tr>
      <w:tr w14:paraId="5D99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759A4A48">
            <w:pPr>
              <w:spacing w:line="360" w:lineRule="auto"/>
              <w:ind w:firstLine="0" w:firstLineChars="0"/>
              <w:jc w:val="center"/>
              <w:rPr>
                <w:rFonts w:hint="eastAsia" w:ascii="宋体" w:hAnsi="宋体" w:eastAsia="宋体" w:cs="宋体"/>
                <w:color w:val="auto"/>
                <w:kern w:val="0"/>
                <w:szCs w:val="30"/>
              </w:rPr>
            </w:pPr>
          </w:p>
        </w:tc>
        <w:tc>
          <w:tcPr>
            <w:tcW w:w="4770" w:type="dxa"/>
          </w:tcPr>
          <w:p w14:paraId="309A4680">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接口列表-H010入库</w:t>
            </w:r>
          </w:p>
        </w:tc>
        <w:tc>
          <w:tcPr>
            <w:tcW w:w="1725" w:type="dxa"/>
            <w:vMerge w:val="continue"/>
          </w:tcPr>
          <w:p w14:paraId="0AF64FA1">
            <w:pPr>
              <w:spacing w:line="360" w:lineRule="auto"/>
              <w:ind w:firstLine="0" w:firstLineChars="0"/>
              <w:rPr>
                <w:rFonts w:hint="eastAsia" w:ascii="宋体" w:hAnsi="宋体" w:eastAsia="宋体" w:cs="宋体"/>
                <w:color w:val="auto"/>
                <w:szCs w:val="30"/>
              </w:rPr>
            </w:pPr>
          </w:p>
        </w:tc>
      </w:tr>
      <w:tr w14:paraId="4E3D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vAlign w:val="center"/>
          </w:tcPr>
          <w:p w14:paraId="38FF9B75">
            <w:pPr>
              <w:spacing w:line="360" w:lineRule="auto"/>
              <w:ind w:firstLine="0" w:firstLineChars="0"/>
              <w:jc w:val="center"/>
              <w:rPr>
                <w:rFonts w:hint="eastAsia" w:ascii="宋体" w:hAnsi="宋体" w:eastAsia="宋体" w:cs="宋体"/>
                <w:color w:val="auto"/>
                <w:kern w:val="0"/>
                <w:szCs w:val="30"/>
              </w:rPr>
            </w:pPr>
          </w:p>
        </w:tc>
        <w:tc>
          <w:tcPr>
            <w:tcW w:w="4770" w:type="dxa"/>
          </w:tcPr>
          <w:p w14:paraId="1F09A0AC">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接口列表-H011退货</w:t>
            </w:r>
          </w:p>
        </w:tc>
        <w:tc>
          <w:tcPr>
            <w:tcW w:w="1725" w:type="dxa"/>
            <w:vMerge w:val="continue"/>
          </w:tcPr>
          <w:p w14:paraId="5DC216AD">
            <w:pPr>
              <w:spacing w:line="360" w:lineRule="auto"/>
              <w:ind w:firstLine="0" w:firstLineChars="0"/>
              <w:rPr>
                <w:rFonts w:hint="eastAsia" w:ascii="宋体" w:hAnsi="宋体" w:eastAsia="宋体" w:cs="宋体"/>
                <w:color w:val="auto"/>
                <w:szCs w:val="30"/>
              </w:rPr>
            </w:pPr>
          </w:p>
        </w:tc>
      </w:tr>
      <w:tr w14:paraId="64E7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restart"/>
            <w:vAlign w:val="center"/>
          </w:tcPr>
          <w:p w14:paraId="3E04E861">
            <w:pPr>
              <w:spacing w:line="360" w:lineRule="auto"/>
              <w:ind w:firstLine="0" w:firstLineChars="0"/>
              <w:jc w:val="center"/>
              <w:rPr>
                <w:rFonts w:hint="eastAsia" w:ascii="宋体" w:hAnsi="宋体" w:eastAsia="宋体" w:cs="宋体"/>
                <w:color w:val="auto"/>
                <w:kern w:val="0"/>
                <w:szCs w:val="30"/>
              </w:rPr>
            </w:pPr>
            <w:r>
              <w:rPr>
                <w:rFonts w:hint="default" w:ascii="宋体" w:hAnsi="宋体" w:eastAsia="宋体" w:cs="宋体"/>
                <w:color w:val="auto"/>
                <w:spacing w:val="-2"/>
                <w:lang w:val="en-US" w:eastAsia="zh-CN"/>
              </w:rPr>
              <w:t>√</w:t>
            </w:r>
            <w:r>
              <w:rPr>
                <w:rFonts w:hint="eastAsia" w:ascii="宋体" w:hAnsi="宋体" w:eastAsia="宋体" w:cs="宋体"/>
                <w:color w:val="auto"/>
                <w:kern w:val="0"/>
                <w:szCs w:val="30"/>
              </w:rPr>
              <w:t>采购业务交换需求（药品采购业务对接要求）</w:t>
            </w:r>
          </w:p>
        </w:tc>
        <w:tc>
          <w:tcPr>
            <w:tcW w:w="4770" w:type="dxa"/>
          </w:tcPr>
          <w:p w14:paraId="3259BA9F">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接口列表-H001连通性测试</w:t>
            </w:r>
          </w:p>
        </w:tc>
        <w:tc>
          <w:tcPr>
            <w:tcW w:w="1725" w:type="dxa"/>
            <w:vMerge w:val="continue"/>
          </w:tcPr>
          <w:p w14:paraId="7EEE3950">
            <w:pPr>
              <w:spacing w:line="360" w:lineRule="auto"/>
              <w:ind w:firstLine="0" w:firstLineChars="0"/>
              <w:rPr>
                <w:rFonts w:hint="eastAsia" w:ascii="宋体" w:hAnsi="宋体" w:eastAsia="宋体" w:cs="宋体"/>
                <w:color w:val="auto"/>
                <w:szCs w:val="30"/>
              </w:rPr>
            </w:pPr>
          </w:p>
        </w:tc>
      </w:tr>
      <w:tr w14:paraId="2FAFA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53C71288">
            <w:pPr>
              <w:spacing w:line="360" w:lineRule="auto"/>
              <w:ind w:firstLine="0" w:firstLineChars="0"/>
              <w:jc w:val="center"/>
              <w:rPr>
                <w:rFonts w:hint="eastAsia" w:ascii="宋体" w:hAnsi="宋体" w:eastAsia="宋体" w:cs="宋体"/>
                <w:color w:val="auto"/>
                <w:kern w:val="0"/>
                <w:szCs w:val="30"/>
              </w:rPr>
            </w:pPr>
          </w:p>
        </w:tc>
        <w:tc>
          <w:tcPr>
            <w:tcW w:w="4770" w:type="dxa"/>
          </w:tcPr>
          <w:p w14:paraId="25930DC7">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接口列表-H002获取接口调用凭据</w:t>
            </w:r>
          </w:p>
        </w:tc>
        <w:tc>
          <w:tcPr>
            <w:tcW w:w="1725" w:type="dxa"/>
            <w:vMerge w:val="continue"/>
          </w:tcPr>
          <w:p w14:paraId="436ABF2C">
            <w:pPr>
              <w:spacing w:line="360" w:lineRule="auto"/>
              <w:ind w:firstLine="0" w:firstLineChars="0"/>
              <w:rPr>
                <w:rFonts w:hint="eastAsia" w:ascii="宋体" w:hAnsi="宋体" w:eastAsia="宋体" w:cs="宋体"/>
                <w:color w:val="auto"/>
                <w:szCs w:val="30"/>
              </w:rPr>
            </w:pPr>
          </w:p>
        </w:tc>
      </w:tr>
      <w:tr w14:paraId="6C81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7D18E3DC">
            <w:pPr>
              <w:spacing w:line="360" w:lineRule="auto"/>
              <w:ind w:firstLine="0" w:firstLineChars="0"/>
              <w:jc w:val="center"/>
              <w:rPr>
                <w:rFonts w:hint="eastAsia" w:ascii="宋体" w:hAnsi="宋体" w:eastAsia="宋体" w:cs="宋体"/>
                <w:color w:val="auto"/>
                <w:kern w:val="0"/>
                <w:szCs w:val="30"/>
              </w:rPr>
            </w:pPr>
          </w:p>
        </w:tc>
        <w:tc>
          <w:tcPr>
            <w:tcW w:w="4770" w:type="dxa"/>
          </w:tcPr>
          <w:p w14:paraId="35122441">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接口列表-H003获取商品信息</w:t>
            </w:r>
          </w:p>
        </w:tc>
        <w:tc>
          <w:tcPr>
            <w:tcW w:w="1725" w:type="dxa"/>
            <w:vMerge w:val="continue"/>
          </w:tcPr>
          <w:p w14:paraId="74635D68">
            <w:pPr>
              <w:spacing w:line="360" w:lineRule="auto"/>
              <w:ind w:firstLine="0" w:firstLineChars="0"/>
              <w:rPr>
                <w:rFonts w:hint="eastAsia" w:ascii="宋体" w:hAnsi="宋体" w:eastAsia="宋体" w:cs="宋体"/>
                <w:color w:val="auto"/>
                <w:szCs w:val="30"/>
              </w:rPr>
            </w:pPr>
          </w:p>
        </w:tc>
      </w:tr>
      <w:tr w14:paraId="0FCB8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5DBC4B55">
            <w:pPr>
              <w:spacing w:line="360" w:lineRule="auto"/>
              <w:ind w:firstLine="0" w:firstLineChars="0"/>
              <w:jc w:val="center"/>
              <w:rPr>
                <w:rFonts w:hint="eastAsia" w:ascii="宋体" w:hAnsi="宋体" w:eastAsia="宋体" w:cs="宋体"/>
                <w:color w:val="auto"/>
                <w:kern w:val="0"/>
                <w:szCs w:val="30"/>
              </w:rPr>
            </w:pPr>
          </w:p>
        </w:tc>
        <w:tc>
          <w:tcPr>
            <w:tcW w:w="4770" w:type="dxa"/>
          </w:tcPr>
          <w:p w14:paraId="7AFEB1FD">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接口列表-H004获取企业</w:t>
            </w:r>
          </w:p>
        </w:tc>
        <w:tc>
          <w:tcPr>
            <w:tcW w:w="1725" w:type="dxa"/>
            <w:vMerge w:val="continue"/>
          </w:tcPr>
          <w:p w14:paraId="5D16251F">
            <w:pPr>
              <w:spacing w:line="360" w:lineRule="auto"/>
              <w:ind w:firstLine="0" w:firstLineChars="0"/>
              <w:rPr>
                <w:rFonts w:hint="eastAsia" w:ascii="宋体" w:hAnsi="宋体" w:eastAsia="宋体" w:cs="宋体"/>
                <w:color w:val="auto"/>
                <w:szCs w:val="30"/>
              </w:rPr>
            </w:pPr>
          </w:p>
        </w:tc>
      </w:tr>
      <w:tr w14:paraId="283C5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4B9FE23C">
            <w:pPr>
              <w:spacing w:line="360" w:lineRule="auto"/>
              <w:ind w:firstLine="0" w:firstLineChars="0"/>
              <w:jc w:val="center"/>
              <w:rPr>
                <w:rFonts w:hint="eastAsia" w:ascii="宋体" w:hAnsi="宋体" w:eastAsia="宋体" w:cs="宋体"/>
                <w:color w:val="auto"/>
                <w:kern w:val="0"/>
                <w:szCs w:val="30"/>
              </w:rPr>
            </w:pPr>
          </w:p>
        </w:tc>
        <w:tc>
          <w:tcPr>
            <w:tcW w:w="4770" w:type="dxa"/>
          </w:tcPr>
          <w:p w14:paraId="25CA5417">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接口列表-H005新建采购订单</w:t>
            </w:r>
          </w:p>
        </w:tc>
        <w:tc>
          <w:tcPr>
            <w:tcW w:w="1725" w:type="dxa"/>
            <w:vMerge w:val="continue"/>
          </w:tcPr>
          <w:p w14:paraId="3D995CDE">
            <w:pPr>
              <w:spacing w:line="360" w:lineRule="auto"/>
              <w:ind w:firstLine="0" w:firstLineChars="0"/>
              <w:rPr>
                <w:rFonts w:hint="eastAsia" w:ascii="宋体" w:hAnsi="宋体" w:eastAsia="宋体" w:cs="宋体"/>
                <w:color w:val="auto"/>
                <w:szCs w:val="30"/>
              </w:rPr>
            </w:pPr>
          </w:p>
        </w:tc>
      </w:tr>
      <w:tr w14:paraId="0ED50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7FF16C73">
            <w:pPr>
              <w:spacing w:line="360" w:lineRule="auto"/>
              <w:ind w:firstLine="0" w:firstLineChars="0"/>
              <w:jc w:val="center"/>
              <w:rPr>
                <w:rFonts w:hint="eastAsia" w:ascii="宋体" w:hAnsi="宋体" w:eastAsia="宋体" w:cs="宋体"/>
                <w:color w:val="auto"/>
                <w:kern w:val="0"/>
                <w:szCs w:val="30"/>
              </w:rPr>
            </w:pPr>
          </w:p>
        </w:tc>
        <w:tc>
          <w:tcPr>
            <w:tcW w:w="4770" w:type="dxa"/>
          </w:tcPr>
          <w:p w14:paraId="551A60C2">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接口列表-H006添加采购订单明细</w:t>
            </w:r>
          </w:p>
        </w:tc>
        <w:tc>
          <w:tcPr>
            <w:tcW w:w="1725" w:type="dxa"/>
            <w:vMerge w:val="continue"/>
          </w:tcPr>
          <w:p w14:paraId="358F72EF">
            <w:pPr>
              <w:spacing w:line="360" w:lineRule="auto"/>
              <w:ind w:firstLine="0" w:firstLineChars="0"/>
              <w:rPr>
                <w:rFonts w:hint="eastAsia" w:ascii="宋体" w:hAnsi="宋体" w:eastAsia="宋体" w:cs="宋体"/>
                <w:color w:val="auto"/>
                <w:szCs w:val="30"/>
              </w:rPr>
            </w:pPr>
          </w:p>
        </w:tc>
      </w:tr>
      <w:tr w14:paraId="4294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140BFB70">
            <w:pPr>
              <w:spacing w:line="360" w:lineRule="auto"/>
              <w:ind w:firstLine="0" w:firstLineChars="0"/>
              <w:jc w:val="center"/>
              <w:rPr>
                <w:rFonts w:hint="eastAsia" w:ascii="宋体" w:hAnsi="宋体" w:eastAsia="宋体" w:cs="宋体"/>
                <w:color w:val="auto"/>
                <w:kern w:val="0"/>
                <w:szCs w:val="30"/>
              </w:rPr>
            </w:pPr>
          </w:p>
        </w:tc>
        <w:tc>
          <w:tcPr>
            <w:tcW w:w="4770" w:type="dxa"/>
          </w:tcPr>
          <w:p w14:paraId="1D5C0C03">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接口列表-H007提交采购订单</w:t>
            </w:r>
          </w:p>
        </w:tc>
        <w:tc>
          <w:tcPr>
            <w:tcW w:w="1725" w:type="dxa"/>
            <w:vMerge w:val="continue"/>
          </w:tcPr>
          <w:p w14:paraId="3DD37FD2">
            <w:pPr>
              <w:spacing w:line="360" w:lineRule="auto"/>
              <w:ind w:firstLine="0" w:firstLineChars="0"/>
              <w:rPr>
                <w:rFonts w:hint="eastAsia" w:ascii="宋体" w:hAnsi="宋体" w:eastAsia="宋体" w:cs="宋体"/>
                <w:color w:val="auto"/>
                <w:szCs w:val="30"/>
              </w:rPr>
            </w:pPr>
          </w:p>
        </w:tc>
      </w:tr>
      <w:tr w14:paraId="5CA2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310055BD">
            <w:pPr>
              <w:spacing w:line="360" w:lineRule="auto"/>
              <w:ind w:firstLine="0" w:firstLineChars="0"/>
              <w:jc w:val="center"/>
              <w:rPr>
                <w:rFonts w:hint="eastAsia" w:ascii="宋体" w:hAnsi="宋体" w:eastAsia="宋体" w:cs="宋体"/>
                <w:color w:val="auto"/>
                <w:kern w:val="0"/>
                <w:szCs w:val="30"/>
              </w:rPr>
            </w:pPr>
          </w:p>
        </w:tc>
        <w:tc>
          <w:tcPr>
            <w:tcW w:w="4770" w:type="dxa"/>
          </w:tcPr>
          <w:p w14:paraId="24DF2B37">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接口列表-H008获取订单明细信息</w:t>
            </w:r>
          </w:p>
        </w:tc>
        <w:tc>
          <w:tcPr>
            <w:tcW w:w="1725" w:type="dxa"/>
            <w:vMerge w:val="continue"/>
          </w:tcPr>
          <w:p w14:paraId="60D8A948">
            <w:pPr>
              <w:spacing w:line="360" w:lineRule="auto"/>
              <w:ind w:firstLine="0" w:firstLineChars="0"/>
              <w:rPr>
                <w:rFonts w:hint="eastAsia" w:ascii="宋体" w:hAnsi="宋体" w:eastAsia="宋体" w:cs="宋体"/>
                <w:color w:val="auto"/>
                <w:szCs w:val="30"/>
              </w:rPr>
            </w:pPr>
          </w:p>
        </w:tc>
      </w:tr>
      <w:tr w14:paraId="0FE0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686E1978">
            <w:pPr>
              <w:spacing w:line="360" w:lineRule="auto"/>
              <w:ind w:firstLine="0" w:firstLineChars="0"/>
              <w:jc w:val="center"/>
              <w:rPr>
                <w:rFonts w:hint="eastAsia" w:ascii="宋体" w:hAnsi="宋体" w:eastAsia="宋体" w:cs="宋体"/>
                <w:color w:val="auto"/>
                <w:kern w:val="0"/>
                <w:szCs w:val="30"/>
              </w:rPr>
            </w:pPr>
          </w:p>
        </w:tc>
        <w:tc>
          <w:tcPr>
            <w:tcW w:w="4770" w:type="dxa"/>
          </w:tcPr>
          <w:p w14:paraId="0DA56776">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接口列表-H009获取配送信息</w:t>
            </w:r>
          </w:p>
        </w:tc>
        <w:tc>
          <w:tcPr>
            <w:tcW w:w="1725" w:type="dxa"/>
            <w:vMerge w:val="continue"/>
          </w:tcPr>
          <w:p w14:paraId="544A4B50">
            <w:pPr>
              <w:spacing w:line="360" w:lineRule="auto"/>
              <w:ind w:firstLine="0" w:firstLineChars="0"/>
              <w:rPr>
                <w:rFonts w:hint="eastAsia" w:ascii="宋体" w:hAnsi="宋体" w:eastAsia="宋体" w:cs="宋体"/>
                <w:color w:val="auto"/>
                <w:szCs w:val="30"/>
              </w:rPr>
            </w:pPr>
          </w:p>
        </w:tc>
      </w:tr>
      <w:tr w14:paraId="3F65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0607365E">
            <w:pPr>
              <w:spacing w:line="360" w:lineRule="auto"/>
              <w:ind w:firstLine="0" w:firstLineChars="0"/>
              <w:jc w:val="center"/>
              <w:rPr>
                <w:rFonts w:hint="eastAsia" w:ascii="宋体" w:hAnsi="宋体" w:eastAsia="宋体" w:cs="宋体"/>
                <w:color w:val="auto"/>
                <w:kern w:val="0"/>
                <w:szCs w:val="30"/>
              </w:rPr>
            </w:pPr>
          </w:p>
        </w:tc>
        <w:tc>
          <w:tcPr>
            <w:tcW w:w="4770" w:type="dxa"/>
          </w:tcPr>
          <w:p w14:paraId="356C4C77">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接口列表-H010收货</w:t>
            </w:r>
          </w:p>
        </w:tc>
        <w:tc>
          <w:tcPr>
            <w:tcW w:w="1725" w:type="dxa"/>
            <w:vMerge w:val="continue"/>
          </w:tcPr>
          <w:p w14:paraId="0118B49F">
            <w:pPr>
              <w:spacing w:line="360" w:lineRule="auto"/>
              <w:ind w:firstLine="0" w:firstLineChars="0"/>
              <w:rPr>
                <w:rFonts w:hint="eastAsia" w:ascii="宋体" w:hAnsi="宋体" w:eastAsia="宋体" w:cs="宋体"/>
                <w:color w:val="auto"/>
                <w:szCs w:val="30"/>
              </w:rPr>
            </w:pPr>
          </w:p>
        </w:tc>
      </w:tr>
      <w:tr w14:paraId="1AC5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Merge w:val="continue"/>
          </w:tcPr>
          <w:p w14:paraId="43FE2CC3">
            <w:pPr>
              <w:spacing w:line="360" w:lineRule="auto"/>
              <w:ind w:firstLine="0" w:firstLineChars="0"/>
              <w:jc w:val="center"/>
              <w:rPr>
                <w:rFonts w:hint="eastAsia" w:ascii="宋体" w:hAnsi="宋体" w:eastAsia="宋体" w:cs="宋体"/>
                <w:color w:val="auto"/>
                <w:kern w:val="0"/>
                <w:szCs w:val="30"/>
              </w:rPr>
            </w:pPr>
          </w:p>
        </w:tc>
        <w:tc>
          <w:tcPr>
            <w:tcW w:w="4770" w:type="dxa"/>
          </w:tcPr>
          <w:p w14:paraId="3F2E882B">
            <w:pPr>
              <w:spacing w:line="360" w:lineRule="auto"/>
              <w:ind w:firstLine="0" w:firstLineChars="0"/>
              <w:jc w:val="center"/>
              <w:rPr>
                <w:rFonts w:hint="eastAsia" w:ascii="宋体" w:hAnsi="宋体" w:eastAsia="宋体" w:cs="宋体"/>
                <w:color w:val="auto"/>
                <w:kern w:val="0"/>
                <w:szCs w:val="30"/>
              </w:rPr>
            </w:pPr>
            <w:r>
              <w:rPr>
                <w:rFonts w:hint="eastAsia" w:ascii="宋体" w:hAnsi="宋体" w:eastAsia="宋体" w:cs="宋体"/>
                <w:color w:val="auto"/>
                <w:kern w:val="0"/>
                <w:szCs w:val="30"/>
              </w:rPr>
              <w:t>接口列表-H011退货</w:t>
            </w:r>
          </w:p>
        </w:tc>
        <w:tc>
          <w:tcPr>
            <w:tcW w:w="1725" w:type="dxa"/>
            <w:vMerge w:val="continue"/>
          </w:tcPr>
          <w:p w14:paraId="1FAA5298">
            <w:pPr>
              <w:spacing w:line="360" w:lineRule="auto"/>
              <w:ind w:firstLine="0" w:firstLineChars="0"/>
              <w:rPr>
                <w:rFonts w:hint="eastAsia" w:ascii="宋体" w:hAnsi="宋体" w:eastAsia="宋体" w:cs="宋体"/>
                <w:color w:val="auto"/>
                <w:szCs w:val="30"/>
              </w:rPr>
            </w:pPr>
          </w:p>
        </w:tc>
      </w:tr>
      <w:tr w14:paraId="23FCC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0" w:type="dxa"/>
            <w:vAlign w:val="center"/>
          </w:tcPr>
          <w:p w14:paraId="3A6C3330">
            <w:pPr>
              <w:spacing w:line="360" w:lineRule="auto"/>
              <w:ind w:firstLine="0" w:firstLineChars="0"/>
              <w:jc w:val="center"/>
              <w:rPr>
                <w:rFonts w:hint="eastAsia" w:ascii="宋体" w:hAnsi="宋体" w:eastAsia="宋体" w:cs="宋体"/>
                <w:color w:val="auto"/>
                <w:szCs w:val="30"/>
              </w:rPr>
            </w:pPr>
            <w:r>
              <w:rPr>
                <w:rFonts w:hint="default" w:ascii="宋体" w:hAnsi="宋体" w:eastAsia="宋体" w:cs="宋体"/>
                <w:color w:val="auto"/>
                <w:spacing w:val="-2"/>
                <w:lang w:val="en-US" w:eastAsia="zh-CN"/>
              </w:rPr>
              <w:t>√</w:t>
            </w:r>
            <w:r>
              <w:rPr>
                <w:rFonts w:hint="eastAsia" w:ascii="宋体" w:hAnsi="宋体" w:eastAsia="宋体" w:cs="宋体"/>
                <w:color w:val="auto"/>
                <w:kern w:val="0"/>
                <w:szCs w:val="30"/>
              </w:rPr>
              <w:t>其他接口</w:t>
            </w:r>
          </w:p>
        </w:tc>
        <w:tc>
          <w:tcPr>
            <w:tcW w:w="4770" w:type="dxa"/>
            <w:shd w:val="clear" w:color="auto" w:fill="auto"/>
            <w:vAlign w:val="center"/>
          </w:tcPr>
          <w:p w14:paraId="2A156DC7">
            <w:pPr>
              <w:spacing w:line="360" w:lineRule="auto"/>
              <w:ind w:firstLine="0" w:firstLineChars="0"/>
              <w:jc w:val="center"/>
              <w:rPr>
                <w:rFonts w:hint="eastAsia" w:ascii="宋体" w:hAnsi="宋体" w:eastAsia="宋体" w:cs="宋体"/>
                <w:color w:val="auto"/>
                <w:szCs w:val="30"/>
              </w:rPr>
            </w:pPr>
            <w:r>
              <w:rPr>
                <w:rFonts w:hint="eastAsia" w:ascii="宋体" w:hAnsi="宋体" w:eastAsia="宋体" w:cs="宋体"/>
                <w:color w:val="auto"/>
                <w:kern w:val="0"/>
                <w:szCs w:val="30"/>
              </w:rPr>
              <w:t>医院HIS系统对接</w:t>
            </w:r>
          </w:p>
        </w:tc>
        <w:tc>
          <w:tcPr>
            <w:tcW w:w="1725" w:type="dxa"/>
            <w:vMerge w:val="continue"/>
          </w:tcPr>
          <w:p w14:paraId="4ADDA52E">
            <w:pPr>
              <w:spacing w:line="360" w:lineRule="auto"/>
              <w:ind w:firstLine="0" w:firstLineChars="0"/>
              <w:rPr>
                <w:rFonts w:hint="eastAsia" w:ascii="宋体" w:hAnsi="宋体" w:eastAsia="宋体" w:cs="宋体"/>
                <w:color w:val="auto"/>
                <w:szCs w:val="30"/>
              </w:rPr>
            </w:pPr>
          </w:p>
        </w:tc>
      </w:tr>
    </w:tbl>
    <w:p w14:paraId="241B32A3">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161" w:line="365" w:lineRule="auto"/>
        <w:ind w:left="425" w:leftChars="0" w:firstLine="0" w:firstLineChars="0"/>
        <w:textAlignment w:val="auto"/>
        <w:rPr>
          <w:rFonts w:hint="eastAsia"/>
          <w:b/>
          <w:color w:val="auto"/>
          <w:spacing w:val="-2"/>
          <w:sz w:val="24"/>
        </w:rPr>
      </w:pPr>
      <w:r>
        <w:rPr>
          <w:rFonts w:hint="eastAsia"/>
          <w:b/>
          <w:color w:val="auto"/>
          <w:spacing w:val="-2"/>
          <w:sz w:val="24"/>
        </w:rPr>
        <w:t>疾病诊断相关分组（DRG）付费对接</w:t>
      </w:r>
    </w:p>
    <w:p w14:paraId="1CBF4974">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系统实现应按照《国新健康医保病案信息采集接口开发文档V1.20》进行设计。</w:t>
      </w:r>
    </w:p>
    <w:tbl>
      <w:tblPr>
        <w:tblStyle w:val="14"/>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2"/>
        <w:gridCol w:w="4343"/>
      </w:tblGrid>
      <w:tr w14:paraId="643B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tcPr>
          <w:p w14:paraId="752B274A">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接口名称</w:t>
            </w:r>
          </w:p>
        </w:tc>
        <w:tc>
          <w:tcPr>
            <w:tcW w:w="4343" w:type="dxa"/>
          </w:tcPr>
          <w:p w14:paraId="7A4DE254">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功能要求</w:t>
            </w:r>
          </w:p>
        </w:tc>
      </w:tr>
      <w:tr w14:paraId="7B88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restart"/>
            <w:vAlign w:val="center"/>
          </w:tcPr>
          <w:p w14:paraId="4FDA83AC">
            <w:pPr>
              <w:spacing w:line="360" w:lineRule="auto"/>
              <w:ind w:firstLine="600"/>
              <w:rPr>
                <w:rFonts w:hint="eastAsia" w:asciiTheme="minorEastAsia" w:hAnsiTheme="minorEastAsia" w:eastAsiaTheme="minorEastAsia" w:cstheme="minorEastAsia"/>
                <w:color w:val="auto"/>
                <w:szCs w:val="30"/>
              </w:rPr>
            </w:pPr>
            <w:r>
              <w:rPr>
                <w:rFonts w:hint="default" w:ascii="宋体" w:hAnsi="宋体" w:eastAsia="宋体" w:cs="宋体"/>
                <w:color w:val="auto"/>
                <w:spacing w:val="-2"/>
                <w:lang w:val="en-US" w:eastAsia="zh-CN"/>
              </w:rPr>
              <w:t>√</w:t>
            </w:r>
            <w:r>
              <w:rPr>
                <w:rFonts w:hint="eastAsia" w:asciiTheme="minorEastAsia" w:hAnsiTheme="minorEastAsia" w:eastAsiaTheme="minorEastAsia" w:cstheme="minorEastAsia"/>
                <w:color w:val="auto"/>
                <w:szCs w:val="30"/>
              </w:rPr>
              <w:t>病案信息上传</w:t>
            </w:r>
          </w:p>
        </w:tc>
        <w:tc>
          <w:tcPr>
            <w:tcW w:w="4343" w:type="dxa"/>
          </w:tcPr>
          <w:p w14:paraId="5C931247">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病案主页</w:t>
            </w:r>
          </w:p>
        </w:tc>
      </w:tr>
      <w:tr w14:paraId="443C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0EE6DD5F">
            <w:pPr>
              <w:spacing w:line="360" w:lineRule="auto"/>
              <w:ind w:firstLine="600"/>
              <w:rPr>
                <w:rFonts w:hint="eastAsia" w:asciiTheme="minorEastAsia" w:hAnsiTheme="minorEastAsia" w:eastAsiaTheme="minorEastAsia" w:cstheme="minorEastAsia"/>
                <w:color w:val="auto"/>
                <w:szCs w:val="30"/>
              </w:rPr>
            </w:pPr>
          </w:p>
        </w:tc>
        <w:tc>
          <w:tcPr>
            <w:tcW w:w="4343" w:type="dxa"/>
          </w:tcPr>
          <w:p w14:paraId="580F23E3">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病案附页</w:t>
            </w:r>
          </w:p>
        </w:tc>
      </w:tr>
      <w:tr w14:paraId="3E869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40FCA228">
            <w:pPr>
              <w:spacing w:line="360" w:lineRule="auto"/>
              <w:ind w:firstLine="600"/>
              <w:rPr>
                <w:rFonts w:hint="eastAsia" w:asciiTheme="minorEastAsia" w:hAnsiTheme="minorEastAsia" w:eastAsiaTheme="minorEastAsia" w:cstheme="minorEastAsia"/>
                <w:color w:val="auto"/>
                <w:szCs w:val="30"/>
              </w:rPr>
            </w:pPr>
          </w:p>
        </w:tc>
        <w:tc>
          <w:tcPr>
            <w:tcW w:w="4343" w:type="dxa"/>
          </w:tcPr>
          <w:p w14:paraId="39CA7E5C">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出院小结</w:t>
            </w:r>
          </w:p>
        </w:tc>
      </w:tr>
      <w:tr w14:paraId="13DE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150BA55D">
            <w:pPr>
              <w:spacing w:line="360" w:lineRule="auto"/>
              <w:ind w:firstLine="600"/>
              <w:rPr>
                <w:rFonts w:hint="eastAsia" w:asciiTheme="minorEastAsia" w:hAnsiTheme="minorEastAsia" w:eastAsiaTheme="minorEastAsia" w:cstheme="minorEastAsia"/>
                <w:color w:val="auto"/>
                <w:szCs w:val="30"/>
              </w:rPr>
            </w:pPr>
          </w:p>
        </w:tc>
        <w:tc>
          <w:tcPr>
            <w:tcW w:w="4343" w:type="dxa"/>
          </w:tcPr>
          <w:p w14:paraId="6BC2AC02">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检查主单</w:t>
            </w:r>
          </w:p>
        </w:tc>
      </w:tr>
      <w:tr w14:paraId="492F5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0853A113">
            <w:pPr>
              <w:spacing w:line="360" w:lineRule="auto"/>
              <w:ind w:firstLine="600"/>
              <w:rPr>
                <w:rFonts w:hint="eastAsia" w:asciiTheme="minorEastAsia" w:hAnsiTheme="minorEastAsia" w:eastAsiaTheme="minorEastAsia" w:cstheme="minorEastAsia"/>
                <w:color w:val="auto"/>
                <w:szCs w:val="30"/>
              </w:rPr>
            </w:pPr>
          </w:p>
        </w:tc>
        <w:tc>
          <w:tcPr>
            <w:tcW w:w="4343" w:type="dxa"/>
          </w:tcPr>
          <w:p w14:paraId="26993EF1">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手术列表</w:t>
            </w:r>
          </w:p>
        </w:tc>
      </w:tr>
      <w:tr w14:paraId="3E56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2B09903B">
            <w:pPr>
              <w:spacing w:line="360" w:lineRule="auto"/>
              <w:ind w:firstLine="600"/>
              <w:rPr>
                <w:rFonts w:hint="eastAsia" w:asciiTheme="minorEastAsia" w:hAnsiTheme="minorEastAsia" w:eastAsiaTheme="minorEastAsia" w:cstheme="minorEastAsia"/>
                <w:color w:val="auto"/>
                <w:szCs w:val="30"/>
              </w:rPr>
            </w:pPr>
          </w:p>
        </w:tc>
        <w:tc>
          <w:tcPr>
            <w:tcW w:w="4343" w:type="dxa"/>
          </w:tcPr>
          <w:p w14:paraId="4E5FAD56">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重症监护</w:t>
            </w:r>
          </w:p>
        </w:tc>
      </w:tr>
      <w:tr w14:paraId="30B4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tcPr>
          <w:p w14:paraId="782CAA80">
            <w:pPr>
              <w:spacing w:line="360" w:lineRule="auto"/>
              <w:ind w:firstLine="600"/>
              <w:rPr>
                <w:rFonts w:hint="eastAsia" w:asciiTheme="minorEastAsia" w:hAnsiTheme="minorEastAsia" w:eastAsiaTheme="minorEastAsia" w:cstheme="minorEastAsia"/>
                <w:color w:val="auto"/>
                <w:szCs w:val="30"/>
              </w:rPr>
            </w:pPr>
            <w:r>
              <w:rPr>
                <w:rFonts w:hint="default" w:ascii="宋体" w:hAnsi="宋体" w:eastAsia="宋体" w:cs="宋体"/>
                <w:color w:val="auto"/>
                <w:spacing w:val="-2"/>
                <w:lang w:val="en-US" w:eastAsia="zh-CN"/>
              </w:rPr>
              <w:t>√</w:t>
            </w:r>
            <w:r>
              <w:rPr>
                <w:rFonts w:hint="eastAsia" w:asciiTheme="minorEastAsia" w:hAnsiTheme="minorEastAsia" w:eastAsiaTheme="minorEastAsia" w:cstheme="minorEastAsia"/>
                <w:color w:val="auto"/>
                <w:szCs w:val="30"/>
              </w:rPr>
              <w:t>病案查询</w:t>
            </w:r>
          </w:p>
        </w:tc>
        <w:tc>
          <w:tcPr>
            <w:tcW w:w="4343" w:type="dxa"/>
          </w:tcPr>
          <w:p w14:paraId="6DF5440B">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病案查询</w:t>
            </w:r>
          </w:p>
        </w:tc>
      </w:tr>
      <w:tr w14:paraId="1676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tcPr>
          <w:p w14:paraId="6186A877">
            <w:pPr>
              <w:spacing w:line="360" w:lineRule="auto"/>
              <w:ind w:firstLine="600"/>
              <w:rPr>
                <w:rFonts w:hint="eastAsia" w:asciiTheme="minorEastAsia" w:hAnsiTheme="minorEastAsia" w:eastAsiaTheme="minorEastAsia" w:cstheme="minorEastAsia"/>
                <w:color w:val="auto"/>
                <w:szCs w:val="30"/>
              </w:rPr>
            </w:pPr>
            <w:r>
              <w:rPr>
                <w:rFonts w:hint="default" w:ascii="宋体" w:hAnsi="宋体" w:eastAsia="宋体" w:cs="宋体"/>
                <w:color w:val="auto"/>
                <w:spacing w:val="-2"/>
                <w:lang w:val="en-US" w:eastAsia="zh-CN"/>
              </w:rPr>
              <w:t>√</w:t>
            </w:r>
            <w:r>
              <w:rPr>
                <w:rFonts w:hint="eastAsia" w:asciiTheme="minorEastAsia" w:hAnsiTheme="minorEastAsia" w:eastAsiaTheme="minorEastAsia" w:cstheme="minorEastAsia"/>
                <w:color w:val="auto"/>
                <w:szCs w:val="30"/>
              </w:rPr>
              <w:t>病案作废</w:t>
            </w:r>
          </w:p>
        </w:tc>
        <w:tc>
          <w:tcPr>
            <w:tcW w:w="4343" w:type="dxa"/>
          </w:tcPr>
          <w:p w14:paraId="06F88915">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病案作废</w:t>
            </w:r>
          </w:p>
        </w:tc>
      </w:tr>
      <w:tr w14:paraId="3804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restart"/>
          </w:tcPr>
          <w:p w14:paraId="25EC63A0">
            <w:pPr>
              <w:spacing w:line="360" w:lineRule="auto"/>
              <w:ind w:firstLine="600"/>
              <w:rPr>
                <w:rFonts w:hint="eastAsia" w:asciiTheme="minorEastAsia" w:hAnsiTheme="minorEastAsia" w:eastAsiaTheme="minorEastAsia" w:cstheme="minorEastAsia"/>
                <w:color w:val="auto"/>
                <w:szCs w:val="30"/>
              </w:rPr>
            </w:pPr>
            <w:r>
              <w:rPr>
                <w:rFonts w:hint="default" w:ascii="宋体" w:hAnsi="宋体" w:eastAsia="宋体" w:cs="宋体"/>
                <w:color w:val="auto"/>
                <w:spacing w:val="-2"/>
                <w:lang w:val="en-US" w:eastAsia="zh-CN"/>
              </w:rPr>
              <w:t>√</w:t>
            </w:r>
            <w:r>
              <w:rPr>
                <w:rFonts w:hint="eastAsia" w:asciiTheme="minorEastAsia" w:hAnsiTheme="minorEastAsia" w:eastAsiaTheme="minorEastAsia" w:cstheme="minorEastAsia"/>
                <w:color w:val="auto"/>
                <w:szCs w:val="30"/>
              </w:rPr>
              <w:t>医院信息系统接口</w:t>
            </w:r>
          </w:p>
        </w:tc>
        <w:tc>
          <w:tcPr>
            <w:tcW w:w="4343" w:type="dxa"/>
          </w:tcPr>
          <w:p w14:paraId="7F6A5F53">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his系统对接</w:t>
            </w:r>
          </w:p>
        </w:tc>
      </w:tr>
      <w:tr w14:paraId="08F59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vMerge w:val="continue"/>
          </w:tcPr>
          <w:p w14:paraId="40551D6D">
            <w:pPr>
              <w:spacing w:line="360" w:lineRule="auto"/>
              <w:ind w:firstLine="600"/>
              <w:rPr>
                <w:rFonts w:hint="eastAsia" w:asciiTheme="minorEastAsia" w:hAnsiTheme="minorEastAsia" w:eastAsiaTheme="minorEastAsia" w:cstheme="minorEastAsia"/>
                <w:color w:val="auto"/>
                <w:szCs w:val="30"/>
              </w:rPr>
            </w:pPr>
          </w:p>
        </w:tc>
        <w:tc>
          <w:tcPr>
            <w:tcW w:w="4343" w:type="dxa"/>
          </w:tcPr>
          <w:p w14:paraId="22CEAD7A">
            <w:pPr>
              <w:spacing w:line="360" w:lineRule="auto"/>
              <w:ind w:firstLine="600"/>
              <w:rPr>
                <w:rFonts w:hint="eastAsia" w:asciiTheme="minorEastAsia" w:hAnsiTheme="minorEastAsia" w:eastAsiaTheme="minorEastAsia" w:cstheme="minorEastAsia"/>
                <w:color w:val="auto"/>
                <w:szCs w:val="30"/>
              </w:rPr>
            </w:pPr>
            <w:r>
              <w:rPr>
                <w:rFonts w:hint="eastAsia" w:asciiTheme="minorEastAsia" w:hAnsiTheme="minorEastAsia" w:eastAsiaTheme="minorEastAsia" w:cstheme="minorEastAsia"/>
                <w:color w:val="auto"/>
                <w:szCs w:val="30"/>
              </w:rPr>
              <w:t>pacs系统对接</w:t>
            </w:r>
          </w:p>
        </w:tc>
      </w:tr>
    </w:tbl>
    <w:p w14:paraId="7553F8A3">
      <w:pPr>
        <w:pStyle w:val="24"/>
        <w:keepNext w:val="0"/>
        <w:keepLines w:val="0"/>
        <w:pageBreakBefore w:val="0"/>
        <w:widowControl w:val="0"/>
        <w:numPr>
          <w:ilvl w:val="3"/>
          <w:numId w:val="35"/>
        </w:numPr>
        <w:tabs>
          <w:tab w:val="left" w:pos="2321"/>
        </w:tabs>
        <w:kinsoku/>
        <w:wordWrap/>
        <w:overflowPunct/>
        <w:topLinePunct w:val="0"/>
        <w:autoSpaceDE w:val="0"/>
        <w:autoSpaceDN w:val="0"/>
        <w:bidi w:val="0"/>
        <w:adjustRightInd/>
        <w:snapToGrid/>
        <w:spacing w:before="161" w:line="365" w:lineRule="auto"/>
        <w:ind w:left="425" w:leftChars="0" w:firstLine="0" w:firstLineChars="0"/>
        <w:textAlignment w:val="auto"/>
        <w:rPr>
          <w:rFonts w:hint="eastAsia"/>
          <w:b/>
          <w:color w:val="auto"/>
          <w:spacing w:val="-2"/>
          <w:sz w:val="24"/>
        </w:rPr>
      </w:pPr>
      <w:bookmarkStart w:id="218" w:name="_Toc18479"/>
      <w:r>
        <w:rPr>
          <w:rFonts w:hint="eastAsia"/>
          <w:b/>
          <w:color w:val="auto"/>
          <w:spacing w:val="-2"/>
          <w:sz w:val="24"/>
        </w:rPr>
        <w:t>江苏省卫生健康云临床检验平台交互接口</w:t>
      </w:r>
      <w:bookmarkEnd w:id="218"/>
    </w:p>
    <w:p w14:paraId="66B1D19A">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HR01-检验报告调阅服务</w:t>
      </w:r>
    </w:p>
    <w:p w14:paraId="7340E355">
      <w:pPr>
        <w:spacing w:line="121" w:lineRule="exact"/>
        <w:ind w:firstLine="600"/>
        <w:rPr>
          <w:rFonts w:hint="eastAsia"/>
          <w:color w:val="auto"/>
          <w:szCs w:val="30"/>
        </w:rPr>
      </w:pPr>
    </w:p>
    <w:tbl>
      <w:tblPr>
        <w:tblStyle w:val="39"/>
        <w:tblW w:w="919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2340"/>
        <w:gridCol w:w="6855"/>
      </w:tblGrid>
      <w:tr w14:paraId="6DDCE2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3" w:hRule="atLeast"/>
          <w:jc w:val="center"/>
        </w:trPr>
        <w:tc>
          <w:tcPr>
            <w:tcW w:w="2340" w:type="dxa"/>
            <w:tcBorders>
              <w:tl2br w:val="nil"/>
              <w:tr2bl w:val="nil"/>
            </w:tcBorders>
            <w:shd w:val="clear" w:color="auto" w:fill="auto"/>
            <w:vAlign w:val="center"/>
          </w:tcPr>
          <w:p w14:paraId="55DFE640">
            <w:pPr>
              <w:pStyle w:val="38"/>
              <w:spacing w:before="70"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交互事件名称</w:t>
            </w:r>
          </w:p>
        </w:tc>
        <w:tc>
          <w:tcPr>
            <w:tcW w:w="6855" w:type="dxa"/>
            <w:tcBorders>
              <w:tl2br w:val="nil"/>
              <w:tr2bl w:val="nil"/>
            </w:tcBorders>
            <w:shd w:val="clear" w:color="auto" w:fill="auto"/>
            <w:vAlign w:val="center"/>
          </w:tcPr>
          <w:p w14:paraId="58FB7004">
            <w:pPr>
              <w:pStyle w:val="38"/>
              <w:spacing w:before="71" w:line="180"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检验报告调阅服务</w:t>
            </w:r>
          </w:p>
        </w:tc>
      </w:tr>
      <w:tr w14:paraId="45652F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939" w:hRule="atLeast"/>
          <w:jc w:val="center"/>
        </w:trPr>
        <w:tc>
          <w:tcPr>
            <w:tcW w:w="2340" w:type="dxa"/>
            <w:tcBorders>
              <w:tl2br w:val="nil"/>
              <w:tr2bl w:val="nil"/>
            </w:tcBorders>
            <w:shd w:val="clear" w:color="auto" w:fill="auto"/>
            <w:vAlign w:val="center"/>
          </w:tcPr>
          <w:p w14:paraId="097A5435">
            <w:pPr>
              <w:pStyle w:val="38"/>
              <w:spacing w:before="66"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交互场景描述</w:t>
            </w:r>
          </w:p>
        </w:tc>
        <w:tc>
          <w:tcPr>
            <w:tcW w:w="6855" w:type="dxa"/>
            <w:tcBorders>
              <w:tl2br w:val="nil"/>
              <w:tr2bl w:val="nil"/>
            </w:tcBorders>
            <w:shd w:val="clear" w:color="auto" w:fill="auto"/>
            <w:vAlign w:val="center"/>
          </w:tcPr>
          <w:p w14:paraId="465A11F7">
            <w:pPr>
              <w:pStyle w:val="38"/>
              <w:spacing w:before="64" w:line="224" w:lineRule="auto"/>
              <w:ind w:left="102" w:right="72" w:firstLine="1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医生在进行患者接诊时，HIS 系统调用互认平台提供的“HR0</w:t>
            </w:r>
            <w:r>
              <w:rPr>
                <w:rFonts w:hint="eastAsia" w:ascii="宋体" w:hAnsi="宋体" w:eastAsia="宋体" w:cs="宋体"/>
                <w:color w:val="auto"/>
                <w:spacing w:val="-5"/>
                <w:sz w:val="24"/>
                <w:szCs w:val="24"/>
              </w:rPr>
              <w:t>1-检验报告调阅服务”（需要通过前置机</w:t>
            </w:r>
            <w:r>
              <w:rPr>
                <w:rFonts w:hint="eastAsia" w:ascii="宋体" w:hAnsi="宋体" w:eastAsia="宋体" w:cs="宋体"/>
                <w:color w:val="auto"/>
                <w:spacing w:val="-33"/>
                <w:w w:val="77"/>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查询该患者是否有近一年的检验报告。如果有则返回url，HIS 系统打开此 url 可在页面上查看到具体</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的检验报告。</w:t>
            </w:r>
          </w:p>
        </w:tc>
      </w:tr>
      <w:tr w14:paraId="72CF5E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483" w:hRule="atLeast"/>
          <w:jc w:val="center"/>
        </w:trPr>
        <w:tc>
          <w:tcPr>
            <w:tcW w:w="2340" w:type="dxa"/>
            <w:tcBorders>
              <w:tl2br w:val="nil"/>
              <w:tr2bl w:val="nil"/>
            </w:tcBorders>
            <w:shd w:val="clear" w:color="auto" w:fill="auto"/>
            <w:vAlign w:val="center"/>
          </w:tcPr>
          <w:p w14:paraId="7BA8527E">
            <w:pPr>
              <w:pStyle w:val="38"/>
              <w:spacing w:before="68"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服务地址</w:t>
            </w:r>
          </w:p>
        </w:tc>
        <w:tc>
          <w:tcPr>
            <w:tcW w:w="6855" w:type="dxa"/>
            <w:tcBorders>
              <w:tl2br w:val="nil"/>
              <w:tr2bl w:val="nil"/>
            </w:tcBorders>
            <w:shd w:val="clear" w:color="auto" w:fill="auto"/>
            <w:vAlign w:val="center"/>
          </w:tcPr>
          <w:p w14:paraId="142E41EB">
            <w:pPr>
              <w:spacing w:before="62" w:line="236" w:lineRule="exact"/>
              <w:ind w:left="100" w:firstLine="600"/>
              <w:jc w:val="both"/>
              <w:rPr>
                <w:rFonts w:hint="eastAsia" w:ascii="宋体" w:hAnsi="宋体" w:eastAsia="宋体" w:cs="宋体"/>
                <w:color w:val="auto"/>
                <w:sz w:val="24"/>
                <w:szCs w:val="24"/>
              </w:rPr>
            </w:pPr>
            <w:r>
              <w:rPr>
                <w:rFonts w:hint="eastAsia" w:ascii="宋体" w:hAnsi="宋体" w:eastAsia="宋体" w:cs="宋体"/>
                <w:color w:val="auto"/>
                <w:position w:val="3"/>
                <w:sz w:val="24"/>
                <w:szCs w:val="24"/>
              </w:rPr>
              <w:t>http://IP:PORT/pmemr/productMutualRecognition/getCrossU</w:t>
            </w:r>
            <w:r>
              <w:rPr>
                <w:rFonts w:hint="eastAsia" w:ascii="宋体" w:hAnsi="宋体" w:eastAsia="宋体" w:cs="宋体"/>
                <w:color w:val="auto"/>
                <w:spacing w:val="-1"/>
                <w:position w:val="3"/>
                <w:sz w:val="24"/>
                <w:szCs w:val="24"/>
              </w:rPr>
              <w:t>rl</w:t>
            </w:r>
          </w:p>
        </w:tc>
      </w:tr>
      <w:tr w14:paraId="2DA1B3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5DD10576">
            <w:pPr>
              <w:pStyle w:val="38"/>
              <w:spacing w:before="70"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服务方法</w:t>
            </w:r>
          </w:p>
        </w:tc>
        <w:tc>
          <w:tcPr>
            <w:tcW w:w="6855" w:type="dxa"/>
            <w:tcBorders>
              <w:tl2br w:val="nil"/>
              <w:tr2bl w:val="nil"/>
            </w:tcBorders>
            <w:shd w:val="clear" w:color="auto" w:fill="auto"/>
            <w:vAlign w:val="center"/>
          </w:tcPr>
          <w:p w14:paraId="21F1D09E">
            <w:pPr>
              <w:spacing w:before="97" w:line="188" w:lineRule="auto"/>
              <w:ind w:left="102" w:firstLine="5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HTTP POST</w:t>
            </w:r>
          </w:p>
        </w:tc>
      </w:tr>
      <w:tr w14:paraId="71BBFA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1C112678">
            <w:pPr>
              <w:pStyle w:val="38"/>
              <w:spacing w:before="68"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服务类型</w:t>
            </w:r>
          </w:p>
        </w:tc>
        <w:tc>
          <w:tcPr>
            <w:tcW w:w="6855" w:type="dxa"/>
            <w:tcBorders>
              <w:tl2br w:val="nil"/>
              <w:tr2bl w:val="nil"/>
            </w:tcBorders>
            <w:shd w:val="clear" w:color="auto" w:fill="auto"/>
            <w:vAlign w:val="center"/>
          </w:tcPr>
          <w:p w14:paraId="3A066642">
            <w:pPr>
              <w:pStyle w:val="38"/>
              <w:spacing w:before="71" w:line="178"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通用服务</w:t>
            </w:r>
          </w:p>
        </w:tc>
      </w:tr>
      <w:tr w14:paraId="35F55F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674A63AD">
            <w:pPr>
              <w:pStyle w:val="38"/>
              <w:spacing w:before="68" w:line="182"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服务提供方</w:t>
            </w:r>
          </w:p>
        </w:tc>
        <w:tc>
          <w:tcPr>
            <w:tcW w:w="6855" w:type="dxa"/>
            <w:tcBorders>
              <w:tl2br w:val="nil"/>
              <w:tr2bl w:val="nil"/>
            </w:tcBorders>
            <w:shd w:val="clear" w:color="auto" w:fill="auto"/>
            <w:vAlign w:val="center"/>
          </w:tcPr>
          <w:p w14:paraId="58530F8B">
            <w:pPr>
              <w:pStyle w:val="38"/>
              <w:spacing w:before="69" w:line="182"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检验结果互认共享平台</w:t>
            </w:r>
          </w:p>
        </w:tc>
      </w:tr>
      <w:tr w14:paraId="3B510A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3B8BC8A2">
            <w:pPr>
              <w:pStyle w:val="38"/>
              <w:spacing w:before="73"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服务调用方</w:t>
            </w:r>
          </w:p>
        </w:tc>
        <w:tc>
          <w:tcPr>
            <w:tcW w:w="6855" w:type="dxa"/>
            <w:tcBorders>
              <w:tl2br w:val="nil"/>
              <w:tr2bl w:val="nil"/>
            </w:tcBorders>
            <w:shd w:val="clear" w:color="auto" w:fill="auto"/>
            <w:vAlign w:val="center"/>
          </w:tcPr>
          <w:p w14:paraId="01821F32">
            <w:pPr>
              <w:pStyle w:val="38"/>
              <w:spacing w:before="73" w:line="180" w:lineRule="auto"/>
              <w:ind w:left="115"/>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医院 HIS 系统</w:t>
            </w:r>
          </w:p>
        </w:tc>
      </w:tr>
      <w:tr w14:paraId="41093D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03D4C186">
            <w:pPr>
              <w:pStyle w:val="38"/>
              <w:spacing w:before="71" w:line="182" w:lineRule="auto"/>
              <w:ind w:left="110"/>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加密方式</w:t>
            </w:r>
          </w:p>
        </w:tc>
        <w:tc>
          <w:tcPr>
            <w:tcW w:w="6855" w:type="dxa"/>
            <w:tcBorders>
              <w:tl2br w:val="nil"/>
              <w:tr2bl w:val="nil"/>
            </w:tcBorders>
            <w:shd w:val="clear" w:color="auto" w:fill="auto"/>
            <w:vAlign w:val="center"/>
          </w:tcPr>
          <w:p w14:paraId="7D715A41">
            <w:pPr>
              <w:pStyle w:val="38"/>
              <w:spacing w:before="71" w:line="182" w:lineRule="auto"/>
              <w:ind w:left="10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无加密</w:t>
            </w:r>
          </w:p>
        </w:tc>
      </w:tr>
      <w:tr w14:paraId="094146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40" w:type="dxa"/>
            <w:tcBorders>
              <w:tl2br w:val="nil"/>
              <w:tr2bl w:val="nil"/>
            </w:tcBorders>
            <w:shd w:val="clear" w:color="auto" w:fill="auto"/>
            <w:vAlign w:val="center"/>
          </w:tcPr>
          <w:p w14:paraId="6A7E9410">
            <w:pPr>
              <w:pStyle w:val="38"/>
              <w:spacing w:before="74" w:line="180" w:lineRule="auto"/>
              <w:ind w:left="119"/>
              <w:jc w:val="both"/>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防重放</w:t>
            </w:r>
          </w:p>
        </w:tc>
        <w:tc>
          <w:tcPr>
            <w:tcW w:w="6855" w:type="dxa"/>
            <w:tcBorders>
              <w:tl2br w:val="nil"/>
              <w:tr2bl w:val="nil"/>
            </w:tcBorders>
            <w:shd w:val="clear" w:color="auto" w:fill="auto"/>
            <w:vAlign w:val="center"/>
          </w:tcPr>
          <w:p w14:paraId="3D261B25">
            <w:pPr>
              <w:pStyle w:val="38"/>
              <w:spacing w:before="80" w:line="175" w:lineRule="auto"/>
              <w:ind w:left="102"/>
              <w:jc w:val="both"/>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157CA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4" w:hRule="atLeast"/>
          <w:jc w:val="center"/>
        </w:trPr>
        <w:tc>
          <w:tcPr>
            <w:tcW w:w="2340" w:type="dxa"/>
            <w:tcBorders>
              <w:tl2br w:val="nil"/>
              <w:tr2bl w:val="nil"/>
            </w:tcBorders>
            <w:shd w:val="clear" w:color="auto" w:fill="auto"/>
            <w:vAlign w:val="center"/>
          </w:tcPr>
          <w:p w14:paraId="66786A19">
            <w:pPr>
              <w:pStyle w:val="38"/>
              <w:spacing w:before="74" w:line="182" w:lineRule="auto"/>
              <w:ind w:left="107"/>
              <w:jc w:val="both"/>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备注</w:t>
            </w:r>
          </w:p>
        </w:tc>
        <w:tc>
          <w:tcPr>
            <w:tcW w:w="6855" w:type="dxa"/>
            <w:tcBorders>
              <w:tl2br w:val="nil"/>
              <w:tr2bl w:val="nil"/>
            </w:tcBorders>
            <w:shd w:val="clear" w:color="auto" w:fill="auto"/>
            <w:vAlign w:val="center"/>
          </w:tcPr>
          <w:p w14:paraId="2778679C">
            <w:pPr>
              <w:ind w:firstLine="600"/>
              <w:jc w:val="both"/>
              <w:rPr>
                <w:rFonts w:hint="eastAsia" w:ascii="宋体" w:hAnsi="宋体" w:eastAsia="宋体" w:cs="宋体"/>
                <w:color w:val="auto"/>
                <w:sz w:val="24"/>
                <w:szCs w:val="24"/>
              </w:rPr>
            </w:pPr>
          </w:p>
        </w:tc>
      </w:tr>
    </w:tbl>
    <w:p w14:paraId="7D0712F2">
      <w:pPr>
        <w:keepNext w:val="0"/>
        <w:keepLines w:val="0"/>
        <w:pageBreakBefore w:val="0"/>
        <w:widowControl w:val="0"/>
        <w:kinsoku/>
        <w:wordWrap/>
        <w:overflowPunct/>
        <w:topLinePunct w:val="0"/>
        <w:autoSpaceDE w:val="0"/>
        <w:autoSpaceDN w:val="0"/>
        <w:bidi w:val="0"/>
        <w:adjustRightInd/>
        <w:snapToGrid/>
        <w:spacing w:line="365" w:lineRule="auto"/>
        <w:ind w:firstLine="601"/>
        <w:textAlignment w:val="auto"/>
        <w:rPr>
          <w:rFonts w:hint="eastAsia"/>
          <w:color w:val="auto"/>
          <w:szCs w:val="30"/>
        </w:rPr>
      </w:pPr>
      <w:bookmarkStart w:id="219" w:name="bookmark41"/>
      <w:bookmarkEnd w:id="219"/>
      <w:bookmarkStart w:id="220" w:name="bookmark42"/>
      <w:bookmarkEnd w:id="220"/>
    </w:p>
    <w:p w14:paraId="143716E1">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HR02-开单互认提醒服务</w:t>
      </w:r>
    </w:p>
    <w:p w14:paraId="27BCA9FA">
      <w:pPr>
        <w:spacing w:line="120" w:lineRule="exact"/>
        <w:ind w:firstLine="600"/>
        <w:rPr>
          <w:rFonts w:hint="eastAsia"/>
          <w:color w:val="auto"/>
          <w:szCs w:val="30"/>
        </w:rPr>
      </w:pPr>
    </w:p>
    <w:tbl>
      <w:tblPr>
        <w:tblStyle w:val="39"/>
        <w:tblW w:w="913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2362"/>
        <w:gridCol w:w="6770"/>
      </w:tblGrid>
      <w:tr w14:paraId="4C8443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3" w:hRule="atLeast"/>
          <w:jc w:val="center"/>
        </w:trPr>
        <w:tc>
          <w:tcPr>
            <w:tcW w:w="2362" w:type="dxa"/>
            <w:tcBorders>
              <w:tl2br w:val="nil"/>
              <w:tr2bl w:val="nil"/>
            </w:tcBorders>
            <w:shd w:val="clear" w:color="auto" w:fill="auto"/>
            <w:vAlign w:val="center"/>
          </w:tcPr>
          <w:p w14:paraId="2E889C86">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交互事件名称</w:t>
            </w:r>
          </w:p>
        </w:tc>
        <w:tc>
          <w:tcPr>
            <w:tcW w:w="6770" w:type="dxa"/>
            <w:tcBorders>
              <w:tl2br w:val="nil"/>
              <w:tr2bl w:val="nil"/>
            </w:tcBorders>
            <w:shd w:val="clear" w:color="auto" w:fill="auto"/>
            <w:vAlign w:val="center"/>
          </w:tcPr>
          <w:p w14:paraId="4F559637">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开单互认提醒服务</w:t>
            </w:r>
          </w:p>
        </w:tc>
      </w:tr>
      <w:tr w14:paraId="69C63E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627" w:hRule="atLeast"/>
          <w:jc w:val="center"/>
        </w:trPr>
        <w:tc>
          <w:tcPr>
            <w:tcW w:w="2362" w:type="dxa"/>
            <w:tcBorders>
              <w:tl2br w:val="nil"/>
              <w:tr2bl w:val="nil"/>
            </w:tcBorders>
            <w:shd w:val="clear" w:color="auto" w:fill="auto"/>
            <w:vAlign w:val="center"/>
          </w:tcPr>
          <w:p w14:paraId="1173D4F9">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交互场景描述</w:t>
            </w:r>
          </w:p>
        </w:tc>
        <w:tc>
          <w:tcPr>
            <w:tcW w:w="6770" w:type="dxa"/>
            <w:tcBorders>
              <w:tl2br w:val="nil"/>
              <w:tr2bl w:val="nil"/>
            </w:tcBorders>
            <w:shd w:val="clear" w:color="auto" w:fill="auto"/>
            <w:vAlign w:val="center"/>
          </w:tcPr>
          <w:p w14:paraId="1BFA2019">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医生在开立检验申请项目时候，HIS 系统调用互认平台提供的“HR02-开单互认提醒服务”（需要通过 前置机）， 查询该患者是否有与开立项目相对应的可互认的检验报告。</w:t>
            </w:r>
          </w:p>
        </w:tc>
      </w:tr>
      <w:tr w14:paraId="26C600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77BA7358">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服务地址</w:t>
            </w:r>
          </w:p>
        </w:tc>
        <w:tc>
          <w:tcPr>
            <w:tcW w:w="6770" w:type="dxa"/>
            <w:tcBorders>
              <w:tl2br w:val="nil"/>
              <w:tr2bl w:val="nil"/>
            </w:tcBorders>
            <w:shd w:val="clear" w:color="auto" w:fill="auto"/>
            <w:vAlign w:val="center"/>
          </w:tcPr>
          <w:p w14:paraId="6B4D86C4">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http://IP:PORT/pmemr/productMutualRecognition/checkApply</w:t>
            </w:r>
          </w:p>
        </w:tc>
      </w:tr>
      <w:tr w14:paraId="3FE788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069A3027">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服务方法</w:t>
            </w:r>
          </w:p>
        </w:tc>
        <w:tc>
          <w:tcPr>
            <w:tcW w:w="6770" w:type="dxa"/>
            <w:tcBorders>
              <w:tl2br w:val="nil"/>
              <w:tr2bl w:val="nil"/>
            </w:tcBorders>
            <w:shd w:val="clear" w:color="auto" w:fill="auto"/>
            <w:vAlign w:val="center"/>
          </w:tcPr>
          <w:p w14:paraId="32E3B661">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HTTP POST</w:t>
            </w:r>
          </w:p>
        </w:tc>
      </w:tr>
      <w:tr w14:paraId="298319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1C04CCED">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服务类型</w:t>
            </w:r>
          </w:p>
        </w:tc>
        <w:tc>
          <w:tcPr>
            <w:tcW w:w="6770" w:type="dxa"/>
            <w:tcBorders>
              <w:tl2br w:val="nil"/>
              <w:tr2bl w:val="nil"/>
            </w:tcBorders>
            <w:shd w:val="clear" w:color="auto" w:fill="auto"/>
            <w:vAlign w:val="center"/>
          </w:tcPr>
          <w:p w14:paraId="01AA14C9">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通用服务</w:t>
            </w:r>
          </w:p>
        </w:tc>
      </w:tr>
      <w:tr w14:paraId="5F86FC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0919A171">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服务提供方</w:t>
            </w:r>
          </w:p>
        </w:tc>
        <w:tc>
          <w:tcPr>
            <w:tcW w:w="6770" w:type="dxa"/>
            <w:tcBorders>
              <w:tl2br w:val="nil"/>
              <w:tr2bl w:val="nil"/>
            </w:tcBorders>
            <w:shd w:val="clear" w:color="auto" w:fill="auto"/>
            <w:vAlign w:val="center"/>
          </w:tcPr>
          <w:p w14:paraId="05772886">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检验互认平台</w:t>
            </w:r>
          </w:p>
        </w:tc>
      </w:tr>
      <w:tr w14:paraId="45A988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25066BAA">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服务调用方</w:t>
            </w:r>
          </w:p>
        </w:tc>
        <w:tc>
          <w:tcPr>
            <w:tcW w:w="6770" w:type="dxa"/>
            <w:tcBorders>
              <w:tl2br w:val="nil"/>
              <w:tr2bl w:val="nil"/>
            </w:tcBorders>
            <w:shd w:val="clear" w:color="auto" w:fill="auto"/>
            <w:vAlign w:val="center"/>
          </w:tcPr>
          <w:p w14:paraId="7A37D7DB">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医院 HIS 系统</w:t>
            </w:r>
          </w:p>
        </w:tc>
      </w:tr>
      <w:tr w14:paraId="6A8FE4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362" w:type="dxa"/>
            <w:tcBorders>
              <w:tl2br w:val="nil"/>
              <w:tr2bl w:val="nil"/>
            </w:tcBorders>
            <w:shd w:val="clear" w:color="auto" w:fill="auto"/>
            <w:vAlign w:val="center"/>
          </w:tcPr>
          <w:p w14:paraId="6EB7FD0F">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服务接收方</w:t>
            </w:r>
          </w:p>
        </w:tc>
        <w:tc>
          <w:tcPr>
            <w:tcW w:w="6770" w:type="dxa"/>
            <w:tcBorders>
              <w:tl2br w:val="nil"/>
              <w:tr2bl w:val="nil"/>
            </w:tcBorders>
            <w:shd w:val="clear" w:color="auto" w:fill="auto"/>
            <w:vAlign w:val="center"/>
          </w:tcPr>
          <w:p w14:paraId="60ADD6EA">
            <w:pPr>
              <w:pStyle w:val="38"/>
              <w:spacing w:before="70" w:line="181" w:lineRule="auto"/>
              <w:ind w:left="111"/>
              <w:jc w:val="both"/>
              <w:rPr>
                <w:rFonts w:hint="eastAsia" w:ascii="宋体" w:hAnsi="宋体" w:eastAsia="宋体" w:cs="宋体"/>
                <w:color w:val="auto"/>
                <w:spacing w:val="-2"/>
                <w:sz w:val="24"/>
                <w:szCs w:val="24"/>
              </w:rPr>
            </w:pPr>
          </w:p>
        </w:tc>
      </w:tr>
      <w:tr w14:paraId="33BAAF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1" w:hRule="atLeast"/>
          <w:jc w:val="center"/>
        </w:trPr>
        <w:tc>
          <w:tcPr>
            <w:tcW w:w="2362" w:type="dxa"/>
            <w:tcBorders>
              <w:tl2br w:val="nil"/>
              <w:tr2bl w:val="nil"/>
            </w:tcBorders>
            <w:shd w:val="clear" w:color="auto" w:fill="auto"/>
            <w:vAlign w:val="center"/>
          </w:tcPr>
          <w:p w14:paraId="449BAC29">
            <w:pPr>
              <w:pStyle w:val="38"/>
              <w:spacing w:before="70" w:line="181" w:lineRule="auto"/>
              <w:ind w:left="111"/>
              <w:jc w:val="both"/>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加密方式</w:t>
            </w:r>
          </w:p>
        </w:tc>
        <w:tc>
          <w:tcPr>
            <w:tcW w:w="6770" w:type="dxa"/>
            <w:tcBorders>
              <w:tl2br w:val="nil"/>
              <w:tr2bl w:val="nil"/>
            </w:tcBorders>
            <w:shd w:val="clear" w:color="auto" w:fill="auto"/>
            <w:vAlign w:val="center"/>
          </w:tcPr>
          <w:p w14:paraId="06EA348E">
            <w:pPr>
              <w:pStyle w:val="38"/>
              <w:spacing w:before="70" w:line="181" w:lineRule="auto"/>
              <w:ind w:left="111"/>
              <w:jc w:val="both"/>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无加密</w:t>
            </w:r>
          </w:p>
        </w:tc>
      </w:tr>
      <w:tr w14:paraId="0A8969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1" w:hRule="atLeast"/>
          <w:jc w:val="center"/>
        </w:trPr>
        <w:tc>
          <w:tcPr>
            <w:tcW w:w="2362" w:type="dxa"/>
            <w:tcBorders>
              <w:tl2br w:val="nil"/>
              <w:tr2bl w:val="nil"/>
            </w:tcBorders>
            <w:shd w:val="clear" w:color="auto" w:fill="auto"/>
          </w:tcPr>
          <w:p w14:paraId="408C44B4">
            <w:pPr>
              <w:pStyle w:val="38"/>
              <w:spacing w:before="70" w:line="181" w:lineRule="auto"/>
              <w:ind w:left="111"/>
              <w:jc w:val="both"/>
              <w:rPr>
                <w:rFonts w:hint="eastAsia" w:ascii="宋体" w:hAnsi="宋体" w:eastAsia="宋体" w:cs="宋体"/>
                <w:b/>
                <w:bCs/>
                <w:color w:val="auto"/>
                <w:spacing w:val="-2"/>
                <w:sz w:val="24"/>
                <w:szCs w:val="24"/>
                <w:lang w:eastAsia="en-US"/>
              </w:rPr>
            </w:pPr>
            <w:r>
              <w:rPr>
                <w:rFonts w:hint="eastAsia" w:ascii="宋体" w:hAnsi="宋体" w:eastAsia="宋体" w:cs="宋体"/>
                <w:b/>
                <w:bCs/>
                <w:color w:val="auto"/>
                <w:spacing w:val="-2"/>
                <w:sz w:val="24"/>
                <w:szCs w:val="24"/>
              </w:rPr>
              <w:t>防重放</w:t>
            </w:r>
          </w:p>
        </w:tc>
        <w:tc>
          <w:tcPr>
            <w:tcW w:w="6770" w:type="dxa"/>
            <w:tcBorders>
              <w:tl2br w:val="nil"/>
              <w:tr2bl w:val="nil"/>
            </w:tcBorders>
            <w:shd w:val="clear" w:color="auto" w:fill="auto"/>
          </w:tcPr>
          <w:p w14:paraId="1F65CB05">
            <w:pPr>
              <w:pStyle w:val="38"/>
              <w:spacing w:before="70" w:line="181" w:lineRule="auto"/>
              <w:ind w:left="111"/>
              <w:jc w:val="both"/>
              <w:rPr>
                <w:rFonts w:hint="eastAsia" w:ascii="宋体" w:hAnsi="宋体" w:eastAsia="宋体" w:cs="宋体"/>
                <w:color w:val="auto"/>
                <w:spacing w:val="-2"/>
                <w:sz w:val="24"/>
                <w:szCs w:val="24"/>
                <w:lang w:eastAsia="en-US"/>
              </w:rPr>
            </w:pPr>
            <w:r>
              <w:rPr>
                <w:rFonts w:hint="eastAsia" w:ascii="宋体" w:hAnsi="宋体" w:eastAsia="宋体" w:cs="宋体"/>
                <w:color w:val="auto"/>
                <w:spacing w:val="-2"/>
                <w:sz w:val="24"/>
                <w:szCs w:val="24"/>
              </w:rPr>
              <w:t>否</w:t>
            </w:r>
          </w:p>
        </w:tc>
      </w:tr>
      <w:tr w14:paraId="5C9339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1" w:hRule="atLeast"/>
          <w:jc w:val="center"/>
        </w:trPr>
        <w:tc>
          <w:tcPr>
            <w:tcW w:w="2362" w:type="dxa"/>
            <w:tcBorders>
              <w:tl2br w:val="nil"/>
              <w:tr2bl w:val="nil"/>
            </w:tcBorders>
            <w:shd w:val="clear" w:color="auto" w:fill="auto"/>
          </w:tcPr>
          <w:p w14:paraId="14E9404A">
            <w:pPr>
              <w:pStyle w:val="38"/>
              <w:spacing w:before="70" w:line="181" w:lineRule="auto"/>
              <w:ind w:left="111"/>
              <w:jc w:val="both"/>
              <w:rPr>
                <w:rFonts w:hint="eastAsia" w:ascii="宋体" w:hAnsi="宋体" w:eastAsia="宋体" w:cs="宋体"/>
                <w:b/>
                <w:bCs/>
                <w:color w:val="auto"/>
                <w:spacing w:val="-2"/>
                <w:sz w:val="24"/>
                <w:szCs w:val="24"/>
                <w:lang w:eastAsia="en-US"/>
              </w:rPr>
            </w:pPr>
            <w:r>
              <w:rPr>
                <w:rFonts w:hint="eastAsia" w:ascii="宋体" w:hAnsi="宋体" w:eastAsia="宋体" w:cs="宋体"/>
                <w:b/>
                <w:bCs/>
                <w:color w:val="auto"/>
                <w:spacing w:val="-2"/>
                <w:sz w:val="24"/>
                <w:szCs w:val="24"/>
              </w:rPr>
              <w:t>备注</w:t>
            </w:r>
          </w:p>
        </w:tc>
        <w:tc>
          <w:tcPr>
            <w:tcW w:w="6770" w:type="dxa"/>
            <w:tcBorders>
              <w:tl2br w:val="nil"/>
              <w:tr2bl w:val="nil"/>
            </w:tcBorders>
            <w:shd w:val="clear" w:color="auto" w:fill="auto"/>
          </w:tcPr>
          <w:p w14:paraId="68ED4F3C">
            <w:pPr>
              <w:ind w:firstLine="592"/>
              <w:rPr>
                <w:rFonts w:hint="eastAsia" w:ascii="宋体" w:hAnsi="宋体" w:eastAsia="宋体" w:cs="宋体"/>
                <w:color w:val="auto"/>
                <w:spacing w:val="-2"/>
                <w:sz w:val="24"/>
                <w:szCs w:val="24"/>
              </w:rPr>
            </w:pPr>
          </w:p>
        </w:tc>
      </w:tr>
    </w:tbl>
    <w:p w14:paraId="40348DFE">
      <w:pPr>
        <w:ind w:firstLine="600"/>
        <w:rPr>
          <w:rFonts w:hint="eastAsia"/>
          <w:color w:val="auto"/>
          <w:szCs w:val="30"/>
        </w:rPr>
      </w:pPr>
    </w:p>
    <w:p w14:paraId="2D8AA20B">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HR03-互认提醒处理结果查询服务</w:t>
      </w:r>
    </w:p>
    <w:p w14:paraId="3BE79DFF">
      <w:pPr>
        <w:spacing w:line="120" w:lineRule="exact"/>
        <w:ind w:firstLine="600"/>
        <w:rPr>
          <w:rFonts w:hint="eastAsia"/>
          <w:color w:val="auto"/>
          <w:szCs w:val="30"/>
        </w:rPr>
      </w:pPr>
    </w:p>
    <w:tbl>
      <w:tblPr>
        <w:tblStyle w:val="39"/>
        <w:tblW w:w="9217" w:type="dxa"/>
        <w:jc w:val="center"/>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Layout w:type="fixed"/>
        <w:tblCellMar>
          <w:top w:w="0" w:type="dxa"/>
          <w:left w:w="0" w:type="dxa"/>
          <w:bottom w:w="0" w:type="dxa"/>
          <w:right w:w="0" w:type="dxa"/>
        </w:tblCellMar>
      </w:tblPr>
      <w:tblGrid>
        <w:gridCol w:w="2390"/>
        <w:gridCol w:w="6827"/>
      </w:tblGrid>
      <w:tr w14:paraId="7C698474">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24"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3DDDB5A">
            <w:pPr>
              <w:pStyle w:val="38"/>
              <w:spacing w:before="73"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交互事件名称</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167D8FF">
            <w:pPr>
              <w:pStyle w:val="38"/>
              <w:spacing w:before="74" w:line="180" w:lineRule="auto"/>
              <w:ind w:left="10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互认结果查询服务</w:t>
            </w:r>
          </w:p>
        </w:tc>
      </w:tr>
      <w:tr w14:paraId="324AFBA6">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939"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AD8D47C">
            <w:pPr>
              <w:pStyle w:val="38"/>
              <w:spacing w:before="65"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交互场景描述</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27B4794">
            <w:pPr>
              <w:pStyle w:val="38"/>
              <w:spacing w:before="29" w:line="233" w:lineRule="auto"/>
              <w:ind w:left="101" w:right="103" w:firstLine="2"/>
              <w:jc w:val="both"/>
              <w:rPr>
                <w:rFonts w:hint="eastAsia" w:ascii="宋体" w:hAnsi="宋体" w:eastAsia="宋体" w:cs="宋体"/>
                <w:color w:val="auto"/>
                <w:sz w:val="24"/>
                <w:szCs w:val="24"/>
              </w:rPr>
            </w:pPr>
            <w:r>
              <w:rPr>
                <w:rFonts w:hint="eastAsia" w:ascii="宋体" w:hAnsi="宋体" w:eastAsia="宋体" w:cs="宋体"/>
                <w:color w:val="auto"/>
                <w:sz w:val="24"/>
                <w:szCs w:val="24"/>
              </w:rPr>
              <w:t>若开单项有对应的可互认报告，HIS 系统打开</w:t>
            </w:r>
            <w:r>
              <w:rPr>
                <w:rFonts w:hint="eastAsia" w:ascii="宋体" w:hAnsi="宋体" w:eastAsia="宋体" w:cs="宋体"/>
                <w:color w:val="auto"/>
                <w:spacing w:val="48"/>
                <w:w w:val="101"/>
                <w:sz w:val="24"/>
                <w:szCs w:val="24"/>
              </w:rPr>
              <w:t xml:space="preserve"> </w:t>
            </w:r>
            <w:r>
              <w:rPr>
                <w:rFonts w:hint="eastAsia" w:ascii="宋体" w:hAnsi="宋体" w:eastAsia="宋体" w:cs="宋体"/>
                <w:color w:val="auto"/>
                <w:sz w:val="24"/>
                <w:szCs w:val="24"/>
              </w:rPr>
              <w:t>“HR02-开单互认提醒服务”“返回的url，</w:t>
            </w:r>
            <w:r>
              <w:rPr>
                <w:rFonts w:hint="eastAsia" w:ascii="宋体" w:hAnsi="宋体" w:eastAsia="宋体" w:cs="宋体"/>
                <w:color w:val="auto"/>
                <w:spacing w:val="-21"/>
                <w:sz w:val="24"/>
                <w:szCs w:val="24"/>
              </w:rPr>
              <w:t xml:space="preserve"> </w:t>
            </w:r>
            <w:r>
              <w:rPr>
                <w:rFonts w:hint="eastAsia" w:ascii="宋体" w:hAnsi="宋体" w:eastAsia="宋体" w:cs="宋体"/>
                <w:color w:val="auto"/>
                <w:sz w:val="24"/>
                <w:szCs w:val="24"/>
              </w:rPr>
              <w:t>医生进行互 认操作</w:t>
            </w:r>
            <w:r>
              <w:rPr>
                <w:rFonts w:hint="eastAsia" w:ascii="宋体" w:hAnsi="宋体" w:eastAsia="宋体" w:cs="宋体"/>
                <w:color w:val="auto"/>
                <w:spacing w:val="-27"/>
                <w:sz w:val="24"/>
                <w:szCs w:val="24"/>
              </w:rPr>
              <w:t xml:space="preserve"> </w:t>
            </w:r>
            <w:r>
              <w:rPr>
                <w:rFonts w:hint="eastAsia" w:ascii="宋体" w:hAnsi="宋体" w:eastAsia="宋体" w:cs="宋体"/>
                <w:color w:val="auto"/>
                <w:sz w:val="24"/>
                <w:szCs w:val="24"/>
              </w:rPr>
              <w:t>。当互认 url 页面关闭后，HIS</w:t>
            </w:r>
            <w:r>
              <w:rPr>
                <w:rFonts w:hint="eastAsia" w:ascii="宋体" w:hAnsi="宋体" w:eastAsia="宋体" w:cs="宋体"/>
                <w:color w:val="auto"/>
                <w:spacing w:val="11"/>
                <w:w w:val="101"/>
                <w:sz w:val="24"/>
                <w:szCs w:val="24"/>
              </w:rPr>
              <w:t xml:space="preserve"> </w:t>
            </w:r>
            <w:r>
              <w:rPr>
                <w:rFonts w:hint="eastAsia" w:ascii="宋体" w:hAnsi="宋体" w:eastAsia="宋体" w:cs="宋体"/>
                <w:color w:val="auto"/>
                <w:sz w:val="24"/>
                <w:szCs w:val="24"/>
              </w:rPr>
              <w:t>系统可通过此</w:t>
            </w:r>
            <w:r>
              <w:rPr>
                <w:rFonts w:hint="eastAsia" w:ascii="宋体" w:hAnsi="宋体" w:eastAsia="宋体" w:cs="宋体"/>
                <w:color w:val="auto"/>
                <w:spacing w:val="-1"/>
                <w:sz w:val="24"/>
                <w:szCs w:val="24"/>
              </w:rPr>
              <w:t>接口”HR03-互认结果查询服务”，</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
                <w:sz w:val="24"/>
                <w:szCs w:val="24"/>
              </w:rPr>
              <w:t>获取刚才在互</w:t>
            </w:r>
            <w:r>
              <w:rPr>
                <w:rFonts w:hint="eastAsia" w:ascii="宋体" w:hAnsi="宋体" w:eastAsia="宋体" w:cs="宋体"/>
                <w:color w:val="auto"/>
                <w:sz w:val="24"/>
                <w:szCs w:val="24"/>
              </w:rPr>
              <w:t xml:space="preserve"> 认页面的互认操作结果，HIS 可根据自身</w:t>
            </w:r>
            <w:r>
              <w:rPr>
                <w:rFonts w:hint="eastAsia" w:ascii="宋体" w:hAnsi="宋体" w:eastAsia="宋体" w:cs="宋体"/>
                <w:color w:val="auto"/>
                <w:spacing w:val="-1"/>
                <w:sz w:val="24"/>
                <w:szCs w:val="24"/>
              </w:rPr>
              <w:t>业务要求，</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依据互认结果及预约开单状态完成业务闭环。</w:t>
            </w:r>
          </w:p>
        </w:tc>
      </w:tr>
      <w:tr w14:paraId="5E8790B9">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A328999">
            <w:pPr>
              <w:pStyle w:val="38"/>
              <w:spacing w:before="68"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服务地址</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865C654">
            <w:pPr>
              <w:spacing w:before="38" w:line="236" w:lineRule="exact"/>
              <w:ind w:left="100" w:firstLine="600"/>
              <w:jc w:val="both"/>
              <w:rPr>
                <w:rFonts w:hint="eastAsia" w:ascii="宋体" w:hAnsi="宋体" w:eastAsia="宋体" w:cs="宋体"/>
                <w:color w:val="auto"/>
                <w:sz w:val="24"/>
                <w:szCs w:val="24"/>
              </w:rPr>
            </w:pPr>
            <w:r>
              <w:rPr>
                <w:rFonts w:hint="eastAsia" w:ascii="宋体" w:hAnsi="宋体" w:eastAsia="宋体" w:cs="宋体"/>
                <w:color w:val="auto"/>
                <w:position w:val="3"/>
                <w:sz w:val="24"/>
                <w:szCs w:val="24"/>
              </w:rPr>
              <w:t>http</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IP</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PORT</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pmemr</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productMutualRecognition</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getCheckInfo</w:t>
            </w:r>
          </w:p>
        </w:tc>
      </w:tr>
      <w:tr w14:paraId="5B88C1B4">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7F34DFA">
            <w:pPr>
              <w:pStyle w:val="38"/>
              <w:spacing w:before="69"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服务方法</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894C12F">
            <w:pPr>
              <w:spacing w:before="96" w:line="188" w:lineRule="auto"/>
              <w:ind w:left="102" w:firstLine="5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HTTP POST</w:t>
            </w:r>
          </w:p>
        </w:tc>
      </w:tr>
      <w:tr w14:paraId="0395FBF7">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637066B">
            <w:pPr>
              <w:pStyle w:val="38"/>
              <w:spacing w:before="69"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服务类型</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C494904">
            <w:pPr>
              <w:pStyle w:val="38"/>
              <w:spacing w:before="72" w:line="178"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通用服务</w:t>
            </w:r>
          </w:p>
        </w:tc>
      </w:tr>
      <w:tr w14:paraId="1D381739">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507AACA">
            <w:pPr>
              <w:pStyle w:val="38"/>
              <w:spacing w:before="70" w:line="182"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服务提供方</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A203D00">
            <w:pPr>
              <w:pStyle w:val="38"/>
              <w:spacing w:before="72" w:line="181"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检验互认平台</w:t>
            </w:r>
          </w:p>
        </w:tc>
      </w:tr>
      <w:tr w14:paraId="3F74243D">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6870B5A">
            <w:pPr>
              <w:pStyle w:val="38"/>
              <w:spacing w:before="71"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服务调用方</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576459B0">
            <w:pPr>
              <w:pStyle w:val="38"/>
              <w:spacing w:before="72" w:line="180" w:lineRule="auto"/>
              <w:ind w:left="115"/>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医院 HIS 系统</w:t>
            </w:r>
          </w:p>
        </w:tc>
      </w:tr>
      <w:tr w14:paraId="5C5BAABE">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D274A4D">
            <w:pPr>
              <w:pStyle w:val="38"/>
              <w:spacing w:before="72"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服务接收方</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3928711">
            <w:pPr>
              <w:ind w:firstLine="600"/>
              <w:jc w:val="both"/>
              <w:rPr>
                <w:rFonts w:hint="eastAsia" w:ascii="宋体" w:hAnsi="宋体" w:eastAsia="宋体" w:cs="宋体"/>
                <w:color w:val="auto"/>
                <w:sz w:val="24"/>
                <w:szCs w:val="24"/>
              </w:rPr>
            </w:pPr>
          </w:p>
        </w:tc>
      </w:tr>
      <w:tr w14:paraId="2E61D1E0">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017E498">
            <w:pPr>
              <w:pStyle w:val="38"/>
              <w:spacing w:before="73" w:line="181" w:lineRule="auto"/>
              <w:ind w:left="110"/>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加密方式</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6EAD666">
            <w:pPr>
              <w:pStyle w:val="38"/>
              <w:spacing w:before="73" w:line="181" w:lineRule="auto"/>
              <w:ind w:left="10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无加密</w:t>
            </w:r>
          </w:p>
        </w:tc>
      </w:tr>
      <w:tr w14:paraId="1DAE0213">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6"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827E7C7">
            <w:pPr>
              <w:pStyle w:val="38"/>
              <w:spacing w:before="75" w:line="179" w:lineRule="auto"/>
              <w:ind w:left="119"/>
              <w:jc w:val="both"/>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防重放</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4EEC51C">
            <w:pPr>
              <w:pStyle w:val="38"/>
              <w:spacing w:before="82" w:line="174" w:lineRule="auto"/>
              <w:ind w:left="102"/>
              <w:jc w:val="both"/>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66FB5820">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24" w:hRule="atLeast"/>
          <w:jc w:val="center"/>
        </w:trPr>
        <w:tc>
          <w:tcPr>
            <w:tcW w:w="23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9239AC6">
            <w:pPr>
              <w:pStyle w:val="38"/>
              <w:spacing w:before="75" w:line="182" w:lineRule="auto"/>
              <w:ind w:left="107"/>
              <w:jc w:val="both"/>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备注</w:t>
            </w:r>
          </w:p>
        </w:tc>
        <w:tc>
          <w:tcPr>
            <w:tcW w:w="68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6E87EDA">
            <w:pPr>
              <w:pStyle w:val="38"/>
              <w:spacing w:before="75" w:line="181" w:lineRule="auto"/>
              <w:ind w:left="106"/>
              <w:jc w:val="both"/>
              <w:rPr>
                <w:rFonts w:hint="eastAsia" w:ascii="宋体" w:hAnsi="宋体" w:eastAsia="宋体" w:cs="宋体"/>
                <w:color w:val="auto"/>
                <w:sz w:val="24"/>
                <w:szCs w:val="24"/>
              </w:rPr>
            </w:pPr>
            <w:r>
              <w:rPr>
                <w:rFonts w:hint="eastAsia" w:ascii="宋体" w:hAnsi="宋体" w:eastAsia="宋体" w:cs="宋体"/>
                <w:color w:val="auto"/>
                <w:sz w:val="24"/>
                <w:szCs w:val="24"/>
              </w:rPr>
              <w:t>注意检验所返回的主项目编码均为平台码在互认系统中映射</w:t>
            </w:r>
            <w:r>
              <w:rPr>
                <w:rFonts w:hint="eastAsia" w:ascii="宋体" w:hAnsi="宋体" w:eastAsia="宋体" w:cs="宋体"/>
                <w:color w:val="auto"/>
                <w:spacing w:val="-1"/>
                <w:sz w:val="24"/>
                <w:szCs w:val="24"/>
              </w:rPr>
              <w:t>的请求机构院内编码</w:t>
            </w:r>
          </w:p>
        </w:tc>
      </w:tr>
    </w:tbl>
    <w:p w14:paraId="31CA65FF">
      <w:pPr>
        <w:pStyle w:val="4"/>
        <w:spacing w:line="293" w:lineRule="auto"/>
        <w:ind w:firstLine="600"/>
        <w:rPr>
          <w:rFonts w:hint="eastAsia"/>
          <w:color w:val="auto"/>
          <w:szCs w:val="30"/>
        </w:rPr>
      </w:pPr>
    </w:p>
    <w:p w14:paraId="6C30529D">
      <w:pPr>
        <w:pStyle w:val="4"/>
        <w:spacing w:line="364" w:lineRule="auto"/>
        <w:ind w:right="350" w:firstLine="479"/>
        <w:rPr>
          <w:rFonts w:hint="eastAsia" w:ascii="宋体" w:hAnsi="宋体" w:eastAsia="宋体" w:cs="宋体"/>
          <w:color w:val="auto"/>
          <w:spacing w:val="-2"/>
          <w:lang w:val="en-US" w:eastAsia="zh-CN"/>
        </w:rPr>
      </w:pPr>
      <w:bookmarkStart w:id="221" w:name="bookmark69"/>
      <w:bookmarkEnd w:id="221"/>
      <w:bookmarkStart w:id="222" w:name="bookmark70"/>
      <w:bookmarkEnd w:id="222"/>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HR04-互认报告导入申请服务</w:t>
      </w:r>
    </w:p>
    <w:p w14:paraId="6C726127">
      <w:pPr>
        <w:spacing w:line="119" w:lineRule="exact"/>
        <w:ind w:firstLine="600"/>
        <w:rPr>
          <w:rFonts w:hint="eastAsia"/>
          <w:color w:val="auto"/>
          <w:szCs w:val="30"/>
        </w:rPr>
      </w:pPr>
    </w:p>
    <w:tbl>
      <w:tblPr>
        <w:tblStyle w:val="39"/>
        <w:tblW w:w="9317" w:type="dxa"/>
        <w:jc w:val="center"/>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Layout w:type="fixed"/>
        <w:tblCellMar>
          <w:top w:w="0" w:type="dxa"/>
          <w:left w:w="0" w:type="dxa"/>
          <w:bottom w:w="0" w:type="dxa"/>
          <w:right w:w="0" w:type="dxa"/>
        </w:tblCellMar>
      </w:tblPr>
      <w:tblGrid>
        <w:gridCol w:w="2440"/>
        <w:gridCol w:w="6877"/>
      </w:tblGrid>
      <w:tr w14:paraId="322E28C1">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A5F2CEB">
            <w:pPr>
              <w:pStyle w:val="38"/>
              <w:spacing w:before="71"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交互事件名称</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6D6C085">
            <w:pPr>
              <w:pStyle w:val="38"/>
              <w:spacing w:before="72" w:line="180" w:lineRule="auto"/>
              <w:ind w:left="10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互认报告导入申请服务</w:t>
            </w:r>
          </w:p>
        </w:tc>
      </w:tr>
      <w:tr w14:paraId="31D71E7B">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F54FEC0">
            <w:pPr>
              <w:pStyle w:val="38"/>
              <w:spacing w:before="71" w:line="181" w:lineRule="auto"/>
              <w:ind w:left="111"/>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交互场景描述</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F557937">
            <w:pPr>
              <w:pStyle w:val="38"/>
              <w:spacing w:before="70" w:line="224" w:lineRule="auto"/>
              <w:ind w:left="102" w:right="72" w:firstLine="12"/>
              <w:jc w:val="both"/>
              <w:rPr>
                <w:rFonts w:hint="eastAsia" w:ascii="宋体" w:hAnsi="宋体" w:eastAsia="宋体" w:cs="宋体"/>
                <w:color w:val="auto"/>
                <w:kern w:val="2"/>
                <w:sz w:val="24"/>
                <w:szCs w:val="24"/>
                <w:lang w:eastAsia="zh-CN"/>
              </w:rPr>
            </w:pPr>
            <w:r>
              <w:rPr>
                <w:rFonts w:hint="eastAsia" w:ascii="宋体" w:hAnsi="宋体" w:eastAsia="宋体" w:cs="宋体"/>
                <w:color w:val="auto"/>
                <w:spacing w:val="-4"/>
                <w:sz w:val="24"/>
                <w:szCs w:val="24"/>
              </w:rPr>
              <w:t>医生在撰写病例时，HIS 系统调用互认平台提供的“HR04-</w:t>
            </w:r>
            <w:r>
              <w:rPr>
                <w:rFonts w:hint="eastAsia" w:ascii="宋体" w:hAnsi="宋体" w:eastAsia="宋体" w:cs="宋体"/>
                <w:color w:val="auto"/>
                <w:spacing w:val="-5"/>
                <w:sz w:val="24"/>
                <w:szCs w:val="24"/>
              </w:rPr>
              <w:t>互认报告导入申请服务”（需要通过前置机</w:t>
            </w:r>
            <w:r>
              <w:rPr>
                <w:rFonts w:hint="eastAsia" w:ascii="宋体" w:hAnsi="宋体" w:eastAsia="宋体" w:cs="宋体"/>
                <w:color w:val="auto"/>
                <w:spacing w:val="-33"/>
                <w:w w:val="77"/>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查询该患者是否有已互认的检验报告，如果有则返回url，HIS 打开 url</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页</w:t>
            </w:r>
            <w:r>
              <w:rPr>
                <w:rFonts w:hint="eastAsia" w:ascii="宋体" w:hAnsi="宋体" w:eastAsia="宋体" w:cs="宋体"/>
                <w:color w:val="auto"/>
                <w:spacing w:val="-2"/>
                <w:sz w:val="24"/>
                <w:szCs w:val="24"/>
              </w:rPr>
              <w:t>面，医生可在此页面上选择</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需要导入的检验结果。</w:t>
            </w:r>
          </w:p>
        </w:tc>
      </w:tr>
      <w:tr w14:paraId="4B74953A">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590C34F0">
            <w:pPr>
              <w:pStyle w:val="38"/>
              <w:spacing w:before="69" w:line="179" w:lineRule="auto"/>
              <w:ind w:left="108"/>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服务地址</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3D593C8">
            <w:pPr>
              <w:spacing w:before="61" w:line="236" w:lineRule="exact"/>
              <w:ind w:left="100" w:firstLine="600"/>
              <w:jc w:val="both"/>
              <w:rPr>
                <w:rFonts w:hint="eastAsia" w:ascii="宋体" w:hAnsi="宋体" w:eastAsia="宋体" w:cs="宋体"/>
                <w:color w:val="auto"/>
                <w:sz w:val="20"/>
                <w:szCs w:val="24"/>
              </w:rPr>
            </w:pPr>
            <w:r>
              <w:rPr>
                <w:rFonts w:hint="eastAsia" w:ascii="宋体" w:hAnsi="宋体" w:eastAsia="宋体" w:cs="宋体"/>
                <w:color w:val="auto"/>
                <w:position w:val="3"/>
                <w:sz w:val="20"/>
                <w:szCs w:val="24"/>
              </w:rPr>
              <w:t>http://IP:PORT/pmemr/productMutualRecognition/importA</w:t>
            </w:r>
            <w:r>
              <w:rPr>
                <w:rFonts w:hint="eastAsia" w:ascii="宋体" w:hAnsi="宋体" w:eastAsia="宋体" w:cs="宋体"/>
                <w:color w:val="auto"/>
                <w:spacing w:val="-1"/>
                <w:position w:val="3"/>
                <w:sz w:val="20"/>
                <w:szCs w:val="24"/>
              </w:rPr>
              <w:t>pply</w:t>
            </w:r>
          </w:p>
        </w:tc>
      </w:tr>
      <w:tr w14:paraId="4F6ACF60">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3634EE9">
            <w:pPr>
              <w:pStyle w:val="38"/>
              <w:spacing w:before="68" w:line="179" w:lineRule="auto"/>
              <w:ind w:left="108"/>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服务方法</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4B70AB9">
            <w:pPr>
              <w:spacing w:before="96" w:line="188" w:lineRule="auto"/>
              <w:ind w:left="102" w:firstLine="596"/>
              <w:jc w:val="both"/>
              <w:rPr>
                <w:rFonts w:hint="eastAsia" w:ascii="宋体" w:hAnsi="宋体" w:eastAsia="宋体" w:cs="宋体"/>
                <w:color w:val="auto"/>
                <w:sz w:val="20"/>
                <w:szCs w:val="24"/>
              </w:rPr>
            </w:pPr>
            <w:r>
              <w:rPr>
                <w:rFonts w:hint="eastAsia" w:ascii="宋体" w:hAnsi="宋体" w:eastAsia="宋体" w:cs="宋体"/>
                <w:color w:val="auto"/>
                <w:spacing w:val="-1"/>
                <w:sz w:val="20"/>
                <w:szCs w:val="24"/>
              </w:rPr>
              <w:t>HTTP POST</w:t>
            </w:r>
          </w:p>
        </w:tc>
      </w:tr>
      <w:tr w14:paraId="3BAE0CBE">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C3E8FB9">
            <w:pPr>
              <w:pStyle w:val="38"/>
              <w:spacing w:before="67" w:line="180" w:lineRule="auto"/>
              <w:ind w:left="108"/>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服务类型</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848DEB3">
            <w:pPr>
              <w:pStyle w:val="38"/>
              <w:spacing w:before="69" w:line="178" w:lineRule="auto"/>
              <w:ind w:left="104"/>
              <w:jc w:val="both"/>
              <w:rPr>
                <w:rFonts w:hint="eastAsia" w:ascii="宋体" w:hAnsi="宋体" w:eastAsia="宋体" w:cs="宋体"/>
                <w:color w:val="auto"/>
                <w:kern w:val="2"/>
                <w:sz w:val="24"/>
                <w:szCs w:val="24"/>
                <w:lang w:eastAsia="en-US"/>
              </w:rPr>
            </w:pPr>
            <w:r>
              <w:rPr>
                <w:rFonts w:hint="eastAsia" w:ascii="宋体" w:hAnsi="宋体" w:eastAsia="宋体" w:cs="宋体"/>
                <w:color w:val="auto"/>
                <w:spacing w:val="-2"/>
                <w:sz w:val="24"/>
                <w:szCs w:val="24"/>
              </w:rPr>
              <w:t>通用服务</w:t>
            </w:r>
          </w:p>
        </w:tc>
      </w:tr>
      <w:tr w14:paraId="2313F57B">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4EC8891">
            <w:pPr>
              <w:pStyle w:val="38"/>
              <w:spacing w:before="69" w:line="182" w:lineRule="auto"/>
              <w:ind w:left="108"/>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服务提供方</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DD4D87B">
            <w:pPr>
              <w:pStyle w:val="38"/>
              <w:spacing w:before="70" w:line="182" w:lineRule="auto"/>
              <w:ind w:left="104"/>
              <w:jc w:val="both"/>
              <w:rPr>
                <w:rFonts w:hint="eastAsia" w:ascii="宋体" w:hAnsi="宋体" w:eastAsia="宋体" w:cs="宋体"/>
                <w:color w:val="auto"/>
                <w:kern w:val="2"/>
                <w:sz w:val="24"/>
                <w:szCs w:val="24"/>
                <w:lang w:eastAsia="zh-CN"/>
              </w:rPr>
            </w:pPr>
            <w:r>
              <w:rPr>
                <w:rFonts w:hint="eastAsia" w:ascii="宋体" w:hAnsi="宋体" w:eastAsia="宋体" w:cs="宋体"/>
                <w:color w:val="auto"/>
                <w:spacing w:val="-1"/>
                <w:sz w:val="24"/>
                <w:szCs w:val="24"/>
              </w:rPr>
              <w:t>检验结果互认共享平台</w:t>
            </w:r>
          </w:p>
        </w:tc>
      </w:tr>
      <w:tr w14:paraId="429A468C">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5496C1A">
            <w:pPr>
              <w:pStyle w:val="38"/>
              <w:spacing w:before="71" w:line="180" w:lineRule="auto"/>
              <w:ind w:left="108"/>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服务调用方</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031803B">
            <w:pPr>
              <w:pStyle w:val="38"/>
              <w:spacing w:before="71" w:line="180" w:lineRule="auto"/>
              <w:ind w:left="115"/>
              <w:jc w:val="both"/>
              <w:rPr>
                <w:rFonts w:hint="eastAsia" w:ascii="宋体" w:hAnsi="宋体" w:eastAsia="宋体" w:cs="宋体"/>
                <w:color w:val="auto"/>
                <w:kern w:val="2"/>
                <w:sz w:val="24"/>
                <w:szCs w:val="24"/>
                <w:lang w:eastAsia="en-US"/>
              </w:rPr>
            </w:pPr>
            <w:r>
              <w:rPr>
                <w:rFonts w:hint="eastAsia" w:ascii="宋体" w:hAnsi="宋体" w:eastAsia="宋体" w:cs="宋体"/>
                <w:color w:val="auto"/>
                <w:spacing w:val="-3"/>
                <w:sz w:val="24"/>
                <w:szCs w:val="24"/>
              </w:rPr>
              <w:t>医院 HIS 系统</w:t>
            </w:r>
          </w:p>
        </w:tc>
      </w:tr>
      <w:tr w14:paraId="15045909">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C06EF4E">
            <w:pPr>
              <w:pStyle w:val="38"/>
              <w:spacing w:before="70" w:line="182" w:lineRule="auto"/>
              <w:ind w:left="110"/>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2"/>
                <w:sz w:val="24"/>
                <w:szCs w:val="24"/>
              </w:rPr>
              <w:t>加密方式</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563AD83">
            <w:pPr>
              <w:pStyle w:val="38"/>
              <w:spacing w:before="70" w:line="182" w:lineRule="auto"/>
              <w:ind w:left="106"/>
              <w:jc w:val="both"/>
              <w:rPr>
                <w:rFonts w:hint="eastAsia" w:ascii="宋体" w:hAnsi="宋体" w:eastAsia="宋体" w:cs="宋体"/>
                <w:color w:val="auto"/>
                <w:kern w:val="2"/>
                <w:sz w:val="24"/>
                <w:szCs w:val="24"/>
                <w:lang w:eastAsia="en-US"/>
              </w:rPr>
            </w:pPr>
            <w:r>
              <w:rPr>
                <w:rFonts w:hint="eastAsia" w:ascii="宋体" w:hAnsi="宋体" w:eastAsia="宋体" w:cs="宋体"/>
                <w:color w:val="auto"/>
                <w:spacing w:val="-3"/>
                <w:sz w:val="24"/>
                <w:szCs w:val="24"/>
              </w:rPr>
              <w:t>无加密</w:t>
            </w:r>
          </w:p>
        </w:tc>
      </w:tr>
      <w:tr w14:paraId="16228A95">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51D759B">
            <w:pPr>
              <w:pStyle w:val="38"/>
              <w:spacing w:before="71" w:line="181" w:lineRule="auto"/>
              <w:ind w:left="119"/>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6"/>
                <w:sz w:val="24"/>
                <w:szCs w:val="24"/>
              </w:rPr>
              <w:t>防重放</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12A70C0">
            <w:pPr>
              <w:pStyle w:val="38"/>
              <w:spacing w:before="78" w:line="175" w:lineRule="auto"/>
              <w:ind w:left="102"/>
              <w:jc w:val="both"/>
              <w:rPr>
                <w:rFonts w:hint="eastAsia" w:ascii="宋体" w:hAnsi="宋体" w:eastAsia="宋体" w:cs="宋体"/>
                <w:color w:val="auto"/>
                <w:kern w:val="2"/>
                <w:sz w:val="24"/>
                <w:szCs w:val="24"/>
                <w:lang w:eastAsia="en-US"/>
              </w:rPr>
            </w:pPr>
            <w:r>
              <w:rPr>
                <w:rFonts w:hint="eastAsia" w:ascii="宋体" w:hAnsi="宋体" w:eastAsia="宋体" w:cs="宋体"/>
                <w:color w:val="auto"/>
                <w:sz w:val="24"/>
                <w:szCs w:val="24"/>
              </w:rPr>
              <w:t>否</w:t>
            </w:r>
          </w:p>
        </w:tc>
      </w:tr>
      <w:tr w14:paraId="0234277D">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0" w:type="dxa"/>
            <w:bottom w:w="0" w:type="dxa"/>
            <w:right w:w="0" w:type="dxa"/>
          </w:tblCellMar>
        </w:tblPrEx>
        <w:trPr>
          <w:trHeight w:val="319" w:hRule="atLeast"/>
          <w:jc w:val="center"/>
        </w:trPr>
        <w:tc>
          <w:tcPr>
            <w:tcW w:w="24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74113077">
            <w:pPr>
              <w:pStyle w:val="38"/>
              <w:spacing w:before="74" w:line="182" w:lineRule="auto"/>
              <w:ind w:left="107"/>
              <w:jc w:val="both"/>
              <w:rPr>
                <w:rFonts w:hint="eastAsia" w:ascii="宋体" w:hAnsi="宋体" w:eastAsia="宋体" w:cs="宋体"/>
                <w:color w:val="auto"/>
                <w:kern w:val="2"/>
                <w:sz w:val="24"/>
                <w:szCs w:val="24"/>
                <w:lang w:eastAsia="en-US"/>
              </w:rPr>
            </w:pPr>
            <w:r>
              <w:rPr>
                <w:rFonts w:hint="eastAsia" w:ascii="宋体" w:hAnsi="宋体" w:eastAsia="宋体" w:cs="宋体"/>
                <w:b/>
                <w:bCs/>
                <w:color w:val="auto"/>
                <w:spacing w:val="-3"/>
                <w:sz w:val="24"/>
                <w:szCs w:val="24"/>
              </w:rPr>
              <w:t>备注</w:t>
            </w:r>
          </w:p>
        </w:tc>
        <w:tc>
          <w:tcPr>
            <w:tcW w:w="68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25E6743A">
            <w:pPr>
              <w:ind w:firstLine="600"/>
              <w:jc w:val="both"/>
              <w:rPr>
                <w:rFonts w:hint="eastAsia" w:ascii="宋体" w:hAnsi="宋体" w:eastAsia="宋体" w:cs="宋体"/>
                <w:color w:val="auto"/>
                <w:sz w:val="20"/>
                <w:szCs w:val="24"/>
              </w:rPr>
            </w:pPr>
          </w:p>
        </w:tc>
      </w:tr>
    </w:tbl>
    <w:p w14:paraId="76DBCDAC">
      <w:pPr>
        <w:pStyle w:val="4"/>
        <w:spacing w:line="364" w:lineRule="auto"/>
        <w:ind w:right="350" w:firstLine="479"/>
        <w:rPr>
          <w:rFonts w:hint="eastAsia" w:ascii="宋体" w:hAnsi="宋体" w:eastAsia="宋体" w:cs="宋体"/>
          <w:color w:val="auto"/>
          <w:spacing w:val="-2"/>
          <w:lang w:val="en-US" w:eastAsia="zh-CN"/>
        </w:rPr>
      </w:pPr>
      <w:bookmarkStart w:id="223" w:name="bookmark79"/>
      <w:bookmarkEnd w:id="223"/>
      <w:bookmarkStart w:id="224" w:name="bookmark80"/>
      <w:bookmarkEnd w:id="224"/>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HR05-导入内容查询服务</w:t>
      </w:r>
    </w:p>
    <w:tbl>
      <w:tblPr>
        <w:tblStyle w:val="39"/>
        <w:tblW w:w="934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2451"/>
        <w:gridCol w:w="6889"/>
      </w:tblGrid>
      <w:tr w14:paraId="1BA8B6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4" w:hRule="atLeast"/>
          <w:jc w:val="center"/>
        </w:trPr>
        <w:tc>
          <w:tcPr>
            <w:tcW w:w="2451" w:type="dxa"/>
            <w:tcBorders>
              <w:tl2br w:val="nil"/>
              <w:tr2bl w:val="nil"/>
            </w:tcBorders>
            <w:shd w:val="clear" w:color="auto" w:fill="auto"/>
            <w:vAlign w:val="center"/>
          </w:tcPr>
          <w:p w14:paraId="4BA11A0D">
            <w:pPr>
              <w:pStyle w:val="38"/>
              <w:spacing w:before="72"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交互事件名称</w:t>
            </w:r>
          </w:p>
        </w:tc>
        <w:tc>
          <w:tcPr>
            <w:tcW w:w="6889" w:type="dxa"/>
            <w:tcBorders>
              <w:tl2br w:val="nil"/>
              <w:tr2bl w:val="nil"/>
            </w:tcBorders>
            <w:shd w:val="clear" w:color="auto" w:fill="auto"/>
            <w:vAlign w:val="center"/>
          </w:tcPr>
          <w:p w14:paraId="126EC368">
            <w:pPr>
              <w:pStyle w:val="38"/>
              <w:spacing w:before="74" w:line="180"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导入内容查询服务</w:t>
            </w:r>
          </w:p>
        </w:tc>
      </w:tr>
      <w:tr w14:paraId="2A2DD1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939" w:hRule="atLeast"/>
          <w:jc w:val="center"/>
        </w:trPr>
        <w:tc>
          <w:tcPr>
            <w:tcW w:w="2451" w:type="dxa"/>
            <w:tcBorders>
              <w:tl2br w:val="nil"/>
              <w:tr2bl w:val="nil"/>
            </w:tcBorders>
            <w:shd w:val="clear" w:color="auto" w:fill="auto"/>
            <w:vAlign w:val="center"/>
          </w:tcPr>
          <w:p w14:paraId="7D8E723B">
            <w:pPr>
              <w:pStyle w:val="38"/>
              <w:spacing w:before="65" w:line="181" w:lineRule="auto"/>
              <w:ind w:left="111"/>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交互场景描述</w:t>
            </w:r>
          </w:p>
        </w:tc>
        <w:tc>
          <w:tcPr>
            <w:tcW w:w="6889" w:type="dxa"/>
            <w:tcBorders>
              <w:tl2br w:val="nil"/>
              <w:tr2bl w:val="nil"/>
            </w:tcBorders>
            <w:shd w:val="clear" w:color="auto" w:fill="auto"/>
            <w:vAlign w:val="center"/>
          </w:tcPr>
          <w:p w14:paraId="38777911">
            <w:pPr>
              <w:pStyle w:val="38"/>
              <w:tabs>
                <w:tab w:val="left" w:pos="8007"/>
              </w:tabs>
              <w:spacing w:before="49" w:line="205" w:lineRule="auto"/>
              <w:ind w:left="102" w:firstLine="4"/>
              <w:jc w:val="both"/>
              <w:rPr>
                <w:rFonts w:hint="eastAsia" w:ascii="宋体" w:hAnsi="宋体" w:eastAsia="宋体" w:cs="宋体"/>
                <w:color w:val="auto"/>
                <w:sz w:val="24"/>
                <w:szCs w:val="24"/>
              </w:rPr>
            </w:pPr>
            <w:r>
              <w:rPr>
                <w:rFonts w:hint="eastAsia" w:ascii="宋体" w:hAnsi="宋体" w:eastAsia="宋体" w:cs="宋体"/>
                <w:color w:val="auto"/>
                <w:sz w:val="24"/>
                <w:szCs w:val="24"/>
              </w:rPr>
              <w:t>HIS</w:t>
            </w:r>
            <w:r>
              <w:rPr>
                <w:rFonts w:hint="eastAsia" w:ascii="宋体" w:hAnsi="宋体" w:eastAsia="宋体" w:cs="宋体"/>
                <w:color w:val="auto"/>
                <w:spacing w:val="2"/>
                <w:sz w:val="24"/>
                <w:szCs w:val="24"/>
              </w:rPr>
              <w:t xml:space="preserve"> 系统打开“</w:t>
            </w:r>
            <w:r>
              <w:rPr>
                <w:rFonts w:hint="eastAsia" w:ascii="宋体" w:hAnsi="宋体" w:eastAsia="宋体" w:cs="宋体"/>
                <w:color w:val="auto"/>
                <w:sz w:val="24"/>
                <w:szCs w:val="24"/>
              </w:rPr>
              <w:t>HR</w:t>
            </w:r>
            <w:r>
              <w:rPr>
                <w:rFonts w:hint="eastAsia" w:ascii="宋体" w:hAnsi="宋体" w:eastAsia="宋体" w:cs="宋体"/>
                <w:color w:val="auto"/>
                <w:spacing w:val="2"/>
                <w:sz w:val="24"/>
                <w:szCs w:val="24"/>
              </w:rPr>
              <w:t>04-互认报告导入申请服务</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2"/>
                <w:sz w:val="24"/>
                <w:szCs w:val="24"/>
              </w:rPr>
              <w:t xml:space="preserve">”返回 </w:t>
            </w:r>
            <w:r>
              <w:rPr>
                <w:rFonts w:hint="eastAsia" w:ascii="宋体" w:hAnsi="宋体" w:eastAsia="宋体" w:cs="宋体"/>
                <w:color w:val="auto"/>
                <w:sz w:val="24"/>
                <w:szCs w:val="24"/>
              </w:rPr>
              <w:t>url</w:t>
            </w:r>
            <w:r>
              <w:rPr>
                <w:rFonts w:hint="eastAsia" w:ascii="宋体" w:hAnsi="宋体" w:eastAsia="宋体" w:cs="宋体"/>
                <w:color w:val="auto"/>
                <w:spacing w:val="2"/>
                <w:sz w:val="24"/>
                <w:szCs w:val="24"/>
              </w:rPr>
              <w:t xml:space="preserve"> 对应的页面，</w:t>
            </w:r>
            <w:r>
              <w:rPr>
                <w:rFonts w:hint="eastAsia" w:ascii="宋体" w:hAnsi="宋体" w:eastAsia="宋体" w:cs="宋体"/>
                <w:color w:val="auto"/>
                <w:spacing w:val="-18"/>
                <w:sz w:val="24"/>
                <w:szCs w:val="24"/>
              </w:rPr>
              <w:t xml:space="preserve"> </w:t>
            </w:r>
            <w:r>
              <w:rPr>
                <w:rFonts w:hint="eastAsia" w:ascii="宋体" w:hAnsi="宋体" w:eastAsia="宋体" w:cs="宋体"/>
                <w:color w:val="auto"/>
                <w:spacing w:val="2"/>
                <w:sz w:val="24"/>
                <w:szCs w:val="24"/>
              </w:rPr>
              <w:t>由医</w:t>
            </w:r>
            <w:r>
              <w:rPr>
                <w:rFonts w:hint="eastAsia" w:ascii="宋体" w:hAnsi="宋体" w:eastAsia="宋体" w:cs="宋体"/>
                <w:color w:val="auto"/>
                <w:spacing w:val="1"/>
                <w:sz w:val="24"/>
                <w:szCs w:val="24"/>
              </w:rPr>
              <w:t>生选择要导</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 xml:space="preserve">入的检验结果，在此 </w:t>
            </w:r>
            <w:r>
              <w:rPr>
                <w:rFonts w:hint="eastAsia" w:ascii="宋体" w:hAnsi="宋体" w:eastAsia="宋体" w:cs="宋体"/>
                <w:color w:val="auto"/>
                <w:sz w:val="24"/>
                <w:szCs w:val="24"/>
              </w:rPr>
              <w:t>url</w:t>
            </w:r>
            <w:r>
              <w:rPr>
                <w:rFonts w:hint="eastAsia" w:ascii="宋体" w:hAnsi="宋体" w:eastAsia="宋体" w:cs="宋体"/>
                <w:color w:val="auto"/>
                <w:spacing w:val="3"/>
                <w:sz w:val="24"/>
                <w:szCs w:val="24"/>
              </w:rPr>
              <w:t xml:space="preserve"> 页面关闭后，</w:t>
            </w:r>
            <w:r>
              <w:rPr>
                <w:rFonts w:hint="eastAsia" w:ascii="宋体" w:hAnsi="宋体" w:eastAsia="宋体" w:cs="宋体"/>
                <w:color w:val="auto"/>
                <w:sz w:val="24"/>
                <w:szCs w:val="24"/>
              </w:rPr>
              <w:t>HIS</w:t>
            </w:r>
            <w:r>
              <w:rPr>
                <w:rFonts w:hint="eastAsia" w:ascii="宋体" w:hAnsi="宋体" w:eastAsia="宋体" w:cs="宋体"/>
                <w:color w:val="auto"/>
                <w:spacing w:val="3"/>
                <w:sz w:val="24"/>
                <w:szCs w:val="24"/>
              </w:rPr>
              <w:t xml:space="preserve"> 系统再通过“</w:t>
            </w:r>
            <w:r>
              <w:rPr>
                <w:rFonts w:hint="eastAsia" w:ascii="宋体" w:hAnsi="宋体" w:eastAsia="宋体" w:cs="宋体"/>
                <w:color w:val="auto"/>
                <w:sz w:val="24"/>
                <w:szCs w:val="24"/>
              </w:rPr>
              <w:t>HR</w:t>
            </w:r>
            <w:r>
              <w:rPr>
                <w:rFonts w:hint="eastAsia" w:ascii="宋体" w:hAnsi="宋体" w:eastAsia="宋体" w:cs="宋体"/>
                <w:color w:val="auto"/>
                <w:spacing w:val="3"/>
                <w:sz w:val="24"/>
                <w:szCs w:val="24"/>
              </w:rPr>
              <w:t>04-互认报告导入申请服务</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3"/>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返回的 businessId 调用“HR05-导入内容查询服务</w:t>
            </w:r>
            <w:r>
              <w:rPr>
                <w:rFonts w:hint="eastAsia" w:ascii="宋体" w:hAnsi="宋体" w:eastAsia="宋体" w:cs="宋体"/>
                <w:color w:val="auto"/>
                <w:spacing w:val="-18"/>
                <w:sz w:val="24"/>
                <w:szCs w:val="24"/>
              </w:rPr>
              <w:t xml:space="preserve"> </w:t>
            </w:r>
            <w:r>
              <w:rPr>
                <w:rFonts w:hint="eastAsia" w:ascii="宋体" w:hAnsi="宋体" w:eastAsia="宋体" w:cs="宋体"/>
                <w:color w:val="auto"/>
                <w:spacing w:val="-1"/>
                <w:sz w:val="24"/>
                <w:szCs w:val="24"/>
              </w:rPr>
              <w:t>”获得导入内容。</w:t>
            </w:r>
          </w:p>
        </w:tc>
      </w:tr>
      <w:tr w14:paraId="5E90FD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74352BEA">
            <w:pPr>
              <w:pStyle w:val="38"/>
              <w:spacing w:before="68"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服务地址</w:t>
            </w:r>
          </w:p>
        </w:tc>
        <w:tc>
          <w:tcPr>
            <w:tcW w:w="6889" w:type="dxa"/>
            <w:tcBorders>
              <w:tl2br w:val="nil"/>
              <w:tr2bl w:val="nil"/>
            </w:tcBorders>
            <w:shd w:val="clear" w:color="auto" w:fill="auto"/>
            <w:vAlign w:val="center"/>
          </w:tcPr>
          <w:p w14:paraId="3E87B368">
            <w:pPr>
              <w:spacing w:before="38" w:line="236" w:lineRule="exact"/>
              <w:ind w:left="100" w:firstLine="600"/>
              <w:jc w:val="both"/>
              <w:rPr>
                <w:rFonts w:hint="eastAsia" w:ascii="宋体" w:hAnsi="宋体" w:eastAsia="宋体" w:cs="宋体"/>
                <w:color w:val="auto"/>
                <w:sz w:val="24"/>
                <w:szCs w:val="24"/>
              </w:rPr>
            </w:pPr>
            <w:r>
              <w:rPr>
                <w:rFonts w:hint="eastAsia" w:ascii="宋体" w:hAnsi="宋体" w:eastAsia="宋体" w:cs="宋体"/>
                <w:color w:val="auto"/>
                <w:position w:val="3"/>
                <w:sz w:val="24"/>
                <w:szCs w:val="24"/>
              </w:rPr>
              <w:t>http</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IP</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PORT</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pmemr</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productMutualRecognition</w:t>
            </w:r>
            <w:r>
              <w:rPr>
                <w:rFonts w:hint="eastAsia" w:ascii="宋体" w:hAnsi="宋体" w:eastAsia="宋体" w:cs="宋体"/>
                <w:color w:val="auto"/>
                <w:spacing w:val="2"/>
                <w:position w:val="3"/>
                <w:sz w:val="24"/>
                <w:szCs w:val="24"/>
              </w:rPr>
              <w:t>/</w:t>
            </w:r>
            <w:r>
              <w:rPr>
                <w:rFonts w:hint="eastAsia" w:ascii="宋体" w:hAnsi="宋体" w:eastAsia="宋体" w:cs="宋体"/>
                <w:color w:val="auto"/>
                <w:position w:val="3"/>
                <w:sz w:val="24"/>
                <w:szCs w:val="24"/>
              </w:rPr>
              <w:t>getImportInfo</w:t>
            </w:r>
          </w:p>
        </w:tc>
      </w:tr>
      <w:tr w14:paraId="41E06D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0BB6AB48">
            <w:pPr>
              <w:pStyle w:val="38"/>
              <w:spacing w:before="68" w:line="179"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服务方法</w:t>
            </w:r>
          </w:p>
        </w:tc>
        <w:tc>
          <w:tcPr>
            <w:tcW w:w="6889" w:type="dxa"/>
            <w:tcBorders>
              <w:tl2br w:val="nil"/>
              <w:tr2bl w:val="nil"/>
            </w:tcBorders>
            <w:shd w:val="clear" w:color="auto" w:fill="auto"/>
            <w:vAlign w:val="center"/>
          </w:tcPr>
          <w:p w14:paraId="492C056F">
            <w:pPr>
              <w:spacing w:before="98" w:line="188" w:lineRule="auto"/>
              <w:ind w:left="102" w:firstLine="5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HTTP POST</w:t>
            </w:r>
          </w:p>
        </w:tc>
      </w:tr>
      <w:tr w14:paraId="43415B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03621297">
            <w:pPr>
              <w:pStyle w:val="38"/>
              <w:spacing w:before="69"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服务类型</w:t>
            </w:r>
          </w:p>
        </w:tc>
        <w:tc>
          <w:tcPr>
            <w:tcW w:w="6889" w:type="dxa"/>
            <w:tcBorders>
              <w:tl2br w:val="nil"/>
              <w:tr2bl w:val="nil"/>
            </w:tcBorders>
            <w:shd w:val="clear" w:color="auto" w:fill="auto"/>
            <w:vAlign w:val="center"/>
          </w:tcPr>
          <w:p w14:paraId="5EBC91DB">
            <w:pPr>
              <w:pStyle w:val="38"/>
              <w:spacing w:before="71" w:line="178"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通用服务</w:t>
            </w:r>
          </w:p>
        </w:tc>
      </w:tr>
      <w:tr w14:paraId="317620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7FE6BACA">
            <w:pPr>
              <w:pStyle w:val="38"/>
              <w:spacing w:before="69" w:line="182"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服务提供方</w:t>
            </w:r>
          </w:p>
        </w:tc>
        <w:tc>
          <w:tcPr>
            <w:tcW w:w="6889" w:type="dxa"/>
            <w:tcBorders>
              <w:tl2br w:val="nil"/>
              <w:tr2bl w:val="nil"/>
            </w:tcBorders>
            <w:shd w:val="clear" w:color="auto" w:fill="auto"/>
            <w:vAlign w:val="center"/>
          </w:tcPr>
          <w:p w14:paraId="7AFCBF5C">
            <w:pPr>
              <w:pStyle w:val="38"/>
              <w:spacing w:before="71" w:line="181" w:lineRule="auto"/>
              <w:ind w:left="104"/>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检验互认平台</w:t>
            </w:r>
          </w:p>
        </w:tc>
      </w:tr>
      <w:tr w14:paraId="71D38D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5874E817">
            <w:pPr>
              <w:pStyle w:val="38"/>
              <w:spacing w:before="71"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服务调用方</w:t>
            </w:r>
          </w:p>
        </w:tc>
        <w:tc>
          <w:tcPr>
            <w:tcW w:w="6889" w:type="dxa"/>
            <w:tcBorders>
              <w:tl2br w:val="nil"/>
              <w:tr2bl w:val="nil"/>
            </w:tcBorders>
            <w:shd w:val="clear" w:color="auto" w:fill="auto"/>
            <w:vAlign w:val="center"/>
          </w:tcPr>
          <w:p w14:paraId="4C3E1473">
            <w:pPr>
              <w:pStyle w:val="38"/>
              <w:spacing w:before="71" w:line="180" w:lineRule="auto"/>
              <w:ind w:left="115"/>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医院 HIS 系统</w:t>
            </w:r>
          </w:p>
        </w:tc>
      </w:tr>
      <w:tr w14:paraId="27AB7D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312D90E1">
            <w:pPr>
              <w:pStyle w:val="38"/>
              <w:spacing w:before="72" w:line="180" w:lineRule="auto"/>
              <w:ind w:left="108"/>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服务接收方</w:t>
            </w:r>
          </w:p>
        </w:tc>
        <w:tc>
          <w:tcPr>
            <w:tcW w:w="6889" w:type="dxa"/>
            <w:tcBorders>
              <w:tl2br w:val="nil"/>
              <w:tr2bl w:val="nil"/>
            </w:tcBorders>
            <w:shd w:val="clear" w:color="auto" w:fill="auto"/>
            <w:vAlign w:val="center"/>
          </w:tcPr>
          <w:p w14:paraId="5F2E3A7F">
            <w:pPr>
              <w:ind w:firstLine="600"/>
              <w:jc w:val="both"/>
              <w:rPr>
                <w:rFonts w:hint="eastAsia" w:ascii="宋体" w:hAnsi="宋体" w:eastAsia="宋体" w:cs="宋体"/>
                <w:color w:val="auto"/>
                <w:sz w:val="24"/>
                <w:szCs w:val="24"/>
              </w:rPr>
            </w:pPr>
          </w:p>
        </w:tc>
      </w:tr>
      <w:tr w14:paraId="4BBCDA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71905252">
            <w:pPr>
              <w:pStyle w:val="38"/>
              <w:spacing w:before="73" w:line="181" w:lineRule="auto"/>
              <w:ind w:left="110"/>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加密方式</w:t>
            </w:r>
          </w:p>
        </w:tc>
        <w:tc>
          <w:tcPr>
            <w:tcW w:w="6889" w:type="dxa"/>
            <w:tcBorders>
              <w:tl2br w:val="nil"/>
              <w:tr2bl w:val="nil"/>
            </w:tcBorders>
            <w:shd w:val="clear" w:color="auto" w:fill="auto"/>
            <w:vAlign w:val="center"/>
          </w:tcPr>
          <w:p w14:paraId="31F0AAE5">
            <w:pPr>
              <w:pStyle w:val="38"/>
              <w:spacing w:before="73" w:line="181" w:lineRule="auto"/>
              <w:ind w:left="10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无加密</w:t>
            </w:r>
          </w:p>
        </w:tc>
      </w:tr>
      <w:tr w14:paraId="7CBDFD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6" w:hRule="atLeast"/>
          <w:jc w:val="center"/>
        </w:trPr>
        <w:tc>
          <w:tcPr>
            <w:tcW w:w="2451" w:type="dxa"/>
            <w:tcBorders>
              <w:tl2br w:val="nil"/>
              <w:tr2bl w:val="nil"/>
            </w:tcBorders>
            <w:shd w:val="clear" w:color="auto" w:fill="auto"/>
            <w:vAlign w:val="center"/>
          </w:tcPr>
          <w:p w14:paraId="2C578147">
            <w:pPr>
              <w:pStyle w:val="38"/>
              <w:spacing w:before="75" w:line="179" w:lineRule="auto"/>
              <w:ind w:left="119"/>
              <w:jc w:val="both"/>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防重放</w:t>
            </w:r>
          </w:p>
        </w:tc>
        <w:tc>
          <w:tcPr>
            <w:tcW w:w="6889" w:type="dxa"/>
            <w:tcBorders>
              <w:tl2br w:val="nil"/>
              <w:tr2bl w:val="nil"/>
            </w:tcBorders>
            <w:shd w:val="clear" w:color="auto" w:fill="auto"/>
            <w:vAlign w:val="center"/>
          </w:tcPr>
          <w:p w14:paraId="453D343B">
            <w:pPr>
              <w:pStyle w:val="38"/>
              <w:spacing w:before="82" w:line="174" w:lineRule="auto"/>
              <w:ind w:left="102"/>
              <w:jc w:val="both"/>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7DE886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24" w:hRule="atLeast"/>
          <w:jc w:val="center"/>
        </w:trPr>
        <w:tc>
          <w:tcPr>
            <w:tcW w:w="2451" w:type="dxa"/>
            <w:tcBorders>
              <w:tl2br w:val="nil"/>
              <w:tr2bl w:val="nil"/>
            </w:tcBorders>
            <w:shd w:val="clear" w:color="auto" w:fill="auto"/>
            <w:vAlign w:val="center"/>
          </w:tcPr>
          <w:p w14:paraId="4822D102">
            <w:pPr>
              <w:pStyle w:val="38"/>
              <w:spacing w:before="75" w:line="182" w:lineRule="auto"/>
              <w:ind w:left="107"/>
              <w:jc w:val="both"/>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备注</w:t>
            </w:r>
          </w:p>
        </w:tc>
        <w:tc>
          <w:tcPr>
            <w:tcW w:w="6889" w:type="dxa"/>
            <w:tcBorders>
              <w:tl2br w:val="nil"/>
              <w:tr2bl w:val="nil"/>
            </w:tcBorders>
            <w:shd w:val="clear" w:color="auto" w:fill="auto"/>
            <w:vAlign w:val="center"/>
          </w:tcPr>
          <w:p w14:paraId="456E2C0D">
            <w:pPr>
              <w:pStyle w:val="38"/>
              <w:spacing w:before="74" w:line="181" w:lineRule="auto"/>
              <w:ind w:left="106"/>
              <w:jc w:val="both"/>
              <w:rPr>
                <w:rFonts w:hint="eastAsia" w:ascii="宋体" w:hAnsi="宋体" w:eastAsia="宋体" w:cs="宋体"/>
                <w:color w:val="auto"/>
                <w:sz w:val="24"/>
                <w:szCs w:val="24"/>
              </w:rPr>
            </w:pPr>
            <w:r>
              <w:rPr>
                <w:rFonts w:hint="eastAsia" w:ascii="宋体" w:hAnsi="宋体" w:eastAsia="宋体" w:cs="宋体"/>
                <w:color w:val="auto"/>
                <w:sz w:val="24"/>
                <w:szCs w:val="24"/>
              </w:rPr>
              <w:t>注意检验所返回的主项目编码均为平台码在互认系统中映射</w:t>
            </w:r>
            <w:r>
              <w:rPr>
                <w:rFonts w:hint="eastAsia" w:ascii="宋体" w:hAnsi="宋体" w:eastAsia="宋体" w:cs="宋体"/>
                <w:color w:val="auto"/>
                <w:spacing w:val="-1"/>
                <w:sz w:val="24"/>
                <w:szCs w:val="24"/>
              </w:rPr>
              <w:t>的请求机构院内编码</w:t>
            </w:r>
          </w:p>
        </w:tc>
      </w:tr>
    </w:tbl>
    <w:p w14:paraId="7ECA6B67">
      <w:pPr>
        <w:pStyle w:val="24"/>
        <w:numPr>
          <w:ilvl w:val="3"/>
          <w:numId w:val="35"/>
        </w:numPr>
        <w:tabs>
          <w:tab w:val="left" w:pos="2321"/>
        </w:tabs>
        <w:spacing w:before="161"/>
        <w:ind w:left="425" w:leftChars="0" w:firstLine="0" w:firstLineChars="0"/>
        <w:jc w:val="both"/>
        <w:rPr>
          <w:b/>
          <w:color w:val="auto"/>
          <w:spacing w:val="-2"/>
          <w:sz w:val="24"/>
        </w:rPr>
      </w:pPr>
      <w:bookmarkStart w:id="225" w:name="_Toc10784"/>
      <w:r>
        <w:rPr>
          <w:rFonts w:hint="eastAsia"/>
          <w:b/>
          <w:color w:val="auto"/>
          <w:spacing w:val="-2"/>
          <w:sz w:val="24"/>
        </w:rPr>
        <w:t>食源性疾病监测与溯源平台对接</w:t>
      </w:r>
      <w:bookmarkEnd w:id="225"/>
    </w:p>
    <w:p w14:paraId="059F3E7D">
      <w:pPr>
        <w:pStyle w:val="4"/>
        <w:spacing w:line="364" w:lineRule="auto"/>
        <w:ind w:right="350" w:firstLine="479"/>
        <w:rPr>
          <w:rFonts w:hint="eastAsia" w:ascii="宋体" w:hAnsi="宋体" w:eastAsia="宋体" w:cs="宋体"/>
          <w:color w:val="auto"/>
          <w:spacing w:val="-2"/>
          <w:lang w:val="en-US" w:eastAsia="zh-CN"/>
        </w:rPr>
      </w:pPr>
      <w:bookmarkStart w:id="226" w:name="_Toc24516"/>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上传病例接口</w:t>
      </w:r>
      <w:bookmarkEnd w:id="226"/>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 xml:space="preserve">病例接口加密数据明文格式 </w:t>
      </w:r>
    </w:p>
    <w:tbl>
      <w:tblPr>
        <w:tblStyle w:val="1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3"/>
        <w:gridCol w:w="3164"/>
        <w:gridCol w:w="4454"/>
      </w:tblGrid>
      <w:tr w14:paraId="2C27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tcPr>
          <w:p w14:paraId="202A4F15">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164" w:type="dxa"/>
          </w:tcPr>
          <w:p w14:paraId="7F7990E7">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454" w:type="dxa"/>
          </w:tcPr>
          <w:p w14:paraId="70BDEBA2">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0799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C6B3452">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vAlign w:val="center"/>
          </w:tcPr>
          <w:p w14:paraId="4E0E8AB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fillerAccount</w:t>
            </w:r>
          </w:p>
        </w:tc>
        <w:tc>
          <w:tcPr>
            <w:tcW w:w="4454" w:type="dxa"/>
            <w:vAlign w:val="center"/>
          </w:tcPr>
          <w:p w14:paraId="6C07193B">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填报账号</w:t>
            </w:r>
          </w:p>
        </w:tc>
      </w:tr>
      <w:tr w14:paraId="1CF9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2C8B5F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vAlign w:val="center"/>
          </w:tcPr>
          <w:p w14:paraId="1E498AD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mechanismName</w:t>
            </w:r>
          </w:p>
        </w:tc>
        <w:tc>
          <w:tcPr>
            <w:tcW w:w="4454" w:type="dxa"/>
          </w:tcPr>
          <w:p w14:paraId="5A3114A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操作单位</w:t>
            </w:r>
          </w:p>
        </w:tc>
      </w:tr>
      <w:tr w14:paraId="022F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D1233E8">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vAlign w:val="center"/>
          </w:tcPr>
          <w:p w14:paraId="5396D00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caseCode</w:t>
            </w:r>
          </w:p>
        </w:tc>
        <w:tc>
          <w:tcPr>
            <w:tcW w:w="4454" w:type="dxa"/>
          </w:tcPr>
          <w:p w14:paraId="06F33D9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病例编号</w:t>
            </w:r>
          </w:p>
        </w:tc>
      </w:tr>
      <w:tr w14:paraId="0599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24D7722">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vAlign w:val="center"/>
          </w:tcPr>
          <w:p w14:paraId="3255734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onsetTime</w:t>
            </w:r>
          </w:p>
        </w:tc>
        <w:tc>
          <w:tcPr>
            <w:tcW w:w="4454" w:type="dxa"/>
          </w:tcPr>
          <w:p w14:paraId="7E22C9C8">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发病时间 时间格式为 yyyy-MM-dd HH:mm:ss  正确：2022-03-12 19:18:00  错误：2022-3-12 19:18:00  发病时间早于就诊时间</w:t>
            </w:r>
          </w:p>
        </w:tc>
      </w:tr>
      <w:tr w14:paraId="3F7E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CDC30F5">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46FDD5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treatmentTime</w:t>
            </w:r>
          </w:p>
        </w:tc>
        <w:tc>
          <w:tcPr>
            <w:tcW w:w="4454" w:type="dxa"/>
          </w:tcPr>
          <w:p w14:paraId="7DADA66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就诊时间 </w:t>
            </w:r>
          </w:p>
        </w:tc>
      </w:tr>
      <w:tr w14:paraId="6C99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45B2FB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606E06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deathTime</w:t>
            </w:r>
          </w:p>
        </w:tc>
        <w:tc>
          <w:tcPr>
            <w:tcW w:w="4454" w:type="dxa"/>
          </w:tcPr>
          <w:p w14:paraId="7DAF364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 死亡时间</w:t>
            </w:r>
          </w:p>
        </w:tc>
      </w:tr>
      <w:tr w14:paraId="1D94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987D81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18C7FC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name</w:t>
            </w:r>
          </w:p>
        </w:tc>
        <w:tc>
          <w:tcPr>
            <w:tcW w:w="4454" w:type="dxa"/>
          </w:tcPr>
          <w:p w14:paraId="7AC2AE5A">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患者姓名</w:t>
            </w:r>
          </w:p>
        </w:tc>
      </w:tr>
      <w:tr w14:paraId="6A09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F4E05F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7586BB5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birthday</w:t>
            </w:r>
          </w:p>
        </w:tc>
        <w:tc>
          <w:tcPr>
            <w:tcW w:w="4454" w:type="dxa"/>
          </w:tcPr>
          <w:p w14:paraId="7353B64C">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出生日期 yyyy-MM-dd  出生日期早于发</w:t>
            </w:r>
          </w:p>
        </w:tc>
      </w:tr>
      <w:tr w14:paraId="4C9D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3325796">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3A4BC9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gender</w:t>
            </w:r>
          </w:p>
        </w:tc>
        <w:tc>
          <w:tcPr>
            <w:tcW w:w="4454" w:type="dxa"/>
          </w:tcPr>
          <w:p w14:paraId="58F36D11">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患者性别</w:t>
            </w:r>
          </w:p>
        </w:tc>
      </w:tr>
      <w:tr w14:paraId="5727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8DE2A58">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7535E9E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profession</w:t>
            </w:r>
          </w:p>
        </w:tc>
        <w:tc>
          <w:tcPr>
            <w:tcW w:w="4454" w:type="dxa"/>
          </w:tcPr>
          <w:p w14:paraId="09592FE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患者职业 具体职业类型见附录</w:t>
            </w:r>
          </w:p>
        </w:tc>
      </w:tr>
      <w:tr w14:paraId="79675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D216560">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9D122B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phone</w:t>
            </w:r>
          </w:p>
        </w:tc>
        <w:tc>
          <w:tcPr>
            <w:tcW w:w="4454" w:type="dxa"/>
          </w:tcPr>
          <w:p w14:paraId="06C642BE">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联系电话或座机 05xx-xxxx </w:t>
            </w:r>
          </w:p>
        </w:tc>
      </w:tr>
      <w:tr w14:paraId="4C08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EE7571E">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A6476E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isHospitalized</w:t>
            </w:r>
          </w:p>
        </w:tc>
        <w:tc>
          <w:tcPr>
            <w:tcW w:w="4454" w:type="dxa"/>
          </w:tcPr>
          <w:p w14:paraId="6726BAE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是否住院</w:t>
            </w:r>
          </w:p>
        </w:tc>
      </w:tr>
      <w:tr w14:paraId="7D7E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9E42EAC">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27F17A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hospitalNum</w:t>
            </w:r>
          </w:p>
        </w:tc>
        <w:tc>
          <w:tcPr>
            <w:tcW w:w="4454" w:type="dxa"/>
          </w:tcPr>
          <w:p w14:paraId="36CD24A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住院号（住院是的话必填）</w:t>
            </w:r>
          </w:p>
        </w:tc>
      </w:tr>
      <w:tr w14:paraId="232A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A133F97">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A6C0DE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workUnity</w:t>
            </w:r>
          </w:p>
        </w:tc>
        <w:tc>
          <w:tcPr>
            <w:tcW w:w="4454" w:type="dxa"/>
          </w:tcPr>
          <w:p w14:paraId="1A88B77B">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患者工作单位或学校 学生或者托幼儿 童。此项必填</w:t>
            </w:r>
          </w:p>
        </w:tc>
      </w:tr>
      <w:tr w14:paraId="18F2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CE4FB09">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7F83304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belongsType</w:t>
            </w:r>
          </w:p>
        </w:tc>
        <w:tc>
          <w:tcPr>
            <w:tcW w:w="4454" w:type="dxa"/>
          </w:tcPr>
          <w:p w14:paraId="67A2D21D">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患者属于</w:t>
            </w:r>
          </w:p>
        </w:tc>
      </w:tr>
      <w:tr w14:paraId="0F44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DBE948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545F85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nowProvinceName</w:t>
            </w:r>
          </w:p>
        </w:tc>
        <w:tc>
          <w:tcPr>
            <w:tcW w:w="4454" w:type="dxa"/>
          </w:tcPr>
          <w:p w14:paraId="7A1A3DE8">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现居省名称</w:t>
            </w:r>
          </w:p>
        </w:tc>
      </w:tr>
      <w:tr w14:paraId="6584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46F3778">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D6CD64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 nowCityName</w:t>
            </w:r>
          </w:p>
        </w:tc>
        <w:tc>
          <w:tcPr>
            <w:tcW w:w="4454" w:type="dxa"/>
          </w:tcPr>
          <w:p w14:paraId="2E651A3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现居市名称 </w:t>
            </w:r>
          </w:p>
        </w:tc>
      </w:tr>
      <w:tr w14:paraId="55BB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95D7D63">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EE3C25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nowAreaName</w:t>
            </w:r>
          </w:p>
        </w:tc>
        <w:tc>
          <w:tcPr>
            <w:tcW w:w="4454" w:type="dxa"/>
          </w:tcPr>
          <w:p w14:paraId="1B4AB4EB">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现居区名称 </w:t>
            </w:r>
          </w:p>
        </w:tc>
      </w:tr>
      <w:tr w14:paraId="62876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217C63D">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526EA1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adress </w:t>
            </w:r>
          </w:p>
        </w:tc>
        <w:tc>
          <w:tcPr>
            <w:tcW w:w="4454" w:type="dxa"/>
          </w:tcPr>
          <w:p w14:paraId="50F37670">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现居地址</w:t>
            </w:r>
          </w:p>
        </w:tc>
      </w:tr>
      <w:tr w14:paraId="23F4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8E276AE">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E10137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identity</w:t>
            </w:r>
          </w:p>
        </w:tc>
        <w:tc>
          <w:tcPr>
            <w:tcW w:w="4454" w:type="dxa"/>
          </w:tcPr>
          <w:p w14:paraId="17284B95">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身份证号 </w:t>
            </w:r>
          </w:p>
        </w:tc>
      </w:tr>
      <w:tr w14:paraId="23F98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778FE40">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2A1C21A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socialCode</w:t>
            </w:r>
          </w:p>
        </w:tc>
        <w:tc>
          <w:tcPr>
            <w:tcW w:w="4454" w:type="dxa"/>
          </w:tcPr>
          <w:p w14:paraId="251915CE">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社保号</w:t>
            </w:r>
          </w:p>
        </w:tc>
      </w:tr>
      <w:tr w14:paraId="6495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8436286">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AF1018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guardian</w:t>
            </w:r>
          </w:p>
        </w:tc>
        <w:tc>
          <w:tcPr>
            <w:tcW w:w="4454" w:type="dxa"/>
          </w:tcPr>
          <w:p w14:paraId="2B0681D4">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监护人姓名 </w:t>
            </w:r>
          </w:p>
        </w:tc>
      </w:tr>
      <w:tr w14:paraId="128E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B3B55D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EDDDAE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clinicNumber</w:t>
            </w:r>
          </w:p>
        </w:tc>
        <w:tc>
          <w:tcPr>
            <w:tcW w:w="4454" w:type="dxa"/>
          </w:tcPr>
          <w:p w14:paraId="4E1F4DFD">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门诊号</w:t>
            </w:r>
          </w:p>
        </w:tc>
      </w:tr>
      <w:tr w14:paraId="6B65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091FA1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2F0FE90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isFollowup</w:t>
            </w:r>
          </w:p>
        </w:tc>
        <w:tc>
          <w:tcPr>
            <w:tcW w:w="4454" w:type="dxa"/>
          </w:tcPr>
          <w:p w14:paraId="2107DC3D">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是否复诊</w:t>
            </w:r>
          </w:p>
        </w:tc>
      </w:tr>
      <w:tr w14:paraId="65DC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5425CFD">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1AD2AE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hasAntibiotics</w:t>
            </w:r>
          </w:p>
        </w:tc>
        <w:tc>
          <w:tcPr>
            <w:tcW w:w="4454" w:type="dxa"/>
          </w:tcPr>
          <w:p w14:paraId="3A24C6E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是否服用抗生素</w:t>
            </w:r>
          </w:p>
        </w:tc>
      </w:tr>
      <w:tr w14:paraId="0DCD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3E7E107">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598D00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antibioticsName</w:t>
            </w:r>
          </w:p>
        </w:tc>
        <w:tc>
          <w:tcPr>
            <w:tcW w:w="4454" w:type="dxa"/>
          </w:tcPr>
          <w:p w14:paraId="75320B2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抗生素名称（服用的话必填）</w:t>
            </w:r>
          </w:p>
        </w:tc>
      </w:tr>
      <w:tr w14:paraId="5375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2BC53D6">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343021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isFood</w:t>
            </w:r>
          </w:p>
        </w:tc>
        <w:tc>
          <w:tcPr>
            <w:tcW w:w="4454" w:type="dxa"/>
          </w:tcPr>
          <w:p w14:paraId="45CE420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是否怀疑食物引起</w:t>
            </w:r>
          </w:p>
        </w:tc>
      </w:tr>
      <w:tr w14:paraId="6795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FDE7A0F">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2F5988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otherExposures</w:t>
            </w:r>
          </w:p>
        </w:tc>
        <w:tc>
          <w:tcPr>
            <w:tcW w:w="4454" w:type="dxa"/>
          </w:tcPr>
          <w:p w14:paraId="345BBE05">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发病前一周其他暴露情况 </w:t>
            </w:r>
          </w:p>
        </w:tc>
      </w:tr>
      <w:tr w14:paraId="6ACE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4C0F4D93">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033622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filler</w:t>
            </w:r>
          </w:p>
        </w:tc>
        <w:tc>
          <w:tcPr>
            <w:tcW w:w="4454" w:type="dxa"/>
          </w:tcPr>
          <w:p w14:paraId="486A8024">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填表人</w:t>
            </w:r>
          </w:p>
        </w:tc>
      </w:tr>
      <w:tr w14:paraId="3D124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0F6A313">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D51F92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fillTime</w:t>
            </w:r>
          </w:p>
          <w:p w14:paraId="7D726FC5">
            <w:pPr>
              <w:widowControl w:val="0"/>
              <w:tabs>
                <w:tab w:val="left" w:pos="1445"/>
              </w:tabs>
              <w:spacing w:line="360" w:lineRule="auto"/>
              <w:ind w:firstLine="600"/>
              <w:jc w:val="center"/>
              <w:rPr>
                <w:rFonts w:hint="eastAsia" w:ascii="宋体" w:hAnsi="宋体" w:eastAsia="宋体" w:cs="宋体"/>
                <w:color w:val="auto"/>
                <w:position w:val="2"/>
                <w:szCs w:val="30"/>
              </w:rPr>
            </w:pPr>
          </w:p>
        </w:tc>
        <w:tc>
          <w:tcPr>
            <w:tcW w:w="4454" w:type="dxa"/>
          </w:tcPr>
          <w:p w14:paraId="57EBF2F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填写时间 yyyy-MM-dd (HH:MM(:ss))  都可。 必须晚于就诊时间</w:t>
            </w:r>
          </w:p>
        </w:tc>
      </w:tr>
      <w:tr w14:paraId="64C5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610563E6">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2D11F8F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foodHistoryList</w:t>
            </w:r>
          </w:p>
        </w:tc>
        <w:tc>
          <w:tcPr>
            <w:tcW w:w="4454" w:type="dxa"/>
          </w:tcPr>
          <w:p w14:paraId="6AA993DA">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饮食史列表</w:t>
            </w:r>
          </w:p>
        </w:tc>
      </w:tr>
      <w:tr w14:paraId="047AA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CE3D14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18581C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foodName,    </w:t>
            </w:r>
          </w:p>
        </w:tc>
        <w:tc>
          <w:tcPr>
            <w:tcW w:w="4454" w:type="dxa"/>
          </w:tcPr>
          <w:p w14:paraId="2EB79A10">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食物名称</w:t>
            </w:r>
          </w:p>
        </w:tc>
      </w:tr>
      <w:tr w14:paraId="5021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214D98F">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7A4DFE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foodType </w:t>
            </w:r>
          </w:p>
        </w:tc>
        <w:tc>
          <w:tcPr>
            <w:tcW w:w="4454" w:type="dxa"/>
          </w:tcPr>
          <w:p w14:paraId="365C9E5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食物类型 具体食物类型见附录 </w:t>
            </w:r>
          </w:p>
        </w:tc>
      </w:tr>
      <w:tr w14:paraId="0DE3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5ED5CCE">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41AEBC6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w:t>
            </w:r>
          </w:p>
        </w:tc>
        <w:tc>
          <w:tcPr>
            <w:tcW w:w="4454" w:type="dxa"/>
          </w:tcPr>
          <w:p w14:paraId="709236C8">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进食场所 具体进食场所见附录   </w:t>
            </w:r>
            <w:r>
              <w:rPr>
                <w:rFonts w:hint="eastAsia" w:ascii="宋体" w:hAnsi="宋体" w:eastAsia="宋体" w:cs="宋体"/>
                <w:color w:val="auto"/>
                <w:position w:val="2"/>
                <w:szCs w:val="30"/>
              </w:rPr>
              <w:tab/>
            </w:r>
          </w:p>
        </w:tc>
      </w:tr>
      <w:tr w14:paraId="3734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6062929">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92D40F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processingType</w:t>
            </w:r>
          </w:p>
        </w:tc>
        <w:tc>
          <w:tcPr>
            <w:tcW w:w="4454" w:type="dxa"/>
          </w:tcPr>
          <w:p w14:paraId="012B7317">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加工或包装方式</w:t>
            </w:r>
          </w:p>
        </w:tc>
      </w:tr>
      <w:tr w14:paraId="57AF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8CD2AA8">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52CEB45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eatingTime</w:t>
            </w:r>
          </w:p>
        </w:tc>
        <w:tc>
          <w:tcPr>
            <w:tcW w:w="4454" w:type="dxa"/>
          </w:tcPr>
          <w:p w14:paraId="786DAC7E">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进食时间 必须早于发病时间</w:t>
            </w:r>
          </w:p>
        </w:tc>
      </w:tr>
      <w:tr w14:paraId="3160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F48CA6B">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4C337F4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togetherNumber </w:t>
            </w:r>
          </w:p>
        </w:tc>
        <w:tc>
          <w:tcPr>
            <w:tcW w:w="4454" w:type="dxa"/>
          </w:tcPr>
          <w:p w14:paraId="1EF6B48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共同进食人数 </w:t>
            </w:r>
          </w:p>
        </w:tc>
      </w:tr>
      <w:tr w14:paraId="190C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F318612">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70F562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otherSick</w:t>
            </w:r>
          </w:p>
        </w:tc>
        <w:tc>
          <w:tcPr>
            <w:tcW w:w="4454" w:type="dxa"/>
          </w:tcPr>
          <w:p w14:paraId="34CE163B">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其他人是否发病 </w:t>
            </w:r>
          </w:p>
        </w:tc>
      </w:tr>
      <w:tr w14:paraId="47AC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9EB5595">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ABF53D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isSampling</w:t>
            </w:r>
          </w:p>
        </w:tc>
        <w:tc>
          <w:tcPr>
            <w:tcW w:w="4454" w:type="dxa"/>
          </w:tcPr>
          <w:p w14:paraId="102D13EC">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是否采样</w:t>
            </w:r>
          </w:p>
        </w:tc>
      </w:tr>
      <w:tr w14:paraId="430C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7055D9C">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46EC37B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eatingPlaceType</w:t>
            </w:r>
          </w:p>
        </w:tc>
        <w:tc>
          <w:tcPr>
            <w:tcW w:w="4454" w:type="dxa"/>
          </w:tcPr>
          <w:p w14:paraId="5DE92A5D">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进食地点类型 1 国内 2 国外</w:t>
            </w:r>
          </w:p>
        </w:tc>
      </w:tr>
      <w:tr w14:paraId="25A1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A71E8A2">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2D7EBC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eatingPlaceProvinceName</w:t>
            </w:r>
          </w:p>
        </w:tc>
        <w:tc>
          <w:tcPr>
            <w:tcW w:w="4454" w:type="dxa"/>
          </w:tcPr>
          <w:p w14:paraId="438FC415">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进食地点省名称</w:t>
            </w:r>
          </w:p>
        </w:tc>
      </w:tr>
      <w:tr w14:paraId="4C31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98476B5">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44C2BDC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eatingPlaceCityName</w:t>
            </w:r>
          </w:p>
        </w:tc>
        <w:tc>
          <w:tcPr>
            <w:tcW w:w="4454" w:type="dxa"/>
          </w:tcPr>
          <w:p w14:paraId="58343C9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进食地点市名称</w:t>
            </w:r>
          </w:p>
        </w:tc>
      </w:tr>
      <w:tr w14:paraId="148F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5041356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8C91C3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eatingPlaceAreaName</w:t>
            </w:r>
          </w:p>
        </w:tc>
        <w:tc>
          <w:tcPr>
            <w:tcW w:w="4454" w:type="dxa"/>
          </w:tcPr>
          <w:p w14:paraId="2BEE202C">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进食地点区名称</w:t>
            </w:r>
          </w:p>
        </w:tc>
      </w:tr>
      <w:tr w14:paraId="5631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0A97F32">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1E4C1A2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eatingPlaceAddress</w:t>
            </w:r>
          </w:p>
        </w:tc>
        <w:tc>
          <w:tcPr>
            <w:tcW w:w="4454" w:type="dxa"/>
          </w:tcPr>
          <w:p w14:paraId="1CA58321">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进食地点地址</w:t>
            </w:r>
          </w:p>
        </w:tc>
      </w:tr>
      <w:tr w14:paraId="5FE8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83DDB3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0604C20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w:t>
            </w:r>
          </w:p>
        </w:tc>
        <w:tc>
          <w:tcPr>
            <w:tcW w:w="4454" w:type="dxa"/>
          </w:tcPr>
          <w:p w14:paraId="0A2593CF">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购买场所 具体购买场所见附录 </w:t>
            </w:r>
          </w:p>
        </w:tc>
      </w:tr>
      <w:tr w14:paraId="2004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3D2483B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211E8D8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buyPlaceType</w:t>
            </w:r>
          </w:p>
        </w:tc>
        <w:tc>
          <w:tcPr>
            <w:tcW w:w="4454" w:type="dxa"/>
          </w:tcPr>
          <w:p w14:paraId="75772DA2">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购买地点类型 1 国内 2 国外</w:t>
            </w:r>
          </w:p>
        </w:tc>
      </w:tr>
      <w:tr w14:paraId="2A6B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77FCBB86">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609CF9D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buyPlaceProvinceName</w:t>
            </w:r>
          </w:p>
        </w:tc>
        <w:tc>
          <w:tcPr>
            <w:tcW w:w="4454" w:type="dxa"/>
          </w:tcPr>
          <w:p w14:paraId="7752813B">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购买地点省名称 </w:t>
            </w:r>
          </w:p>
        </w:tc>
      </w:tr>
      <w:tr w14:paraId="389D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1886A95A">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741A08C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buyPlaceCityName</w:t>
            </w:r>
          </w:p>
        </w:tc>
        <w:tc>
          <w:tcPr>
            <w:tcW w:w="4454" w:type="dxa"/>
          </w:tcPr>
          <w:p w14:paraId="6A17945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购买地点市名称</w:t>
            </w:r>
          </w:p>
        </w:tc>
      </w:tr>
      <w:tr w14:paraId="42CD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2D9B321C">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48C6067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buyPlaceAreaName</w:t>
            </w:r>
          </w:p>
        </w:tc>
        <w:tc>
          <w:tcPr>
            <w:tcW w:w="4454" w:type="dxa"/>
          </w:tcPr>
          <w:p w14:paraId="3EA4FDD2">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购买地点区名称</w:t>
            </w:r>
          </w:p>
        </w:tc>
      </w:tr>
      <w:tr w14:paraId="3EA39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3" w:type="dxa"/>
            <w:vAlign w:val="center"/>
          </w:tcPr>
          <w:p w14:paraId="0B6BA401">
            <w:pPr>
              <w:widowControl w:val="0"/>
              <w:numPr>
                <w:ilvl w:val="0"/>
                <w:numId w:val="36"/>
              </w:numPr>
              <w:tabs>
                <w:tab w:val="left" w:pos="1445"/>
              </w:tabs>
              <w:spacing w:line="360" w:lineRule="auto"/>
              <w:ind w:left="0" w:firstLine="0" w:firstLineChars="0"/>
              <w:jc w:val="center"/>
              <w:rPr>
                <w:rFonts w:hint="eastAsia" w:ascii="宋体" w:hAnsi="宋体" w:eastAsia="宋体" w:cs="宋体"/>
                <w:color w:val="auto"/>
                <w:position w:val="2"/>
                <w:szCs w:val="30"/>
              </w:rPr>
            </w:pPr>
          </w:p>
        </w:tc>
        <w:tc>
          <w:tcPr>
            <w:tcW w:w="3164" w:type="dxa"/>
          </w:tcPr>
          <w:p w14:paraId="3C45796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buyPlaceAddress</w:t>
            </w:r>
          </w:p>
        </w:tc>
        <w:tc>
          <w:tcPr>
            <w:tcW w:w="4454" w:type="dxa"/>
          </w:tcPr>
          <w:p w14:paraId="554DD17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购买地点地址 </w:t>
            </w:r>
          </w:p>
        </w:tc>
      </w:tr>
    </w:tbl>
    <w:p w14:paraId="78F5175E">
      <w:pPr>
        <w:widowControl w:val="0"/>
        <w:tabs>
          <w:tab w:val="left" w:pos="1445"/>
        </w:tabs>
        <w:spacing w:line="360" w:lineRule="auto"/>
        <w:ind w:firstLine="600"/>
        <w:rPr>
          <w:rFonts w:hint="eastAsia" w:eastAsia="宋体"/>
          <w:color w:val="auto"/>
          <w:position w:val="2"/>
          <w:szCs w:val="30"/>
        </w:rPr>
      </w:pPr>
    </w:p>
    <w:p w14:paraId="0979A484">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27" w:name="_Toc31265"/>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上传样本接口</w:t>
      </w:r>
      <w:bookmarkEnd w:id="227"/>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 xml:space="preserve">上传样本接口加密数据明文格式 </w:t>
      </w:r>
    </w:p>
    <w:tbl>
      <w:tblPr>
        <w:tblStyle w:val="14"/>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3164"/>
        <w:gridCol w:w="4386"/>
      </w:tblGrid>
      <w:tr w14:paraId="7376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tcPr>
          <w:p w14:paraId="4C4581ED">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164" w:type="dxa"/>
          </w:tcPr>
          <w:p w14:paraId="2698AB7C">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386" w:type="dxa"/>
          </w:tcPr>
          <w:p w14:paraId="0FFE84AC">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216E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58B3D220">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2547A9A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fillerAccount</w:t>
            </w:r>
          </w:p>
        </w:tc>
        <w:tc>
          <w:tcPr>
            <w:tcW w:w="4386" w:type="dxa"/>
            <w:vAlign w:val="center"/>
          </w:tcPr>
          <w:p w14:paraId="684955F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填报账号</w:t>
            </w:r>
          </w:p>
        </w:tc>
      </w:tr>
      <w:tr w14:paraId="0773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2AE95124">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7BDD464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sampleCode</w:t>
            </w:r>
          </w:p>
        </w:tc>
        <w:tc>
          <w:tcPr>
            <w:tcW w:w="4386" w:type="dxa"/>
          </w:tcPr>
          <w:p w14:paraId="66B62A81">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样本编号  </w:t>
            </w:r>
          </w:p>
        </w:tc>
      </w:tr>
      <w:tr w14:paraId="2D22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6C9CC0FC">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92B8E0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caseCode</w:t>
            </w:r>
          </w:p>
        </w:tc>
        <w:tc>
          <w:tcPr>
            <w:tcW w:w="4386" w:type="dxa"/>
          </w:tcPr>
          <w:p w14:paraId="55656456">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病例编号</w:t>
            </w:r>
          </w:p>
        </w:tc>
      </w:tr>
      <w:tr w14:paraId="3AEF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088AB187">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DAD8E7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sampleType</w:t>
            </w:r>
          </w:p>
        </w:tc>
        <w:tc>
          <w:tcPr>
            <w:tcW w:w="4386" w:type="dxa"/>
          </w:tcPr>
          <w:p w14:paraId="442601C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样本类型</w:t>
            </w:r>
          </w:p>
        </w:tc>
      </w:tr>
      <w:tr w14:paraId="4FE9A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79156645">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0D0C8F1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samplingDate</w:t>
            </w:r>
          </w:p>
        </w:tc>
        <w:tc>
          <w:tcPr>
            <w:tcW w:w="4386" w:type="dxa"/>
          </w:tcPr>
          <w:p w14:paraId="4D06C2B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采样时间</w:t>
            </w:r>
          </w:p>
        </w:tc>
      </w:tr>
      <w:tr w14:paraId="0ECB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6A3C7A03">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7B2C46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fillUnityCode</w:t>
            </w:r>
          </w:p>
        </w:tc>
        <w:tc>
          <w:tcPr>
            <w:tcW w:w="4386" w:type="dxa"/>
          </w:tcPr>
          <w:p w14:paraId="796DFB8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填报单位代码</w:t>
            </w:r>
          </w:p>
        </w:tc>
      </w:tr>
      <w:tr w14:paraId="66CC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0971D62E">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05BC936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fillUnityName</w:t>
            </w:r>
          </w:p>
        </w:tc>
        <w:tc>
          <w:tcPr>
            <w:tcW w:w="4386" w:type="dxa"/>
          </w:tcPr>
          <w:p w14:paraId="0785336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填报单位名称</w:t>
            </w:r>
          </w:p>
        </w:tc>
      </w:tr>
      <w:tr w14:paraId="5229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6AF73880">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3F2DE10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checks</w:t>
            </w:r>
          </w:p>
        </w:tc>
        <w:tc>
          <w:tcPr>
            <w:tcW w:w="4386" w:type="dxa"/>
          </w:tcPr>
          <w:p w14:paraId="6532425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检测信息 非必填，无值不能传null,传[]。若填写了，则内部信息部分必填</w:t>
            </w:r>
          </w:p>
        </w:tc>
      </w:tr>
      <w:tr w14:paraId="19C6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0" w:type="dxa"/>
            <w:vAlign w:val="center"/>
          </w:tcPr>
          <w:p w14:paraId="630BCE56">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6D4F089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biologCategory</w:t>
            </w:r>
          </w:p>
        </w:tc>
        <w:tc>
          <w:tcPr>
            <w:tcW w:w="4386" w:type="dxa"/>
          </w:tcPr>
          <w:p w14:paraId="71FD0653">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致病因子分类</w:t>
            </w:r>
          </w:p>
        </w:tc>
      </w:tr>
      <w:tr w14:paraId="1731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405B54C3">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33FDCDE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biologType</w:t>
            </w:r>
          </w:p>
        </w:tc>
        <w:tc>
          <w:tcPr>
            <w:tcW w:w="4386" w:type="dxa"/>
          </w:tcPr>
          <w:p w14:paraId="13BEF0A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致病因子类型</w:t>
            </w:r>
          </w:p>
        </w:tc>
      </w:tr>
      <w:tr w14:paraId="5277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43EC48C1">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73BCFB2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biologDetailType</w:t>
            </w:r>
          </w:p>
        </w:tc>
        <w:tc>
          <w:tcPr>
            <w:tcW w:w="4386" w:type="dxa"/>
          </w:tcPr>
          <w:p w14:paraId="3540AB0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具体的致病因子类型</w:t>
            </w:r>
          </w:p>
        </w:tc>
      </w:tr>
      <w:tr w14:paraId="065A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47FFF904">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445B8A4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checkDate</w:t>
            </w:r>
          </w:p>
        </w:tc>
        <w:tc>
          <w:tcPr>
            <w:tcW w:w="4386" w:type="dxa"/>
          </w:tcPr>
          <w:p w14:paraId="6DD062A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检查时间</w:t>
            </w:r>
          </w:p>
        </w:tc>
      </w:tr>
      <w:tr w14:paraId="7799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5074FEC5">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63AB558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checkType</w:t>
            </w:r>
          </w:p>
        </w:tc>
        <w:tc>
          <w:tcPr>
            <w:tcW w:w="4386" w:type="dxa"/>
          </w:tcPr>
          <w:p w14:paraId="4007E9F6">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检查方法</w:t>
            </w:r>
          </w:p>
        </w:tc>
      </w:tr>
      <w:tr w14:paraId="7216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10D3DDFF">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896DE8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checkResult</w:t>
            </w:r>
          </w:p>
        </w:tc>
        <w:tc>
          <w:tcPr>
            <w:tcW w:w="4386" w:type="dxa"/>
          </w:tcPr>
          <w:p w14:paraId="0BEFE5D0">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检查结果（-阴性/+阳性）</w:t>
            </w:r>
          </w:p>
        </w:tc>
      </w:tr>
      <w:tr w14:paraId="7468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68DDA189">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BB21B8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quantitativeResults</w:t>
            </w:r>
          </w:p>
        </w:tc>
        <w:tc>
          <w:tcPr>
            <w:tcW w:w="4386" w:type="dxa"/>
          </w:tcPr>
          <w:p w14:paraId="09C2BE2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定量结果</w:t>
            </w:r>
          </w:p>
        </w:tc>
      </w:tr>
      <w:tr w14:paraId="3DE7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17D4DDAD">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06FBFA2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unit</w:t>
            </w:r>
          </w:p>
        </w:tc>
        <w:tc>
          <w:tcPr>
            <w:tcW w:w="4386" w:type="dxa"/>
          </w:tcPr>
          <w:p w14:paraId="19CE85D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单位</w:t>
            </w:r>
          </w:p>
        </w:tc>
      </w:tr>
      <w:tr w14:paraId="529F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5132DF79">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89A834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remark</w:t>
            </w:r>
          </w:p>
        </w:tc>
        <w:tc>
          <w:tcPr>
            <w:tcW w:w="4386" w:type="dxa"/>
          </w:tcPr>
          <w:p w14:paraId="042A1A62">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备注</w:t>
            </w:r>
          </w:p>
        </w:tc>
      </w:tr>
      <w:tr w14:paraId="3320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5443F0F5">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22B2481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strains</w:t>
            </w:r>
          </w:p>
        </w:tc>
        <w:tc>
          <w:tcPr>
            <w:tcW w:w="4386" w:type="dxa"/>
          </w:tcPr>
          <w:p w14:paraId="0342961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菌种信息</w:t>
            </w:r>
          </w:p>
        </w:tc>
      </w:tr>
      <w:tr w14:paraId="2178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32CAEBBA">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64ED8E5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strainNum</w:t>
            </w:r>
          </w:p>
        </w:tc>
        <w:tc>
          <w:tcPr>
            <w:tcW w:w="4386" w:type="dxa"/>
          </w:tcPr>
          <w:p w14:paraId="4896D61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菌种编号</w:t>
            </w:r>
          </w:p>
        </w:tc>
      </w:tr>
      <w:tr w14:paraId="339B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0CE4AB7F">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0AF18AA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identification</w:t>
            </w:r>
          </w:p>
        </w:tc>
        <w:tc>
          <w:tcPr>
            <w:tcW w:w="4386" w:type="dxa"/>
          </w:tcPr>
          <w:p w14:paraId="69F34CA8">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鉴定方法</w:t>
            </w:r>
          </w:p>
        </w:tc>
      </w:tr>
      <w:tr w14:paraId="5E7D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4A37AB9D">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0D17883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target</w:t>
            </w:r>
          </w:p>
        </w:tc>
        <w:tc>
          <w:tcPr>
            <w:tcW w:w="4386" w:type="dxa"/>
          </w:tcPr>
          <w:p w14:paraId="0703A83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基因鉴定目标</w:t>
            </w:r>
          </w:p>
        </w:tc>
      </w:tr>
      <w:tr w14:paraId="49A2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5343803B">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C7550E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serumIdentification</w:t>
            </w:r>
          </w:p>
        </w:tc>
        <w:tc>
          <w:tcPr>
            <w:tcW w:w="4386" w:type="dxa"/>
          </w:tcPr>
          <w:p w14:paraId="0BC6EAE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血清检测</w:t>
            </w:r>
          </w:p>
        </w:tc>
      </w:tr>
      <w:tr w14:paraId="3724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418DB69C">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4445E3D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featureReaction</w:t>
            </w:r>
          </w:p>
        </w:tc>
        <w:tc>
          <w:tcPr>
            <w:tcW w:w="4386" w:type="dxa"/>
          </w:tcPr>
          <w:p w14:paraId="665CF7A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特征性反应</w:t>
            </w:r>
          </w:p>
        </w:tc>
      </w:tr>
      <w:tr w14:paraId="3B10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3A19799A">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1ABD845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conclusion</w:t>
            </w:r>
          </w:p>
        </w:tc>
        <w:tc>
          <w:tcPr>
            <w:tcW w:w="4386" w:type="dxa"/>
          </w:tcPr>
          <w:p w14:paraId="0229F651">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鉴定结论 </w:t>
            </w:r>
          </w:p>
        </w:tc>
      </w:tr>
      <w:tr w14:paraId="561E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vAlign w:val="center"/>
          </w:tcPr>
          <w:p w14:paraId="2DCBBDCD">
            <w:pPr>
              <w:widowControl w:val="0"/>
              <w:numPr>
                <w:ilvl w:val="0"/>
                <w:numId w:val="37"/>
              </w:numPr>
              <w:tabs>
                <w:tab w:val="left" w:pos="1445"/>
              </w:tabs>
              <w:spacing w:line="360" w:lineRule="auto"/>
              <w:ind w:firstLineChars="0"/>
              <w:jc w:val="center"/>
              <w:rPr>
                <w:rFonts w:hint="eastAsia" w:ascii="宋体" w:hAnsi="宋体" w:eastAsia="宋体" w:cs="宋体"/>
                <w:color w:val="auto"/>
                <w:position w:val="2"/>
                <w:szCs w:val="30"/>
              </w:rPr>
            </w:pPr>
          </w:p>
        </w:tc>
        <w:tc>
          <w:tcPr>
            <w:tcW w:w="3164" w:type="dxa"/>
            <w:vAlign w:val="center"/>
          </w:tcPr>
          <w:p w14:paraId="29359E9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checkResult</w:t>
            </w:r>
          </w:p>
        </w:tc>
        <w:tc>
          <w:tcPr>
            <w:tcW w:w="4386" w:type="dxa"/>
          </w:tcPr>
          <w:p w14:paraId="0A29084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检查结果（阴性阳性）</w:t>
            </w:r>
          </w:p>
        </w:tc>
      </w:tr>
    </w:tbl>
    <w:p w14:paraId="39FF73F5">
      <w:pPr>
        <w:ind w:firstLine="590"/>
        <w:rPr>
          <w:rFonts w:hint="eastAsia"/>
          <w:b/>
          <w:bCs/>
          <w:color w:val="auto"/>
          <w:spacing w:val="-3"/>
          <w:szCs w:val="30"/>
        </w:rPr>
      </w:pPr>
    </w:p>
    <w:p w14:paraId="02F90C83">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28" w:name="_Toc20510"/>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获取样本或病例最新审批记录及状态接口</w:t>
      </w:r>
      <w:bookmarkEnd w:id="228"/>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 xml:space="preserve">获取样本或病例最新审批记录及状态加密数据明文格式 </w:t>
      </w:r>
    </w:p>
    <w:tbl>
      <w:tblPr>
        <w:tblStyle w:val="14"/>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4"/>
        <w:gridCol w:w="3134"/>
        <w:gridCol w:w="4364"/>
      </w:tblGrid>
      <w:tr w14:paraId="717CD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4" w:type="dxa"/>
          </w:tcPr>
          <w:p w14:paraId="39BD5FBF">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134" w:type="dxa"/>
          </w:tcPr>
          <w:p w14:paraId="2F9AB87A">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364" w:type="dxa"/>
          </w:tcPr>
          <w:p w14:paraId="48AE1691">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5A35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4" w:type="dxa"/>
            <w:vAlign w:val="center"/>
          </w:tcPr>
          <w:p w14:paraId="168556E1">
            <w:pPr>
              <w:widowControl w:val="0"/>
              <w:numPr>
                <w:ilvl w:val="0"/>
                <w:numId w:val="38"/>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977EAE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codeList </w:t>
            </w:r>
          </w:p>
        </w:tc>
        <w:tc>
          <w:tcPr>
            <w:tcW w:w="4364" w:type="dxa"/>
            <w:vAlign w:val="center"/>
          </w:tcPr>
          <w:p w14:paraId="442D36B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编码列表，长度最大100</w:t>
            </w:r>
          </w:p>
        </w:tc>
      </w:tr>
      <w:tr w14:paraId="4080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4" w:type="dxa"/>
            <w:vAlign w:val="center"/>
          </w:tcPr>
          <w:p w14:paraId="76C492B9">
            <w:pPr>
              <w:widowControl w:val="0"/>
              <w:numPr>
                <w:ilvl w:val="0"/>
                <w:numId w:val="38"/>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5E571C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type</w:t>
            </w:r>
          </w:p>
        </w:tc>
        <w:tc>
          <w:tcPr>
            <w:tcW w:w="4364" w:type="dxa"/>
            <w:vAlign w:val="center"/>
          </w:tcPr>
          <w:p w14:paraId="33B6275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数据类型 病例：case 样本：sample</w:t>
            </w:r>
          </w:p>
        </w:tc>
      </w:tr>
    </w:tbl>
    <w:p w14:paraId="52D302E4">
      <w:pPr>
        <w:widowControl w:val="0"/>
        <w:spacing w:line="360" w:lineRule="auto"/>
        <w:ind w:firstLine="600"/>
        <w:rPr>
          <w:rFonts w:hint="eastAsia" w:eastAsia="宋体"/>
          <w:color w:val="auto"/>
          <w:position w:val="2"/>
          <w:szCs w:val="30"/>
        </w:rPr>
      </w:pPr>
    </w:p>
    <w:p w14:paraId="0937987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29" w:name="_Toc6680"/>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刷新病例数据接口</w:t>
      </w:r>
      <w:bookmarkEnd w:id="229"/>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刷新病例数据接口加密数据明文格式</w:t>
      </w:r>
    </w:p>
    <w:tbl>
      <w:tblPr>
        <w:tblStyle w:val="1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0"/>
        <w:gridCol w:w="3134"/>
        <w:gridCol w:w="4188"/>
      </w:tblGrid>
      <w:tr w14:paraId="7C79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tcPr>
          <w:p w14:paraId="2582D2FC">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134" w:type="dxa"/>
          </w:tcPr>
          <w:p w14:paraId="536E5852">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695F5FAC">
            <w:pPr>
              <w:widowControl w:val="0"/>
              <w:tabs>
                <w:tab w:val="left" w:pos="1445"/>
              </w:tabs>
              <w:spacing w:line="360" w:lineRule="auto"/>
              <w:ind w:firstLine="602"/>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7A84B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4D9F10BB">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B1884F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fillerAccount</w:t>
            </w:r>
          </w:p>
        </w:tc>
        <w:tc>
          <w:tcPr>
            <w:tcW w:w="4188" w:type="dxa"/>
            <w:vAlign w:val="center"/>
          </w:tcPr>
          <w:p w14:paraId="098DE77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填报账号</w:t>
            </w:r>
          </w:p>
        </w:tc>
      </w:tr>
      <w:tr w14:paraId="26AF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C5AD292">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C2D30F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mechanismName</w:t>
            </w:r>
          </w:p>
        </w:tc>
        <w:tc>
          <w:tcPr>
            <w:tcW w:w="4188" w:type="dxa"/>
          </w:tcPr>
          <w:p w14:paraId="32E4194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操作单位</w:t>
            </w:r>
          </w:p>
        </w:tc>
      </w:tr>
      <w:tr w14:paraId="6BE0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5A63691">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912F9B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caseCode</w:t>
            </w:r>
          </w:p>
        </w:tc>
        <w:tc>
          <w:tcPr>
            <w:tcW w:w="4188" w:type="dxa"/>
          </w:tcPr>
          <w:p w14:paraId="266F5C3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病例编号</w:t>
            </w:r>
          </w:p>
        </w:tc>
      </w:tr>
      <w:tr w14:paraId="6BBD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12BBF59E">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7FF509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onsetTime</w:t>
            </w:r>
          </w:p>
        </w:tc>
        <w:tc>
          <w:tcPr>
            <w:tcW w:w="4188" w:type="dxa"/>
          </w:tcPr>
          <w:p w14:paraId="43B564A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发病时间</w:t>
            </w:r>
          </w:p>
        </w:tc>
      </w:tr>
      <w:tr w14:paraId="15F2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5A62FAAD">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1E40EF1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treatmentTime</w:t>
            </w:r>
          </w:p>
        </w:tc>
        <w:tc>
          <w:tcPr>
            <w:tcW w:w="4188" w:type="dxa"/>
          </w:tcPr>
          <w:p w14:paraId="411D40B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就诊时间  </w:t>
            </w:r>
          </w:p>
        </w:tc>
      </w:tr>
      <w:tr w14:paraId="3149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1AC5F9B7">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376A3F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deathTime</w:t>
            </w:r>
          </w:p>
        </w:tc>
        <w:tc>
          <w:tcPr>
            <w:tcW w:w="4188" w:type="dxa"/>
          </w:tcPr>
          <w:p w14:paraId="7454A2A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死亡时间</w:t>
            </w:r>
          </w:p>
        </w:tc>
      </w:tr>
      <w:tr w14:paraId="2C81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91129BF">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5FA0252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name</w:t>
            </w:r>
          </w:p>
        </w:tc>
        <w:tc>
          <w:tcPr>
            <w:tcW w:w="4188" w:type="dxa"/>
          </w:tcPr>
          <w:p w14:paraId="5E1CE92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患者姓名</w:t>
            </w:r>
          </w:p>
        </w:tc>
      </w:tr>
      <w:tr w14:paraId="365BA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2FC9C66">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E019F7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birthday </w:t>
            </w:r>
          </w:p>
        </w:tc>
        <w:tc>
          <w:tcPr>
            <w:tcW w:w="4188" w:type="dxa"/>
          </w:tcPr>
          <w:p w14:paraId="6429B88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出生日期</w:t>
            </w:r>
          </w:p>
        </w:tc>
      </w:tr>
      <w:tr w14:paraId="5822B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0" w:type="dxa"/>
            <w:vAlign w:val="center"/>
          </w:tcPr>
          <w:p w14:paraId="1302A05A">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079980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gender</w:t>
            </w:r>
          </w:p>
        </w:tc>
        <w:tc>
          <w:tcPr>
            <w:tcW w:w="4188" w:type="dxa"/>
          </w:tcPr>
          <w:p w14:paraId="76951A0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患者性别</w:t>
            </w:r>
          </w:p>
        </w:tc>
      </w:tr>
      <w:tr w14:paraId="66B2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5173C524">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FE77F4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profession</w:t>
            </w:r>
          </w:p>
        </w:tc>
        <w:tc>
          <w:tcPr>
            <w:tcW w:w="4188" w:type="dxa"/>
          </w:tcPr>
          <w:p w14:paraId="2DE7F3C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患者职业 具体职业类型见附录</w:t>
            </w:r>
          </w:p>
        </w:tc>
      </w:tr>
      <w:tr w14:paraId="67EA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113050A">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C84FC6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phone</w:t>
            </w:r>
          </w:p>
        </w:tc>
        <w:tc>
          <w:tcPr>
            <w:tcW w:w="4188" w:type="dxa"/>
          </w:tcPr>
          <w:p w14:paraId="6B60C29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联系电话 </w:t>
            </w:r>
          </w:p>
        </w:tc>
      </w:tr>
      <w:tr w14:paraId="31C7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4946AC3">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47416DF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isHospitalized</w:t>
            </w:r>
          </w:p>
        </w:tc>
        <w:tc>
          <w:tcPr>
            <w:tcW w:w="4188" w:type="dxa"/>
          </w:tcPr>
          <w:p w14:paraId="31E3523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是否住院</w:t>
            </w:r>
          </w:p>
        </w:tc>
      </w:tr>
      <w:tr w14:paraId="32C2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1D09E4D">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FABBC1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hospitalNum </w:t>
            </w:r>
          </w:p>
        </w:tc>
        <w:tc>
          <w:tcPr>
            <w:tcW w:w="4188" w:type="dxa"/>
          </w:tcPr>
          <w:p w14:paraId="4BBCF2B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住院号（住院是的话必填） </w:t>
            </w:r>
          </w:p>
        </w:tc>
      </w:tr>
      <w:tr w14:paraId="1745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1434F9C">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62F533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workUnity</w:t>
            </w:r>
          </w:p>
        </w:tc>
        <w:tc>
          <w:tcPr>
            <w:tcW w:w="4188" w:type="dxa"/>
          </w:tcPr>
          <w:p w14:paraId="2953D08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患者工作单位或学校</w:t>
            </w:r>
          </w:p>
        </w:tc>
      </w:tr>
      <w:tr w14:paraId="3215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5C95F9DD">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09ACB1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belongsType</w:t>
            </w:r>
          </w:p>
        </w:tc>
        <w:tc>
          <w:tcPr>
            <w:tcW w:w="4188" w:type="dxa"/>
          </w:tcPr>
          <w:p w14:paraId="3215F12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患者属于</w:t>
            </w:r>
          </w:p>
        </w:tc>
      </w:tr>
      <w:tr w14:paraId="780B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40716DB8">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8B0CA3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nowProvinceName </w:t>
            </w:r>
          </w:p>
        </w:tc>
        <w:tc>
          <w:tcPr>
            <w:tcW w:w="4188" w:type="dxa"/>
          </w:tcPr>
          <w:p w14:paraId="4B44F42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现居省名称</w:t>
            </w:r>
          </w:p>
        </w:tc>
      </w:tr>
      <w:tr w14:paraId="0A31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64270A93">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85159F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nowCityName</w:t>
            </w:r>
          </w:p>
        </w:tc>
        <w:tc>
          <w:tcPr>
            <w:tcW w:w="4188" w:type="dxa"/>
          </w:tcPr>
          <w:p w14:paraId="3C3D92A6">
            <w:pPr>
              <w:widowControl w:val="0"/>
              <w:tabs>
                <w:tab w:val="left" w:pos="1445"/>
              </w:tabs>
              <w:spacing w:line="360" w:lineRule="auto"/>
              <w:ind w:firstLine="600"/>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现居市名称 </w:t>
            </w:r>
          </w:p>
        </w:tc>
      </w:tr>
      <w:tr w14:paraId="12A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0" w:type="dxa"/>
            <w:vAlign w:val="center"/>
          </w:tcPr>
          <w:p w14:paraId="4A7CD681">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48CDDE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nowAreaName</w:t>
            </w:r>
          </w:p>
        </w:tc>
        <w:tc>
          <w:tcPr>
            <w:tcW w:w="4188" w:type="dxa"/>
          </w:tcPr>
          <w:p w14:paraId="5C360F2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现居区名称 </w:t>
            </w:r>
          </w:p>
        </w:tc>
      </w:tr>
      <w:tr w14:paraId="5181E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6940876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FB3C10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adress</w:t>
            </w:r>
          </w:p>
        </w:tc>
        <w:tc>
          <w:tcPr>
            <w:tcW w:w="4188" w:type="dxa"/>
          </w:tcPr>
          <w:p w14:paraId="515C6AC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现居地址</w:t>
            </w:r>
          </w:p>
        </w:tc>
      </w:tr>
      <w:tr w14:paraId="01D6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759FFF5">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448783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identity</w:t>
            </w:r>
          </w:p>
        </w:tc>
        <w:tc>
          <w:tcPr>
            <w:tcW w:w="4188" w:type="dxa"/>
          </w:tcPr>
          <w:p w14:paraId="7A352EB6">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身份证号 </w:t>
            </w:r>
          </w:p>
        </w:tc>
      </w:tr>
      <w:tr w14:paraId="34FC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B07B5F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46148FE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socialCode</w:t>
            </w:r>
          </w:p>
        </w:tc>
        <w:tc>
          <w:tcPr>
            <w:tcW w:w="4188" w:type="dxa"/>
          </w:tcPr>
          <w:p w14:paraId="528CBB3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社保号</w:t>
            </w:r>
          </w:p>
        </w:tc>
      </w:tr>
      <w:tr w14:paraId="415D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CA2BE3D">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59664D0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guardian</w:t>
            </w:r>
          </w:p>
        </w:tc>
        <w:tc>
          <w:tcPr>
            <w:tcW w:w="4188" w:type="dxa"/>
          </w:tcPr>
          <w:p w14:paraId="442A96D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监护人姓名 </w:t>
            </w:r>
          </w:p>
        </w:tc>
      </w:tr>
      <w:tr w14:paraId="0D43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D63376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F530CC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clinicNumber</w:t>
            </w:r>
          </w:p>
        </w:tc>
        <w:tc>
          <w:tcPr>
            <w:tcW w:w="4188" w:type="dxa"/>
          </w:tcPr>
          <w:p w14:paraId="1DD4962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门诊号</w:t>
            </w:r>
          </w:p>
        </w:tc>
      </w:tr>
      <w:tr w14:paraId="3457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4E3B6CD4">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EE3873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isFollowup</w:t>
            </w:r>
          </w:p>
        </w:tc>
        <w:tc>
          <w:tcPr>
            <w:tcW w:w="4188" w:type="dxa"/>
          </w:tcPr>
          <w:p w14:paraId="74D6805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是否复诊</w:t>
            </w:r>
          </w:p>
        </w:tc>
      </w:tr>
      <w:tr w14:paraId="6201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375649B">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F6CAEB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hasAntibiotics</w:t>
            </w:r>
          </w:p>
        </w:tc>
        <w:tc>
          <w:tcPr>
            <w:tcW w:w="4188" w:type="dxa"/>
          </w:tcPr>
          <w:p w14:paraId="29D0CAB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是否服用抗生素</w:t>
            </w:r>
          </w:p>
        </w:tc>
      </w:tr>
      <w:tr w14:paraId="0D86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5A6327F1">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9B4BAD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antibioticsName</w:t>
            </w:r>
          </w:p>
        </w:tc>
        <w:tc>
          <w:tcPr>
            <w:tcW w:w="4188" w:type="dxa"/>
          </w:tcPr>
          <w:p w14:paraId="3504DBB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抗生素名称（服用的话必填） </w:t>
            </w:r>
          </w:p>
        </w:tc>
      </w:tr>
      <w:tr w14:paraId="5CC0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463AD75">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79FADB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isFood</w:t>
            </w:r>
          </w:p>
        </w:tc>
        <w:tc>
          <w:tcPr>
            <w:tcW w:w="4188" w:type="dxa"/>
          </w:tcPr>
          <w:p w14:paraId="700E375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是否怀疑食物引起</w:t>
            </w:r>
          </w:p>
        </w:tc>
      </w:tr>
      <w:tr w14:paraId="2FC31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E614620">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41BA39A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otherExposures</w:t>
            </w:r>
          </w:p>
        </w:tc>
        <w:tc>
          <w:tcPr>
            <w:tcW w:w="4188" w:type="dxa"/>
          </w:tcPr>
          <w:p w14:paraId="457328C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发病前一周其他暴露情况 </w:t>
            </w:r>
          </w:p>
        </w:tc>
      </w:tr>
      <w:tr w14:paraId="2E817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5C0FDA4">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3302EB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filler</w:t>
            </w:r>
          </w:p>
        </w:tc>
        <w:tc>
          <w:tcPr>
            <w:tcW w:w="4188" w:type="dxa"/>
          </w:tcPr>
          <w:p w14:paraId="058F8F5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填表人</w:t>
            </w:r>
          </w:p>
        </w:tc>
      </w:tr>
      <w:tr w14:paraId="2A9A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1A9C92F2">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E9B6C4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fillTime</w:t>
            </w:r>
          </w:p>
        </w:tc>
        <w:tc>
          <w:tcPr>
            <w:tcW w:w="4188" w:type="dxa"/>
          </w:tcPr>
          <w:p w14:paraId="437D886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填写时间</w:t>
            </w:r>
          </w:p>
        </w:tc>
      </w:tr>
      <w:tr w14:paraId="475C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843216F">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1F39630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foodHistoryList</w:t>
            </w:r>
          </w:p>
        </w:tc>
        <w:tc>
          <w:tcPr>
            <w:tcW w:w="4188" w:type="dxa"/>
          </w:tcPr>
          <w:p w14:paraId="305F74B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饮食史列表</w:t>
            </w:r>
          </w:p>
        </w:tc>
      </w:tr>
      <w:tr w14:paraId="32AA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179A83C">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1FCFAE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foodName  </w:t>
            </w:r>
          </w:p>
        </w:tc>
        <w:tc>
          <w:tcPr>
            <w:tcW w:w="4188" w:type="dxa"/>
          </w:tcPr>
          <w:p w14:paraId="760236B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食物名称</w:t>
            </w:r>
          </w:p>
        </w:tc>
      </w:tr>
      <w:tr w14:paraId="60EA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60B4C4B">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38FB72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foodType</w:t>
            </w:r>
          </w:p>
        </w:tc>
        <w:tc>
          <w:tcPr>
            <w:tcW w:w="4188" w:type="dxa"/>
          </w:tcPr>
          <w:p w14:paraId="3409A87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食物类型</w:t>
            </w:r>
          </w:p>
        </w:tc>
      </w:tr>
      <w:tr w14:paraId="202D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EDEEBB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CEAAA1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w:t>
            </w:r>
          </w:p>
        </w:tc>
        <w:tc>
          <w:tcPr>
            <w:tcW w:w="4188" w:type="dxa"/>
          </w:tcPr>
          <w:p w14:paraId="1A2DD6B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进食场所 具体进食场所见附录   </w:t>
            </w:r>
            <w:r>
              <w:rPr>
                <w:rFonts w:hint="eastAsia" w:ascii="宋体" w:hAnsi="宋体" w:eastAsia="宋体" w:cs="宋体"/>
                <w:color w:val="auto"/>
                <w:position w:val="2"/>
                <w:szCs w:val="30"/>
              </w:rPr>
              <w:tab/>
            </w:r>
          </w:p>
        </w:tc>
      </w:tr>
      <w:tr w14:paraId="6C70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62FAE326">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8BD135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processingType</w:t>
            </w:r>
          </w:p>
        </w:tc>
        <w:tc>
          <w:tcPr>
            <w:tcW w:w="4188" w:type="dxa"/>
          </w:tcPr>
          <w:p w14:paraId="2DF37B5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加工或包装方式</w:t>
            </w:r>
          </w:p>
        </w:tc>
      </w:tr>
      <w:tr w14:paraId="40DF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4072EB7D">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2B87A8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eatingTime</w:t>
            </w:r>
          </w:p>
        </w:tc>
        <w:tc>
          <w:tcPr>
            <w:tcW w:w="4188" w:type="dxa"/>
          </w:tcPr>
          <w:p w14:paraId="6B5E7B0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进食时间</w:t>
            </w:r>
          </w:p>
        </w:tc>
      </w:tr>
      <w:tr w14:paraId="6B42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9E0FEB7">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19189B8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togetherNumber</w:t>
            </w:r>
          </w:p>
        </w:tc>
        <w:tc>
          <w:tcPr>
            <w:tcW w:w="4188" w:type="dxa"/>
          </w:tcPr>
          <w:p w14:paraId="4BE2EE6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共同进食人数  </w:t>
            </w:r>
          </w:p>
        </w:tc>
      </w:tr>
      <w:tr w14:paraId="5B3D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B7BC86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962A3D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otherSick</w:t>
            </w:r>
          </w:p>
        </w:tc>
        <w:tc>
          <w:tcPr>
            <w:tcW w:w="4188" w:type="dxa"/>
          </w:tcPr>
          <w:p w14:paraId="437B6F6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其他人是否发病 </w:t>
            </w:r>
          </w:p>
        </w:tc>
      </w:tr>
      <w:tr w14:paraId="15F9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EC61C04">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1AF196D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isSampling</w:t>
            </w:r>
          </w:p>
        </w:tc>
        <w:tc>
          <w:tcPr>
            <w:tcW w:w="4188" w:type="dxa"/>
          </w:tcPr>
          <w:p w14:paraId="2874B4B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是否采样</w:t>
            </w:r>
          </w:p>
        </w:tc>
      </w:tr>
      <w:tr w14:paraId="0956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666930B">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5F9C6B0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eatingPlaceType</w:t>
            </w:r>
          </w:p>
        </w:tc>
        <w:tc>
          <w:tcPr>
            <w:tcW w:w="4188" w:type="dxa"/>
          </w:tcPr>
          <w:p w14:paraId="46E5AAD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进食地点类型 1 国内 2 国外</w:t>
            </w:r>
          </w:p>
        </w:tc>
      </w:tr>
      <w:tr w14:paraId="7DF0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72450700">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5459E72C">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eatingPlaceProvinceName</w:t>
            </w:r>
          </w:p>
        </w:tc>
        <w:tc>
          <w:tcPr>
            <w:tcW w:w="4188" w:type="dxa"/>
          </w:tcPr>
          <w:p w14:paraId="29471AF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进食地点省名称</w:t>
            </w:r>
          </w:p>
        </w:tc>
      </w:tr>
      <w:tr w14:paraId="4BD9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44E27570">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7E43950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eatingPlaceCityName  </w:t>
            </w:r>
          </w:p>
        </w:tc>
        <w:tc>
          <w:tcPr>
            <w:tcW w:w="4188" w:type="dxa"/>
          </w:tcPr>
          <w:p w14:paraId="1E3935C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进食地点市名称</w:t>
            </w:r>
          </w:p>
        </w:tc>
      </w:tr>
      <w:tr w14:paraId="0504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EC9A000">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319E09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eatingPlaceAreaName   </w:t>
            </w:r>
          </w:p>
        </w:tc>
        <w:tc>
          <w:tcPr>
            <w:tcW w:w="4188" w:type="dxa"/>
          </w:tcPr>
          <w:p w14:paraId="00503B76">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进食地点区名称  </w:t>
            </w:r>
          </w:p>
        </w:tc>
      </w:tr>
      <w:tr w14:paraId="150B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77A02E2">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04EF8C8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eatingPlaceAddress</w:t>
            </w:r>
          </w:p>
        </w:tc>
        <w:tc>
          <w:tcPr>
            <w:tcW w:w="4188" w:type="dxa"/>
          </w:tcPr>
          <w:p w14:paraId="6F79F0E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进食地点地址</w:t>
            </w:r>
          </w:p>
        </w:tc>
      </w:tr>
      <w:tr w14:paraId="278D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9DBBA3E">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68A857A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buyPlace                                   </w:t>
            </w:r>
          </w:p>
        </w:tc>
        <w:tc>
          <w:tcPr>
            <w:tcW w:w="4188" w:type="dxa"/>
          </w:tcPr>
          <w:p w14:paraId="49AE93A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购买场所 具体购买场所见附录</w:t>
            </w:r>
          </w:p>
        </w:tc>
      </w:tr>
      <w:tr w14:paraId="5226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8583DBA">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1B8F773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buyPlaceType</w:t>
            </w:r>
          </w:p>
        </w:tc>
        <w:tc>
          <w:tcPr>
            <w:tcW w:w="4188" w:type="dxa"/>
          </w:tcPr>
          <w:p w14:paraId="00D0B94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购买地点类型 1 国内 2 国外</w:t>
            </w:r>
          </w:p>
        </w:tc>
      </w:tr>
      <w:tr w14:paraId="294D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3E37D989">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DE1C87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buyPlaceProvinceName</w:t>
            </w:r>
          </w:p>
        </w:tc>
        <w:tc>
          <w:tcPr>
            <w:tcW w:w="4188" w:type="dxa"/>
          </w:tcPr>
          <w:p w14:paraId="046CA28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购买地点省名称</w:t>
            </w:r>
          </w:p>
        </w:tc>
      </w:tr>
      <w:tr w14:paraId="660E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A6B51E0">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32924EF3">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buyPlaceCityName</w:t>
            </w:r>
          </w:p>
        </w:tc>
        <w:tc>
          <w:tcPr>
            <w:tcW w:w="4188" w:type="dxa"/>
          </w:tcPr>
          <w:p w14:paraId="3DE282B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购买地点市名称</w:t>
            </w:r>
          </w:p>
        </w:tc>
      </w:tr>
      <w:tr w14:paraId="21C4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2DC3E224">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467674B7">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buyPlaceAreaName                  </w:t>
            </w:r>
          </w:p>
        </w:tc>
        <w:tc>
          <w:tcPr>
            <w:tcW w:w="4188" w:type="dxa"/>
          </w:tcPr>
          <w:p w14:paraId="35A39FF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购买地点区名称 </w:t>
            </w:r>
          </w:p>
        </w:tc>
      </w:tr>
      <w:tr w14:paraId="063DF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Align w:val="center"/>
          </w:tcPr>
          <w:p w14:paraId="0EE6525E">
            <w:pPr>
              <w:widowControl w:val="0"/>
              <w:numPr>
                <w:ilvl w:val="0"/>
                <w:numId w:val="39"/>
              </w:numPr>
              <w:tabs>
                <w:tab w:val="left" w:pos="1445"/>
              </w:tabs>
              <w:spacing w:line="360" w:lineRule="auto"/>
              <w:ind w:firstLineChars="0"/>
              <w:jc w:val="center"/>
              <w:rPr>
                <w:rFonts w:hint="eastAsia" w:ascii="宋体" w:hAnsi="宋体" w:eastAsia="宋体" w:cs="宋体"/>
                <w:color w:val="auto"/>
                <w:position w:val="2"/>
                <w:szCs w:val="30"/>
              </w:rPr>
            </w:pPr>
          </w:p>
        </w:tc>
        <w:tc>
          <w:tcPr>
            <w:tcW w:w="3134" w:type="dxa"/>
            <w:vAlign w:val="center"/>
          </w:tcPr>
          <w:p w14:paraId="293EC73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buyPlaceAddress</w:t>
            </w:r>
          </w:p>
        </w:tc>
        <w:tc>
          <w:tcPr>
            <w:tcW w:w="4188" w:type="dxa"/>
          </w:tcPr>
          <w:p w14:paraId="3C73EFA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购买地点地址</w:t>
            </w:r>
          </w:p>
        </w:tc>
      </w:tr>
    </w:tbl>
    <w:p w14:paraId="5FAA5D34">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0" w:name="_Toc26313"/>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刷新样本接口</w:t>
      </w:r>
      <w:bookmarkEnd w:id="230"/>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 xml:space="preserve">刷新样本接口加密数据明文格式 </w:t>
      </w:r>
    </w:p>
    <w:tbl>
      <w:tblPr>
        <w:tblStyle w:val="14"/>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3231"/>
        <w:gridCol w:w="4188"/>
      </w:tblGrid>
      <w:tr w14:paraId="2B37E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14:paraId="0DA06C66">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31" w:type="dxa"/>
          </w:tcPr>
          <w:p w14:paraId="790922D5">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32D59F22">
            <w:pPr>
              <w:widowControl w:val="0"/>
              <w:tabs>
                <w:tab w:val="left" w:pos="1445"/>
              </w:tabs>
              <w:spacing w:line="360" w:lineRule="auto"/>
              <w:ind w:firstLine="602"/>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7BD3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075D69D0">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588375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fillerAccount                                      </w:t>
            </w:r>
          </w:p>
        </w:tc>
        <w:tc>
          <w:tcPr>
            <w:tcW w:w="4188" w:type="dxa"/>
            <w:vAlign w:val="center"/>
          </w:tcPr>
          <w:p w14:paraId="1134E07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填报账号</w:t>
            </w:r>
          </w:p>
        </w:tc>
      </w:tr>
      <w:tr w14:paraId="28A2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288AEED6">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A2DFC4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sampleCode      </w:t>
            </w:r>
          </w:p>
        </w:tc>
        <w:tc>
          <w:tcPr>
            <w:tcW w:w="4188" w:type="dxa"/>
          </w:tcPr>
          <w:p w14:paraId="15A4212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样本编号 </w:t>
            </w:r>
          </w:p>
        </w:tc>
      </w:tr>
      <w:tr w14:paraId="35F7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44DF3BAF">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75648AFE">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caseCode                      </w:t>
            </w:r>
          </w:p>
        </w:tc>
        <w:tc>
          <w:tcPr>
            <w:tcW w:w="4188" w:type="dxa"/>
          </w:tcPr>
          <w:p w14:paraId="401B471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病例编号</w:t>
            </w:r>
          </w:p>
        </w:tc>
      </w:tr>
      <w:tr w14:paraId="4763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670DB8A0">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0C9184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sampleType</w:t>
            </w:r>
          </w:p>
        </w:tc>
        <w:tc>
          <w:tcPr>
            <w:tcW w:w="4188" w:type="dxa"/>
          </w:tcPr>
          <w:p w14:paraId="73EF632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样本类型</w:t>
            </w:r>
          </w:p>
        </w:tc>
      </w:tr>
      <w:tr w14:paraId="1B3D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04E5D04B">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CBC083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samplingDate                                  </w:t>
            </w:r>
          </w:p>
        </w:tc>
        <w:tc>
          <w:tcPr>
            <w:tcW w:w="4188" w:type="dxa"/>
          </w:tcPr>
          <w:p w14:paraId="32C7D0F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采样时间</w:t>
            </w:r>
          </w:p>
        </w:tc>
      </w:tr>
      <w:tr w14:paraId="415A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6C6B2C16">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2302159D">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fillUnityCode                                                 </w:t>
            </w:r>
          </w:p>
        </w:tc>
        <w:tc>
          <w:tcPr>
            <w:tcW w:w="4188" w:type="dxa"/>
          </w:tcPr>
          <w:p w14:paraId="407B945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填报单位代码</w:t>
            </w:r>
          </w:p>
        </w:tc>
      </w:tr>
      <w:tr w14:paraId="6C73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693CB03D">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7A58698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fillUnityName</w:t>
            </w:r>
          </w:p>
        </w:tc>
        <w:tc>
          <w:tcPr>
            <w:tcW w:w="4188" w:type="dxa"/>
          </w:tcPr>
          <w:p w14:paraId="65CC920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填报单位名称</w:t>
            </w:r>
          </w:p>
        </w:tc>
      </w:tr>
      <w:tr w14:paraId="7F0F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472C890">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645B41A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checks</w:t>
            </w:r>
          </w:p>
        </w:tc>
        <w:tc>
          <w:tcPr>
            <w:tcW w:w="4188" w:type="dxa"/>
          </w:tcPr>
          <w:p w14:paraId="3F71C10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检测信息</w:t>
            </w:r>
          </w:p>
        </w:tc>
      </w:tr>
      <w:tr w14:paraId="6B21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Align w:val="center"/>
          </w:tcPr>
          <w:p w14:paraId="56865C20">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5FDE350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biologCategory                               </w:t>
            </w:r>
          </w:p>
        </w:tc>
        <w:tc>
          <w:tcPr>
            <w:tcW w:w="4188" w:type="dxa"/>
          </w:tcPr>
          <w:p w14:paraId="0A3A0C8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致病因子分类  </w:t>
            </w:r>
          </w:p>
        </w:tc>
      </w:tr>
      <w:tr w14:paraId="7A73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545C3442">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5BF5A8C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biologType                                     </w:t>
            </w:r>
          </w:p>
        </w:tc>
        <w:tc>
          <w:tcPr>
            <w:tcW w:w="4188" w:type="dxa"/>
          </w:tcPr>
          <w:p w14:paraId="060BFC7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致病因子类型 </w:t>
            </w:r>
          </w:p>
        </w:tc>
      </w:tr>
      <w:tr w14:paraId="03EA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B34099E">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FC39FF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biologDetailType</w:t>
            </w:r>
          </w:p>
        </w:tc>
        <w:tc>
          <w:tcPr>
            <w:tcW w:w="4188" w:type="dxa"/>
          </w:tcPr>
          <w:p w14:paraId="2F89D19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具体的致病因子类型</w:t>
            </w:r>
          </w:p>
        </w:tc>
      </w:tr>
      <w:tr w14:paraId="1592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EDFDB9A">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3EB899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checkDate</w:t>
            </w:r>
          </w:p>
        </w:tc>
        <w:tc>
          <w:tcPr>
            <w:tcW w:w="4188" w:type="dxa"/>
          </w:tcPr>
          <w:p w14:paraId="36E412C6">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检查时间   </w:t>
            </w:r>
          </w:p>
        </w:tc>
      </w:tr>
      <w:tr w14:paraId="6737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0B3FA1B5">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7DAA0C3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checkType</w:t>
            </w:r>
          </w:p>
        </w:tc>
        <w:tc>
          <w:tcPr>
            <w:tcW w:w="4188" w:type="dxa"/>
          </w:tcPr>
          <w:p w14:paraId="520C674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检查方法</w:t>
            </w:r>
          </w:p>
        </w:tc>
      </w:tr>
      <w:tr w14:paraId="1CE9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1316971E">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55B2D74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checkResult</w:t>
            </w:r>
          </w:p>
        </w:tc>
        <w:tc>
          <w:tcPr>
            <w:tcW w:w="4188" w:type="dxa"/>
          </w:tcPr>
          <w:p w14:paraId="2B5D27F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检查结果（-阴性/+阳性）</w:t>
            </w:r>
          </w:p>
        </w:tc>
      </w:tr>
      <w:tr w14:paraId="7CF4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6979A30">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51094F7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quantitativeResults</w:t>
            </w:r>
          </w:p>
        </w:tc>
        <w:tc>
          <w:tcPr>
            <w:tcW w:w="4188" w:type="dxa"/>
          </w:tcPr>
          <w:p w14:paraId="427FDD9E">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定量结果</w:t>
            </w:r>
          </w:p>
        </w:tc>
      </w:tr>
      <w:tr w14:paraId="02082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2182E54C">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69BDB18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unit</w:t>
            </w:r>
          </w:p>
        </w:tc>
        <w:tc>
          <w:tcPr>
            <w:tcW w:w="4188" w:type="dxa"/>
          </w:tcPr>
          <w:p w14:paraId="393BF3F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单位</w:t>
            </w:r>
          </w:p>
        </w:tc>
      </w:tr>
      <w:tr w14:paraId="3DEB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355CE839">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60B50E64">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remark</w:t>
            </w:r>
          </w:p>
        </w:tc>
        <w:tc>
          <w:tcPr>
            <w:tcW w:w="4188" w:type="dxa"/>
          </w:tcPr>
          <w:p w14:paraId="1EBF016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备注</w:t>
            </w:r>
          </w:p>
        </w:tc>
      </w:tr>
      <w:tr w14:paraId="6CA3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488C0D7E">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435504B6">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 strains</w:t>
            </w:r>
          </w:p>
        </w:tc>
        <w:tc>
          <w:tcPr>
            <w:tcW w:w="4188" w:type="dxa"/>
          </w:tcPr>
          <w:p w14:paraId="6FBB758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菌种信息</w:t>
            </w:r>
          </w:p>
        </w:tc>
      </w:tr>
      <w:tr w14:paraId="4F7E0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Align w:val="center"/>
          </w:tcPr>
          <w:p w14:paraId="7ECC4EEE">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2389390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strainNum</w:t>
            </w:r>
          </w:p>
        </w:tc>
        <w:tc>
          <w:tcPr>
            <w:tcW w:w="4188" w:type="dxa"/>
          </w:tcPr>
          <w:p w14:paraId="07DBE22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菌种编号</w:t>
            </w:r>
          </w:p>
        </w:tc>
      </w:tr>
      <w:tr w14:paraId="7CB8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5B5EDD1">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7514D1F">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identification</w:t>
            </w:r>
          </w:p>
        </w:tc>
        <w:tc>
          <w:tcPr>
            <w:tcW w:w="4188" w:type="dxa"/>
          </w:tcPr>
          <w:p w14:paraId="6E8CA71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鉴定方法</w:t>
            </w:r>
          </w:p>
        </w:tc>
      </w:tr>
      <w:tr w14:paraId="1EA0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3586FBE2">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34B82F1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target                     </w:t>
            </w:r>
          </w:p>
        </w:tc>
        <w:tc>
          <w:tcPr>
            <w:tcW w:w="4188" w:type="dxa"/>
          </w:tcPr>
          <w:p w14:paraId="00A6583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基因鉴定目标</w:t>
            </w:r>
          </w:p>
        </w:tc>
      </w:tr>
      <w:tr w14:paraId="078E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2E634689">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5DEC0EE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serumIdentification </w:t>
            </w:r>
          </w:p>
        </w:tc>
        <w:tc>
          <w:tcPr>
            <w:tcW w:w="4188" w:type="dxa"/>
          </w:tcPr>
          <w:p w14:paraId="74BDE0A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血清检测</w:t>
            </w:r>
          </w:p>
        </w:tc>
      </w:tr>
      <w:tr w14:paraId="03B6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291A6B3A">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660DA092">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featureReaction            </w:t>
            </w:r>
          </w:p>
        </w:tc>
        <w:tc>
          <w:tcPr>
            <w:tcW w:w="4188" w:type="dxa"/>
          </w:tcPr>
          <w:p w14:paraId="79A0E90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特征性反应</w:t>
            </w:r>
          </w:p>
        </w:tc>
      </w:tr>
      <w:tr w14:paraId="4BFD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3E50BF76">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A7822C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conclusion</w:t>
            </w:r>
          </w:p>
        </w:tc>
        <w:tc>
          <w:tcPr>
            <w:tcW w:w="4188" w:type="dxa"/>
          </w:tcPr>
          <w:p w14:paraId="5B517E1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鉴定结论</w:t>
            </w:r>
          </w:p>
        </w:tc>
      </w:tr>
      <w:tr w14:paraId="6E3C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7DD13EC7">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1F8D115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checkResult                     </w:t>
            </w:r>
          </w:p>
        </w:tc>
        <w:tc>
          <w:tcPr>
            <w:tcW w:w="4188" w:type="dxa"/>
          </w:tcPr>
          <w:p w14:paraId="6E9825E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检查结果（阴性阳性）</w:t>
            </w:r>
          </w:p>
        </w:tc>
      </w:tr>
      <w:tr w14:paraId="5D9A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vAlign w:val="center"/>
          </w:tcPr>
          <w:p w14:paraId="0EF67429">
            <w:pPr>
              <w:widowControl w:val="0"/>
              <w:numPr>
                <w:ilvl w:val="0"/>
                <w:numId w:val="40"/>
              </w:numPr>
              <w:tabs>
                <w:tab w:val="left" w:pos="1445"/>
              </w:tabs>
              <w:spacing w:line="360" w:lineRule="auto"/>
              <w:ind w:firstLineChars="0"/>
              <w:jc w:val="center"/>
              <w:rPr>
                <w:rFonts w:hint="eastAsia" w:ascii="宋体" w:hAnsi="宋体" w:eastAsia="宋体" w:cs="宋体"/>
                <w:color w:val="auto"/>
                <w:position w:val="2"/>
                <w:szCs w:val="30"/>
              </w:rPr>
            </w:pPr>
          </w:p>
        </w:tc>
        <w:tc>
          <w:tcPr>
            <w:tcW w:w="3231" w:type="dxa"/>
            <w:vAlign w:val="center"/>
          </w:tcPr>
          <w:p w14:paraId="68A467F9">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remark                         </w:t>
            </w:r>
          </w:p>
        </w:tc>
        <w:tc>
          <w:tcPr>
            <w:tcW w:w="4188" w:type="dxa"/>
          </w:tcPr>
          <w:p w14:paraId="19B37FE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备注</w:t>
            </w:r>
          </w:p>
        </w:tc>
      </w:tr>
    </w:tbl>
    <w:p w14:paraId="71067121">
      <w:pPr>
        <w:widowControl w:val="0"/>
        <w:spacing w:line="360" w:lineRule="auto"/>
        <w:ind w:firstLine="600"/>
        <w:rPr>
          <w:rFonts w:hint="eastAsia" w:eastAsia="宋体"/>
          <w:color w:val="auto"/>
          <w:position w:val="2"/>
          <w:szCs w:val="30"/>
        </w:rPr>
      </w:pPr>
    </w:p>
    <w:p w14:paraId="61A1BDA7">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1" w:name="_Toc5516"/>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病例召回</w:t>
      </w:r>
      <w:bookmarkEnd w:id="231"/>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病例召回加密数据明文格式 JSON</w:t>
      </w:r>
    </w:p>
    <w:tbl>
      <w:tblPr>
        <w:tblStyle w:val="14"/>
        <w:tblW w:w="8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3246"/>
        <w:gridCol w:w="4188"/>
      </w:tblGrid>
      <w:tr w14:paraId="788A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14:paraId="388241B7">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46" w:type="dxa"/>
          </w:tcPr>
          <w:p w14:paraId="6A5586A8">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5A580132">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3D62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14:paraId="7797827D">
            <w:pPr>
              <w:widowControl w:val="0"/>
              <w:numPr>
                <w:ilvl w:val="0"/>
                <w:numId w:val="41"/>
              </w:numPr>
              <w:tabs>
                <w:tab w:val="left" w:pos="1445"/>
              </w:tabs>
              <w:spacing w:line="360" w:lineRule="auto"/>
              <w:ind w:firstLineChars="0"/>
              <w:jc w:val="center"/>
              <w:rPr>
                <w:rFonts w:hint="eastAsia" w:ascii="宋体" w:hAnsi="宋体" w:eastAsia="宋体" w:cs="宋体"/>
                <w:color w:val="auto"/>
                <w:position w:val="2"/>
                <w:szCs w:val="30"/>
              </w:rPr>
            </w:pPr>
          </w:p>
        </w:tc>
        <w:tc>
          <w:tcPr>
            <w:tcW w:w="3246" w:type="dxa"/>
            <w:vAlign w:val="center"/>
          </w:tcPr>
          <w:p w14:paraId="35CED015">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caseCode </w:t>
            </w:r>
          </w:p>
        </w:tc>
        <w:tc>
          <w:tcPr>
            <w:tcW w:w="4188" w:type="dxa"/>
            <w:vAlign w:val="center"/>
          </w:tcPr>
          <w:p w14:paraId="6AFB184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病例编号</w:t>
            </w:r>
          </w:p>
        </w:tc>
      </w:tr>
      <w:tr w14:paraId="00AD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14:paraId="27DB3EF2">
            <w:pPr>
              <w:widowControl w:val="0"/>
              <w:numPr>
                <w:ilvl w:val="0"/>
                <w:numId w:val="41"/>
              </w:numPr>
              <w:tabs>
                <w:tab w:val="left" w:pos="1445"/>
              </w:tabs>
              <w:spacing w:line="360" w:lineRule="auto"/>
              <w:ind w:firstLineChars="0"/>
              <w:jc w:val="center"/>
              <w:rPr>
                <w:rFonts w:hint="eastAsia" w:ascii="宋体" w:hAnsi="宋体" w:eastAsia="宋体" w:cs="宋体"/>
                <w:color w:val="auto"/>
                <w:position w:val="2"/>
                <w:szCs w:val="30"/>
              </w:rPr>
            </w:pPr>
          </w:p>
        </w:tc>
        <w:tc>
          <w:tcPr>
            <w:tcW w:w="3246" w:type="dxa"/>
            <w:vAlign w:val="center"/>
          </w:tcPr>
          <w:p w14:paraId="35EA710B">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remark</w:t>
            </w:r>
          </w:p>
        </w:tc>
        <w:tc>
          <w:tcPr>
            <w:tcW w:w="4188" w:type="dxa"/>
          </w:tcPr>
          <w:p w14:paraId="2BB9C91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召回理由</w:t>
            </w:r>
          </w:p>
        </w:tc>
      </w:tr>
    </w:tbl>
    <w:p w14:paraId="0ECE0073">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2" w:name="_Toc19627"/>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疑似事件上报</w:t>
      </w:r>
      <w:bookmarkEnd w:id="232"/>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疑似事件上报加密数据明文格式</w:t>
      </w:r>
    </w:p>
    <w:tbl>
      <w:tblPr>
        <w:tblStyle w:val="1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3209"/>
        <w:gridCol w:w="4188"/>
      </w:tblGrid>
      <w:tr w14:paraId="75AF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tcPr>
          <w:p w14:paraId="76916209">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09" w:type="dxa"/>
          </w:tcPr>
          <w:p w14:paraId="23A20998">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3566636E">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1AE3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2C63D527">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239525A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number</w:t>
            </w:r>
          </w:p>
        </w:tc>
        <w:tc>
          <w:tcPr>
            <w:tcW w:w="4188" w:type="dxa"/>
            <w:vAlign w:val="center"/>
          </w:tcPr>
          <w:p w14:paraId="7F5FE00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事件编号，流水号</w:t>
            </w:r>
          </w:p>
        </w:tc>
      </w:tr>
      <w:tr w14:paraId="20A1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7B953D33">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7E81ED1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eventName</w:t>
            </w:r>
          </w:p>
        </w:tc>
        <w:tc>
          <w:tcPr>
            <w:tcW w:w="4188" w:type="dxa"/>
            <w:vAlign w:val="center"/>
          </w:tcPr>
          <w:p w14:paraId="214D418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事件名称</w:t>
            </w:r>
          </w:p>
        </w:tc>
      </w:tr>
      <w:tr w14:paraId="508C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2535BF3E">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95180B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informationSources</w:t>
            </w:r>
          </w:p>
        </w:tc>
        <w:tc>
          <w:tcPr>
            <w:tcW w:w="4188" w:type="dxa"/>
            <w:vAlign w:val="center"/>
          </w:tcPr>
          <w:p w14:paraId="73534B7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信息来源 1 自查 2 地市通知 3 省通知</w:t>
            </w:r>
          </w:p>
        </w:tc>
      </w:tr>
      <w:tr w14:paraId="44B7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721F4A1F">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548FA7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noticeTime</w:t>
            </w:r>
          </w:p>
        </w:tc>
        <w:tc>
          <w:tcPr>
            <w:tcW w:w="4188" w:type="dxa"/>
            <w:vAlign w:val="center"/>
          </w:tcPr>
          <w:p w14:paraId="31C641F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通知时间</w:t>
            </w:r>
          </w:p>
        </w:tc>
      </w:tr>
      <w:tr w14:paraId="5071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56B3FE70">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68B814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checkTime</w:t>
            </w:r>
          </w:p>
        </w:tc>
        <w:tc>
          <w:tcPr>
            <w:tcW w:w="4188" w:type="dxa"/>
            <w:vAlign w:val="center"/>
          </w:tcPr>
          <w:p w14:paraId="10DC4250">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核实事件</w:t>
            </w:r>
          </w:p>
        </w:tc>
      </w:tr>
      <w:tr w14:paraId="56FE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385D863D">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69D3C1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checkResult</w:t>
            </w:r>
          </w:p>
        </w:tc>
        <w:tc>
          <w:tcPr>
            <w:tcW w:w="4188" w:type="dxa"/>
            <w:vAlign w:val="center"/>
          </w:tcPr>
          <w:p w14:paraId="60AC278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核实结果是否为事件 1 未核实，2 非聚 集 3 事件</w:t>
            </w:r>
          </w:p>
        </w:tc>
      </w:tr>
      <w:tr w14:paraId="1C60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26C43E67">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3DCBB62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notCheckReason</w:t>
            </w:r>
          </w:p>
        </w:tc>
        <w:tc>
          <w:tcPr>
            <w:tcW w:w="4188" w:type="dxa"/>
            <w:vAlign w:val="center"/>
          </w:tcPr>
          <w:p w14:paraId="6E089DE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未能核实原因</w:t>
            </w:r>
          </w:p>
        </w:tc>
      </w:tr>
      <w:tr w14:paraId="6365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10CF0DB3">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56710AA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notCollectionCaseCheckType</w:t>
            </w:r>
          </w:p>
        </w:tc>
        <w:tc>
          <w:tcPr>
            <w:tcW w:w="4188" w:type="dxa"/>
            <w:vAlign w:val="center"/>
          </w:tcPr>
          <w:p w14:paraId="4356E388">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核实为非聚集性病例 原因 1 电话调查 2 现场调研 3 病例信息分析</w:t>
            </w:r>
          </w:p>
        </w:tc>
      </w:tr>
      <w:tr w14:paraId="712A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Align w:val="center"/>
          </w:tcPr>
          <w:p w14:paraId="54AF2B1E">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0E8986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notCollectionCaseReason</w:t>
            </w:r>
          </w:p>
        </w:tc>
        <w:tc>
          <w:tcPr>
            <w:tcW w:w="4188" w:type="dxa"/>
            <w:vAlign w:val="center"/>
          </w:tcPr>
          <w:p w14:paraId="7B7EDC7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非聚集性病例原因</w:t>
            </w:r>
          </w:p>
        </w:tc>
      </w:tr>
      <w:tr w14:paraId="401C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84" w:type="dxa"/>
            <w:vAlign w:val="center"/>
          </w:tcPr>
          <w:p w14:paraId="22442920">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00B2BC9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eventSource</w:t>
            </w:r>
          </w:p>
        </w:tc>
        <w:tc>
          <w:tcPr>
            <w:tcW w:w="4188" w:type="dxa"/>
            <w:vAlign w:val="center"/>
          </w:tcPr>
          <w:p w14:paraId="4781C665">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事件来源 1：病历系统删选 2 其他</w:t>
            </w:r>
          </w:p>
        </w:tc>
      </w:tr>
      <w:tr w14:paraId="19E3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402E5500">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89806CF">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reciveEventReportTime</w:t>
            </w:r>
          </w:p>
        </w:tc>
        <w:tc>
          <w:tcPr>
            <w:tcW w:w="4188" w:type="dxa"/>
            <w:vAlign w:val="center"/>
          </w:tcPr>
          <w:p w14:paraId="312CF659">
            <w:pPr>
              <w:widowControl w:val="0"/>
              <w:tabs>
                <w:tab w:val="left" w:pos="1445"/>
              </w:tabs>
              <w:spacing w:line="360" w:lineRule="auto"/>
              <w:ind w:firstLine="600"/>
              <w:jc w:val="both"/>
              <w:rPr>
                <w:rFonts w:hint="eastAsia" w:ascii="宋体" w:hAnsi="宋体" w:eastAsia="宋体" w:cs="宋体"/>
                <w:color w:val="auto"/>
                <w:position w:val="2"/>
                <w:szCs w:val="30"/>
              </w:rPr>
            </w:pPr>
          </w:p>
        </w:tc>
      </w:tr>
      <w:tr w14:paraId="2C8D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5075ADE1">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CCAB54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eventCheckType</w:t>
            </w:r>
          </w:p>
        </w:tc>
        <w:tc>
          <w:tcPr>
            <w:tcW w:w="4188" w:type="dxa"/>
            <w:vAlign w:val="center"/>
          </w:tcPr>
          <w:p w14:paraId="3B9230C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核实为事件的核实方式 1 电话调查 2 现场调查</w:t>
            </w:r>
          </w:p>
        </w:tc>
      </w:tr>
      <w:tr w14:paraId="4278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1084" w:type="dxa"/>
            <w:vAlign w:val="center"/>
          </w:tcPr>
          <w:p w14:paraId="2BB82512">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3620EB62">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isReportEventSystem</w:t>
            </w:r>
          </w:p>
        </w:tc>
        <w:tc>
          <w:tcPr>
            <w:tcW w:w="4188" w:type="dxa"/>
            <w:vAlign w:val="center"/>
          </w:tcPr>
          <w:p w14:paraId="3A67947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是否上报 1 是 0 否</w:t>
            </w:r>
          </w:p>
        </w:tc>
      </w:tr>
      <w:tr w14:paraId="594D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1084" w:type="dxa"/>
            <w:vAlign w:val="center"/>
          </w:tcPr>
          <w:p w14:paraId="4BB6EC77">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543E8AE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reportNum</w:t>
            </w:r>
          </w:p>
        </w:tc>
        <w:tc>
          <w:tcPr>
            <w:tcW w:w="4188" w:type="dxa"/>
            <w:vAlign w:val="center"/>
          </w:tcPr>
          <w:p w14:paraId="4A12818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上报卡号</w:t>
            </w:r>
          </w:p>
        </w:tc>
      </w:tr>
      <w:tr w14:paraId="44A7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84" w:type="dxa"/>
            <w:vAlign w:val="center"/>
          </w:tcPr>
          <w:p w14:paraId="1CC030D9">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7CBD6DD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content</w:t>
            </w:r>
          </w:p>
        </w:tc>
        <w:tc>
          <w:tcPr>
            <w:tcW w:w="4188" w:type="dxa"/>
            <w:vAlign w:val="center"/>
          </w:tcPr>
          <w:p w14:paraId="68657A64">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未能核实原因，核实为非聚集性原因，爆发事 件流掉情况等</w:t>
            </w:r>
          </w:p>
        </w:tc>
      </w:tr>
      <w:tr w14:paraId="0671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06FFFC65">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3396AC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checkUnitCode</w:t>
            </w:r>
          </w:p>
        </w:tc>
        <w:tc>
          <w:tcPr>
            <w:tcW w:w="4188" w:type="dxa"/>
            <w:vAlign w:val="center"/>
          </w:tcPr>
          <w:p w14:paraId="61392B2B">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单位号</w:t>
            </w:r>
          </w:p>
        </w:tc>
      </w:tr>
      <w:tr w14:paraId="5AA0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491A827D">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0D1D65D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checkUnit</w:t>
            </w:r>
          </w:p>
        </w:tc>
        <w:tc>
          <w:tcPr>
            <w:tcW w:w="4188" w:type="dxa"/>
            <w:vAlign w:val="center"/>
          </w:tcPr>
          <w:p w14:paraId="00280D2C">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单位名称</w:t>
            </w:r>
          </w:p>
        </w:tc>
      </w:tr>
      <w:tr w14:paraId="2163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37C1C689">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8BE0493">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searchReason</w:t>
            </w:r>
          </w:p>
        </w:tc>
        <w:tc>
          <w:tcPr>
            <w:tcW w:w="4188" w:type="dxa"/>
            <w:vAlign w:val="center"/>
          </w:tcPr>
          <w:p w14:paraId="5043E8E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筛选为聚集性病例原因 进食地点/食品/ 工作单位</w:t>
            </w:r>
          </w:p>
        </w:tc>
      </w:tr>
      <w:tr w14:paraId="162B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vAlign w:val="center"/>
          </w:tcPr>
          <w:p w14:paraId="3B68CCFF">
            <w:pPr>
              <w:widowControl w:val="0"/>
              <w:numPr>
                <w:ilvl w:val="0"/>
                <w:numId w:val="42"/>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DE11E1D">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oldUnique</w:t>
            </w:r>
          </w:p>
        </w:tc>
        <w:tc>
          <w:tcPr>
            <w:tcW w:w="4188" w:type="dxa"/>
            <w:vAlign w:val="center"/>
          </w:tcPr>
          <w:p w14:paraId="19E0374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自带的唯一码</w:t>
            </w:r>
          </w:p>
        </w:tc>
      </w:tr>
    </w:tbl>
    <w:p w14:paraId="7107D0B2">
      <w:pPr>
        <w:widowControl w:val="0"/>
        <w:spacing w:line="360" w:lineRule="auto"/>
        <w:ind w:firstLine="600"/>
        <w:rPr>
          <w:rFonts w:hint="eastAsia" w:eastAsia="宋体"/>
          <w:color w:val="auto"/>
          <w:position w:val="2"/>
          <w:szCs w:val="30"/>
        </w:rPr>
      </w:pPr>
    </w:p>
    <w:p w14:paraId="63518882">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3" w:name="_Toc5956"/>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获取事件最新审批记录及状态接口</w:t>
      </w:r>
      <w:bookmarkEnd w:id="233"/>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获取事件最新审批记录及状态加密数据明文格式</w:t>
      </w:r>
    </w:p>
    <w:tbl>
      <w:tblPr>
        <w:tblStyle w:val="1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3209"/>
        <w:gridCol w:w="4188"/>
      </w:tblGrid>
      <w:tr w14:paraId="1CB5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tcPr>
          <w:p w14:paraId="1A65DE2E">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09" w:type="dxa"/>
          </w:tcPr>
          <w:p w14:paraId="25525D34">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0A24A768">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63151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40BF6460">
            <w:pPr>
              <w:widowControl w:val="0"/>
              <w:numPr>
                <w:ilvl w:val="0"/>
                <w:numId w:val="43"/>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353A61A">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codeList </w:t>
            </w:r>
          </w:p>
        </w:tc>
        <w:tc>
          <w:tcPr>
            <w:tcW w:w="4188" w:type="dxa"/>
            <w:vAlign w:val="center"/>
          </w:tcPr>
          <w:p w14:paraId="44366F81">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事件唯一码列表</w:t>
            </w:r>
          </w:p>
        </w:tc>
      </w:tr>
      <w:tr w14:paraId="2FCF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32140C1C">
            <w:pPr>
              <w:widowControl w:val="0"/>
              <w:numPr>
                <w:ilvl w:val="0"/>
                <w:numId w:val="43"/>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4E39CA51">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type</w:t>
            </w:r>
          </w:p>
        </w:tc>
        <w:tc>
          <w:tcPr>
            <w:tcW w:w="4188" w:type="dxa"/>
          </w:tcPr>
          <w:p w14:paraId="78FB0DEA">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数据类型</w:t>
            </w:r>
          </w:p>
        </w:tc>
      </w:tr>
    </w:tbl>
    <w:p w14:paraId="1BC1F5E3">
      <w:pPr>
        <w:widowControl w:val="0"/>
        <w:spacing w:line="360" w:lineRule="auto"/>
        <w:ind w:firstLine="600"/>
        <w:rPr>
          <w:rFonts w:hint="eastAsia" w:eastAsia="宋体"/>
          <w:color w:val="auto"/>
          <w:position w:val="2"/>
          <w:szCs w:val="30"/>
        </w:rPr>
      </w:pPr>
    </w:p>
    <w:p w14:paraId="67CF20AE">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4" w:name="_Toc30985"/>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事件预警接受接口</w:t>
      </w:r>
      <w:bookmarkEnd w:id="234"/>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事件预警接受加密数据明文格式</w:t>
      </w:r>
    </w:p>
    <w:tbl>
      <w:tblPr>
        <w:tblStyle w:val="1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3209"/>
        <w:gridCol w:w="4188"/>
      </w:tblGrid>
      <w:tr w14:paraId="3C37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tcPr>
          <w:p w14:paraId="21EEEA41">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09" w:type="dxa"/>
          </w:tcPr>
          <w:p w14:paraId="3CA92B94">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23B57785">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4941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57247873">
            <w:pPr>
              <w:widowControl w:val="0"/>
              <w:numPr>
                <w:ilvl w:val="0"/>
                <w:numId w:val="44"/>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6FED8648">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fillerAccount </w:t>
            </w:r>
          </w:p>
        </w:tc>
        <w:tc>
          <w:tcPr>
            <w:tcW w:w="4188" w:type="dxa"/>
            <w:vAlign w:val="center"/>
          </w:tcPr>
          <w:p w14:paraId="21978C09">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登录账号</w:t>
            </w:r>
          </w:p>
        </w:tc>
      </w:tr>
    </w:tbl>
    <w:p w14:paraId="53889F14">
      <w:pPr>
        <w:ind w:firstLine="600"/>
        <w:rPr>
          <w:rFonts w:ascii="Times New Roman" w:hAnsi="Times New Roman" w:eastAsia="宋体"/>
          <w:color w:val="auto"/>
          <w:szCs w:val="30"/>
        </w:rPr>
      </w:pPr>
    </w:p>
    <w:p w14:paraId="3985831B">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72" w:firstLineChars="200"/>
        <w:textAlignment w:val="auto"/>
        <w:rPr>
          <w:rFonts w:hint="eastAsia" w:ascii="宋体" w:hAnsi="宋体" w:eastAsia="宋体" w:cs="宋体"/>
          <w:color w:val="auto"/>
          <w:spacing w:val="-2"/>
          <w:lang w:val="en-US" w:eastAsia="zh-CN"/>
        </w:rPr>
      </w:pPr>
      <w:bookmarkStart w:id="235" w:name="_Toc6846"/>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单位根据单位名称获取本单位最新病例编号</w:t>
      </w:r>
      <w:bookmarkEnd w:id="235"/>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获取最新病例编号加密数据明文格式</w:t>
      </w:r>
    </w:p>
    <w:tbl>
      <w:tblPr>
        <w:tblStyle w:val="1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3209"/>
        <w:gridCol w:w="4188"/>
      </w:tblGrid>
      <w:tr w14:paraId="1318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tcPr>
          <w:p w14:paraId="06D2D269">
            <w:pPr>
              <w:widowControl w:val="0"/>
              <w:tabs>
                <w:tab w:val="left" w:pos="1445"/>
              </w:tabs>
              <w:spacing w:line="360" w:lineRule="auto"/>
              <w:ind w:left="0" w:firstLine="0" w:firstLineChars="0"/>
              <w:jc w:val="both"/>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3209" w:type="dxa"/>
          </w:tcPr>
          <w:p w14:paraId="5EB972B8">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字段名</w:t>
            </w:r>
          </w:p>
        </w:tc>
        <w:tc>
          <w:tcPr>
            <w:tcW w:w="4188" w:type="dxa"/>
          </w:tcPr>
          <w:p w14:paraId="016BA4C2">
            <w:pPr>
              <w:widowControl w:val="0"/>
              <w:tabs>
                <w:tab w:val="left" w:pos="1445"/>
              </w:tabs>
              <w:spacing w:line="360" w:lineRule="auto"/>
              <w:ind w:firstLine="602"/>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字段说明</w:t>
            </w:r>
          </w:p>
        </w:tc>
      </w:tr>
      <w:tr w14:paraId="20E3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4" w:type="dxa"/>
            <w:vAlign w:val="center"/>
          </w:tcPr>
          <w:p w14:paraId="11C8690B">
            <w:pPr>
              <w:widowControl w:val="0"/>
              <w:numPr>
                <w:ilvl w:val="0"/>
                <w:numId w:val="45"/>
              </w:numPr>
              <w:tabs>
                <w:tab w:val="left" w:pos="1445"/>
              </w:tabs>
              <w:spacing w:line="360" w:lineRule="auto"/>
              <w:ind w:firstLineChars="0"/>
              <w:jc w:val="center"/>
              <w:rPr>
                <w:rFonts w:hint="eastAsia" w:ascii="宋体" w:hAnsi="宋体" w:eastAsia="宋体" w:cs="宋体"/>
                <w:color w:val="auto"/>
                <w:position w:val="2"/>
                <w:szCs w:val="30"/>
              </w:rPr>
            </w:pPr>
          </w:p>
        </w:tc>
        <w:tc>
          <w:tcPr>
            <w:tcW w:w="3209" w:type="dxa"/>
            <w:vAlign w:val="center"/>
          </w:tcPr>
          <w:p w14:paraId="1ABC7210">
            <w:pPr>
              <w:widowControl w:val="0"/>
              <w:tabs>
                <w:tab w:val="left" w:pos="1445"/>
              </w:tabs>
              <w:spacing w:line="360" w:lineRule="auto"/>
              <w:ind w:firstLine="600"/>
              <w:jc w:val="center"/>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 name</w:t>
            </w:r>
          </w:p>
        </w:tc>
        <w:tc>
          <w:tcPr>
            <w:tcW w:w="4188" w:type="dxa"/>
            <w:vAlign w:val="center"/>
          </w:tcPr>
          <w:p w14:paraId="10A9EBD7">
            <w:pPr>
              <w:widowControl w:val="0"/>
              <w:tabs>
                <w:tab w:val="left" w:pos="1445"/>
              </w:tabs>
              <w:spacing w:line="360" w:lineRule="auto"/>
              <w:ind w:firstLine="60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 xml:space="preserve">单位名称（与外层 name 一致，会做校验 </w:t>
            </w:r>
          </w:p>
        </w:tc>
      </w:tr>
    </w:tbl>
    <w:p w14:paraId="79A9C798">
      <w:pPr>
        <w:ind w:firstLine="600"/>
        <w:rPr>
          <w:rFonts w:ascii="Times New Roman" w:hAnsi="Times New Roman" w:eastAsia="宋体"/>
          <w:color w:val="auto"/>
          <w:szCs w:val="30"/>
        </w:rPr>
      </w:pPr>
    </w:p>
    <w:p w14:paraId="07C80A63">
      <w:pPr>
        <w:pStyle w:val="24"/>
        <w:numPr>
          <w:ilvl w:val="3"/>
          <w:numId w:val="35"/>
        </w:numPr>
        <w:tabs>
          <w:tab w:val="left" w:pos="2321"/>
        </w:tabs>
        <w:spacing w:before="161"/>
        <w:ind w:left="425" w:leftChars="0" w:firstLine="0" w:firstLineChars="0"/>
        <w:rPr>
          <w:b/>
          <w:color w:val="auto"/>
          <w:spacing w:val="-2"/>
          <w:sz w:val="24"/>
        </w:rPr>
      </w:pPr>
      <w:bookmarkStart w:id="236" w:name="_Toc32135"/>
      <w:r>
        <w:rPr>
          <w:rFonts w:hint="eastAsia"/>
          <w:b/>
          <w:color w:val="auto"/>
          <w:spacing w:val="-2"/>
          <w:sz w:val="24"/>
        </w:rPr>
        <w:t>传染病上报接口对接</w:t>
      </w:r>
      <w:bookmarkEnd w:id="236"/>
    </w:p>
    <w:p w14:paraId="380759AB">
      <w:pPr>
        <w:pStyle w:val="4"/>
        <w:spacing w:line="364" w:lineRule="auto"/>
        <w:ind w:right="350" w:firstLine="479"/>
        <w:rPr>
          <w:rFonts w:hint="eastAsia" w:ascii="宋体" w:hAnsi="宋体" w:eastAsia="宋体" w:cs="宋体"/>
          <w:color w:val="auto"/>
          <w:spacing w:val="-2"/>
          <w:lang w:val="en-US" w:eastAsia="zh-CN"/>
        </w:rPr>
      </w:pPr>
      <w:bookmarkStart w:id="237" w:name="_Toc26272"/>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传染病信息获取校验接口</w:t>
      </w:r>
      <w:bookmarkEnd w:id="237"/>
      <w:bookmarkStart w:id="238" w:name="_Toc5705"/>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接口入参</w:t>
      </w:r>
      <w:bookmarkEnd w:id="238"/>
      <w:bookmarkStart w:id="239" w:name="_Toc7319"/>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用户登录信息</w:t>
      </w:r>
      <w:bookmarkEnd w:id="239"/>
    </w:p>
    <w:tbl>
      <w:tblPr>
        <w:tblStyle w:val="14"/>
        <w:tblW w:w="8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1244"/>
        <w:gridCol w:w="1096"/>
        <w:gridCol w:w="1232"/>
        <w:gridCol w:w="1272"/>
        <w:gridCol w:w="2484"/>
      </w:tblGrid>
      <w:tr w14:paraId="19A6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1" w:type="dxa"/>
            <w:vAlign w:val="center"/>
          </w:tcPr>
          <w:p w14:paraId="51F4522D">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244" w:type="dxa"/>
            <w:vAlign w:val="center"/>
          </w:tcPr>
          <w:p w14:paraId="0378F66F">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096" w:type="dxa"/>
            <w:vAlign w:val="center"/>
          </w:tcPr>
          <w:p w14:paraId="3822AEF6">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232" w:type="dxa"/>
            <w:vAlign w:val="center"/>
          </w:tcPr>
          <w:p w14:paraId="2D112A3B">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272" w:type="dxa"/>
            <w:vAlign w:val="center"/>
          </w:tcPr>
          <w:p w14:paraId="763FFD60">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2484" w:type="dxa"/>
            <w:vAlign w:val="center"/>
          </w:tcPr>
          <w:p w14:paraId="7E06E5FE">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10DB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1" w:type="dxa"/>
            <w:vAlign w:val="center"/>
          </w:tcPr>
          <w:p w14:paraId="335187A1">
            <w:pPr>
              <w:widowControl w:val="0"/>
              <w:numPr>
                <w:ilvl w:val="0"/>
                <w:numId w:val="46"/>
              </w:numPr>
              <w:tabs>
                <w:tab w:val="left" w:pos="1445"/>
              </w:tabs>
              <w:spacing w:line="360" w:lineRule="auto"/>
              <w:ind w:firstLineChars="0"/>
              <w:jc w:val="center"/>
              <w:rPr>
                <w:rFonts w:hint="eastAsia" w:ascii="宋体" w:hAnsi="宋体" w:eastAsia="宋体" w:cs="宋体"/>
                <w:color w:val="auto"/>
                <w:position w:val="2"/>
                <w:szCs w:val="30"/>
              </w:rPr>
            </w:pPr>
          </w:p>
        </w:tc>
        <w:tc>
          <w:tcPr>
            <w:tcW w:w="1244" w:type="dxa"/>
            <w:shd w:val="clear" w:color="auto" w:fill="auto"/>
            <w:vAlign w:val="center"/>
          </w:tcPr>
          <w:p w14:paraId="2E9ABC76">
            <w:pPr>
              <w:widowControl w:val="0"/>
              <w:tabs>
                <w:tab w:val="left" w:pos="1445"/>
              </w:tabs>
              <w:spacing w:line="360" w:lineRule="auto"/>
              <w:ind w:firstLine="600"/>
              <w:jc w:val="center"/>
              <w:rPr>
                <w:rFonts w:hint="eastAsia" w:ascii="宋体" w:hAnsi="宋体" w:eastAsia="宋体" w:cs="宋体"/>
                <w:color w:val="auto"/>
                <w:position w:val="2"/>
                <w:szCs w:val="30"/>
              </w:rPr>
            </w:pPr>
          </w:p>
        </w:tc>
        <w:tc>
          <w:tcPr>
            <w:tcW w:w="1096" w:type="dxa"/>
            <w:shd w:val="clear" w:color="auto" w:fill="auto"/>
            <w:vAlign w:val="center"/>
          </w:tcPr>
          <w:p w14:paraId="716D27E5">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1..1</w:t>
            </w:r>
          </w:p>
        </w:tc>
        <w:tc>
          <w:tcPr>
            <w:tcW w:w="1232" w:type="dxa"/>
            <w:shd w:val="clear" w:color="auto" w:fill="auto"/>
            <w:vAlign w:val="center"/>
          </w:tcPr>
          <w:p w14:paraId="2BB6F982">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用户登录信息</w:t>
            </w:r>
          </w:p>
        </w:tc>
        <w:tc>
          <w:tcPr>
            <w:tcW w:w="1272" w:type="dxa"/>
            <w:shd w:val="clear" w:color="auto" w:fill="auto"/>
            <w:vAlign w:val="center"/>
          </w:tcPr>
          <w:p w14:paraId="76480B24">
            <w:pPr>
              <w:widowControl w:val="0"/>
              <w:tabs>
                <w:tab w:val="left" w:pos="1445"/>
              </w:tabs>
              <w:spacing w:line="360" w:lineRule="auto"/>
              <w:ind w:firstLine="600"/>
              <w:jc w:val="center"/>
              <w:rPr>
                <w:rFonts w:hint="eastAsia" w:ascii="宋体" w:hAnsi="宋体" w:eastAsia="宋体" w:cs="宋体"/>
                <w:color w:val="auto"/>
                <w:position w:val="2"/>
                <w:szCs w:val="30"/>
              </w:rPr>
            </w:pPr>
          </w:p>
        </w:tc>
        <w:tc>
          <w:tcPr>
            <w:tcW w:w="2484" w:type="dxa"/>
            <w:shd w:val="clear" w:color="auto" w:fill="auto"/>
            <w:vAlign w:val="center"/>
          </w:tcPr>
          <w:p w14:paraId="31D51472">
            <w:pPr>
              <w:widowControl w:val="0"/>
              <w:tabs>
                <w:tab w:val="left" w:pos="1445"/>
              </w:tabs>
              <w:spacing w:line="360" w:lineRule="auto"/>
              <w:ind w:firstLine="600"/>
              <w:rPr>
                <w:rFonts w:hint="eastAsia" w:ascii="宋体" w:hAnsi="宋体" w:eastAsia="宋体" w:cs="宋体"/>
                <w:color w:val="auto"/>
                <w:position w:val="2"/>
                <w:szCs w:val="30"/>
              </w:rPr>
            </w:pPr>
          </w:p>
        </w:tc>
      </w:tr>
      <w:tr w14:paraId="5D8EC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1" w:type="dxa"/>
            <w:vAlign w:val="center"/>
          </w:tcPr>
          <w:p w14:paraId="1F6F042B">
            <w:pPr>
              <w:widowControl w:val="0"/>
              <w:numPr>
                <w:ilvl w:val="0"/>
                <w:numId w:val="46"/>
              </w:numPr>
              <w:tabs>
                <w:tab w:val="left" w:pos="1445"/>
              </w:tabs>
              <w:spacing w:line="360" w:lineRule="auto"/>
              <w:ind w:firstLineChars="0"/>
              <w:jc w:val="center"/>
              <w:rPr>
                <w:rFonts w:hint="eastAsia" w:ascii="宋体" w:hAnsi="宋体" w:eastAsia="宋体" w:cs="宋体"/>
                <w:color w:val="auto"/>
                <w:position w:val="2"/>
                <w:szCs w:val="30"/>
              </w:rPr>
            </w:pPr>
          </w:p>
        </w:tc>
        <w:tc>
          <w:tcPr>
            <w:tcW w:w="1244" w:type="dxa"/>
            <w:shd w:val="clear" w:color="auto" w:fill="auto"/>
            <w:vAlign w:val="center"/>
          </w:tcPr>
          <w:p w14:paraId="5BEDAB88">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szCs w:val="30"/>
              </w:rPr>
              <w:t xml:space="preserve">|-- </w:t>
            </w:r>
            <w:r>
              <w:rPr>
                <w:rFonts w:hint="eastAsia" w:ascii="宋体" w:hAnsi="宋体" w:eastAsia="宋体" w:cs="宋体"/>
                <w:color w:val="auto"/>
                <w:position w:val="2"/>
                <w:szCs w:val="30"/>
              </w:rPr>
              <w:t>CaseData</w:t>
            </w:r>
          </w:p>
        </w:tc>
        <w:tc>
          <w:tcPr>
            <w:tcW w:w="1096" w:type="dxa"/>
            <w:shd w:val="clear" w:color="auto" w:fill="auto"/>
            <w:vAlign w:val="center"/>
          </w:tcPr>
          <w:p w14:paraId="1C95C338">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1..1</w:t>
            </w:r>
          </w:p>
        </w:tc>
        <w:tc>
          <w:tcPr>
            <w:tcW w:w="1232" w:type="dxa"/>
            <w:shd w:val="clear" w:color="auto" w:fill="auto"/>
            <w:vAlign w:val="center"/>
          </w:tcPr>
          <w:p w14:paraId="22534253">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入参数据</w:t>
            </w:r>
          </w:p>
        </w:tc>
        <w:tc>
          <w:tcPr>
            <w:tcW w:w="1272" w:type="dxa"/>
            <w:shd w:val="clear" w:color="auto" w:fill="auto"/>
            <w:vAlign w:val="center"/>
          </w:tcPr>
          <w:p w14:paraId="30EC45FA">
            <w:pPr>
              <w:widowControl w:val="0"/>
              <w:tabs>
                <w:tab w:val="left" w:pos="1445"/>
              </w:tabs>
              <w:spacing w:line="360" w:lineRule="auto"/>
              <w:ind w:left="0" w:firstLine="0" w:firstLineChars="0"/>
              <w:jc w:val="both"/>
              <w:rPr>
                <w:rFonts w:hint="eastAsia" w:ascii="宋体" w:hAnsi="宋体" w:eastAsia="宋体" w:cs="宋体"/>
                <w:color w:val="auto"/>
                <w:position w:val="2"/>
                <w:szCs w:val="30"/>
              </w:rPr>
            </w:pPr>
            <w:r>
              <w:rPr>
                <w:rFonts w:hint="eastAsia" w:ascii="宋体" w:hAnsi="宋体" w:eastAsia="宋体" w:cs="宋体"/>
                <w:color w:val="auto"/>
                <w:position w:val="2"/>
                <w:szCs w:val="30"/>
              </w:rPr>
              <w:t>AN..4000</w:t>
            </w:r>
          </w:p>
        </w:tc>
        <w:tc>
          <w:tcPr>
            <w:tcW w:w="2484" w:type="dxa"/>
            <w:shd w:val="clear" w:color="auto" w:fill="auto"/>
            <w:vAlign w:val="center"/>
          </w:tcPr>
          <w:p w14:paraId="0A5C92DA">
            <w:pPr>
              <w:widowControl w:val="0"/>
              <w:tabs>
                <w:tab w:val="left" w:pos="1445"/>
              </w:tabs>
              <w:spacing w:line="360" w:lineRule="auto"/>
              <w:ind w:left="0" w:firstLine="0" w:firstLineChars="0"/>
              <w:rPr>
                <w:rFonts w:hint="eastAsia" w:ascii="宋体" w:hAnsi="宋体" w:eastAsia="宋体" w:cs="宋体"/>
                <w:color w:val="auto"/>
                <w:position w:val="2"/>
                <w:szCs w:val="30"/>
              </w:rPr>
            </w:pPr>
            <w:r>
              <w:rPr>
                <w:rFonts w:hint="eastAsia" w:ascii="宋体" w:hAnsi="宋体" w:eastAsia="宋体" w:cs="宋体"/>
                <w:color w:val="auto"/>
                <w:position w:val="2"/>
                <w:szCs w:val="30"/>
              </w:rPr>
              <w:t>必填</w:t>
            </w:r>
          </w:p>
          <w:p w14:paraId="7B352CE8">
            <w:pPr>
              <w:widowControl w:val="0"/>
              <w:tabs>
                <w:tab w:val="left" w:pos="1445"/>
              </w:tabs>
              <w:spacing w:line="360" w:lineRule="auto"/>
              <w:ind w:left="0" w:firstLine="0" w:firstLineChars="0"/>
              <w:rPr>
                <w:rFonts w:hint="eastAsia" w:ascii="宋体" w:hAnsi="宋体" w:eastAsia="宋体" w:cs="宋体"/>
                <w:color w:val="auto"/>
                <w:position w:val="2"/>
                <w:szCs w:val="30"/>
              </w:rPr>
            </w:pPr>
            <w:r>
              <w:rPr>
                <w:rFonts w:hint="eastAsia" w:ascii="宋体" w:hAnsi="宋体" w:eastAsia="宋体" w:cs="宋体"/>
                <w:color w:val="auto"/>
                <w:position w:val="2"/>
                <w:szCs w:val="30"/>
              </w:rPr>
              <w:t>个人基本信息随传染病病例报告信息上报时要求：入参数据不能为空；</w:t>
            </w:r>
          </w:p>
        </w:tc>
      </w:tr>
    </w:tbl>
    <w:p w14:paraId="76744F2B">
      <w:pPr>
        <w:rPr>
          <w:rFonts w:hint="default" w:ascii="宋体" w:hAnsi="宋体" w:eastAsia="宋体" w:cs="宋体"/>
          <w:color w:val="auto"/>
          <w:spacing w:val="-2"/>
          <w:lang w:val="en-US" w:eastAsia="zh-CN"/>
        </w:rPr>
      </w:pPr>
      <w:r>
        <w:rPr>
          <w:rFonts w:hint="default" w:ascii="宋体" w:hAnsi="宋体" w:eastAsia="宋体" w:cs="宋体"/>
          <w:color w:val="auto"/>
          <w:spacing w:val="-2"/>
          <w:lang w:val="en-US" w:eastAsia="zh-CN"/>
        </w:rPr>
        <w:br w:type="page"/>
      </w:r>
    </w:p>
    <w:p w14:paraId="6376D09A">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附加信息</w:t>
      </w:r>
    </w:p>
    <w:tbl>
      <w:tblPr>
        <w:tblStyle w:val="14"/>
        <w:tblW w:w="8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1260"/>
        <w:gridCol w:w="1169"/>
        <w:gridCol w:w="1436"/>
        <w:gridCol w:w="1332"/>
        <w:gridCol w:w="1979"/>
      </w:tblGrid>
      <w:tr w14:paraId="37FE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7DF2C796">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260" w:type="dxa"/>
            <w:vAlign w:val="center"/>
          </w:tcPr>
          <w:p w14:paraId="04FA1A4D">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169" w:type="dxa"/>
            <w:vAlign w:val="center"/>
          </w:tcPr>
          <w:p w14:paraId="039FA0E5">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436" w:type="dxa"/>
            <w:vAlign w:val="center"/>
          </w:tcPr>
          <w:p w14:paraId="65320EC3">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332" w:type="dxa"/>
            <w:vAlign w:val="center"/>
          </w:tcPr>
          <w:p w14:paraId="73ACDD4D">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1979" w:type="dxa"/>
            <w:vAlign w:val="center"/>
          </w:tcPr>
          <w:p w14:paraId="0B2C25ED">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79FF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217C9804">
            <w:pPr>
              <w:widowControl w:val="0"/>
              <w:numPr>
                <w:ilvl w:val="0"/>
                <w:numId w:val="47"/>
              </w:numPr>
              <w:tabs>
                <w:tab w:val="left" w:pos="1445"/>
              </w:tabs>
              <w:spacing w:line="360" w:lineRule="auto"/>
              <w:ind w:firstLineChars="0"/>
              <w:jc w:val="center"/>
              <w:rPr>
                <w:rFonts w:hint="eastAsia" w:ascii="宋体" w:hAnsi="宋体" w:eastAsia="宋体" w:cs="宋体"/>
                <w:color w:val="auto"/>
                <w:position w:val="2"/>
                <w:szCs w:val="30"/>
              </w:rPr>
            </w:pPr>
          </w:p>
        </w:tc>
        <w:tc>
          <w:tcPr>
            <w:tcW w:w="1260" w:type="dxa"/>
            <w:shd w:val="clear" w:color="auto" w:fill="auto"/>
            <w:vAlign w:val="center"/>
          </w:tcPr>
          <w:p w14:paraId="7A2A985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Handle</w:t>
            </w:r>
          </w:p>
        </w:tc>
        <w:tc>
          <w:tcPr>
            <w:tcW w:w="1169" w:type="dxa"/>
            <w:shd w:val="clear" w:color="auto" w:fill="auto"/>
            <w:vAlign w:val="center"/>
          </w:tcPr>
          <w:p w14:paraId="4742C1E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36" w:type="dxa"/>
            <w:shd w:val="clear" w:color="auto" w:fill="auto"/>
            <w:vAlign w:val="center"/>
          </w:tcPr>
          <w:p w14:paraId="2F6F6F7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附加信息</w:t>
            </w:r>
          </w:p>
        </w:tc>
        <w:tc>
          <w:tcPr>
            <w:tcW w:w="1332" w:type="dxa"/>
            <w:shd w:val="clear" w:color="auto" w:fill="auto"/>
            <w:vAlign w:val="center"/>
          </w:tcPr>
          <w:p w14:paraId="653F5A93">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979" w:type="dxa"/>
            <w:shd w:val="clear" w:color="auto" w:fill="auto"/>
            <w:vAlign w:val="center"/>
          </w:tcPr>
          <w:p w14:paraId="3AEF7936">
            <w:pPr>
              <w:spacing w:line="360" w:lineRule="auto"/>
              <w:ind w:firstLine="600"/>
              <w:rPr>
                <w:rFonts w:hint="eastAsia" w:ascii="宋体" w:hAnsi="宋体" w:eastAsia="宋体" w:cs="宋体"/>
                <w:color w:val="auto"/>
                <w:szCs w:val="30"/>
              </w:rPr>
            </w:pPr>
          </w:p>
        </w:tc>
      </w:tr>
      <w:tr w14:paraId="582E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409ED66C">
            <w:pPr>
              <w:widowControl w:val="0"/>
              <w:numPr>
                <w:ilvl w:val="0"/>
                <w:numId w:val="47"/>
              </w:numPr>
              <w:tabs>
                <w:tab w:val="left" w:pos="1445"/>
              </w:tabs>
              <w:spacing w:line="360" w:lineRule="auto"/>
              <w:ind w:firstLineChars="0"/>
              <w:jc w:val="center"/>
              <w:rPr>
                <w:rFonts w:hint="eastAsia" w:ascii="宋体" w:hAnsi="宋体" w:eastAsia="宋体" w:cs="宋体"/>
                <w:color w:val="auto"/>
                <w:position w:val="2"/>
                <w:szCs w:val="30"/>
              </w:rPr>
            </w:pPr>
          </w:p>
        </w:tc>
        <w:tc>
          <w:tcPr>
            <w:tcW w:w="1260" w:type="dxa"/>
            <w:shd w:val="clear" w:color="auto" w:fill="auto"/>
            <w:vAlign w:val="center"/>
          </w:tcPr>
          <w:p w14:paraId="7FDA0DE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OperateTypeCode</w:t>
            </w:r>
          </w:p>
        </w:tc>
        <w:tc>
          <w:tcPr>
            <w:tcW w:w="1169" w:type="dxa"/>
            <w:shd w:val="clear" w:color="auto" w:fill="auto"/>
            <w:vAlign w:val="center"/>
          </w:tcPr>
          <w:p w14:paraId="5F200EB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36" w:type="dxa"/>
            <w:shd w:val="clear" w:color="auto" w:fill="auto"/>
            <w:vAlign w:val="center"/>
          </w:tcPr>
          <w:p w14:paraId="480ECE3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数据操作类型</w:t>
            </w:r>
          </w:p>
        </w:tc>
        <w:tc>
          <w:tcPr>
            <w:tcW w:w="1332" w:type="dxa"/>
            <w:shd w:val="clear" w:color="auto" w:fill="auto"/>
            <w:vAlign w:val="center"/>
          </w:tcPr>
          <w:p w14:paraId="52BB92E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979" w:type="dxa"/>
            <w:shd w:val="clear" w:color="auto" w:fill="auto"/>
            <w:vAlign w:val="center"/>
          </w:tcPr>
          <w:p w14:paraId="6541F18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取值为：新增：Add、修改：Edit、删除：Del</w:t>
            </w:r>
          </w:p>
          <w:p w14:paraId="22A2E514">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0794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26CF7F64">
            <w:pPr>
              <w:widowControl w:val="0"/>
              <w:numPr>
                <w:ilvl w:val="0"/>
                <w:numId w:val="47"/>
              </w:numPr>
              <w:tabs>
                <w:tab w:val="left" w:pos="1445"/>
              </w:tabs>
              <w:spacing w:line="360" w:lineRule="auto"/>
              <w:ind w:firstLineChars="0"/>
              <w:jc w:val="center"/>
              <w:rPr>
                <w:rFonts w:hint="eastAsia" w:ascii="宋体" w:hAnsi="宋体" w:eastAsia="宋体" w:cs="宋体"/>
                <w:color w:val="auto"/>
                <w:position w:val="2"/>
                <w:szCs w:val="30"/>
              </w:rPr>
            </w:pPr>
          </w:p>
        </w:tc>
        <w:tc>
          <w:tcPr>
            <w:tcW w:w="1260" w:type="dxa"/>
            <w:shd w:val="clear" w:color="auto" w:fill="auto"/>
            <w:vAlign w:val="center"/>
          </w:tcPr>
          <w:p w14:paraId="7F9A206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LogCode</w:t>
            </w:r>
          </w:p>
        </w:tc>
        <w:tc>
          <w:tcPr>
            <w:tcW w:w="1169" w:type="dxa"/>
            <w:shd w:val="clear" w:color="auto" w:fill="auto"/>
            <w:vAlign w:val="center"/>
          </w:tcPr>
          <w:p w14:paraId="33CAE52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36" w:type="dxa"/>
            <w:shd w:val="clear" w:color="auto" w:fill="auto"/>
            <w:vAlign w:val="center"/>
          </w:tcPr>
          <w:p w14:paraId="76EA809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日志编码</w:t>
            </w:r>
          </w:p>
        </w:tc>
        <w:tc>
          <w:tcPr>
            <w:tcW w:w="1332" w:type="dxa"/>
            <w:shd w:val="clear" w:color="auto" w:fill="auto"/>
            <w:vAlign w:val="center"/>
          </w:tcPr>
          <w:p w14:paraId="7B18BB1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AN..50</w:t>
            </w:r>
          </w:p>
        </w:tc>
        <w:tc>
          <w:tcPr>
            <w:tcW w:w="1979" w:type="dxa"/>
            <w:shd w:val="clear" w:color="auto" w:fill="auto"/>
            <w:vAlign w:val="center"/>
          </w:tcPr>
          <w:p w14:paraId="6563363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w:t>
            </w:r>
          </w:p>
          <w:p w14:paraId="59AE5B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操作类型为新增时该字段必须为空，操作类型不为新增时该字段必填</w:t>
            </w:r>
          </w:p>
        </w:tc>
      </w:tr>
      <w:tr w14:paraId="40431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51260C08">
            <w:pPr>
              <w:widowControl w:val="0"/>
              <w:numPr>
                <w:ilvl w:val="0"/>
                <w:numId w:val="47"/>
              </w:numPr>
              <w:tabs>
                <w:tab w:val="left" w:pos="1445"/>
              </w:tabs>
              <w:spacing w:line="360" w:lineRule="auto"/>
              <w:ind w:firstLineChars="0"/>
              <w:jc w:val="center"/>
              <w:rPr>
                <w:rFonts w:hint="eastAsia" w:ascii="宋体" w:hAnsi="宋体" w:eastAsia="宋体" w:cs="宋体"/>
                <w:color w:val="auto"/>
                <w:position w:val="2"/>
                <w:szCs w:val="30"/>
              </w:rPr>
            </w:pPr>
          </w:p>
        </w:tc>
        <w:tc>
          <w:tcPr>
            <w:tcW w:w="1260" w:type="dxa"/>
            <w:shd w:val="clear" w:color="auto" w:fill="auto"/>
            <w:vAlign w:val="center"/>
          </w:tcPr>
          <w:p w14:paraId="3054799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DeletingTypeCode</w:t>
            </w:r>
          </w:p>
        </w:tc>
        <w:tc>
          <w:tcPr>
            <w:tcW w:w="1169" w:type="dxa"/>
            <w:shd w:val="clear" w:color="auto" w:fill="auto"/>
            <w:vAlign w:val="center"/>
          </w:tcPr>
          <w:p w14:paraId="6D3F532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36" w:type="dxa"/>
            <w:shd w:val="clear" w:color="auto" w:fill="auto"/>
            <w:vAlign w:val="center"/>
          </w:tcPr>
          <w:p w14:paraId="2DBF025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删除类型</w:t>
            </w:r>
          </w:p>
        </w:tc>
        <w:tc>
          <w:tcPr>
            <w:tcW w:w="1332" w:type="dxa"/>
            <w:shd w:val="clear" w:color="auto" w:fill="auto"/>
            <w:vAlign w:val="center"/>
          </w:tcPr>
          <w:p w14:paraId="3EFBC2F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979" w:type="dxa"/>
            <w:shd w:val="clear" w:color="auto" w:fill="auto"/>
            <w:vAlign w:val="center"/>
          </w:tcPr>
          <w:p w14:paraId="77749C5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取值为“1=重卡，2=其他”值域范围</w:t>
            </w:r>
          </w:p>
          <w:p w14:paraId="140E24E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3F4D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vAlign w:val="center"/>
          </w:tcPr>
          <w:p w14:paraId="496597F3">
            <w:pPr>
              <w:widowControl w:val="0"/>
              <w:numPr>
                <w:ilvl w:val="0"/>
                <w:numId w:val="47"/>
              </w:numPr>
              <w:tabs>
                <w:tab w:val="left" w:pos="1445"/>
              </w:tabs>
              <w:spacing w:line="360" w:lineRule="auto"/>
              <w:ind w:firstLineChars="0"/>
              <w:jc w:val="center"/>
              <w:rPr>
                <w:rFonts w:hint="eastAsia" w:ascii="宋体" w:hAnsi="宋体" w:eastAsia="宋体" w:cs="宋体"/>
                <w:color w:val="auto"/>
                <w:position w:val="2"/>
                <w:szCs w:val="30"/>
              </w:rPr>
            </w:pPr>
          </w:p>
        </w:tc>
        <w:tc>
          <w:tcPr>
            <w:tcW w:w="1260" w:type="dxa"/>
            <w:shd w:val="clear" w:color="auto" w:fill="auto"/>
            <w:vAlign w:val="center"/>
          </w:tcPr>
          <w:p w14:paraId="12BA271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|--DeletingReasonDetails</w:t>
            </w:r>
          </w:p>
        </w:tc>
        <w:tc>
          <w:tcPr>
            <w:tcW w:w="1169" w:type="dxa"/>
            <w:shd w:val="clear" w:color="auto" w:fill="auto"/>
            <w:vAlign w:val="center"/>
          </w:tcPr>
          <w:p w14:paraId="394A93B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36" w:type="dxa"/>
            <w:shd w:val="clear" w:color="auto" w:fill="auto"/>
            <w:vAlign w:val="center"/>
          </w:tcPr>
          <w:p w14:paraId="068B65F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删除原因</w:t>
            </w:r>
          </w:p>
        </w:tc>
        <w:tc>
          <w:tcPr>
            <w:tcW w:w="1332" w:type="dxa"/>
            <w:shd w:val="clear" w:color="auto" w:fill="auto"/>
            <w:vAlign w:val="center"/>
          </w:tcPr>
          <w:p w14:paraId="1D4AFBA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w:t>
            </w:r>
          </w:p>
        </w:tc>
        <w:tc>
          <w:tcPr>
            <w:tcW w:w="1979" w:type="dxa"/>
            <w:shd w:val="clear" w:color="auto" w:fill="auto"/>
            <w:vAlign w:val="center"/>
          </w:tcPr>
          <w:p w14:paraId="2D36153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删除类型为其他时必填</w:t>
            </w:r>
          </w:p>
        </w:tc>
      </w:tr>
    </w:tbl>
    <w:p w14:paraId="55E21CF6">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个人基本信息</w:t>
      </w:r>
    </w:p>
    <w:tbl>
      <w:tblPr>
        <w:tblStyle w:val="14"/>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169"/>
        <w:gridCol w:w="1366"/>
        <w:gridCol w:w="1411"/>
        <w:gridCol w:w="1322"/>
        <w:gridCol w:w="1817"/>
      </w:tblGrid>
      <w:tr w14:paraId="2F12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D9332B6">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169" w:type="dxa"/>
            <w:vAlign w:val="center"/>
          </w:tcPr>
          <w:p w14:paraId="063F9AC7">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366" w:type="dxa"/>
            <w:vAlign w:val="center"/>
          </w:tcPr>
          <w:p w14:paraId="37597268">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411" w:type="dxa"/>
            <w:vAlign w:val="center"/>
          </w:tcPr>
          <w:p w14:paraId="3D26B89B">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322" w:type="dxa"/>
            <w:vAlign w:val="center"/>
          </w:tcPr>
          <w:p w14:paraId="44D74361">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1817" w:type="dxa"/>
            <w:vAlign w:val="center"/>
          </w:tcPr>
          <w:p w14:paraId="3C0C6A9A">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00E1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781F75D9">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D921D6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PersonInfo</w:t>
            </w:r>
          </w:p>
        </w:tc>
        <w:tc>
          <w:tcPr>
            <w:tcW w:w="1366" w:type="dxa"/>
            <w:shd w:val="clear" w:color="auto" w:fill="auto"/>
            <w:vAlign w:val="center"/>
          </w:tcPr>
          <w:p w14:paraId="69F601A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747749C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w:t>
            </w:r>
          </w:p>
        </w:tc>
        <w:tc>
          <w:tcPr>
            <w:tcW w:w="1322" w:type="dxa"/>
            <w:shd w:val="clear" w:color="auto" w:fill="auto"/>
            <w:vAlign w:val="center"/>
          </w:tcPr>
          <w:p w14:paraId="4BEA27C9">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817" w:type="dxa"/>
            <w:shd w:val="clear" w:color="auto" w:fill="auto"/>
            <w:vAlign w:val="center"/>
          </w:tcPr>
          <w:p w14:paraId="4C038ECE">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160B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1EF39F3">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B9B7D5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PatientName</w:t>
            </w:r>
          </w:p>
        </w:tc>
        <w:tc>
          <w:tcPr>
            <w:tcW w:w="1366" w:type="dxa"/>
            <w:shd w:val="clear" w:color="auto" w:fill="auto"/>
            <w:vAlign w:val="center"/>
          </w:tcPr>
          <w:p w14:paraId="16EE6C2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6568EED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患者姓名</w:t>
            </w:r>
          </w:p>
        </w:tc>
        <w:tc>
          <w:tcPr>
            <w:tcW w:w="1322" w:type="dxa"/>
            <w:shd w:val="clear" w:color="auto" w:fill="auto"/>
            <w:vAlign w:val="center"/>
          </w:tcPr>
          <w:p w14:paraId="6C932C8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A..50</w:t>
            </w:r>
          </w:p>
        </w:tc>
        <w:tc>
          <w:tcPr>
            <w:tcW w:w="1817" w:type="dxa"/>
            <w:shd w:val="clear" w:color="auto" w:fill="auto"/>
            <w:vAlign w:val="center"/>
          </w:tcPr>
          <w:p w14:paraId="03F7A5C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4C7BEB5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个人基本信息随传染病病例报告信息上报时要求：患者姓名不能为空；患者姓名最长为20个字；患者姓名不能全为数字或特殊字符，并且首位不能为数字或特殊字符；</w:t>
            </w:r>
          </w:p>
        </w:tc>
      </w:tr>
      <w:tr w14:paraId="3F4F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76AA0F56">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4E1B004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IdCardTypeCode</w:t>
            </w:r>
          </w:p>
        </w:tc>
        <w:tc>
          <w:tcPr>
            <w:tcW w:w="1366" w:type="dxa"/>
            <w:shd w:val="clear" w:color="auto" w:fill="auto"/>
            <w:vAlign w:val="center"/>
          </w:tcPr>
          <w:p w14:paraId="162C8BE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7E6B7F0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身份证件类别代码</w:t>
            </w:r>
          </w:p>
          <w:p w14:paraId="26CBCC5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5325F83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5ABD5EB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2C720A6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取值为《WS364.3 CV02.01.101身份证件类别代码》值域范围</w:t>
            </w:r>
          </w:p>
        </w:tc>
      </w:tr>
      <w:tr w14:paraId="777E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45E66B07">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1E98F77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IdCard</w:t>
            </w:r>
          </w:p>
        </w:tc>
        <w:tc>
          <w:tcPr>
            <w:tcW w:w="1366" w:type="dxa"/>
            <w:shd w:val="clear" w:color="auto" w:fill="auto"/>
            <w:vAlign w:val="center"/>
          </w:tcPr>
          <w:p w14:paraId="5A20A51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090FF8B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身份证件号</w:t>
            </w:r>
          </w:p>
          <w:p w14:paraId="3B9A88E9">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500A62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AN..18</w:t>
            </w:r>
          </w:p>
        </w:tc>
        <w:tc>
          <w:tcPr>
            <w:tcW w:w="1817" w:type="dxa"/>
            <w:shd w:val="clear" w:color="auto" w:fill="auto"/>
            <w:vAlign w:val="center"/>
          </w:tcPr>
          <w:p w14:paraId="37C7C42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24A4A69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身份证件类别为居民身份证时，身份证号码为15或者18位，身份证号码前2位必须是省级标准编码；</w:t>
            </w:r>
          </w:p>
        </w:tc>
      </w:tr>
      <w:tr w14:paraId="24A9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37E50F48">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721B170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GenderCode</w:t>
            </w:r>
          </w:p>
        </w:tc>
        <w:tc>
          <w:tcPr>
            <w:tcW w:w="1366" w:type="dxa"/>
            <w:shd w:val="clear" w:color="auto" w:fill="auto"/>
            <w:vAlign w:val="center"/>
          </w:tcPr>
          <w:p w14:paraId="6992154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5110897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性别代码</w:t>
            </w:r>
          </w:p>
        </w:tc>
        <w:tc>
          <w:tcPr>
            <w:tcW w:w="1322" w:type="dxa"/>
            <w:shd w:val="clear" w:color="auto" w:fill="auto"/>
            <w:vAlign w:val="center"/>
          </w:tcPr>
          <w:p w14:paraId="0427899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817" w:type="dxa"/>
            <w:shd w:val="clear" w:color="auto" w:fill="auto"/>
            <w:vAlign w:val="center"/>
          </w:tcPr>
          <w:p w14:paraId="59FDA89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58AC11E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取值为《GB/T2261.1-2003人的性别代码》值域范围</w:t>
            </w:r>
          </w:p>
        </w:tc>
      </w:tr>
      <w:tr w14:paraId="19D0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0DFCF43B">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37A2BD7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BirthDate</w:t>
            </w:r>
          </w:p>
        </w:tc>
        <w:tc>
          <w:tcPr>
            <w:tcW w:w="1366" w:type="dxa"/>
            <w:shd w:val="clear" w:color="auto" w:fill="auto"/>
            <w:vAlign w:val="center"/>
          </w:tcPr>
          <w:p w14:paraId="3F1B937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0DD0B3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出生日期</w:t>
            </w:r>
          </w:p>
          <w:p w14:paraId="19C699B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3351889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322" w:type="dxa"/>
            <w:shd w:val="clear" w:color="auto" w:fill="auto"/>
            <w:vAlign w:val="center"/>
          </w:tcPr>
          <w:p w14:paraId="39D36B1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817" w:type="dxa"/>
            <w:shd w:val="clear" w:color="auto" w:fill="auto"/>
            <w:vAlign w:val="center"/>
          </w:tcPr>
          <w:p w14:paraId="3BAB8AB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78D1158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 ：出生日期必须小于等于发病日期；出生日期必须小于等于当前时间；出生日期必须小于等于诊断时间；出生日期必须小于等于报告日期；出生日期必须小于等于死亡日期；新生儿破伤风疾病患者的出生日期和报告日期最大只能相差28天；人群分类为从业人员时，年龄不能在14岁以下(含14岁)。儿童不明原因急性肝炎不能大于16岁。</w:t>
            </w:r>
          </w:p>
        </w:tc>
      </w:tr>
      <w:tr w14:paraId="18A5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0E0680C9">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0F8DD06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NationalityCode</w:t>
            </w:r>
          </w:p>
        </w:tc>
        <w:tc>
          <w:tcPr>
            <w:tcW w:w="1366" w:type="dxa"/>
            <w:shd w:val="clear" w:color="auto" w:fill="auto"/>
            <w:vAlign w:val="center"/>
          </w:tcPr>
          <w:p w14:paraId="624AB06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4EC6F54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国籍代码</w:t>
            </w:r>
          </w:p>
        </w:tc>
        <w:tc>
          <w:tcPr>
            <w:tcW w:w="1322" w:type="dxa"/>
            <w:shd w:val="clear" w:color="auto" w:fill="auto"/>
            <w:vAlign w:val="center"/>
          </w:tcPr>
          <w:p w14:paraId="644FBC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AN..3</w:t>
            </w:r>
          </w:p>
        </w:tc>
        <w:tc>
          <w:tcPr>
            <w:tcW w:w="1817" w:type="dxa"/>
            <w:shd w:val="clear" w:color="auto" w:fill="auto"/>
            <w:vAlign w:val="center"/>
          </w:tcPr>
          <w:p w14:paraId="085C7C5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 2659-2000国籍代码》值域范围</w:t>
            </w:r>
          </w:p>
          <w:p w14:paraId="7D6218F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个人基本信息随传染病病例报告信息上报时要求：非必填</w:t>
            </w:r>
          </w:p>
        </w:tc>
      </w:tr>
      <w:tr w14:paraId="105F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543E0698">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6576DC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NationCode</w:t>
            </w:r>
          </w:p>
        </w:tc>
        <w:tc>
          <w:tcPr>
            <w:tcW w:w="1366" w:type="dxa"/>
            <w:shd w:val="clear" w:color="auto" w:fill="auto"/>
            <w:vAlign w:val="center"/>
          </w:tcPr>
          <w:p w14:paraId="451B28B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1CB3BBA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民族代码</w:t>
            </w:r>
          </w:p>
        </w:tc>
        <w:tc>
          <w:tcPr>
            <w:tcW w:w="1322" w:type="dxa"/>
            <w:shd w:val="clear" w:color="auto" w:fill="auto"/>
            <w:vAlign w:val="center"/>
          </w:tcPr>
          <w:p w14:paraId="63CE28D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1FB2F06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取值为《GB/T3304民族代码》值域范围</w:t>
            </w:r>
          </w:p>
          <w:p w14:paraId="51B3A9D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个人基本信息随传染病病例报告信息上报时要求：如疾病病种为艾滋病/HIV，该字段必填</w:t>
            </w:r>
          </w:p>
        </w:tc>
      </w:tr>
      <w:tr w14:paraId="16C9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362BDA21">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58DF4A7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EducationLevelCode</w:t>
            </w:r>
          </w:p>
        </w:tc>
        <w:tc>
          <w:tcPr>
            <w:tcW w:w="1366" w:type="dxa"/>
            <w:shd w:val="clear" w:color="auto" w:fill="auto"/>
            <w:vAlign w:val="center"/>
          </w:tcPr>
          <w:p w14:paraId="18EDC0C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2265FCF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学历代码</w:t>
            </w:r>
          </w:p>
          <w:p w14:paraId="0D90302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31D291E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1456C5F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 4658-2006学历代码表》值域范围</w:t>
            </w:r>
          </w:p>
          <w:p w14:paraId="3690D14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个人基本信息随传染病病例报告信息报告时要求：疾病病种为艾滋病/HIV时必填（现住址类型不是港澳台和外籍并且病例分类是临床诊断病例或者确诊病例）；编码不能错误，</w:t>
            </w:r>
          </w:p>
        </w:tc>
      </w:tr>
      <w:tr w14:paraId="29CF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42CB9156">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180B00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DomicileAddressAttributionCode</w:t>
            </w:r>
          </w:p>
        </w:tc>
        <w:tc>
          <w:tcPr>
            <w:tcW w:w="1366" w:type="dxa"/>
            <w:shd w:val="clear" w:color="auto" w:fill="auto"/>
            <w:vAlign w:val="center"/>
          </w:tcPr>
          <w:p w14:paraId="47EABA1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3C2CE27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户籍类别代码</w:t>
            </w:r>
          </w:p>
          <w:p w14:paraId="24F85A41">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4AC8D7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70D022E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取值为《附录：户籍代码表》值域范围</w:t>
            </w:r>
          </w:p>
          <w:p w14:paraId="24B2F5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个人基本信息随传染病病例报告信息报告时要求：疾病病种为艾滋/HIV时必填</w:t>
            </w:r>
          </w:p>
        </w:tc>
      </w:tr>
      <w:tr w14:paraId="7026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85A7CA0">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7C137F2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DomicileAddressCode</w:t>
            </w:r>
          </w:p>
        </w:tc>
        <w:tc>
          <w:tcPr>
            <w:tcW w:w="1366" w:type="dxa"/>
            <w:shd w:val="clear" w:color="auto" w:fill="auto"/>
            <w:vAlign w:val="center"/>
          </w:tcPr>
          <w:p w14:paraId="22FB27B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6C31DAB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户籍地址编码</w:t>
            </w:r>
          </w:p>
          <w:p w14:paraId="718CFB14">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21E844B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817" w:type="dxa"/>
            <w:shd w:val="clear" w:color="auto" w:fill="auto"/>
            <w:vAlign w:val="center"/>
          </w:tcPr>
          <w:p w14:paraId="7DFCF40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取值为《附录：地区/机构代码表》值域范围</w:t>
            </w:r>
          </w:p>
          <w:p w14:paraId="4E3D549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个人基本信息随传染病病例报告信息报告时要求：疾病病种为艾滋/HIV时户籍地址编码不能为空；户籍地址编码必须具体到乡级；户籍所在地类型与户籍地址关系不能错误；</w:t>
            </w:r>
          </w:p>
        </w:tc>
      </w:tr>
      <w:tr w14:paraId="369E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5BEE9B36">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5C51A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DomicileAdrressDetails</w:t>
            </w:r>
          </w:p>
        </w:tc>
        <w:tc>
          <w:tcPr>
            <w:tcW w:w="1366" w:type="dxa"/>
            <w:shd w:val="clear" w:color="auto" w:fill="auto"/>
            <w:vAlign w:val="center"/>
          </w:tcPr>
          <w:p w14:paraId="4123430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7931D9C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户籍详细地址</w:t>
            </w:r>
          </w:p>
          <w:p w14:paraId="75DE59D1">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1C793D5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AN..200</w:t>
            </w:r>
          </w:p>
        </w:tc>
        <w:tc>
          <w:tcPr>
            <w:tcW w:w="1817" w:type="dxa"/>
            <w:shd w:val="clear" w:color="auto" w:fill="auto"/>
            <w:vAlign w:val="center"/>
          </w:tcPr>
          <w:p w14:paraId="218DDA7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个人基本信息随传染病病例报告信息报告时要求：疾病病种为艾滋/HIV时</w:t>
            </w:r>
            <w:r>
              <w:rPr>
                <w:rFonts w:hint="eastAsia" w:ascii="宋体" w:hAnsi="宋体" w:eastAsia="宋体" w:cs="宋体"/>
                <w:color w:val="auto"/>
                <w:szCs w:val="30"/>
                <w:lang w:eastAsia="zh-Hans"/>
              </w:rPr>
              <w:t>，</w:t>
            </w:r>
            <w:r>
              <w:rPr>
                <w:rFonts w:hint="eastAsia" w:ascii="宋体" w:hAnsi="宋体" w:eastAsia="宋体" w:cs="宋体"/>
                <w:color w:val="auto"/>
                <w:szCs w:val="30"/>
              </w:rPr>
              <w:t>户籍详细地址不能为空；户籍详细地址最长为80位，中文算2位；乡镇后面必须有详细内容</w:t>
            </w:r>
            <w:r>
              <w:rPr>
                <w:rFonts w:hint="eastAsia" w:ascii="宋体" w:hAnsi="宋体" w:eastAsia="宋体" w:cs="宋体"/>
                <w:color w:val="auto"/>
                <w:szCs w:val="30"/>
                <w:lang w:eastAsia="zh-Hans"/>
              </w:rPr>
              <w:t>。</w:t>
            </w:r>
          </w:p>
        </w:tc>
      </w:tr>
      <w:tr w14:paraId="0E56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1809940">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4F39185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LivingAddressAttributionCode</w:t>
            </w:r>
          </w:p>
        </w:tc>
        <w:tc>
          <w:tcPr>
            <w:tcW w:w="1366" w:type="dxa"/>
            <w:shd w:val="clear" w:color="auto" w:fill="auto"/>
            <w:vAlign w:val="center"/>
          </w:tcPr>
          <w:p w14:paraId="3522700F">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411" w:type="dxa"/>
            <w:shd w:val="clear" w:color="auto" w:fill="auto"/>
            <w:vAlign w:val="center"/>
          </w:tcPr>
          <w:p w14:paraId="2D6347F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现住址类别/生前住址类别</w:t>
            </w:r>
          </w:p>
          <w:p w14:paraId="1ECB65BD">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42C4CC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399767F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取值为《附录：现住址类别代码表》值域范围</w:t>
            </w:r>
          </w:p>
          <w:p w14:paraId="10CA177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个人基本信息随传染病病例报告信息报告时要求：现住地址类型不能为空；</w:t>
            </w:r>
          </w:p>
          <w:p w14:paraId="4863595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病人属性与现住地址关系不能错误；</w:t>
            </w:r>
          </w:p>
        </w:tc>
      </w:tr>
      <w:tr w14:paraId="65E1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1DB0E247">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4CDB29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LivingAddressCode</w:t>
            </w:r>
          </w:p>
        </w:tc>
        <w:tc>
          <w:tcPr>
            <w:tcW w:w="1366" w:type="dxa"/>
            <w:shd w:val="clear" w:color="auto" w:fill="auto"/>
            <w:vAlign w:val="center"/>
          </w:tcPr>
          <w:p w14:paraId="28A92CC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10F90B1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现住地区编码/生前地区编码</w:t>
            </w:r>
          </w:p>
          <w:p w14:paraId="560A15CC">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58F8BC9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817" w:type="dxa"/>
            <w:shd w:val="clear" w:color="auto" w:fill="auto"/>
            <w:vAlign w:val="center"/>
          </w:tcPr>
          <w:p w14:paraId="09AE3E1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取值为《附录：地区/机构代码表》值域范围</w:t>
            </w:r>
          </w:p>
          <w:p w14:paraId="4B0F522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个人基本信息随传染病病例报告信息报告时要求：现住地址编码必须具体到乡级；地区编码不能错误；不能选择不详市、不详县</w:t>
            </w:r>
            <w:r>
              <w:rPr>
                <w:rFonts w:hint="eastAsia" w:ascii="宋体" w:hAnsi="宋体" w:eastAsia="宋体" w:cs="宋体"/>
                <w:color w:val="auto"/>
                <w:szCs w:val="30"/>
                <w:lang w:eastAsia="zh-Hans"/>
              </w:rPr>
              <w:t>。</w:t>
            </w:r>
          </w:p>
        </w:tc>
      </w:tr>
      <w:tr w14:paraId="6C1C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2AC5802F">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2382366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LivingAddressDetails</w:t>
            </w:r>
          </w:p>
        </w:tc>
        <w:tc>
          <w:tcPr>
            <w:tcW w:w="1366" w:type="dxa"/>
            <w:shd w:val="clear" w:color="auto" w:fill="auto"/>
            <w:vAlign w:val="center"/>
          </w:tcPr>
          <w:p w14:paraId="3442559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7CD16F9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现住详细地址/生前详细住址</w:t>
            </w:r>
          </w:p>
          <w:p w14:paraId="257015CE">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73B9DFC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AN..200</w:t>
            </w:r>
          </w:p>
        </w:tc>
        <w:tc>
          <w:tcPr>
            <w:tcW w:w="1817" w:type="dxa"/>
            <w:shd w:val="clear" w:color="auto" w:fill="auto"/>
            <w:vAlign w:val="center"/>
          </w:tcPr>
          <w:p w14:paraId="4DF9E5A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58B1335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个人基本信息随传染病病例报告信息报告时要求：详细现住地址最长为80位，中文算2位；乡镇后面必须有详细内容</w:t>
            </w:r>
            <w:r>
              <w:rPr>
                <w:rFonts w:hint="eastAsia" w:ascii="宋体" w:hAnsi="宋体" w:eastAsia="宋体" w:cs="宋体"/>
                <w:color w:val="auto"/>
                <w:szCs w:val="30"/>
                <w:lang w:eastAsia="zh-Hans"/>
              </w:rPr>
              <w:t>。</w:t>
            </w:r>
          </w:p>
        </w:tc>
      </w:tr>
      <w:tr w14:paraId="6476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3C75958">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39233E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EmployerOrgName</w:t>
            </w:r>
          </w:p>
        </w:tc>
        <w:tc>
          <w:tcPr>
            <w:tcW w:w="1366" w:type="dxa"/>
            <w:shd w:val="clear" w:color="auto" w:fill="auto"/>
            <w:vAlign w:val="center"/>
          </w:tcPr>
          <w:p w14:paraId="3A48DAA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41DD6B7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工作单位/学校名称</w:t>
            </w:r>
          </w:p>
          <w:p w14:paraId="37547EE1">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5AEB1EC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AN..70</w:t>
            </w:r>
          </w:p>
        </w:tc>
        <w:tc>
          <w:tcPr>
            <w:tcW w:w="1817" w:type="dxa"/>
            <w:shd w:val="clear" w:color="auto" w:fill="auto"/>
            <w:vAlign w:val="center"/>
          </w:tcPr>
          <w:p w14:paraId="70510D7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工作单位最长为50个字；患者是幼托儿童时，工作单位项不能为空应填写患者所在的托幼机构；患者是学生时，工作单位项不能为空，应填写患者所在学校；患者是教师时，工作单位不能为空；患者是医务人员时，工作单位不能为空；患者是工人时，工作单位不能为空；患者是民工时，工作单位项不能为空应填写患者所工作的工地或建筑队；患者是干部职员时，工作单位不能为空；</w:t>
            </w:r>
          </w:p>
        </w:tc>
      </w:tr>
      <w:tr w14:paraId="660C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5F71329C">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5EAD103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|--NultitudeTypeCode</w:t>
            </w:r>
          </w:p>
        </w:tc>
        <w:tc>
          <w:tcPr>
            <w:tcW w:w="1366" w:type="dxa"/>
            <w:shd w:val="clear" w:color="auto" w:fill="auto"/>
            <w:vAlign w:val="center"/>
          </w:tcPr>
          <w:p w14:paraId="599DAA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7E98C30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人群分类代码</w:t>
            </w:r>
          </w:p>
          <w:p w14:paraId="0B54E706">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3397615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74F64ED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取值为《附录：人群分类代码表》值域范围</w:t>
            </w:r>
          </w:p>
          <w:p w14:paraId="5152364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必填；人群分类编码不能错误；14岁以上（不含14岁）不能是幼托儿童和散居儿童；14岁以下（含14岁）只能是幼托儿童、散居儿童、学生；1岁以下（不包含）只能填写幼托儿童或者散居儿童。</w:t>
            </w:r>
          </w:p>
        </w:tc>
      </w:tr>
      <w:tr w14:paraId="5D19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774CD99A">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30BE72E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|--PersonTypeCode</w:t>
            </w:r>
          </w:p>
        </w:tc>
        <w:tc>
          <w:tcPr>
            <w:tcW w:w="1366" w:type="dxa"/>
            <w:shd w:val="clear" w:color="auto" w:fill="auto"/>
            <w:vAlign w:val="center"/>
          </w:tcPr>
          <w:p w14:paraId="516E7BC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3AE891C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个人身份代码</w:t>
            </w:r>
          </w:p>
        </w:tc>
        <w:tc>
          <w:tcPr>
            <w:tcW w:w="1322" w:type="dxa"/>
            <w:shd w:val="clear" w:color="auto" w:fill="auto"/>
            <w:vAlign w:val="center"/>
          </w:tcPr>
          <w:p w14:paraId="4F9A734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5D3A045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取值为《附录：个人身份代码表》值域范围</w:t>
            </w:r>
          </w:p>
          <w:p w14:paraId="43F0ED2D">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1CE9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3CAD5448">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7FF5AAE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|--OtherNultitudeType</w:t>
            </w:r>
          </w:p>
        </w:tc>
        <w:tc>
          <w:tcPr>
            <w:tcW w:w="1366" w:type="dxa"/>
            <w:shd w:val="clear" w:color="auto" w:fill="auto"/>
            <w:vAlign w:val="center"/>
          </w:tcPr>
          <w:p w14:paraId="590CE59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514812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其他人群分类</w:t>
            </w:r>
          </w:p>
        </w:tc>
        <w:tc>
          <w:tcPr>
            <w:tcW w:w="1322" w:type="dxa"/>
            <w:shd w:val="clear" w:color="auto" w:fill="auto"/>
            <w:vAlign w:val="center"/>
          </w:tcPr>
          <w:p w14:paraId="34D7644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3F9941A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传染病患者从事职业类别中其他的职业信息</w:t>
            </w:r>
          </w:p>
          <w:p w14:paraId="35E1ED4A">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6AB8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5AA71E31">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674E650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|--MaritalStatusCode</w:t>
            </w:r>
          </w:p>
        </w:tc>
        <w:tc>
          <w:tcPr>
            <w:tcW w:w="1366" w:type="dxa"/>
            <w:shd w:val="clear" w:color="auto" w:fill="auto"/>
            <w:vAlign w:val="center"/>
          </w:tcPr>
          <w:p w14:paraId="195DC94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3257161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婚姻状况代码</w:t>
            </w:r>
          </w:p>
          <w:p w14:paraId="719FB1F3">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6F7DF46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3E3BEBA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取值为《GB/T2261.2婚姻状况代码表》值域范围</w:t>
            </w:r>
          </w:p>
          <w:p w14:paraId="52988E9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个人基本信息随传染病病例报告信息报告时要求：疾病病种为艾滋病/HIV时，要求为婚姻状况不能为空（现住址类型不是港澳台和外籍并且病例分类是临床诊断病例或者确诊病例）。婚姻状况编码不能错误.</w:t>
            </w:r>
          </w:p>
        </w:tc>
      </w:tr>
      <w:tr w14:paraId="46A0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5EAD4A8">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27D94F8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|--Contacts</w:t>
            </w:r>
          </w:p>
        </w:tc>
        <w:tc>
          <w:tcPr>
            <w:tcW w:w="1366" w:type="dxa"/>
            <w:shd w:val="clear" w:color="auto" w:fill="auto"/>
            <w:vAlign w:val="center"/>
          </w:tcPr>
          <w:p w14:paraId="05AABC0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308E533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联系人/监护人姓名</w:t>
            </w:r>
          </w:p>
          <w:p w14:paraId="057CC78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322" w:type="dxa"/>
            <w:shd w:val="clear" w:color="auto" w:fill="auto"/>
            <w:vAlign w:val="center"/>
          </w:tcPr>
          <w:p w14:paraId="4FB97E4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A..50</w:t>
            </w:r>
          </w:p>
        </w:tc>
        <w:tc>
          <w:tcPr>
            <w:tcW w:w="1817" w:type="dxa"/>
            <w:shd w:val="clear" w:color="auto" w:fill="auto"/>
            <w:vAlign w:val="center"/>
          </w:tcPr>
          <w:p w14:paraId="321844D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个人基本信息随传染病病例报告信息报告时要求：患者家长姓名最长为20个字；患者年龄小于等于14岁时，患者家长姓名必须填写；患者家长姓名不能全为数字或特殊字符  并且首位不能为数字或特殊字符</w:t>
            </w:r>
          </w:p>
        </w:tc>
      </w:tr>
      <w:tr w14:paraId="4062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446D38FD">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47A1A6F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|--ContactsTel</w:t>
            </w:r>
          </w:p>
        </w:tc>
        <w:tc>
          <w:tcPr>
            <w:tcW w:w="1366" w:type="dxa"/>
            <w:shd w:val="clear" w:color="auto" w:fill="auto"/>
            <w:vAlign w:val="center"/>
          </w:tcPr>
          <w:p w14:paraId="4A755CB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19BDB65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联系人/监护人电话号码</w:t>
            </w:r>
          </w:p>
        </w:tc>
        <w:tc>
          <w:tcPr>
            <w:tcW w:w="1322" w:type="dxa"/>
            <w:shd w:val="clear" w:color="auto" w:fill="auto"/>
            <w:vAlign w:val="center"/>
          </w:tcPr>
          <w:p w14:paraId="4E87FA2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w:t>
            </w:r>
          </w:p>
        </w:tc>
        <w:tc>
          <w:tcPr>
            <w:tcW w:w="1817" w:type="dxa"/>
            <w:shd w:val="clear" w:color="auto" w:fill="auto"/>
            <w:vAlign w:val="center"/>
          </w:tcPr>
          <w:p w14:paraId="429318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个人基本信息随传染病病例报告信息报告时要求：疾病病种为新型冠状病毒感染，并且是否境外输入病例选择为否的时候，要求为电话号码为必填项</w:t>
            </w:r>
            <w:r>
              <w:rPr>
                <w:rFonts w:hint="eastAsia" w:ascii="宋体" w:hAnsi="宋体" w:eastAsia="宋体" w:cs="宋体"/>
                <w:color w:val="auto"/>
                <w:szCs w:val="30"/>
                <w:lang w:eastAsia="zh-Hans"/>
              </w:rPr>
              <w:t>。</w:t>
            </w:r>
          </w:p>
          <w:p w14:paraId="1AE17C4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  患者年龄小于等于14岁时，'联系人/监护人电话号码'必须填写</w:t>
            </w:r>
          </w:p>
        </w:tc>
      </w:tr>
      <w:tr w14:paraId="5E52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23B47789">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1669A9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|--ContactsRelCode</w:t>
            </w:r>
          </w:p>
        </w:tc>
        <w:tc>
          <w:tcPr>
            <w:tcW w:w="1366" w:type="dxa"/>
            <w:shd w:val="clear" w:color="auto" w:fill="auto"/>
            <w:vAlign w:val="center"/>
          </w:tcPr>
          <w:p w14:paraId="5A7642C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3D7ADE5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联系人/监护人与本人关系代码</w:t>
            </w:r>
          </w:p>
        </w:tc>
        <w:tc>
          <w:tcPr>
            <w:tcW w:w="1322" w:type="dxa"/>
            <w:shd w:val="clear" w:color="auto" w:fill="auto"/>
            <w:vAlign w:val="center"/>
          </w:tcPr>
          <w:p w14:paraId="75C8433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817" w:type="dxa"/>
            <w:shd w:val="clear" w:color="auto" w:fill="auto"/>
            <w:vAlign w:val="center"/>
          </w:tcPr>
          <w:p w14:paraId="2D13280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取值为《GB/T4761-2008监护人与本人关系代码》值域范围</w:t>
            </w:r>
          </w:p>
          <w:p w14:paraId="673E7C2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5DAA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vAlign w:val="center"/>
          </w:tcPr>
          <w:p w14:paraId="6183EBB3">
            <w:pPr>
              <w:widowControl w:val="0"/>
              <w:numPr>
                <w:ilvl w:val="0"/>
                <w:numId w:val="48"/>
              </w:numPr>
              <w:tabs>
                <w:tab w:val="left" w:pos="1445"/>
              </w:tabs>
              <w:spacing w:line="360" w:lineRule="auto"/>
              <w:ind w:firstLineChars="0"/>
              <w:jc w:val="center"/>
              <w:rPr>
                <w:rFonts w:hint="eastAsia" w:ascii="宋体" w:hAnsi="宋体" w:eastAsia="宋体" w:cs="宋体"/>
                <w:color w:val="auto"/>
                <w:position w:val="2"/>
                <w:szCs w:val="30"/>
              </w:rPr>
            </w:pPr>
          </w:p>
        </w:tc>
        <w:tc>
          <w:tcPr>
            <w:tcW w:w="1169" w:type="dxa"/>
            <w:shd w:val="clear" w:color="auto" w:fill="auto"/>
            <w:vAlign w:val="center"/>
          </w:tcPr>
          <w:p w14:paraId="47BCB24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|--ReportDate</w:t>
            </w:r>
          </w:p>
        </w:tc>
        <w:tc>
          <w:tcPr>
            <w:tcW w:w="1366" w:type="dxa"/>
            <w:shd w:val="clear" w:color="auto" w:fill="auto"/>
            <w:vAlign w:val="center"/>
          </w:tcPr>
          <w:p w14:paraId="63855B1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11" w:type="dxa"/>
            <w:shd w:val="clear" w:color="auto" w:fill="auto"/>
            <w:vAlign w:val="center"/>
          </w:tcPr>
          <w:p w14:paraId="40464BC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报告日期</w:t>
            </w:r>
          </w:p>
          <w:p w14:paraId="2940FF2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6D11381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322" w:type="dxa"/>
            <w:shd w:val="clear" w:color="auto" w:fill="auto"/>
            <w:vAlign w:val="center"/>
          </w:tcPr>
          <w:p w14:paraId="32AEA9E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817" w:type="dxa"/>
            <w:shd w:val="clear" w:color="auto" w:fill="auto"/>
            <w:vAlign w:val="center"/>
          </w:tcPr>
          <w:p w14:paraId="355F97D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bl>
    <w:p w14:paraId="2B72BEC2">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病例报告信息</w:t>
      </w:r>
    </w:p>
    <w:tbl>
      <w:tblPr>
        <w:tblStyle w:val="14"/>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429"/>
        <w:gridCol w:w="1053"/>
        <w:gridCol w:w="1861"/>
        <w:gridCol w:w="1121"/>
        <w:gridCol w:w="1550"/>
      </w:tblGrid>
      <w:tr w14:paraId="6F61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28C357F">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429" w:type="dxa"/>
            <w:vAlign w:val="center"/>
          </w:tcPr>
          <w:p w14:paraId="16D67CDD">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053" w:type="dxa"/>
            <w:vAlign w:val="center"/>
          </w:tcPr>
          <w:p w14:paraId="3135635E">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861" w:type="dxa"/>
            <w:vAlign w:val="center"/>
          </w:tcPr>
          <w:p w14:paraId="11AC71EC">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121" w:type="dxa"/>
            <w:vAlign w:val="center"/>
          </w:tcPr>
          <w:p w14:paraId="16815810">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1550" w:type="dxa"/>
            <w:vAlign w:val="center"/>
          </w:tcPr>
          <w:p w14:paraId="4D4627EA">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6308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2082B2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AA8F8C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DiseaseInfo</w:t>
            </w:r>
          </w:p>
        </w:tc>
        <w:tc>
          <w:tcPr>
            <w:tcW w:w="1053" w:type="dxa"/>
            <w:shd w:val="clear" w:color="auto" w:fill="auto"/>
            <w:vAlign w:val="center"/>
          </w:tcPr>
          <w:p w14:paraId="034723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F1A783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病例报告信息</w:t>
            </w:r>
          </w:p>
        </w:tc>
        <w:tc>
          <w:tcPr>
            <w:tcW w:w="1121" w:type="dxa"/>
            <w:shd w:val="clear" w:color="auto" w:fill="auto"/>
            <w:vAlign w:val="center"/>
          </w:tcPr>
          <w:p w14:paraId="5D6A34B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1EFDB119">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1E90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9B2FA8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3D74AD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|--Id</w:t>
            </w:r>
          </w:p>
        </w:tc>
        <w:tc>
          <w:tcPr>
            <w:tcW w:w="1053" w:type="dxa"/>
            <w:shd w:val="clear" w:color="auto" w:fill="auto"/>
            <w:vAlign w:val="center"/>
          </w:tcPr>
          <w:p w14:paraId="294DE02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FB0939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数据ID</w:t>
            </w:r>
          </w:p>
        </w:tc>
        <w:tc>
          <w:tcPr>
            <w:tcW w:w="1121" w:type="dxa"/>
            <w:shd w:val="clear" w:color="auto" w:fill="auto"/>
            <w:vAlign w:val="center"/>
          </w:tcPr>
          <w:p w14:paraId="2E2F2A0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N..40</w:t>
            </w:r>
          </w:p>
        </w:tc>
        <w:tc>
          <w:tcPr>
            <w:tcW w:w="1550" w:type="dxa"/>
            <w:shd w:val="clear" w:color="auto" w:fill="auto"/>
            <w:vAlign w:val="center"/>
          </w:tcPr>
          <w:p w14:paraId="42D481E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操作类型为新增时该字段必须为空，操作类型不为新增时该字段必填</w:t>
            </w:r>
          </w:p>
        </w:tc>
      </w:tr>
      <w:tr w14:paraId="69E7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739CC1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978F4B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|--CardId</w:t>
            </w:r>
          </w:p>
        </w:tc>
        <w:tc>
          <w:tcPr>
            <w:tcW w:w="1053" w:type="dxa"/>
            <w:shd w:val="clear" w:color="auto" w:fill="auto"/>
            <w:vAlign w:val="center"/>
          </w:tcPr>
          <w:p w14:paraId="2C6E8E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81B0E4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卡片ID</w:t>
            </w:r>
          </w:p>
        </w:tc>
        <w:tc>
          <w:tcPr>
            <w:tcW w:w="1121" w:type="dxa"/>
            <w:shd w:val="clear" w:color="auto" w:fill="auto"/>
            <w:vAlign w:val="center"/>
          </w:tcPr>
          <w:p w14:paraId="1D8F2F7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N..40</w:t>
            </w:r>
          </w:p>
        </w:tc>
        <w:tc>
          <w:tcPr>
            <w:tcW w:w="1550" w:type="dxa"/>
            <w:shd w:val="clear" w:color="auto" w:fill="auto"/>
            <w:vAlign w:val="center"/>
          </w:tcPr>
          <w:p w14:paraId="786E8E1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操作类型为新增时该字段必须为空，操作类型不为新增时该字段必填</w:t>
            </w:r>
          </w:p>
        </w:tc>
      </w:tr>
      <w:tr w14:paraId="57C8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DCEF4E2">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54CA92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|--CardCode</w:t>
            </w:r>
          </w:p>
        </w:tc>
        <w:tc>
          <w:tcPr>
            <w:tcW w:w="1053" w:type="dxa"/>
            <w:shd w:val="clear" w:color="auto" w:fill="auto"/>
            <w:vAlign w:val="center"/>
          </w:tcPr>
          <w:p w14:paraId="489ECE9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6F1E1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卡片编号</w:t>
            </w:r>
          </w:p>
        </w:tc>
        <w:tc>
          <w:tcPr>
            <w:tcW w:w="1121" w:type="dxa"/>
            <w:shd w:val="clear" w:color="auto" w:fill="auto"/>
            <w:vAlign w:val="center"/>
          </w:tcPr>
          <w:p w14:paraId="764520B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AN..40</w:t>
            </w:r>
          </w:p>
        </w:tc>
        <w:tc>
          <w:tcPr>
            <w:tcW w:w="1550" w:type="dxa"/>
            <w:shd w:val="clear" w:color="auto" w:fill="auto"/>
            <w:vAlign w:val="center"/>
          </w:tcPr>
          <w:p w14:paraId="56474C4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操作类型为新增时该字段必须为空，操作类型不为新增时该字段必填</w:t>
            </w:r>
          </w:p>
        </w:tc>
      </w:tr>
      <w:tr w14:paraId="1135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33D1BE0">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6D4348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|--OnsetDate</w:t>
            </w:r>
          </w:p>
        </w:tc>
        <w:tc>
          <w:tcPr>
            <w:tcW w:w="1053" w:type="dxa"/>
            <w:shd w:val="clear" w:color="auto" w:fill="auto"/>
            <w:vAlign w:val="center"/>
          </w:tcPr>
          <w:p w14:paraId="7A00991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418977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发病日期</w:t>
            </w:r>
          </w:p>
          <w:p w14:paraId="08E14AD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25FA764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1BF226A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51BDC7D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45272A5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业务活动类型为传染病时要求：发病日期必须小于等于当前时间；发病日期必须小于等于死亡日期；发病日期必须小于等于报告日期；发病日期必须小于等于诊断时间；</w:t>
            </w:r>
          </w:p>
        </w:tc>
      </w:tr>
      <w:tr w14:paraId="022A2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DA6BEC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83B2E5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|--DiagnosisDate</w:t>
            </w:r>
          </w:p>
        </w:tc>
        <w:tc>
          <w:tcPr>
            <w:tcW w:w="1053" w:type="dxa"/>
            <w:shd w:val="clear" w:color="auto" w:fill="auto"/>
            <w:vAlign w:val="center"/>
          </w:tcPr>
          <w:p w14:paraId="5BAC7F2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FC3F3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诊断时间</w:t>
            </w:r>
          </w:p>
          <w:p w14:paraId="01CAB82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66B7201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yyyymmddHH</w:t>
            </w:r>
          </w:p>
        </w:tc>
        <w:tc>
          <w:tcPr>
            <w:tcW w:w="1121" w:type="dxa"/>
            <w:shd w:val="clear" w:color="auto" w:fill="auto"/>
            <w:vAlign w:val="center"/>
          </w:tcPr>
          <w:p w14:paraId="301FE93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D10</w:t>
            </w:r>
          </w:p>
        </w:tc>
        <w:tc>
          <w:tcPr>
            <w:tcW w:w="1550" w:type="dxa"/>
            <w:shd w:val="clear" w:color="auto" w:fill="auto"/>
            <w:vAlign w:val="center"/>
          </w:tcPr>
          <w:p w14:paraId="5F0C7F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业务活动类型为传染病时要求：诊断时间不能为空；诊断时间必须小于等于当前时间；诊断时间必须小于等于医生填卡日期；诊断时间必须大于等于发病日期；出院日期不能早于诊断日期；</w:t>
            </w:r>
          </w:p>
        </w:tc>
      </w:tr>
      <w:tr w14:paraId="0375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B074EF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5184D9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DiseaseCode</w:t>
            </w:r>
          </w:p>
        </w:tc>
        <w:tc>
          <w:tcPr>
            <w:tcW w:w="1053" w:type="dxa"/>
            <w:shd w:val="clear" w:color="auto" w:fill="auto"/>
            <w:vAlign w:val="center"/>
          </w:tcPr>
          <w:p w14:paraId="76B07DD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54B11C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疾病诊断编码</w:t>
            </w:r>
          </w:p>
          <w:p w14:paraId="6ABC629C">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62DCF55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AN..5</w:t>
            </w:r>
          </w:p>
        </w:tc>
        <w:tc>
          <w:tcPr>
            <w:tcW w:w="1550" w:type="dxa"/>
            <w:shd w:val="clear" w:color="auto" w:fill="auto"/>
            <w:vAlign w:val="center"/>
          </w:tcPr>
          <w:p w14:paraId="3E8FB41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取值为《附录：疾病诊断代码表》值域范围，疾病病种不能错误.请注意某些大类病种不能作为上报病种</w:t>
            </w:r>
          </w:p>
          <w:p w14:paraId="1C98036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364D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82C461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F78052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Icd10Code</w:t>
            </w:r>
          </w:p>
        </w:tc>
        <w:tc>
          <w:tcPr>
            <w:tcW w:w="1053" w:type="dxa"/>
            <w:shd w:val="clear" w:color="auto" w:fill="auto"/>
            <w:vAlign w:val="center"/>
          </w:tcPr>
          <w:p w14:paraId="0913BA8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B8A654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ICD10诊断编码</w:t>
            </w:r>
          </w:p>
        </w:tc>
        <w:tc>
          <w:tcPr>
            <w:tcW w:w="1121" w:type="dxa"/>
            <w:shd w:val="clear" w:color="auto" w:fill="auto"/>
            <w:vAlign w:val="center"/>
          </w:tcPr>
          <w:p w14:paraId="657D405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w:t>
            </w:r>
          </w:p>
        </w:tc>
        <w:tc>
          <w:tcPr>
            <w:tcW w:w="1550" w:type="dxa"/>
            <w:shd w:val="clear" w:color="auto" w:fill="auto"/>
            <w:vAlign w:val="center"/>
          </w:tcPr>
          <w:p w14:paraId="38F6BB0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3D8F2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751F1B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B2BEC9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OtherDiseaseName</w:t>
            </w:r>
          </w:p>
          <w:p w14:paraId="62B1790F">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053" w:type="dxa"/>
            <w:shd w:val="clear" w:color="auto" w:fill="auto"/>
            <w:vAlign w:val="center"/>
          </w:tcPr>
          <w:p w14:paraId="32C537D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23E560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其他具体疾病名称</w:t>
            </w:r>
          </w:p>
          <w:p w14:paraId="20450CE9">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25E7E32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AN..60</w:t>
            </w:r>
          </w:p>
        </w:tc>
        <w:tc>
          <w:tcPr>
            <w:tcW w:w="1550" w:type="dxa"/>
            <w:shd w:val="clear" w:color="auto" w:fill="auto"/>
            <w:vAlign w:val="center"/>
          </w:tcPr>
          <w:p w14:paraId="16A2632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除法定报告的39类传染病的法定管理以及重点监测传染病外名称的详细描述</w:t>
            </w:r>
          </w:p>
        </w:tc>
      </w:tr>
      <w:tr w14:paraId="7DFB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EB0667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A7B63C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|--DiagnosisTypeCode</w:t>
            </w:r>
          </w:p>
        </w:tc>
        <w:tc>
          <w:tcPr>
            <w:tcW w:w="1053" w:type="dxa"/>
            <w:shd w:val="clear" w:color="auto" w:fill="auto"/>
            <w:vAlign w:val="center"/>
          </w:tcPr>
          <w:p w14:paraId="7ACCE06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B0380B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诊断状态代码</w:t>
            </w:r>
          </w:p>
        </w:tc>
        <w:tc>
          <w:tcPr>
            <w:tcW w:w="1121" w:type="dxa"/>
            <w:shd w:val="clear" w:color="auto" w:fill="auto"/>
            <w:vAlign w:val="center"/>
          </w:tcPr>
          <w:p w14:paraId="325FF54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74EE989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取值为《WS364.10表2 CV05.01.002诊断状态代码表》值域范围。</w:t>
            </w:r>
          </w:p>
          <w:p w14:paraId="1D8D3AA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必填；疾病名称为梅毒/淋病时，诊断类型只能是确诊病例和疑似病例；疾病名称为尖锐湿疣/生殖器疱疹时，诊断类型只能是确诊病例和临床诊断病例；疾病名称为生殖道沙眼衣原体感染时，病诊断类型只能是确诊病例；疾病名称为霍乱、脊灰、乙肝、伤寒、副伤寒、间日疟或恶性疟时，诊断类型才能是病原携带者；当疾病名称为AFP时， 疾病分类不能选择确诊病例；当疾病名称为艾滋病、HIV、病原学阳性、AFP或脊灰时， 疾病分类不能选择疑似病例；当疾病名称为脊灰、HIV、病原学阳性时，疾病分类不能选择临床诊断病例；疾病名称为埃博拉出血热时，诊断类型只能为埃博拉留观病例；仅新冠无症状感染者可选择阳性检测；疾病名称为猴痘时，诊断类型只能选择疑似病例或确诊病例。疾病名称为丙肝时，诊断类型只能是确诊病例和临床诊断病例。</w:t>
            </w:r>
          </w:p>
        </w:tc>
      </w:tr>
      <w:tr w14:paraId="00BE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A761D7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A06387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|--CaseClassificationCode</w:t>
            </w:r>
          </w:p>
        </w:tc>
        <w:tc>
          <w:tcPr>
            <w:tcW w:w="1053" w:type="dxa"/>
            <w:shd w:val="clear" w:color="auto" w:fill="auto"/>
            <w:vAlign w:val="center"/>
          </w:tcPr>
          <w:p w14:paraId="197BF50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DBC442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病例分类代码</w:t>
            </w:r>
          </w:p>
        </w:tc>
        <w:tc>
          <w:tcPr>
            <w:tcW w:w="1121" w:type="dxa"/>
            <w:shd w:val="clear" w:color="auto" w:fill="auto"/>
            <w:vAlign w:val="center"/>
          </w:tcPr>
          <w:p w14:paraId="0865506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AN..2..3</w:t>
            </w:r>
          </w:p>
        </w:tc>
        <w:tc>
          <w:tcPr>
            <w:tcW w:w="1550" w:type="dxa"/>
            <w:shd w:val="clear" w:color="auto" w:fill="auto"/>
            <w:vAlign w:val="center"/>
          </w:tcPr>
          <w:p w14:paraId="5F5822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取值为《附录：病例分类代码表》值域范围</w:t>
            </w:r>
          </w:p>
          <w:p w14:paraId="5269926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业务活动类型为传染病时要求：必填；疾病名称只有为乙肝、丙肝或血吸虫病时，病例分类中才可以为急性或者慢性；疾病名称为其它疾病时，病例分类只能为未分型； 疾病名称为丙肝时，当诊断状态为“临床诊断病例”时，病例分类只能选择未分型，当诊断状态为“确诊病例”时，病例分类只能填写急性或者慢性。</w:t>
            </w:r>
          </w:p>
        </w:tc>
      </w:tr>
      <w:tr w14:paraId="5500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1BEE18A">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A74E38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DeathDate</w:t>
            </w:r>
          </w:p>
        </w:tc>
        <w:tc>
          <w:tcPr>
            <w:tcW w:w="1053" w:type="dxa"/>
            <w:shd w:val="clear" w:color="auto" w:fill="auto"/>
            <w:vAlign w:val="center"/>
          </w:tcPr>
          <w:p w14:paraId="2163DFE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32A9DE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死亡日期</w:t>
            </w:r>
          </w:p>
          <w:p w14:paraId="3976F7D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3DE287A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33AA0F7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1AA31BA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业务活动类型为传染病时要求：死亡日期必须小于等于当前时间；</w:t>
            </w:r>
          </w:p>
        </w:tc>
      </w:tr>
      <w:tr w14:paraId="5FE99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155B17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ED2F43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IsDeadByThisCode</w:t>
            </w:r>
          </w:p>
        </w:tc>
        <w:tc>
          <w:tcPr>
            <w:tcW w:w="1053" w:type="dxa"/>
            <w:shd w:val="clear" w:color="auto" w:fill="auto"/>
            <w:vAlign w:val="center"/>
          </w:tcPr>
          <w:p w14:paraId="1860290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61DA02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死亡原因是否与新冠感染有关</w:t>
            </w:r>
          </w:p>
        </w:tc>
        <w:tc>
          <w:tcPr>
            <w:tcW w:w="1121" w:type="dxa"/>
            <w:shd w:val="clear" w:color="auto" w:fill="auto"/>
            <w:vAlign w:val="center"/>
          </w:tcPr>
          <w:p w14:paraId="7049FB5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N2</w:t>
            </w:r>
          </w:p>
        </w:tc>
        <w:tc>
          <w:tcPr>
            <w:tcW w:w="1550" w:type="dxa"/>
            <w:shd w:val="clear" w:color="auto" w:fill="auto"/>
            <w:vAlign w:val="center"/>
          </w:tcPr>
          <w:p w14:paraId="6D489B8A">
            <w:pPr>
              <w:widowControl w:val="0"/>
              <w:tabs>
                <w:tab w:val="left" w:pos="1445"/>
              </w:tabs>
              <w:spacing w:line="360" w:lineRule="auto"/>
              <w:ind w:left="0" w:firstLine="0" w:firstLineChars="0"/>
              <w:jc w:val="both"/>
              <w:rPr>
                <w:rFonts w:hint="eastAsia" w:ascii="宋体" w:hAnsi="宋体" w:eastAsia="宋体" w:cs="宋体"/>
                <w:color w:val="auto"/>
                <w:szCs w:val="30"/>
                <w:lang w:eastAsia="zh-Hans"/>
              </w:rPr>
            </w:pPr>
            <w:r>
              <w:rPr>
                <w:rFonts w:hint="eastAsia" w:ascii="宋体" w:hAnsi="宋体" w:eastAsia="宋体" w:cs="宋体"/>
                <w:color w:val="auto"/>
                <w:szCs w:val="30"/>
              </w:rPr>
              <w:t>疾病诊断为新型冠状病毒感染，并且死亡日期不为空时为必选</w:t>
            </w:r>
            <w:r>
              <w:rPr>
                <w:rFonts w:hint="eastAsia" w:ascii="宋体" w:hAnsi="宋体" w:eastAsia="宋体" w:cs="宋体"/>
                <w:color w:val="auto"/>
                <w:szCs w:val="30"/>
                <w:lang w:eastAsia="zh-Hans"/>
              </w:rPr>
              <w:t>。</w:t>
            </w:r>
          </w:p>
          <w:p w14:paraId="5869456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lang w:eastAsia="zh-Hans"/>
              </w:rPr>
              <w:t>取值为：“</w:t>
            </w:r>
            <w:r>
              <w:rPr>
                <w:rFonts w:hint="eastAsia" w:ascii="宋体" w:hAnsi="宋体" w:eastAsia="宋体" w:cs="宋体"/>
                <w:color w:val="auto"/>
                <w:szCs w:val="30"/>
              </w:rPr>
              <w:t>1=是 0=否</w:t>
            </w:r>
            <w:r>
              <w:rPr>
                <w:rFonts w:hint="eastAsia" w:ascii="宋体" w:hAnsi="宋体" w:eastAsia="宋体" w:cs="宋体"/>
                <w:color w:val="auto"/>
                <w:szCs w:val="30"/>
                <w:lang w:eastAsia="zh-Hans"/>
              </w:rPr>
              <w:t>”值域范围。</w:t>
            </w:r>
          </w:p>
        </w:tc>
      </w:tr>
      <w:tr w14:paraId="65E2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9255EA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BA7D41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SymptomsCodeList</w:t>
            </w:r>
          </w:p>
        </w:tc>
        <w:tc>
          <w:tcPr>
            <w:tcW w:w="1053" w:type="dxa"/>
            <w:shd w:val="clear" w:color="auto" w:fill="auto"/>
            <w:vAlign w:val="center"/>
          </w:tcPr>
          <w:p w14:paraId="0193753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67BCB5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直接死亡诊断</w:t>
            </w:r>
          </w:p>
          <w:p w14:paraId="66B4410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格式：数组</w:t>
            </w:r>
          </w:p>
        </w:tc>
        <w:tc>
          <w:tcPr>
            <w:tcW w:w="1121" w:type="dxa"/>
            <w:shd w:val="clear" w:color="auto" w:fill="auto"/>
            <w:vAlign w:val="center"/>
          </w:tcPr>
          <w:p w14:paraId="70BBDC32">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7219F485">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7AC1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44206E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64399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|--|--SymptomsCode</w:t>
            </w:r>
          </w:p>
        </w:tc>
        <w:tc>
          <w:tcPr>
            <w:tcW w:w="1053" w:type="dxa"/>
            <w:shd w:val="clear" w:color="auto" w:fill="auto"/>
            <w:vAlign w:val="center"/>
          </w:tcPr>
          <w:p w14:paraId="2AC2547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0..*</w:t>
            </w:r>
          </w:p>
        </w:tc>
        <w:tc>
          <w:tcPr>
            <w:tcW w:w="1861" w:type="dxa"/>
            <w:shd w:val="clear" w:color="auto" w:fill="auto"/>
            <w:vAlign w:val="center"/>
          </w:tcPr>
          <w:p w14:paraId="0201FD1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直接死亡诊断</w:t>
            </w:r>
          </w:p>
        </w:tc>
        <w:tc>
          <w:tcPr>
            <w:tcW w:w="1121" w:type="dxa"/>
            <w:shd w:val="clear" w:color="auto" w:fill="auto"/>
            <w:vAlign w:val="center"/>
          </w:tcPr>
          <w:p w14:paraId="78944E5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AN..200</w:t>
            </w:r>
          </w:p>
        </w:tc>
        <w:tc>
          <w:tcPr>
            <w:tcW w:w="1550" w:type="dxa"/>
            <w:shd w:val="clear" w:color="auto" w:fill="auto"/>
            <w:vAlign w:val="center"/>
          </w:tcPr>
          <w:p w14:paraId="1713CEA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疾病诊断为新型冠状病毒感染，并且死亡日期不为空，死亡原因是否与新冠感染有关选择“否”时必选项，可多选；</w:t>
            </w:r>
          </w:p>
          <w:p w14:paraId="4828B5E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取值为《附录：直接死亡诊断代码表》值域范围。</w:t>
            </w:r>
          </w:p>
        </w:tc>
      </w:tr>
      <w:tr w14:paraId="2827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D36435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9FD206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|--PatientResidenceTypeCode</w:t>
            </w:r>
          </w:p>
        </w:tc>
        <w:tc>
          <w:tcPr>
            <w:tcW w:w="1053" w:type="dxa"/>
            <w:shd w:val="clear" w:color="auto" w:fill="auto"/>
            <w:vAlign w:val="center"/>
          </w:tcPr>
          <w:p w14:paraId="7389144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16AA5D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病人所属地类型</w:t>
            </w:r>
          </w:p>
          <w:p w14:paraId="2292834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0122D47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211EB3C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0=本地 1=异地</w:t>
            </w:r>
          </w:p>
          <w:p w14:paraId="6D9EE25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业务活动类型为传染病时要求：疾病诊断为AFP时，该字段必填</w:t>
            </w:r>
          </w:p>
        </w:tc>
      </w:tr>
      <w:tr w14:paraId="7EE1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4F1EA25">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66E49D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|--PalsyDate</w:t>
            </w:r>
          </w:p>
        </w:tc>
        <w:tc>
          <w:tcPr>
            <w:tcW w:w="1053" w:type="dxa"/>
            <w:shd w:val="clear" w:color="auto" w:fill="auto"/>
            <w:vAlign w:val="center"/>
          </w:tcPr>
          <w:p w14:paraId="11882E2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DEA3AF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麻痹日期</w:t>
            </w:r>
          </w:p>
          <w:p w14:paraId="783ECFC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480E05D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784EA4E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35C1EEE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业务活动类型为传染病时要求：疾病诊断为AFP时，麻痹日期不能为空，发病日期必须小于等于麻痹日期；麻痹日期必须小于等于诊断时间；</w:t>
            </w:r>
          </w:p>
        </w:tc>
      </w:tr>
      <w:tr w14:paraId="19A3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B38A62A">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08A756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|--TreatmentlandDate</w:t>
            </w:r>
          </w:p>
        </w:tc>
        <w:tc>
          <w:tcPr>
            <w:tcW w:w="1053" w:type="dxa"/>
            <w:shd w:val="clear" w:color="auto" w:fill="auto"/>
            <w:vAlign w:val="center"/>
          </w:tcPr>
          <w:p w14:paraId="2569DA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0BBA7A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来现就诊地日期</w:t>
            </w:r>
          </w:p>
          <w:p w14:paraId="588F162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14756AC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18C71E6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5D733F2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业务活动类型为传染病时要求：疾病诊断为AFP，病人所属地类型为异地时，来现就诊日期不能为空，来现就诊日期必须小于等于诊断时间，来现就诊日期不能早于等于麻痹日期</w:t>
            </w:r>
          </w:p>
        </w:tc>
      </w:tr>
      <w:tr w14:paraId="29E1D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34A170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F433AA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|--TreatmentlandTypeCode</w:t>
            </w:r>
          </w:p>
        </w:tc>
        <w:tc>
          <w:tcPr>
            <w:tcW w:w="1053" w:type="dxa"/>
            <w:shd w:val="clear" w:color="auto" w:fill="auto"/>
            <w:vAlign w:val="center"/>
          </w:tcPr>
          <w:p w14:paraId="2745E45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22CC90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就诊地址类型</w:t>
            </w:r>
          </w:p>
          <w:p w14:paraId="7EAD5A3E">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635D919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0AE3BF9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取值为《附录：现住址类别代码表》值域范围</w:t>
            </w:r>
          </w:p>
          <w:p w14:paraId="2876795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业务活动类型为传染病时要求：疾病诊断为AFP，病人所属地类型为异地时，必填</w:t>
            </w:r>
          </w:p>
        </w:tc>
      </w:tr>
      <w:tr w14:paraId="459BB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7714BBF">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A2F46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|--TreatmentlandZoneCode</w:t>
            </w:r>
          </w:p>
        </w:tc>
        <w:tc>
          <w:tcPr>
            <w:tcW w:w="1053" w:type="dxa"/>
            <w:shd w:val="clear" w:color="auto" w:fill="auto"/>
            <w:vAlign w:val="center"/>
          </w:tcPr>
          <w:p w14:paraId="490B56D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0975F1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就诊地址编码</w:t>
            </w:r>
          </w:p>
          <w:p w14:paraId="509ABBBC">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64AD5E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136A3DE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取值为《附录：地区/机构代码表》值域范围</w:t>
            </w:r>
          </w:p>
          <w:p w14:paraId="5CF679B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业务活动类型为传染病时要求：疾病诊断为AFP，病人所属地类型为异地时，必填</w:t>
            </w:r>
          </w:p>
        </w:tc>
      </w:tr>
      <w:tr w14:paraId="0DCF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837F623">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B45528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|--TreatmentlandLivingAddressDetails</w:t>
            </w:r>
          </w:p>
        </w:tc>
        <w:tc>
          <w:tcPr>
            <w:tcW w:w="1053" w:type="dxa"/>
            <w:shd w:val="clear" w:color="auto" w:fill="auto"/>
            <w:vAlign w:val="center"/>
          </w:tcPr>
          <w:p w14:paraId="19A9060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FA36C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就诊地址</w:t>
            </w:r>
          </w:p>
        </w:tc>
        <w:tc>
          <w:tcPr>
            <w:tcW w:w="1121" w:type="dxa"/>
            <w:shd w:val="clear" w:color="auto" w:fill="auto"/>
            <w:vAlign w:val="center"/>
          </w:tcPr>
          <w:p w14:paraId="5B02447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AN..100</w:t>
            </w:r>
          </w:p>
        </w:tc>
        <w:tc>
          <w:tcPr>
            <w:tcW w:w="1550" w:type="dxa"/>
            <w:shd w:val="clear" w:color="auto" w:fill="auto"/>
            <w:vAlign w:val="center"/>
          </w:tcPr>
          <w:p w14:paraId="66A42DC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业务活动类型为传染病时要求：疾病诊断为AFP，病人所属地类型为异地时，必填，最长为50个字</w:t>
            </w:r>
          </w:p>
        </w:tc>
      </w:tr>
      <w:tr w14:paraId="5DAB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43CD9A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69130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|--PalsySymptom</w:t>
            </w:r>
          </w:p>
        </w:tc>
        <w:tc>
          <w:tcPr>
            <w:tcW w:w="1053" w:type="dxa"/>
            <w:shd w:val="clear" w:color="auto" w:fill="auto"/>
            <w:vAlign w:val="center"/>
          </w:tcPr>
          <w:p w14:paraId="139B7EE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D5801F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麻痹症状</w:t>
            </w:r>
          </w:p>
        </w:tc>
        <w:tc>
          <w:tcPr>
            <w:tcW w:w="1121" w:type="dxa"/>
            <w:shd w:val="clear" w:color="auto" w:fill="auto"/>
            <w:vAlign w:val="center"/>
          </w:tcPr>
          <w:p w14:paraId="5C7CF2E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AN..100</w:t>
            </w:r>
          </w:p>
        </w:tc>
        <w:tc>
          <w:tcPr>
            <w:tcW w:w="1550" w:type="dxa"/>
            <w:shd w:val="clear" w:color="auto" w:fill="auto"/>
            <w:vAlign w:val="center"/>
          </w:tcPr>
          <w:p w14:paraId="53BB760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非必填，最长为50个字</w:t>
            </w:r>
          </w:p>
        </w:tc>
      </w:tr>
      <w:tr w14:paraId="1409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46F187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266D7D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PatientRegistrationNumber</w:t>
            </w:r>
          </w:p>
        </w:tc>
        <w:tc>
          <w:tcPr>
            <w:tcW w:w="1053" w:type="dxa"/>
            <w:shd w:val="clear" w:color="auto" w:fill="auto"/>
            <w:vAlign w:val="center"/>
          </w:tcPr>
          <w:p w14:paraId="3627814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8B67E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患者登记号</w:t>
            </w:r>
          </w:p>
        </w:tc>
        <w:tc>
          <w:tcPr>
            <w:tcW w:w="1121" w:type="dxa"/>
            <w:shd w:val="clear" w:color="auto" w:fill="auto"/>
            <w:vAlign w:val="center"/>
          </w:tcPr>
          <w:p w14:paraId="51E3E39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AN..30</w:t>
            </w:r>
          </w:p>
        </w:tc>
        <w:tc>
          <w:tcPr>
            <w:tcW w:w="1550" w:type="dxa"/>
            <w:shd w:val="clear" w:color="auto" w:fill="auto"/>
            <w:vAlign w:val="center"/>
          </w:tcPr>
          <w:p w14:paraId="0E32BCF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业务活动类型为传染病时要求：疾病诊断为结核病时，选填</w:t>
            </w:r>
          </w:p>
        </w:tc>
      </w:tr>
      <w:tr w14:paraId="41AB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EA60720">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ECB613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|--LaborTestConclusionCode</w:t>
            </w:r>
          </w:p>
        </w:tc>
        <w:tc>
          <w:tcPr>
            <w:tcW w:w="1053" w:type="dxa"/>
            <w:shd w:val="clear" w:color="auto" w:fill="auto"/>
            <w:vAlign w:val="center"/>
          </w:tcPr>
          <w:p w14:paraId="1AF32D7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5CB4CE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实验室检测结论代码</w:t>
            </w:r>
          </w:p>
        </w:tc>
        <w:tc>
          <w:tcPr>
            <w:tcW w:w="1121" w:type="dxa"/>
            <w:shd w:val="clear" w:color="auto" w:fill="auto"/>
            <w:vAlign w:val="center"/>
          </w:tcPr>
          <w:p w14:paraId="08B5D8F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2FF5FB6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取值为《附录：实验室检测结论代码表》值域范围</w:t>
            </w:r>
          </w:p>
          <w:p w14:paraId="2542B43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业务活动类型为传染病时要求：疾病病种为艾滋病/HIV时必填；</w:t>
            </w:r>
          </w:p>
        </w:tc>
      </w:tr>
      <w:tr w14:paraId="17AE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316BFAF">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C76620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|--ConfirmedTestPositiveDate</w:t>
            </w:r>
          </w:p>
        </w:tc>
        <w:tc>
          <w:tcPr>
            <w:tcW w:w="1053" w:type="dxa"/>
            <w:shd w:val="clear" w:color="auto" w:fill="auto"/>
            <w:vAlign w:val="center"/>
          </w:tcPr>
          <w:p w14:paraId="52E96EF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2DB4D1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确认（替代策略、核酸）检测阳性日期</w:t>
            </w:r>
          </w:p>
          <w:p w14:paraId="3AC610A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5240738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69BB507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31E10C3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业务活动类型为传染病时要求：实验室检测结论为确认结果阳性或替代策略检测阳性时，该字段必填，必须小于等于当前日期，必须小于等于诊断时间；</w:t>
            </w:r>
          </w:p>
        </w:tc>
      </w:tr>
      <w:tr w14:paraId="5F81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D2DB2F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5CDA5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ConfirmedTestPositiveOrgName</w:t>
            </w:r>
          </w:p>
        </w:tc>
        <w:tc>
          <w:tcPr>
            <w:tcW w:w="1053" w:type="dxa"/>
            <w:shd w:val="clear" w:color="auto" w:fill="auto"/>
            <w:vAlign w:val="center"/>
          </w:tcPr>
          <w:p w14:paraId="44DC792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B2F5C0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确认（替代策略、核酸）检测单位</w:t>
            </w:r>
          </w:p>
        </w:tc>
        <w:tc>
          <w:tcPr>
            <w:tcW w:w="1121" w:type="dxa"/>
            <w:shd w:val="clear" w:color="auto" w:fill="auto"/>
            <w:vAlign w:val="center"/>
          </w:tcPr>
          <w:p w14:paraId="6D30EC2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AN..40</w:t>
            </w:r>
          </w:p>
        </w:tc>
        <w:tc>
          <w:tcPr>
            <w:tcW w:w="1550" w:type="dxa"/>
            <w:shd w:val="clear" w:color="auto" w:fill="auto"/>
            <w:vAlign w:val="center"/>
          </w:tcPr>
          <w:p w14:paraId="342B7E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业务活动类型为传染病时要求：实验室检测结论为确认结果阳性或替代策略检测阳性时，该字段必填，最长为40个字；</w:t>
            </w:r>
          </w:p>
        </w:tc>
      </w:tr>
      <w:tr w14:paraId="1C9A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FCBEC8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FA1E1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|--LaborDiagnosisDate</w:t>
            </w:r>
          </w:p>
        </w:tc>
        <w:tc>
          <w:tcPr>
            <w:tcW w:w="1053" w:type="dxa"/>
            <w:shd w:val="clear" w:color="auto" w:fill="auto"/>
            <w:vAlign w:val="center"/>
          </w:tcPr>
          <w:p w14:paraId="16CF383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5C6C793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实验室确诊日期</w:t>
            </w:r>
          </w:p>
          <w:p w14:paraId="604D85A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7034061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1D4F12D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5838660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业务活动类型为传染病时要求：疾病诊断为艾滋病/HIV时，该字段必填</w:t>
            </w:r>
          </w:p>
        </w:tc>
      </w:tr>
      <w:tr w14:paraId="2D57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7D5006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347753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|--VenerealHistoryCode</w:t>
            </w:r>
          </w:p>
        </w:tc>
        <w:tc>
          <w:tcPr>
            <w:tcW w:w="1053" w:type="dxa"/>
            <w:shd w:val="clear" w:color="auto" w:fill="auto"/>
            <w:vAlign w:val="center"/>
          </w:tcPr>
          <w:p w14:paraId="57C4F11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0A84C4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性病史代码</w:t>
            </w:r>
          </w:p>
        </w:tc>
        <w:tc>
          <w:tcPr>
            <w:tcW w:w="1121" w:type="dxa"/>
            <w:shd w:val="clear" w:color="auto" w:fill="auto"/>
            <w:vAlign w:val="center"/>
          </w:tcPr>
          <w:p w14:paraId="7C0AC6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06ADC3C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取值为《附录：性病史代码表》值域范围</w:t>
            </w:r>
          </w:p>
          <w:p w14:paraId="1E5CB47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业务活动类型为传染病时要求：疾病诊断为艾滋病/HIV时，该字段必填。</w:t>
            </w:r>
          </w:p>
        </w:tc>
      </w:tr>
      <w:tr w14:paraId="53AB3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9AD49F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278255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|--DiscoveryModeCode</w:t>
            </w:r>
          </w:p>
        </w:tc>
        <w:tc>
          <w:tcPr>
            <w:tcW w:w="1053" w:type="dxa"/>
            <w:shd w:val="clear" w:color="auto" w:fill="auto"/>
            <w:vAlign w:val="center"/>
          </w:tcPr>
          <w:p w14:paraId="38071E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60081A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发现方式（样本来源）</w:t>
            </w:r>
          </w:p>
        </w:tc>
        <w:tc>
          <w:tcPr>
            <w:tcW w:w="1121" w:type="dxa"/>
            <w:shd w:val="clear" w:color="auto" w:fill="auto"/>
            <w:vAlign w:val="center"/>
          </w:tcPr>
          <w:p w14:paraId="7C76CB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22C4060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取值为《附录：发现方式代码表》值域范围</w:t>
            </w:r>
          </w:p>
          <w:p w14:paraId="2F8B59C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业务活动类型为传染病时要求：疾病诊断为艾滋病/HIV时，该字段必填。</w:t>
            </w:r>
          </w:p>
          <w:p w14:paraId="0157A2F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性别为女性时，该字段方可取值孕产期检查。</w:t>
            </w:r>
          </w:p>
        </w:tc>
      </w:tr>
      <w:tr w14:paraId="380C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7A35AF5">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95705D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|--DiscoveryModeOther</w:t>
            </w:r>
          </w:p>
        </w:tc>
        <w:tc>
          <w:tcPr>
            <w:tcW w:w="1053" w:type="dxa"/>
            <w:shd w:val="clear" w:color="auto" w:fill="auto"/>
            <w:vAlign w:val="center"/>
          </w:tcPr>
          <w:p w14:paraId="54E5259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32EF5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样本来源其他</w:t>
            </w:r>
          </w:p>
        </w:tc>
        <w:tc>
          <w:tcPr>
            <w:tcW w:w="1121" w:type="dxa"/>
            <w:shd w:val="clear" w:color="auto" w:fill="auto"/>
            <w:vAlign w:val="center"/>
          </w:tcPr>
          <w:p w14:paraId="0127389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AN..50</w:t>
            </w:r>
          </w:p>
        </w:tc>
        <w:tc>
          <w:tcPr>
            <w:tcW w:w="1550" w:type="dxa"/>
            <w:shd w:val="clear" w:color="auto" w:fill="auto"/>
            <w:vAlign w:val="center"/>
          </w:tcPr>
          <w:p w14:paraId="21F85EB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6862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DD264E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D1BBD1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|--ServerityCode</w:t>
            </w:r>
          </w:p>
        </w:tc>
        <w:tc>
          <w:tcPr>
            <w:tcW w:w="1053" w:type="dxa"/>
            <w:shd w:val="clear" w:color="auto" w:fill="auto"/>
            <w:vAlign w:val="center"/>
          </w:tcPr>
          <w:p w14:paraId="4C926A4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DEA9E6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严重程度（是否重症）</w:t>
            </w:r>
          </w:p>
        </w:tc>
        <w:tc>
          <w:tcPr>
            <w:tcW w:w="1121" w:type="dxa"/>
            <w:shd w:val="clear" w:color="auto" w:fill="auto"/>
            <w:vAlign w:val="center"/>
          </w:tcPr>
          <w:p w14:paraId="54B8E3E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4869115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业务活动类型为传染病时要求：疾病诊断为手足口病时，该字段含义为是否重症，取值为《附录：是否代码表》值域范围；</w:t>
            </w:r>
          </w:p>
        </w:tc>
      </w:tr>
      <w:tr w14:paraId="4C2E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C333B5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2F8B9B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|--ClinicalServerityCode</w:t>
            </w:r>
          </w:p>
        </w:tc>
        <w:tc>
          <w:tcPr>
            <w:tcW w:w="1053" w:type="dxa"/>
            <w:shd w:val="clear" w:color="auto" w:fill="auto"/>
            <w:vAlign w:val="center"/>
          </w:tcPr>
          <w:p w14:paraId="306D2D2D">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861" w:type="dxa"/>
            <w:shd w:val="clear" w:color="auto" w:fill="auto"/>
            <w:vAlign w:val="center"/>
          </w:tcPr>
          <w:p w14:paraId="11AC0A4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临床严重程度</w:t>
            </w:r>
          </w:p>
        </w:tc>
        <w:tc>
          <w:tcPr>
            <w:tcW w:w="1121" w:type="dxa"/>
            <w:shd w:val="clear" w:color="auto" w:fill="auto"/>
            <w:vAlign w:val="center"/>
          </w:tcPr>
          <w:p w14:paraId="7B97D9D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77F880E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业务活动类型为传染病时要求：疾病诊断为新型冠状病毒感染时，必填，取值为《附录：临床严重程度代码表》值域范围</w:t>
            </w:r>
          </w:p>
          <w:p w14:paraId="0701FF4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百日咳时，叫“严重程度”，必填，逻辑校验要求：非住院病例→普通住院病例→ICU病例，按顺序可以动态修改。但ICU病例→普通住院病例→非住院病例，反向不能修改。码表取值为《附录2：严重程度代码表》值域范围</w:t>
            </w:r>
            <w:r>
              <w:rPr>
                <w:rFonts w:hint="eastAsia" w:ascii="宋体" w:hAnsi="宋体" w:eastAsia="宋体" w:cs="宋体"/>
                <w:color w:val="auto"/>
                <w:szCs w:val="30"/>
                <w:lang w:eastAsia="zh-Hans"/>
              </w:rPr>
              <w:t>。</w:t>
            </w:r>
          </w:p>
        </w:tc>
      </w:tr>
      <w:tr w14:paraId="4F099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1FCA0D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C0B2E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|--InfectionRouteCode</w:t>
            </w:r>
          </w:p>
        </w:tc>
        <w:tc>
          <w:tcPr>
            <w:tcW w:w="1053" w:type="dxa"/>
            <w:shd w:val="clear" w:color="auto" w:fill="auto"/>
            <w:vAlign w:val="center"/>
          </w:tcPr>
          <w:p w14:paraId="65DDCC9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7AA58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感染途径</w:t>
            </w:r>
          </w:p>
        </w:tc>
        <w:tc>
          <w:tcPr>
            <w:tcW w:w="1121" w:type="dxa"/>
            <w:shd w:val="clear" w:color="auto" w:fill="auto"/>
            <w:vAlign w:val="center"/>
          </w:tcPr>
          <w:p w14:paraId="5BCD4CC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w:t>
            </w:r>
          </w:p>
        </w:tc>
        <w:tc>
          <w:tcPr>
            <w:tcW w:w="1550" w:type="dxa"/>
            <w:shd w:val="clear" w:color="auto" w:fill="auto"/>
            <w:vAlign w:val="center"/>
          </w:tcPr>
          <w:p w14:paraId="79EC2ED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取值为《附录：血源及性传播/感染途径代码表》值域范围</w:t>
            </w:r>
          </w:p>
          <w:p w14:paraId="6A5D502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艾滋病/HIV时，该字段必填。感染途径为注射毒品时，接触史必须有“注射毒品史”；感染途径为异性传播时，接触史必须有“非婚异性性接触史”或“配偶/固定性伴阳性”；感染途径为同性传播时，接触史必须有“男男性行为史”；感染途径为同性传播时，性别必须为男性；感染途径为性接触 + 注射毒品，接触史必须有“注射毒品史＋（非婚异性性接触史,配偶/固定性伴阳性,男男性行为史三者之一或以上）”；感染途径为采血(浆)，接触史必须有“献血（浆）史”；感染途径为输血/血制品，接触史必须有“输血/血制品史”；感染途径为母婴传播时，接触史必须有“母亲阳性”；感染途径为母婴传播时，年龄必须小于18岁；感染途径为职业暴露时，接触史必须有“职业暴露史”；</w:t>
            </w:r>
          </w:p>
        </w:tc>
      </w:tr>
      <w:tr w14:paraId="7A38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7736B28">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2E5C71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|--InfectionRouteOther</w:t>
            </w:r>
          </w:p>
        </w:tc>
        <w:tc>
          <w:tcPr>
            <w:tcW w:w="1053" w:type="dxa"/>
            <w:shd w:val="clear" w:color="auto" w:fill="auto"/>
            <w:vAlign w:val="center"/>
          </w:tcPr>
          <w:p w14:paraId="0A01A4E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10D4AA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感染途径其他</w:t>
            </w:r>
          </w:p>
        </w:tc>
        <w:tc>
          <w:tcPr>
            <w:tcW w:w="1121" w:type="dxa"/>
            <w:shd w:val="clear" w:color="auto" w:fill="auto"/>
            <w:vAlign w:val="center"/>
          </w:tcPr>
          <w:p w14:paraId="5B55A23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AN..100</w:t>
            </w:r>
          </w:p>
        </w:tc>
        <w:tc>
          <w:tcPr>
            <w:tcW w:w="1550" w:type="dxa"/>
            <w:shd w:val="clear" w:color="auto" w:fill="auto"/>
            <w:vAlign w:val="center"/>
          </w:tcPr>
          <w:p w14:paraId="32A36A2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59E7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9C21A58">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AE2E11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|--ContactTypeCodeList</w:t>
            </w:r>
          </w:p>
        </w:tc>
        <w:tc>
          <w:tcPr>
            <w:tcW w:w="1053" w:type="dxa"/>
            <w:shd w:val="clear" w:color="auto" w:fill="auto"/>
            <w:vAlign w:val="center"/>
          </w:tcPr>
          <w:p w14:paraId="7463EEB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1CE36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接触方式</w:t>
            </w:r>
          </w:p>
          <w:p w14:paraId="14D1E72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格式：数组</w:t>
            </w:r>
          </w:p>
        </w:tc>
        <w:tc>
          <w:tcPr>
            <w:tcW w:w="1121" w:type="dxa"/>
            <w:shd w:val="clear" w:color="auto" w:fill="auto"/>
            <w:vAlign w:val="center"/>
          </w:tcPr>
          <w:p w14:paraId="5602A310">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57AA62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取值为《附录：接触方式代码表》值域范围</w:t>
            </w:r>
          </w:p>
          <w:p w14:paraId="2684BB9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业务活动类型为传染病时要求：疾病诊断为艾滋病/HIV时，现住址类型不是港澳台和外籍并且诊断状态是临床诊断病例或者确诊病例时，该字段必填。</w:t>
            </w:r>
          </w:p>
          <w:p w14:paraId="2A83663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性别为‘女’时，接触史不能为’男男性行为史’；</w:t>
            </w:r>
          </w:p>
        </w:tc>
      </w:tr>
      <w:tr w14:paraId="12B3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9C0204A">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9B6BF0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|--ContactOther</w:t>
            </w:r>
          </w:p>
        </w:tc>
        <w:tc>
          <w:tcPr>
            <w:tcW w:w="1053" w:type="dxa"/>
            <w:shd w:val="clear" w:color="auto" w:fill="auto"/>
            <w:vAlign w:val="center"/>
          </w:tcPr>
          <w:p w14:paraId="74698D5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30F160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接触方式其它</w:t>
            </w:r>
          </w:p>
        </w:tc>
        <w:tc>
          <w:tcPr>
            <w:tcW w:w="1121" w:type="dxa"/>
            <w:shd w:val="clear" w:color="auto" w:fill="auto"/>
            <w:vAlign w:val="center"/>
          </w:tcPr>
          <w:p w14:paraId="49D8EA1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AN..40</w:t>
            </w:r>
          </w:p>
        </w:tc>
        <w:tc>
          <w:tcPr>
            <w:tcW w:w="1550" w:type="dxa"/>
            <w:shd w:val="clear" w:color="auto" w:fill="auto"/>
            <w:vAlign w:val="center"/>
          </w:tcPr>
          <w:p w14:paraId="3524801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接触方式为‘其他’时不能为空；</w:t>
            </w:r>
          </w:p>
        </w:tc>
      </w:tr>
      <w:tr w14:paraId="5F3F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0C11B8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40EAF7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|--InjectionTogetherNum</w:t>
            </w:r>
          </w:p>
        </w:tc>
        <w:tc>
          <w:tcPr>
            <w:tcW w:w="1053" w:type="dxa"/>
            <w:shd w:val="clear" w:color="auto" w:fill="auto"/>
            <w:vAlign w:val="center"/>
          </w:tcPr>
          <w:p w14:paraId="7F7BB1E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22E435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注射毒品史  与病人共用过注射器的人数</w:t>
            </w:r>
          </w:p>
          <w:p w14:paraId="733233BF">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121" w:type="dxa"/>
            <w:shd w:val="clear" w:color="auto" w:fill="auto"/>
            <w:vAlign w:val="center"/>
          </w:tcPr>
          <w:p w14:paraId="248F2EE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3630E2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注射毒品史中，共用注射器人数必须为大于等于0的整数；</w:t>
            </w:r>
          </w:p>
          <w:p w14:paraId="5FFD74C9">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1E4A1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33C04E5">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861024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|--NonmaritalSexNum</w:t>
            </w:r>
          </w:p>
        </w:tc>
        <w:tc>
          <w:tcPr>
            <w:tcW w:w="1053" w:type="dxa"/>
            <w:shd w:val="clear" w:color="auto" w:fill="auto"/>
            <w:vAlign w:val="center"/>
          </w:tcPr>
          <w:p w14:paraId="019432C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8A6F09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非婚异性性接触史 与病人有非婚性行为的人数</w:t>
            </w:r>
          </w:p>
        </w:tc>
        <w:tc>
          <w:tcPr>
            <w:tcW w:w="1121" w:type="dxa"/>
            <w:shd w:val="clear" w:color="auto" w:fill="auto"/>
            <w:vAlign w:val="center"/>
          </w:tcPr>
          <w:p w14:paraId="118DC99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32DFC08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非婚异性性接触史中，非婚性行为人数必须为大于等于0的整数；</w:t>
            </w:r>
          </w:p>
        </w:tc>
      </w:tr>
      <w:tr w14:paraId="0410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18448E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210593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|--HomosexualSexNum</w:t>
            </w:r>
          </w:p>
        </w:tc>
        <w:tc>
          <w:tcPr>
            <w:tcW w:w="1053" w:type="dxa"/>
            <w:shd w:val="clear" w:color="auto" w:fill="auto"/>
            <w:vAlign w:val="center"/>
          </w:tcPr>
          <w:p w14:paraId="2A73DBD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00FEB0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男男性行为史 发生同性性行为的人数</w:t>
            </w:r>
          </w:p>
        </w:tc>
        <w:tc>
          <w:tcPr>
            <w:tcW w:w="1121" w:type="dxa"/>
            <w:shd w:val="clear" w:color="auto" w:fill="auto"/>
            <w:vAlign w:val="center"/>
          </w:tcPr>
          <w:p w14:paraId="119ABEC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7FF4E89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男男性行为史中，同性性行为人数必须为大于等于0的整数；</w:t>
            </w:r>
          </w:p>
        </w:tc>
      </w:tr>
      <w:tr w14:paraId="161F2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E283D2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817B6A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|--ChlamydialTrachomatisCode</w:t>
            </w:r>
          </w:p>
        </w:tc>
        <w:tc>
          <w:tcPr>
            <w:tcW w:w="1053" w:type="dxa"/>
            <w:shd w:val="clear" w:color="auto" w:fill="auto"/>
            <w:vAlign w:val="center"/>
          </w:tcPr>
          <w:p w14:paraId="05C8711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583A8B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生殖道沙眼衣原体感染</w:t>
            </w:r>
          </w:p>
        </w:tc>
        <w:tc>
          <w:tcPr>
            <w:tcW w:w="1121" w:type="dxa"/>
            <w:shd w:val="clear" w:color="auto" w:fill="auto"/>
            <w:vAlign w:val="center"/>
          </w:tcPr>
          <w:p w14:paraId="5A268DD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57F81E3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取值为“1=确诊病例，2=无症状感染”值域范围</w:t>
            </w:r>
          </w:p>
          <w:p w14:paraId="0D76D5F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521E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CB2ECB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5BA4C2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|--LaborTestResultCode</w:t>
            </w:r>
          </w:p>
        </w:tc>
        <w:tc>
          <w:tcPr>
            <w:tcW w:w="1053" w:type="dxa"/>
            <w:shd w:val="clear" w:color="auto" w:fill="auto"/>
            <w:vAlign w:val="center"/>
          </w:tcPr>
          <w:p w14:paraId="237D175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7B7DDC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实验室结果</w:t>
            </w:r>
          </w:p>
        </w:tc>
        <w:tc>
          <w:tcPr>
            <w:tcW w:w="1121" w:type="dxa"/>
            <w:shd w:val="clear" w:color="auto" w:fill="auto"/>
            <w:vAlign w:val="center"/>
          </w:tcPr>
          <w:p w14:paraId="0407D4E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328D70B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取值为“1=EV71，2=Cox A16，3=其他肠道病毒”值域范围</w:t>
            </w:r>
          </w:p>
          <w:p w14:paraId="74C08A6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业务活动类型为传染病时要求：疾病诊断为手足口病时，诊断状态是确诊病例时，必填。</w:t>
            </w:r>
          </w:p>
        </w:tc>
      </w:tr>
      <w:tr w14:paraId="1433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F4DFFB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DF4583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|--HbsagCode</w:t>
            </w:r>
          </w:p>
        </w:tc>
        <w:tc>
          <w:tcPr>
            <w:tcW w:w="1053" w:type="dxa"/>
            <w:shd w:val="clear" w:color="auto" w:fill="auto"/>
            <w:vAlign w:val="center"/>
          </w:tcPr>
          <w:p w14:paraId="20ADA9C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5C62CBD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乙肝HBsAg阳性时间</w:t>
            </w:r>
          </w:p>
        </w:tc>
        <w:tc>
          <w:tcPr>
            <w:tcW w:w="1121" w:type="dxa"/>
            <w:shd w:val="clear" w:color="auto" w:fill="auto"/>
            <w:vAlign w:val="center"/>
          </w:tcPr>
          <w:p w14:paraId="0C992AF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44FBD5B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取值为：“1=大于6个月，2=6个月内由阴性转为阳性，3=既往未检测或结果不详”</w:t>
            </w:r>
          </w:p>
          <w:p w14:paraId="1C46365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业务活动类型为传染病时要求：疾病诊断为乙肝时，必填</w:t>
            </w:r>
          </w:p>
        </w:tc>
      </w:tr>
      <w:tr w14:paraId="059C8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7CFDF4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A18591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|--HbsagFirstDate</w:t>
            </w:r>
          </w:p>
        </w:tc>
        <w:tc>
          <w:tcPr>
            <w:tcW w:w="1053" w:type="dxa"/>
            <w:shd w:val="clear" w:color="auto" w:fill="auto"/>
            <w:vAlign w:val="center"/>
          </w:tcPr>
          <w:p w14:paraId="0874E93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A1361E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首次出现乙肝症状和体征时间</w:t>
            </w:r>
          </w:p>
          <w:p w14:paraId="3E9184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50C39C4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302849D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329F431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业务活动类型为传染病时要求：疾病诊断为乙肝时填写，非必填。填写时，不能超过填卡日期</w:t>
            </w:r>
          </w:p>
        </w:tc>
      </w:tr>
      <w:tr w14:paraId="2370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61FF630">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8EDABC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|--HbsagAsymptomatic</w:t>
            </w:r>
          </w:p>
          <w:p w14:paraId="753BA1A3">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053" w:type="dxa"/>
            <w:shd w:val="clear" w:color="auto" w:fill="auto"/>
            <w:vAlign w:val="center"/>
          </w:tcPr>
          <w:p w14:paraId="26CBBED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8B5799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无症状/不详</w:t>
            </w:r>
          </w:p>
        </w:tc>
        <w:tc>
          <w:tcPr>
            <w:tcW w:w="1121" w:type="dxa"/>
            <w:shd w:val="clear" w:color="auto" w:fill="auto"/>
            <w:vAlign w:val="center"/>
          </w:tcPr>
          <w:p w14:paraId="75D2773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6717E98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疾病诊断为乙肝时填写，非必填。首次出现乙肝症状和体征时间和本字段不能同时有值。填写时只能填：“N”</w:t>
            </w:r>
          </w:p>
        </w:tc>
      </w:tr>
      <w:tr w14:paraId="1518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A942482">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96B55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|--HbsagAlt</w:t>
            </w:r>
          </w:p>
        </w:tc>
        <w:tc>
          <w:tcPr>
            <w:tcW w:w="1053" w:type="dxa"/>
            <w:shd w:val="clear" w:color="auto" w:fill="auto"/>
            <w:vAlign w:val="center"/>
          </w:tcPr>
          <w:p w14:paraId="51F9B65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005DBB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乙肝本次ALT</w:t>
            </w:r>
          </w:p>
        </w:tc>
        <w:tc>
          <w:tcPr>
            <w:tcW w:w="1121" w:type="dxa"/>
            <w:shd w:val="clear" w:color="auto" w:fill="auto"/>
            <w:vAlign w:val="center"/>
          </w:tcPr>
          <w:p w14:paraId="1236078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3DD19D9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疾病诊断为乙肝时填写，非必填</w:t>
            </w:r>
          </w:p>
        </w:tc>
      </w:tr>
      <w:tr w14:paraId="16D1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A855C0A">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84A364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|--HbcigResultCode</w:t>
            </w:r>
          </w:p>
        </w:tc>
        <w:tc>
          <w:tcPr>
            <w:tcW w:w="1053" w:type="dxa"/>
            <w:shd w:val="clear" w:color="auto" w:fill="auto"/>
            <w:vAlign w:val="center"/>
          </w:tcPr>
          <w:p w14:paraId="05D22E7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A6D3F5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抗-HBcIgM1：1000检测结果</w:t>
            </w:r>
          </w:p>
        </w:tc>
        <w:tc>
          <w:tcPr>
            <w:tcW w:w="1121" w:type="dxa"/>
            <w:shd w:val="clear" w:color="auto" w:fill="auto"/>
            <w:vAlign w:val="center"/>
          </w:tcPr>
          <w:p w14:paraId="283482F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51A2D7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疾病诊断为乙肝时填写，取值为：“1=阳性，2=阴性，3=未测”</w:t>
            </w:r>
          </w:p>
          <w:p w14:paraId="1110349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2163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38CACC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14B252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|--HbliverPunctureCode</w:t>
            </w:r>
          </w:p>
        </w:tc>
        <w:tc>
          <w:tcPr>
            <w:tcW w:w="1053" w:type="dxa"/>
            <w:shd w:val="clear" w:color="auto" w:fill="auto"/>
            <w:vAlign w:val="center"/>
          </w:tcPr>
          <w:p w14:paraId="3B233AF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FF4CD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肝穿结果</w:t>
            </w:r>
          </w:p>
        </w:tc>
        <w:tc>
          <w:tcPr>
            <w:tcW w:w="1121" w:type="dxa"/>
            <w:shd w:val="clear" w:color="auto" w:fill="auto"/>
            <w:vAlign w:val="center"/>
          </w:tcPr>
          <w:p w14:paraId="62BA02E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77E2D7F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疾病诊断为乙肝时填写，取值为：“1=急性病变，2=慢性病变，3=未测”</w:t>
            </w:r>
          </w:p>
          <w:p w14:paraId="015DA9F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7A8B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37172F1">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C9DFAF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|--HbsagChangeCode</w:t>
            </w:r>
          </w:p>
        </w:tc>
        <w:tc>
          <w:tcPr>
            <w:tcW w:w="1053" w:type="dxa"/>
            <w:shd w:val="clear" w:color="auto" w:fill="auto"/>
            <w:vAlign w:val="center"/>
          </w:tcPr>
          <w:p w14:paraId="1A1E9D1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B6121B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恢复期血清HBsAg阴转，抗HBs阳转</w:t>
            </w:r>
          </w:p>
        </w:tc>
        <w:tc>
          <w:tcPr>
            <w:tcW w:w="1121" w:type="dxa"/>
            <w:shd w:val="clear" w:color="auto" w:fill="auto"/>
            <w:vAlign w:val="center"/>
          </w:tcPr>
          <w:p w14:paraId="011DA9A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78B0DF5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疾病诊断为乙肝时填写，取值为：“1=是，2=否，3=未测”</w:t>
            </w:r>
          </w:p>
          <w:p w14:paraId="5F55A62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6DEC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FEC707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35952C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|--CloseContactsSymptomCode</w:t>
            </w:r>
          </w:p>
        </w:tc>
        <w:tc>
          <w:tcPr>
            <w:tcW w:w="1053" w:type="dxa"/>
            <w:shd w:val="clear" w:color="auto" w:fill="auto"/>
            <w:vAlign w:val="center"/>
          </w:tcPr>
          <w:p w14:paraId="4CA7D07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BA0B3A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亲密接触者有无同症状</w:t>
            </w:r>
          </w:p>
        </w:tc>
        <w:tc>
          <w:tcPr>
            <w:tcW w:w="1121" w:type="dxa"/>
            <w:shd w:val="clear" w:color="auto" w:fill="auto"/>
            <w:vAlign w:val="center"/>
          </w:tcPr>
          <w:p w14:paraId="153F50A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7C77722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取值为《附录：有无代码表》值域范围</w:t>
            </w:r>
          </w:p>
        </w:tc>
      </w:tr>
      <w:tr w14:paraId="27DD7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EA7095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1D684B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|--MgmtStatusCode</w:t>
            </w:r>
          </w:p>
        </w:tc>
        <w:tc>
          <w:tcPr>
            <w:tcW w:w="1053" w:type="dxa"/>
            <w:shd w:val="clear" w:color="auto" w:fill="auto"/>
            <w:vAlign w:val="center"/>
          </w:tcPr>
          <w:p w14:paraId="10931A8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DF5C87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收治状态/转诊状态</w:t>
            </w:r>
          </w:p>
        </w:tc>
        <w:tc>
          <w:tcPr>
            <w:tcW w:w="1121" w:type="dxa"/>
            <w:shd w:val="clear" w:color="auto" w:fill="auto"/>
            <w:vAlign w:val="center"/>
          </w:tcPr>
          <w:p w14:paraId="17A5854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11CC4F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取值为“0或空=未收治；1=已收治；3=已到位未收治”值域范围</w:t>
            </w:r>
          </w:p>
          <w:p w14:paraId="1A8A568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业务活动类型为传染病时要求：疾病诊断为结核病时，必填</w:t>
            </w:r>
          </w:p>
        </w:tc>
      </w:tr>
      <w:tr w14:paraId="16B9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8D27D2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6D3DAE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|--CurrmgmtOrgCode</w:t>
            </w:r>
          </w:p>
        </w:tc>
        <w:tc>
          <w:tcPr>
            <w:tcW w:w="1053" w:type="dxa"/>
            <w:shd w:val="clear" w:color="auto" w:fill="auto"/>
            <w:vAlign w:val="center"/>
          </w:tcPr>
          <w:p w14:paraId="310E538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A030AF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收治机构/转诊机构</w:t>
            </w:r>
          </w:p>
        </w:tc>
        <w:tc>
          <w:tcPr>
            <w:tcW w:w="1121" w:type="dxa"/>
            <w:shd w:val="clear" w:color="auto" w:fill="auto"/>
            <w:vAlign w:val="center"/>
          </w:tcPr>
          <w:p w14:paraId="34821E6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2729B81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业务活动类型为传染病时要求：疾病诊断为结核病和新型冠状病毒感染时填写，非必填</w:t>
            </w:r>
          </w:p>
        </w:tc>
      </w:tr>
      <w:tr w14:paraId="65C9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413382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C1D434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|--CardNotes</w:t>
            </w:r>
          </w:p>
        </w:tc>
        <w:tc>
          <w:tcPr>
            <w:tcW w:w="1053" w:type="dxa"/>
            <w:shd w:val="clear" w:color="auto" w:fill="auto"/>
            <w:vAlign w:val="center"/>
          </w:tcPr>
          <w:p w14:paraId="04649C8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93A835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备注</w:t>
            </w:r>
          </w:p>
        </w:tc>
        <w:tc>
          <w:tcPr>
            <w:tcW w:w="1121" w:type="dxa"/>
            <w:shd w:val="clear" w:color="auto" w:fill="auto"/>
            <w:vAlign w:val="center"/>
          </w:tcPr>
          <w:p w14:paraId="60DBF8D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AN..200</w:t>
            </w:r>
          </w:p>
        </w:tc>
        <w:tc>
          <w:tcPr>
            <w:tcW w:w="1550" w:type="dxa"/>
            <w:shd w:val="clear" w:color="auto" w:fill="auto"/>
            <w:vAlign w:val="center"/>
          </w:tcPr>
          <w:p w14:paraId="1B41F2D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72FF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EE0F681">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C701DF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|--ForeignTypeCode</w:t>
            </w:r>
          </w:p>
        </w:tc>
        <w:tc>
          <w:tcPr>
            <w:tcW w:w="1053" w:type="dxa"/>
            <w:shd w:val="clear" w:color="auto" w:fill="auto"/>
            <w:vAlign w:val="center"/>
          </w:tcPr>
          <w:p w14:paraId="3641C43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52F488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输入病例类型</w:t>
            </w:r>
          </w:p>
        </w:tc>
        <w:tc>
          <w:tcPr>
            <w:tcW w:w="1121" w:type="dxa"/>
            <w:shd w:val="clear" w:color="auto" w:fill="auto"/>
            <w:vAlign w:val="center"/>
          </w:tcPr>
          <w:p w14:paraId="33ADE60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4D8B7AA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取值为：“0=否，1=是”值域范围</w:t>
            </w:r>
            <w:r>
              <w:rPr>
                <w:rFonts w:hint="eastAsia" w:ascii="宋体" w:hAnsi="宋体" w:eastAsia="宋体" w:cs="宋体"/>
                <w:color w:val="auto"/>
                <w:szCs w:val="30"/>
                <w:lang w:eastAsia="zh-Hans"/>
              </w:rPr>
              <w:t>。</w:t>
            </w:r>
          </w:p>
          <w:p w14:paraId="4B46C1F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业务活动类型为传染病时要求：疾病诊断为新型冠状病毒感染或猴痘时填写，必填，其中猴痘病例自2023年7月28日13时之后录入必填，之前录入的卡片不要求必填。</w:t>
            </w:r>
          </w:p>
        </w:tc>
      </w:tr>
      <w:tr w14:paraId="126B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3170A0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413F6B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|--NcvOrfCtv</w:t>
            </w:r>
          </w:p>
        </w:tc>
        <w:tc>
          <w:tcPr>
            <w:tcW w:w="1053" w:type="dxa"/>
            <w:shd w:val="clear" w:color="auto" w:fill="auto"/>
            <w:vAlign w:val="center"/>
          </w:tcPr>
          <w:p w14:paraId="7C7145B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620215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ORF1ab靶标Ct值</w:t>
            </w:r>
          </w:p>
        </w:tc>
        <w:tc>
          <w:tcPr>
            <w:tcW w:w="1121" w:type="dxa"/>
            <w:shd w:val="clear" w:color="auto" w:fill="auto"/>
            <w:vAlign w:val="center"/>
          </w:tcPr>
          <w:p w14:paraId="512D212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w:t>
            </w:r>
          </w:p>
        </w:tc>
        <w:tc>
          <w:tcPr>
            <w:tcW w:w="1550" w:type="dxa"/>
            <w:shd w:val="clear" w:color="auto" w:fill="auto"/>
            <w:vAlign w:val="center"/>
          </w:tcPr>
          <w:p w14:paraId="2971257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业务活动类型为传染病时要求：疾病诊断为新型冠状病毒感染同时输入病例类型为是，并且诊断状态是阳性检测或者确诊病例时，必填</w:t>
            </w:r>
            <w:r>
              <w:rPr>
                <w:rFonts w:hint="eastAsia" w:ascii="宋体" w:hAnsi="宋体" w:eastAsia="宋体" w:cs="宋体"/>
                <w:color w:val="auto"/>
                <w:szCs w:val="30"/>
                <w:lang w:eastAsia="zh-Hans"/>
              </w:rPr>
              <w:t>。</w:t>
            </w:r>
            <w:r>
              <w:rPr>
                <w:rFonts w:hint="eastAsia" w:ascii="宋体" w:hAnsi="宋体" w:eastAsia="宋体" w:cs="宋体"/>
                <w:color w:val="auto"/>
                <w:szCs w:val="30"/>
              </w:rPr>
              <w:t>数值</w:t>
            </w:r>
            <w:r>
              <w:rPr>
                <w:rFonts w:hint="eastAsia" w:ascii="宋体" w:hAnsi="宋体" w:eastAsia="宋体" w:cs="宋体"/>
                <w:color w:val="auto"/>
                <w:szCs w:val="30"/>
                <w:lang w:eastAsia="zh-Hans"/>
              </w:rPr>
              <w:t>范围</w:t>
            </w:r>
            <w:r>
              <w:rPr>
                <w:rFonts w:hint="eastAsia" w:ascii="宋体" w:hAnsi="宋体" w:eastAsia="宋体" w:cs="宋体"/>
                <w:color w:val="auto"/>
                <w:szCs w:val="30"/>
              </w:rPr>
              <w:t>是大于等于0小于等于45；自2023年1月8日0时起取消收集。</w:t>
            </w:r>
          </w:p>
        </w:tc>
      </w:tr>
      <w:tr w14:paraId="79A1A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11EC263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E8A1D5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NcvNCtv</w:t>
            </w:r>
          </w:p>
        </w:tc>
        <w:tc>
          <w:tcPr>
            <w:tcW w:w="1053" w:type="dxa"/>
            <w:shd w:val="clear" w:color="auto" w:fill="auto"/>
            <w:vAlign w:val="center"/>
          </w:tcPr>
          <w:p w14:paraId="1B2CE2F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8FDE2E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N靶标Ct值</w:t>
            </w:r>
          </w:p>
        </w:tc>
        <w:tc>
          <w:tcPr>
            <w:tcW w:w="1121" w:type="dxa"/>
            <w:shd w:val="clear" w:color="auto" w:fill="auto"/>
            <w:vAlign w:val="center"/>
          </w:tcPr>
          <w:p w14:paraId="4FF55EB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w:t>
            </w:r>
          </w:p>
        </w:tc>
        <w:tc>
          <w:tcPr>
            <w:tcW w:w="1550" w:type="dxa"/>
            <w:shd w:val="clear" w:color="auto" w:fill="auto"/>
            <w:vAlign w:val="center"/>
          </w:tcPr>
          <w:p w14:paraId="10B51FC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业务活动类型为传染病时要求：疾病诊断为新型冠状病毒感染同时输入病例类型为是，并且诊断状态是阳性检测或者确诊病例时，必填</w:t>
            </w:r>
            <w:r>
              <w:rPr>
                <w:rFonts w:hint="eastAsia" w:ascii="宋体" w:hAnsi="宋体" w:eastAsia="宋体" w:cs="宋体"/>
                <w:color w:val="auto"/>
                <w:szCs w:val="30"/>
                <w:lang w:eastAsia="zh-Hans"/>
              </w:rPr>
              <w:t>。</w:t>
            </w:r>
            <w:r>
              <w:rPr>
                <w:rFonts w:hint="eastAsia" w:ascii="宋体" w:hAnsi="宋体" w:eastAsia="宋体" w:cs="宋体"/>
                <w:color w:val="auto"/>
                <w:szCs w:val="30"/>
              </w:rPr>
              <w:t>数值</w:t>
            </w:r>
            <w:r>
              <w:rPr>
                <w:rFonts w:hint="eastAsia" w:ascii="宋体" w:hAnsi="宋体" w:eastAsia="宋体" w:cs="宋体"/>
                <w:color w:val="auto"/>
                <w:szCs w:val="30"/>
                <w:lang w:eastAsia="zh-Hans"/>
              </w:rPr>
              <w:t>范围</w:t>
            </w:r>
            <w:r>
              <w:rPr>
                <w:rFonts w:hint="eastAsia" w:ascii="宋体" w:hAnsi="宋体" w:eastAsia="宋体" w:cs="宋体"/>
                <w:color w:val="auto"/>
                <w:szCs w:val="30"/>
              </w:rPr>
              <w:t>是大于等于0小于等于45；自2023年1月8日0时起取消收集。</w:t>
            </w:r>
          </w:p>
        </w:tc>
      </w:tr>
      <w:tr w14:paraId="7FFF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6362B8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4B5AB1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|--PlaceCode</w:t>
            </w:r>
          </w:p>
        </w:tc>
        <w:tc>
          <w:tcPr>
            <w:tcW w:w="1053" w:type="dxa"/>
            <w:shd w:val="clear" w:color="auto" w:fill="auto"/>
            <w:vAlign w:val="center"/>
          </w:tcPr>
          <w:p w14:paraId="4688ECD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C65ABE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输入来源地</w:t>
            </w:r>
          </w:p>
        </w:tc>
        <w:tc>
          <w:tcPr>
            <w:tcW w:w="1121" w:type="dxa"/>
            <w:shd w:val="clear" w:color="auto" w:fill="auto"/>
            <w:vAlign w:val="center"/>
          </w:tcPr>
          <w:p w14:paraId="11EEAE0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AN..3</w:t>
            </w:r>
          </w:p>
        </w:tc>
        <w:tc>
          <w:tcPr>
            <w:tcW w:w="1550" w:type="dxa"/>
            <w:shd w:val="clear" w:color="auto" w:fill="auto"/>
            <w:vAlign w:val="center"/>
          </w:tcPr>
          <w:p w14:paraId="05E9412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取值为《GB/T 2659-2000国籍代码》值域范围</w:t>
            </w:r>
            <w:r>
              <w:rPr>
                <w:rFonts w:hint="eastAsia" w:ascii="宋体" w:hAnsi="宋体" w:eastAsia="宋体" w:cs="宋体"/>
                <w:color w:val="auto"/>
                <w:szCs w:val="30"/>
                <w:lang w:eastAsia="zh-Hans"/>
              </w:rPr>
              <w:t>。</w:t>
            </w:r>
          </w:p>
          <w:p w14:paraId="19C528B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业务活动类型为传染病时要求：疾病诊断为新型冠状病毒感染或猴痘且输入病例类型为是时，必填，新冠自2023年1月8日0时起取消收集；当是输入病例时，来源国家或地区不能选择“中国”。</w:t>
            </w:r>
          </w:p>
        </w:tc>
      </w:tr>
      <w:tr w14:paraId="43F2B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C16064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2661BF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|--PlaceOther</w:t>
            </w:r>
          </w:p>
        </w:tc>
        <w:tc>
          <w:tcPr>
            <w:tcW w:w="1053" w:type="dxa"/>
            <w:shd w:val="clear" w:color="auto" w:fill="auto"/>
            <w:vAlign w:val="center"/>
          </w:tcPr>
          <w:p w14:paraId="131056E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26EC8B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输入来源地-其他国家</w:t>
            </w:r>
          </w:p>
        </w:tc>
        <w:tc>
          <w:tcPr>
            <w:tcW w:w="1121" w:type="dxa"/>
            <w:shd w:val="clear" w:color="auto" w:fill="auto"/>
            <w:vAlign w:val="center"/>
          </w:tcPr>
          <w:p w14:paraId="756106C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AN..80</w:t>
            </w:r>
          </w:p>
        </w:tc>
        <w:tc>
          <w:tcPr>
            <w:tcW w:w="1550" w:type="dxa"/>
            <w:shd w:val="clear" w:color="auto" w:fill="auto"/>
            <w:vAlign w:val="center"/>
          </w:tcPr>
          <w:p w14:paraId="3E56665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疾病诊断为新型冠状病毒感染时填写，非必填</w:t>
            </w:r>
          </w:p>
        </w:tc>
      </w:tr>
      <w:tr w14:paraId="3167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8F7279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10FC0B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|--InHosDate</w:t>
            </w:r>
          </w:p>
        </w:tc>
        <w:tc>
          <w:tcPr>
            <w:tcW w:w="1053" w:type="dxa"/>
            <w:shd w:val="clear" w:color="auto" w:fill="auto"/>
            <w:vAlign w:val="center"/>
          </w:tcPr>
          <w:p w14:paraId="2F8AE7F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83BE37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入院日期</w:t>
            </w:r>
          </w:p>
          <w:p w14:paraId="736DA91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23B6547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31246F0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709C48B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疾病诊断为新型冠状病毒感染时填写，非必填</w:t>
            </w:r>
          </w:p>
        </w:tc>
      </w:tr>
      <w:tr w14:paraId="4573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5FAEAD4C">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3F6DA8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|--OutHosDate</w:t>
            </w:r>
          </w:p>
        </w:tc>
        <w:tc>
          <w:tcPr>
            <w:tcW w:w="1053" w:type="dxa"/>
            <w:shd w:val="clear" w:color="auto" w:fill="auto"/>
            <w:vAlign w:val="center"/>
          </w:tcPr>
          <w:p w14:paraId="51E6ABD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4B0359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出院日期</w:t>
            </w:r>
          </w:p>
          <w:p w14:paraId="2A9DE74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36E132E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121" w:type="dxa"/>
            <w:shd w:val="clear" w:color="auto" w:fill="auto"/>
            <w:vAlign w:val="center"/>
          </w:tcPr>
          <w:p w14:paraId="67ABB6A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090A531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疾病诊断为新型冠状病毒感染时填写，非必填</w:t>
            </w:r>
          </w:p>
        </w:tc>
      </w:tr>
      <w:tr w14:paraId="2A69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491BB9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DE875E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|--TreatTypeCode</w:t>
            </w:r>
          </w:p>
        </w:tc>
        <w:tc>
          <w:tcPr>
            <w:tcW w:w="1053" w:type="dxa"/>
            <w:shd w:val="clear" w:color="auto" w:fill="auto"/>
            <w:vAlign w:val="center"/>
          </w:tcPr>
          <w:p w14:paraId="52097E1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35F213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病例来源</w:t>
            </w:r>
          </w:p>
        </w:tc>
        <w:tc>
          <w:tcPr>
            <w:tcW w:w="1121" w:type="dxa"/>
            <w:shd w:val="clear" w:color="auto" w:fill="auto"/>
            <w:vAlign w:val="center"/>
          </w:tcPr>
          <w:p w14:paraId="44B132B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N1</w:t>
            </w:r>
          </w:p>
        </w:tc>
        <w:tc>
          <w:tcPr>
            <w:tcW w:w="1550" w:type="dxa"/>
            <w:shd w:val="clear" w:color="auto" w:fill="auto"/>
            <w:vAlign w:val="center"/>
          </w:tcPr>
          <w:p w14:paraId="422E5E0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疾病诊断为人呼吸道合胞病毒感染时填写</w:t>
            </w:r>
            <w:r>
              <w:rPr>
                <w:rFonts w:hint="eastAsia" w:ascii="宋体" w:hAnsi="宋体" w:eastAsia="宋体" w:cs="宋体"/>
                <w:color w:val="auto"/>
                <w:szCs w:val="30"/>
                <w:lang w:eastAsia="zh-Hans"/>
              </w:rPr>
              <w:t>，</w:t>
            </w:r>
            <w:r>
              <w:rPr>
                <w:rFonts w:hint="eastAsia" w:ascii="宋体" w:hAnsi="宋体" w:eastAsia="宋体" w:cs="宋体"/>
                <w:color w:val="auto"/>
                <w:szCs w:val="30"/>
              </w:rPr>
              <w:t>必填，取值为：“1=门急诊，2=住院”值域范围</w:t>
            </w:r>
            <w:r>
              <w:rPr>
                <w:rFonts w:hint="eastAsia" w:ascii="宋体" w:hAnsi="宋体" w:eastAsia="宋体" w:cs="宋体"/>
                <w:color w:val="auto"/>
                <w:szCs w:val="30"/>
                <w:lang w:eastAsia="zh-Hans"/>
              </w:rPr>
              <w:t>。</w:t>
            </w:r>
          </w:p>
        </w:tc>
      </w:tr>
      <w:tr w14:paraId="322DD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7B23791">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B438C1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|--DepartmentCode</w:t>
            </w:r>
          </w:p>
        </w:tc>
        <w:tc>
          <w:tcPr>
            <w:tcW w:w="1053" w:type="dxa"/>
            <w:shd w:val="clear" w:color="auto" w:fill="auto"/>
            <w:vAlign w:val="center"/>
          </w:tcPr>
          <w:p w14:paraId="413D620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5618E86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科室</w:t>
            </w:r>
          </w:p>
        </w:tc>
        <w:tc>
          <w:tcPr>
            <w:tcW w:w="1121" w:type="dxa"/>
            <w:shd w:val="clear" w:color="auto" w:fill="auto"/>
            <w:vAlign w:val="center"/>
          </w:tcPr>
          <w:p w14:paraId="4F7226A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N1</w:t>
            </w:r>
          </w:p>
        </w:tc>
        <w:tc>
          <w:tcPr>
            <w:tcW w:w="1550" w:type="dxa"/>
            <w:shd w:val="clear" w:color="auto" w:fill="auto"/>
            <w:vAlign w:val="center"/>
          </w:tcPr>
          <w:p w14:paraId="2F33C66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疾病诊断为人呼吸道合胞病毒感染时填写</w:t>
            </w:r>
            <w:r>
              <w:rPr>
                <w:rFonts w:hint="eastAsia" w:ascii="宋体" w:hAnsi="宋体" w:eastAsia="宋体" w:cs="宋体"/>
                <w:color w:val="auto"/>
                <w:szCs w:val="30"/>
                <w:lang w:eastAsia="zh-Hans"/>
              </w:rPr>
              <w:t>，</w:t>
            </w:r>
            <w:r>
              <w:rPr>
                <w:rFonts w:hint="eastAsia" w:ascii="宋体" w:hAnsi="宋体" w:eastAsia="宋体" w:cs="宋体"/>
                <w:color w:val="auto"/>
                <w:szCs w:val="30"/>
              </w:rPr>
              <w:t>必填，取值为《附录：科室代码表》值域范围。14岁（不含）以上不能选儿内科。</w:t>
            </w:r>
          </w:p>
        </w:tc>
      </w:tr>
      <w:tr w14:paraId="4A3FE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18E0BC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ADA028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|--DepartmentOther</w:t>
            </w:r>
          </w:p>
        </w:tc>
        <w:tc>
          <w:tcPr>
            <w:tcW w:w="1053" w:type="dxa"/>
            <w:shd w:val="clear" w:color="auto" w:fill="auto"/>
            <w:vAlign w:val="center"/>
          </w:tcPr>
          <w:p w14:paraId="7789ECD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F8EA0E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科室-其他</w:t>
            </w:r>
          </w:p>
        </w:tc>
        <w:tc>
          <w:tcPr>
            <w:tcW w:w="1121" w:type="dxa"/>
            <w:shd w:val="clear" w:color="auto" w:fill="auto"/>
            <w:vAlign w:val="center"/>
          </w:tcPr>
          <w:p w14:paraId="3BD050A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AN..100</w:t>
            </w:r>
          </w:p>
        </w:tc>
        <w:tc>
          <w:tcPr>
            <w:tcW w:w="1550" w:type="dxa"/>
            <w:shd w:val="clear" w:color="auto" w:fill="auto"/>
            <w:vAlign w:val="center"/>
          </w:tcPr>
          <w:p w14:paraId="1FF1E8C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疾病诊断为人呼吸道合胞病毒感染并且科室选择其他时填写，必填，最长为50个字</w:t>
            </w:r>
            <w:r>
              <w:rPr>
                <w:rFonts w:hint="eastAsia" w:ascii="宋体" w:hAnsi="宋体" w:eastAsia="宋体" w:cs="宋体"/>
                <w:color w:val="auto"/>
                <w:szCs w:val="30"/>
                <w:lang w:eastAsia="zh-Hans"/>
              </w:rPr>
              <w:t>。</w:t>
            </w:r>
          </w:p>
        </w:tc>
      </w:tr>
      <w:tr w14:paraId="2D29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343BED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631633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|--ClinicalCodeList</w:t>
            </w:r>
          </w:p>
        </w:tc>
        <w:tc>
          <w:tcPr>
            <w:tcW w:w="1053" w:type="dxa"/>
            <w:shd w:val="clear" w:color="auto" w:fill="auto"/>
            <w:vAlign w:val="center"/>
          </w:tcPr>
          <w:p w14:paraId="001290E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1C3382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临床表现</w:t>
            </w:r>
          </w:p>
          <w:p w14:paraId="4AB981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格式：数组</w:t>
            </w:r>
          </w:p>
        </w:tc>
        <w:tc>
          <w:tcPr>
            <w:tcW w:w="1121" w:type="dxa"/>
            <w:shd w:val="clear" w:color="auto" w:fill="auto"/>
            <w:vAlign w:val="center"/>
          </w:tcPr>
          <w:p w14:paraId="157DAC42">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277AE33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疾病诊断为人呼吸道合胞病毒感染时填写</w:t>
            </w:r>
            <w:r>
              <w:rPr>
                <w:rFonts w:hint="eastAsia" w:ascii="宋体" w:hAnsi="宋体" w:eastAsia="宋体" w:cs="宋体"/>
                <w:color w:val="auto"/>
                <w:szCs w:val="30"/>
                <w:lang w:eastAsia="zh-Hans"/>
              </w:rPr>
              <w:t>，</w:t>
            </w:r>
            <w:r>
              <w:rPr>
                <w:rFonts w:hint="eastAsia" w:ascii="宋体" w:hAnsi="宋体" w:eastAsia="宋体" w:cs="宋体"/>
                <w:color w:val="auto"/>
                <w:szCs w:val="30"/>
              </w:rPr>
              <w:t>必填，取值为《附录：临床表现代码表》值域范围</w:t>
            </w:r>
          </w:p>
        </w:tc>
      </w:tr>
      <w:tr w14:paraId="5775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CE7D72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E8F5E1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|--ClinicalOther</w:t>
            </w:r>
          </w:p>
        </w:tc>
        <w:tc>
          <w:tcPr>
            <w:tcW w:w="1053" w:type="dxa"/>
            <w:shd w:val="clear" w:color="auto" w:fill="auto"/>
            <w:vAlign w:val="center"/>
          </w:tcPr>
          <w:p w14:paraId="2AE2399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C06316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临床表现-其他</w:t>
            </w:r>
          </w:p>
        </w:tc>
        <w:tc>
          <w:tcPr>
            <w:tcW w:w="1121" w:type="dxa"/>
            <w:shd w:val="clear" w:color="auto" w:fill="auto"/>
            <w:vAlign w:val="center"/>
          </w:tcPr>
          <w:p w14:paraId="6C4A005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AN..100</w:t>
            </w:r>
          </w:p>
        </w:tc>
        <w:tc>
          <w:tcPr>
            <w:tcW w:w="1550" w:type="dxa"/>
            <w:shd w:val="clear" w:color="auto" w:fill="auto"/>
            <w:vAlign w:val="center"/>
          </w:tcPr>
          <w:p w14:paraId="239641B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疾病诊断为人呼吸道合胞病毒感染并且临床表现选择其他时填写，必填，最长为50个字</w:t>
            </w:r>
            <w:r>
              <w:rPr>
                <w:rFonts w:hint="eastAsia" w:ascii="宋体" w:hAnsi="宋体" w:eastAsia="宋体" w:cs="宋体"/>
                <w:color w:val="auto"/>
                <w:szCs w:val="30"/>
                <w:lang w:eastAsia="zh-Hans"/>
              </w:rPr>
              <w:t>。</w:t>
            </w:r>
          </w:p>
        </w:tc>
      </w:tr>
      <w:tr w14:paraId="5C08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BF1E9F3">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B5A489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|--FeverNum</w:t>
            </w:r>
          </w:p>
        </w:tc>
        <w:tc>
          <w:tcPr>
            <w:tcW w:w="1053" w:type="dxa"/>
            <w:shd w:val="clear" w:color="auto" w:fill="auto"/>
            <w:vAlign w:val="center"/>
          </w:tcPr>
          <w:p w14:paraId="44EC2DB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5D554AD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发热体温</w:t>
            </w:r>
          </w:p>
        </w:tc>
        <w:tc>
          <w:tcPr>
            <w:tcW w:w="1121" w:type="dxa"/>
            <w:shd w:val="clear" w:color="auto" w:fill="auto"/>
            <w:vAlign w:val="center"/>
          </w:tcPr>
          <w:p w14:paraId="721F904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w:t>
            </w:r>
          </w:p>
        </w:tc>
        <w:tc>
          <w:tcPr>
            <w:tcW w:w="1550" w:type="dxa"/>
            <w:shd w:val="clear" w:color="auto" w:fill="auto"/>
            <w:vAlign w:val="center"/>
          </w:tcPr>
          <w:p w14:paraId="2420884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疾病诊断为人呼吸道合胞病毒感染并且临床表现选择发热时填写，必填，体温</w:t>
            </w:r>
            <w:r>
              <w:rPr>
                <w:rFonts w:hint="eastAsia" w:ascii="宋体" w:hAnsi="宋体" w:eastAsia="宋体" w:cs="宋体"/>
                <w:color w:val="auto"/>
                <w:szCs w:val="30"/>
                <w:lang w:eastAsia="zh-Hans"/>
              </w:rPr>
              <w:t>范围</w:t>
            </w:r>
            <w:r>
              <w:rPr>
                <w:rFonts w:hint="eastAsia" w:ascii="宋体" w:hAnsi="宋体" w:eastAsia="宋体" w:cs="宋体"/>
                <w:color w:val="auto"/>
                <w:szCs w:val="30"/>
              </w:rPr>
              <w:t>是大于等于35小于等于45，小数点后最多一位数字</w:t>
            </w:r>
            <w:r>
              <w:rPr>
                <w:rFonts w:hint="eastAsia" w:ascii="宋体" w:hAnsi="宋体" w:eastAsia="宋体" w:cs="宋体"/>
                <w:color w:val="auto"/>
                <w:szCs w:val="30"/>
                <w:lang w:eastAsia="zh-Hans"/>
              </w:rPr>
              <w:t>。</w:t>
            </w:r>
          </w:p>
        </w:tc>
      </w:tr>
      <w:tr w14:paraId="4728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4E6BC73">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F0923C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|--IsBabyApneaCode</w:t>
            </w:r>
          </w:p>
        </w:tc>
        <w:tc>
          <w:tcPr>
            <w:tcW w:w="1053" w:type="dxa"/>
            <w:shd w:val="clear" w:color="auto" w:fill="auto"/>
            <w:vAlign w:val="center"/>
          </w:tcPr>
          <w:p w14:paraId="596C8C7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A67C99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婴儿是否有呼吸暂停</w:t>
            </w:r>
          </w:p>
        </w:tc>
        <w:tc>
          <w:tcPr>
            <w:tcW w:w="1121" w:type="dxa"/>
            <w:shd w:val="clear" w:color="auto" w:fill="auto"/>
            <w:vAlign w:val="center"/>
          </w:tcPr>
          <w:p w14:paraId="209ABA2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55E56A3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疾病诊断为人呼吸道合胞病毒感染时且患者年龄在</w:t>
            </w:r>
            <w:r>
              <w:rPr>
                <w:rFonts w:hint="eastAsia" w:ascii="宋体" w:hAnsi="宋体" w:eastAsia="宋体" w:cs="宋体"/>
                <w:color w:val="auto"/>
                <w:szCs w:val="30"/>
                <w:lang w:val="fr-FR"/>
              </w:rPr>
              <w:t>0-6月</w:t>
            </w:r>
            <w:r>
              <w:rPr>
                <w:rFonts w:hint="eastAsia" w:ascii="宋体" w:hAnsi="宋体" w:eastAsia="宋体" w:cs="宋体"/>
                <w:color w:val="auto"/>
                <w:szCs w:val="30"/>
              </w:rPr>
              <w:t>时填写，必填，取值为：“1=是、2=否”值域范围</w:t>
            </w:r>
          </w:p>
        </w:tc>
      </w:tr>
      <w:tr w14:paraId="491A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D506B2D">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AFB27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|--IsBabyShockCode</w:t>
            </w:r>
          </w:p>
        </w:tc>
        <w:tc>
          <w:tcPr>
            <w:tcW w:w="1053" w:type="dxa"/>
            <w:shd w:val="clear" w:color="auto" w:fill="auto"/>
            <w:vAlign w:val="center"/>
          </w:tcPr>
          <w:p w14:paraId="3A12AA5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E83711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婴儿是否有脓毒症/休克</w:t>
            </w:r>
          </w:p>
        </w:tc>
        <w:tc>
          <w:tcPr>
            <w:tcW w:w="1121" w:type="dxa"/>
            <w:shd w:val="clear" w:color="auto" w:fill="auto"/>
            <w:vAlign w:val="center"/>
          </w:tcPr>
          <w:p w14:paraId="1AC73A0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747F97B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疾病诊断为人呼吸道合胞病毒感染时且患者年龄在</w:t>
            </w:r>
            <w:r>
              <w:rPr>
                <w:rFonts w:hint="eastAsia" w:ascii="宋体" w:hAnsi="宋体" w:eastAsia="宋体" w:cs="宋体"/>
                <w:color w:val="auto"/>
                <w:szCs w:val="30"/>
                <w:lang w:val="fr-FR"/>
              </w:rPr>
              <w:t>0-6月</w:t>
            </w:r>
            <w:r>
              <w:rPr>
                <w:rFonts w:hint="eastAsia" w:ascii="宋体" w:hAnsi="宋体" w:eastAsia="宋体" w:cs="宋体"/>
                <w:color w:val="auto"/>
                <w:szCs w:val="30"/>
              </w:rPr>
              <w:t>时填写，必填，取值为：“1=是、2=否”值域范围</w:t>
            </w:r>
          </w:p>
        </w:tc>
      </w:tr>
      <w:tr w14:paraId="6F28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BC15BF0">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68BB6FD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|--DiagnoseCodeList</w:t>
            </w:r>
          </w:p>
        </w:tc>
        <w:tc>
          <w:tcPr>
            <w:tcW w:w="1053" w:type="dxa"/>
            <w:shd w:val="clear" w:color="auto" w:fill="auto"/>
            <w:vAlign w:val="center"/>
          </w:tcPr>
          <w:p w14:paraId="586ED69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70C31B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初步诊断</w:t>
            </w:r>
          </w:p>
          <w:p w14:paraId="05C77BC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格式：数组</w:t>
            </w:r>
          </w:p>
        </w:tc>
        <w:tc>
          <w:tcPr>
            <w:tcW w:w="1121" w:type="dxa"/>
            <w:shd w:val="clear" w:color="auto" w:fill="auto"/>
            <w:vAlign w:val="center"/>
          </w:tcPr>
          <w:p w14:paraId="690592CB">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6F1E3A5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疾病诊断为人呼吸道合胞病毒感染时填写，必填，取值为《附录：初步诊断代码表》值域范围</w:t>
            </w:r>
          </w:p>
        </w:tc>
      </w:tr>
      <w:tr w14:paraId="40EA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E9BFBD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77B8EF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|--ReportZoneCode</w:t>
            </w:r>
          </w:p>
        </w:tc>
        <w:tc>
          <w:tcPr>
            <w:tcW w:w="1053" w:type="dxa"/>
            <w:shd w:val="clear" w:color="auto" w:fill="auto"/>
            <w:vAlign w:val="center"/>
          </w:tcPr>
          <w:p w14:paraId="2C1B3ED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5056CF3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报告地区代码</w:t>
            </w:r>
          </w:p>
        </w:tc>
        <w:tc>
          <w:tcPr>
            <w:tcW w:w="1121" w:type="dxa"/>
            <w:shd w:val="clear" w:color="auto" w:fill="auto"/>
            <w:vAlign w:val="center"/>
          </w:tcPr>
          <w:p w14:paraId="72BE4B5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58548CF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2D4E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6B396D74">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7723AA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|--ReportOrgCode</w:t>
            </w:r>
          </w:p>
        </w:tc>
        <w:tc>
          <w:tcPr>
            <w:tcW w:w="1053" w:type="dxa"/>
            <w:shd w:val="clear" w:color="auto" w:fill="auto"/>
            <w:vAlign w:val="center"/>
          </w:tcPr>
          <w:p w14:paraId="2EDF40D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A82A38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报告单位代码</w:t>
            </w:r>
          </w:p>
        </w:tc>
        <w:tc>
          <w:tcPr>
            <w:tcW w:w="1121" w:type="dxa"/>
            <w:shd w:val="clear" w:color="auto" w:fill="auto"/>
            <w:vAlign w:val="center"/>
          </w:tcPr>
          <w:p w14:paraId="5FE62B9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79F15D7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3F01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DE48255">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07406A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|--FillDoctorName</w:t>
            </w:r>
          </w:p>
        </w:tc>
        <w:tc>
          <w:tcPr>
            <w:tcW w:w="1053" w:type="dxa"/>
            <w:shd w:val="clear" w:color="auto" w:fill="auto"/>
            <w:vAlign w:val="center"/>
          </w:tcPr>
          <w:p w14:paraId="55EFF97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4D9592B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填卡医生</w:t>
            </w:r>
          </w:p>
        </w:tc>
        <w:tc>
          <w:tcPr>
            <w:tcW w:w="1121" w:type="dxa"/>
            <w:shd w:val="clear" w:color="auto" w:fill="auto"/>
            <w:vAlign w:val="center"/>
          </w:tcPr>
          <w:p w14:paraId="6156BBF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AN..50</w:t>
            </w:r>
          </w:p>
        </w:tc>
        <w:tc>
          <w:tcPr>
            <w:tcW w:w="1550" w:type="dxa"/>
            <w:shd w:val="clear" w:color="auto" w:fill="auto"/>
            <w:vAlign w:val="center"/>
          </w:tcPr>
          <w:p w14:paraId="6FEBC04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6B84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262E15A">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887D23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|--CardFillingDate</w:t>
            </w:r>
          </w:p>
        </w:tc>
        <w:tc>
          <w:tcPr>
            <w:tcW w:w="1053" w:type="dxa"/>
            <w:shd w:val="clear" w:color="auto" w:fill="auto"/>
            <w:vAlign w:val="center"/>
          </w:tcPr>
          <w:p w14:paraId="2E96469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548939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填卡时间</w:t>
            </w:r>
          </w:p>
        </w:tc>
        <w:tc>
          <w:tcPr>
            <w:tcW w:w="1121" w:type="dxa"/>
            <w:shd w:val="clear" w:color="auto" w:fill="auto"/>
            <w:vAlign w:val="center"/>
          </w:tcPr>
          <w:p w14:paraId="231A7F4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57F74B4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288F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4C6B17FF">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41CF918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|--AfterCardFillingDate</w:t>
            </w:r>
          </w:p>
        </w:tc>
        <w:tc>
          <w:tcPr>
            <w:tcW w:w="1053" w:type="dxa"/>
            <w:shd w:val="clear" w:color="auto" w:fill="auto"/>
            <w:vAlign w:val="center"/>
          </w:tcPr>
          <w:p w14:paraId="243D7DC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461297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结束填卡时间</w:t>
            </w:r>
          </w:p>
        </w:tc>
        <w:tc>
          <w:tcPr>
            <w:tcW w:w="1121" w:type="dxa"/>
            <w:shd w:val="clear" w:color="auto" w:fill="auto"/>
            <w:vAlign w:val="center"/>
          </w:tcPr>
          <w:p w14:paraId="02684BB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D8</w:t>
            </w:r>
          </w:p>
        </w:tc>
        <w:tc>
          <w:tcPr>
            <w:tcW w:w="1550" w:type="dxa"/>
            <w:shd w:val="clear" w:color="auto" w:fill="auto"/>
            <w:vAlign w:val="center"/>
          </w:tcPr>
          <w:p w14:paraId="35D4F9D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r w14:paraId="0855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002FC43">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0B592F9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|--DeletingTypeCode</w:t>
            </w:r>
          </w:p>
        </w:tc>
        <w:tc>
          <w:tcPr>
            <w:tcW w:w="1053" w:type="dxa"/>
            <w:shd w:val="clear" w:color="auto" w:fill="auto"/>
            <w:vAlign w:val="center"/>
          </w:tcPr>
          <w:p w14:paraId="13CE11E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D6F0B7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删除类型</w:t>
            </w:r>
          </w:p>
        </w:tc>
        <w:tc>
          <w:tcPr>
            <w:tcW w:w="1121" w:type="dxa"/>
            <w:shd w:val="clear" w:color="auto" w:fill="auto"/>
            <w:vAlign w:val="center"/>
          </w:tcPr>
          <w:p w14:paraId="479821D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1038C30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取值为“1=重卡，2=其他”值域范围</w:t>
            </w:r>
          </w:p>
          <w:p w14:paraId="0291A46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709B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4CB3437">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29EB663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|--DeletingReasonDetails</w:t>
            </w:r>
          </w:p>
        </w:tc>
        <w:tc>
          <w:tcPr>
            <w:tcW w:w="1053" w:type="dxa"/>
            <w:shd w:val="clear" w:color="auto" w:fill="auto"/>
            <w:vAlign w:val="center"/>
          </w:tcPr>
          <w:p w14:paraId="054A56E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96B64F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删除原因</w:t>
            </w:r>
          </w:p>
        </w:tc>
        <w:tc>
          <w:tcPr>
            <w:tcW w:w="1121" w:type="dxa"/>
            <w:shd w:val="clear" w:color="auto" w:fill="auto"/>
            <w:vAlign w:val="center"/>
          </w:tcPr>
          <w:p w14:paraId="5971CEF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AN..20</w:t>
            </w:r>
          </w:p>
        </w:tc>
        <w:tc>
          <w:tcPr>
            <w:tcW w:w="1550" w:type="dxa"/>
            <w:shd w:val="clear" w:color="auto" w:fill="auto"/>
            <w:vAlign w:val="center"/>
          </w:tcPr>
          <w:p w14:paraId="694010C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删除类型为其他时必填</w:t>
            </w:r>
          </w:p>
        </w:tc>
      </w:tr>
      <w:tr w14:paraId="3E57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D2C3A35">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328CCC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|--OperateInfo</w:t>
            </w:r>
          </w:p>
        </w:tc>
        <w:tc>
          <w:tcPr>
            <w:tcW w:w="1053" w:type="dxa"/>
            <w:shd w:val="clear" w:color="auto" w:fill="auto"/>
            <w:vAlign w:val="center"/>
          </w:tcPr>
          <w:p w14:paraId="1A07733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C0F185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数据操作信息</w:t>
            </w:r>
          </w:p>
        </w:tc>
        <w:tc>
          <w:tcPr>
            <w:tcW w:w="1121" w:type="dxa"/>
            <w:shd w:val="clear" w:color="auto" w:fill="auto"/>
            <w:vAlign w:val="center"/>
          </w:tcPr>
          <w:p w14:paraId="24732342">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50" w:type="dxa"/>
            <w:shd w:val="clear" w:color="auto" w:fill="auto"/>
            <w:vAlign w:val="center"/>
          </w:tcPr>
          <w:p w14:paraId="4DC7109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用于标识和描述该文档片段的操作类型、操作用户、操作时间等信息</w:t>
            </w:r>
          </w:p>
        </w:tc>
      </w:tr>
      <w:tr w14:paraId="3E000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FDA7711">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60E0F2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|--|--OperateTypeCode</w:t>
            </w:r>
          </w:p>
        </w:tc>
        <w:tc>
          <w:tcPr>
            <w:tcW w:w="1053" w:type="dxa"/>
            <w:shd w:val="clear" w:color="auto" w:fill="auto"/>
            <w:vAlign w:val="center"/>
          </w:tcPr>
          <w:p w14:paraId="533C2E6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60F48F8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业务操作类型</w:t>
            </w:r>
          </w:p>
        </w:tc>
        <w:tc>
          <w:tcPr>
            <w:tcW w:w="1121" w:type="dxa"/>
            <w:shd w:val="clear" w:color="auto" w:fill="auto"/>
            <w:vAlign w:val="center"/>
          </w:tcPr>
          <w:p w14:paraId="189256B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AN..10</w:t>
            </w:r>
          </w:p>
        </w:tc>
        <w:tc>
          <w:tcPr>
            <w:tcW w:w="1550" w:type="dxa"/>
            <w:shd w:val="clear" w:color="auto" w:fill="auto"/>
            <w:vAlign w:val="center"/>
          </w:tcPr>
          <w:p w14:paraId="5E510AE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取值为：新增：Add、修改：Edit、删除：Del、审核：Audit、恢复：Res、转诊：Trans</w:t>
            </w:r>
          </w:p>
          <w:p w14:paraId="2B287D8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10C049F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此处业务操作类型是指本次操作所进行的业务活动，和文档头结构中的“数据操作类型”有所区别。</w:t>
            </w:r>
          </w:p>
          <w:p w14:paraId="20FB0EA1">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13753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23713DCF">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0E8C5A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|--|--OperateZoneCode</w:t>
            </w:r>
          </w:p>
        </w:tc>
        <w:tc>
          <w:tcPr>
            <w:tcW w:w="1053" w:type="dxa"/>
            <w:shd w:val="clear" w:color="auto" w:fill="auto"/>
            <w:vAlign w:val="center"/>
          </w:tcPr>
          <w:p w14:paraId="7764B87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15DBBB8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操作用户所在地区</w:t>
            </w:r>
          </w:p>
        </w:tc>
        <w:tc>
          <w:tcPr>
            <w:tcW w:w="1121" w:type="dxa"/>
            <w:shd w:val="clear" w:color="auto" w:fill="auto"/>
            <w:vAlign w:val="center"/>
          </w:tcPr>
          <w:p w14:paraId="5723A8C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7390112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取值为《附录：地区/机构代码表》值域范围</w:t>
            </w:r>
          </w:p>
          <w:p w14:paraId="3A04D5C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必填（当前测试环境值为：320000000）</w:t>
            </w:r>
          </w:p>
        </w:tc>
      </w:tr>
      <w:tr w14:paraId="053E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64ECC2E">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377C0F1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|--|--OperateOrgCode</w:t>
            </w:r>
          </w:p>
        </w:tc>
        <w:tc>
          <w:tcPr>
            <w:tcW w:w="1053" w:type="dxa"/>
            <w:shd w:val="clear" w:color="auto" w:fill="auto"/>
            <w:vAlign w:val="center"/>
          </w:tcPr>
          <w:p w14:paraId="70CA6A1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70C81A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操作用户所在机构</w:t>
            </w:r>
          </w:p>
        </w:tc>
        <w:tc>
          <w:tcPr>
            <w:tcW w:w="1121" w:type="dxa"/>
            <w:shd w:val="clear" w:color="auto" w:fill="auto"/>
            <w:vAlign w:val="center"/>
          </w:tcPr>
          <w:p w14:paraId="561A38B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AN..9</w:t>
            </w:r>
          </w:p>
        </w:tc>
        <w:tc>
          <w:tcPr>
            <w:tcW w:w="1550" w:type="dxa"/>
            <w:shd w:val="clear" w:color="auto" w:fill="auto"/>
            <w:vAlign w:val="center"/>
          </w:tcPr>
          <w:p w14:paraId="37E340D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取值为《附录：地区/机构代码表》值域范围</w:t>
            </w:r>
          </w:p>
          <w:p w14:paraId="0DE7415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必填（当前测试环境值为：320106002）</w:t>
            </w:r>
          </w:p>
        </w:tc>
      </w:tr>
      <w:tr w14:paraId="7AED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E139E06">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6419B0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|--|--OperateUser</w:t>
            </w:r>
          </w:p>
        </w:tc>
        <w:tc>
          <w:tcPr>
            <w:tcW w:w="1053" w:type="dxa"/>
            <w:shd w:val="clear" w:color="auto" w:fill="auto"/>
            <w:vAlign w:val="center"/>
          </w:tcPr>
          <w:p w14:paraId="370DD1F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4434D6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操作用户身份证号码</w:t>
            </w:r>
          </w:p>
        </w:tc>
        <w:tc>
          <w:tcPr>
            <w:tcW w:w="1121" w:type="dxa"/>
            <w:shd w:val="clear" w:color="auto" w:fill="auto"/>
            <w:vAlign w:val="center"/>
          </w:tcPr>
          <w:p w14:paraId="3CEDD97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AN..18</w:t>
            </w:r>
          </w:p>
        </w:tc>
        <w:tc>
          <w:tcPr>
            <w:tcW w:w="1550" w:type="dxa"/>
            <w:shd w:val="clear" w:color="auto" w:fill="auto"/>
            <w:vAlign w:val="center"/>
          </w:tcPr>
          <w:p w14:paraId="4CAFAE06">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身份证号码为15或者18位，身份证号码前2位必须是省级标准编码；</w:t>
            </w:r>
          </w:p>
          <w:p w14:paraId="04495E0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操作用户需是“全民健康保障信息化工程国家疾病预防控制信息系统”的用户，系统将通过“操作用户所在机构+操作用户身份证号”进行核验；</w:t>
            </w:r>
          </w:p>
          <w:p w14:paraId="0D436B6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必填（当前测试环境值为：340702198605287012）</w:t>
            </w:r>
          </w:p>
        </w:tc>
      </w:tr>
      <w:tr w14:paraId="54FB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76F39B80">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1804F26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|--|--OperateUserName</w:t>
            </w:r>
          </w:p>
        </w:tc>
        <w:tc>
          <w:tcPr>
            <w:tcW w:w="1053" w:type="dxa"/>
            <w:shd w:val="clear" w:color="auto" w:fill="auto"/>
            <w:vAlign w:val="center"/>
          </w:tcPr>
          <w:p w14:paraId="4BB7698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279D397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操作用户姓名</w:t>
            </w:r>
          </w:p>
        </w:tc>
        <w:tc>
          <w:tcPr>
            <w:tcW w:w="1121" w:type="dxa"/>
            <w:shd w:val="clear" w:color="auto" w:fill="auto"/>
            <w:vAlign w:val="center"/>
          </w:tcPr>
          <w:p w14:paraId="540BFEF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N1</w:t>
            </w:r>
          </w:p>
        </w:tc>
        <w:tc>
          <w:tcPr>
            <w:tcW w:w="1550" w:type="dxa"/>
            <w:shd w:val="clear" w:color="auto" w:fill="auto"/>
            <w:vAlign w:val="center"/>
          </w:tcPr>
          <w:p w14:paraId="200EB70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取值是“全民健康保障信息化工程国家疾病预防控制信息系统”的用户的登录名，不知道的可以不传！</w:t>
            </w:r>
          </w:p>
        </w:tc>
      </w:tr>
      <w:tr w14:paraId="6208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00F63F39">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500A928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|--|--OperateUserTypeCode</w:t>
            </w:r>
          </w:p>
        </w:tc>
        <w:tc>
          <w:tcPr>
            <w:tcW w:w="1053" w:type="dxa"/>
            <w:shd w:val="clear" w:color="auto" w:fill="auto"/>
            <w:vAlign w:val="center"/>
          </w:tcPr>
          <w:p w14:paraId="7E9489A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05830E1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操作用户类别</w:t>
            </w:r>
          </w:p>
        </w:tc>
        <w:tc>
          <w:tcPr>
            <w:tcW w:w="1121" w:type="dxa"/>
            <w:shd w:val="clear" w:color="auto" w:fill="auto"/>
            <w:vAlign w:val="center"/>
          </w:tcPr>
          <w:p w14:paraId="2610762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AN..1</w:t>
            </w:r>
          </w:p>
        </w:tc>
        <w:tc>
          <w:tcPr>
            <w:tcW w:w="1550" w:type="dxa"/>
            <w:shd w:val="clear" w:color="auto" w:fill="auto"/>
            <w:vAlign w:val="center"/>
          </w:tcPr>
          <w:p w14:paraId="5D7EEBD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取值为“1=本级用户，2=直报用户”值域范围（当前测试环境值为：2）</w:t>
            </w:r>
          </w:p>
        </w:tc>
      </w:tr>
      <w:tr w14:paraId="6378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7" w:type="dxa"/>
            <w:vAlign w:val="center"/>
          </w:tcPr>
          <w:p w14:paraId="309F1D6B">
            <w:pPr>
              <w:widowControl w:val="0"/>
              <w:numPr>
                <w:ilvl w:val="0"/>
                <w:numId w:val="49"/>
              </w:numPr>
              <w:tabs>
                <w:tab w:val="left" w:pos="1445"/>
              </w:tabs>
              <w:spacing w:line="360" w:lineRule="auto"/>
              <w:ind w:firstLineChars="0"/>
              <w:jc w:val="center"/>
              <w:rPr>
                <w:rFonts w:hint="eastAsia" w:ascii="宋体" w:hAnsi="宋体" w:eastAsia="宋体" w:cs="宋体"/>
                <w:color w:val="auto"/>
                <w:position w:val="2"/>
                <w:szCs w:val="30"/>
              </w:rPr>
            </w:pPr>
          </w:p>
        </w:tc>
        <w:tc>
          <w:tcPr>
            <w:tcW w:w="1429" w:type="dxa"/>
            <w:shd w:val="clear" w:color="auto" w:fill="auto"/>
            <w:vAlign w:val="center"/>
          </w:tcPr>
          <w:p w14:paraId="7C8D06A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|--|--OperateDate</w:t>
            </w:r>
          </w:p>
        </w:tc>
        <w:tc>
          <w:tcPr>
            <w:tcW w:w="1053" w:type="dxa"/>
            <w:shd w:val="clear" w:color="auto" w:fill="auto"/>
            <w:vAlign w:val="center"/>
          </w:tcPr>
          <w:p w14:paraId="136AABD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861" w:type="dxa"/>
            <w:shd w:val="clear" w:color="auto" w:fill="auto"/>
            <w:vAlign w:val="center"/>
          </w:tcPr>
          <w:p w14:paraId="30E86A1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操作时间</w:t>
            </w:r>
          </w:p>
          <w:p w14:paraId="7C8ADBD1">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30062ED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yyyymmddHHmiss</w:t>
            </w:r>
          </w:p>
        </w:tc>
        <w:tc>
          <w:tcPr>
            <w:tcW w:w="1121" w:type="dxa"/>
            <w:shd w:val="clear" w:color="auto" w:fill="auto"/>
            <w:vAlign w:val="center"/>
          </w:tcPr>
          <w:p w14:paraId="7413B1A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D14</w:t>
            </w:r>
          </w:p>
        </w:tc>
        <w:tc>
          <w:tcPr>
            <w:tcW w:w="1550" w:type="dxa"/>
            <w:shd w:val="clear" w:color="auto" w:fill="auto"/>
            <w:vAlign w:val="center"/>
          </w:tcPr>
          <w:p w14:paraId="754863A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数据实际操作时间</w:t>
            </w:r>
          </w:p>
          <w:p w14:paraId="55103F9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tc>
      </w:tr>
    </w:tbl>
    <w:p w14:paraId="4FDCD945">
      <w:pPr>
        <w:ind w:firstLine="600"/>
        <w:rPr>
          <w:rFonts w:hint="eastAsia"/>
          <w:color w:val="auto"/>
          <w:szCs w:val="30"/>
        </w:rPr>
      </w:pPr>
      <w:bookmarkStart w:id="240" w:name="_Toc31587"/>
      <w:bookmarkStart w:id="241" w:name="_Toc29666"/>
    </w:p>
    <w:p w14:paraId="60FA1DFE">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传染病对接结果查询接口</w:t>
      </w:r>
      <w:bookmarkEnd w:id="240"/>
      <w:bookmarkEnd w:id="241"/>
      <w:bookmarkStart w:id="242" w:name="_Toc25061"/>
    </w:p>
    <w:p w14:paraId="7A81F9D8">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用户登录信息</w:t>
      </w:r>
      <w:bookmarkEnd w:id="242"/>
    </w:p>
    <w:tbl>
      <w:tblPr>
        <w:tblStyle w:val="14"/>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152"/>
        <w:gridCol w:w="1455"/>
        <w:gridCol w:w="1339"/>
        <w:gridCol w:w="1446"/>
        <w:gridCol w:w="1676"/>
      </w:tblGrid>
      <w:tr w14:paraId="1259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73" w:type="dxa"/>
            <w:vAlign w:val="center"/>
          </w:tcPr>
          <w:p w14:paraId="2D0BB845">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152" w:type="dxa"/>
            <w:vAlign w:val="center"/>
          </w:tcPr>
          <w:p w14:paraId="5A34A974">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455" w:type="dxa"/>
            <w:vAlign w:val="center"/>
          </w:tcPr>
          <w:p w14:paraId="73CDC3E1">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339" w:type="dxa"/>
            <w:vAlign w:val="center"/>
          </w:tcPr>
          <w:p w14:paraId="6B0907CB">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446" w:type="dxa"/>
            <w:vAlign w:val="center"/>
          </w:tcPr>
          <w:p w14:paraId="193C70D8">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1676" w:type="dxa"/>
            <w:vAlign w:val="center"/>
          </w:tcPr>
          <w:p w14:paraId="0A0031E7">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420C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Align w:val="center"/>
          </w:tcPr>
          <w:p w14:paraId="72505460">
            <w:pPr>
              <w:widowControl w:val="0"/>
              <w:numPr>
                <w:ilvl w:val="0"/>
                <w:numId w:val="50"/>
              </w:numPr>
              <w:tabs>
                <w:tab w:val="left" w:pos="1445"/>
              </w:tabs>
              <w:spacing w:line="360" w:lineRule="auto"/>
              <w:ind w:firstLineChars="0"/>
              <w:jc w:val="center"/>
              <w:rPr>
                <w:rFonts w:hint="eastAsia" w:ascii="宋体" w:hAnsi="宋体" w:eastAsia="宋体" w:cs="宋体"/>
                <w:color w:val="auto"/>
                <w:position w:val="2"/>
                <w:szCs w:val="30"/>
              </w:rPr>
            </w:pPr>
          </w:p>
        </w:tc>
        <w:tc>
          <w:tcPr>
            <w:tcW w:w="1152" w:type="dxa"/>
            <w:shd w:val="clear" w:color="auto" w:fill="auto"/>
            <w:vAlign w:val="center"/>
          </w:tcPr>
          <w:p w14:paraId="617AADC9">
            <w:pPr>
              <w:widowControl w:val="0"/>
              <w:tabs>
                <w:tab w:val="left" w:pos="1445"/>
              </w:tabs>
              <w:spacing w:line="360" w:lineRule="auto"/>
              <w:ind w:firstLine="600"/>
              <w:jc w:val="center"/>
              <w:rPr>
                <w:rFonts w:hint="eastAsia" w:ascii="宋体" w:hAnsi="宋体" w:eastAsia="宋体" w:cs="宋体"/>
                <w:color w:val="auto"/>
                <w:szCs w:val="30"/>
              </w:rPr>
            </w:pPr>
          </w:p>
        </w:tc>
        <w:tc>
          <w:tcPr>
            <w:tcW w:w="1455" w:type="dxa"/>
            <w:shd w:val="clear" w:color="auto" w:fill="auto"/>
            <w:vAlign w:val="center"/>
          </w:tcPr>
          <w:p w14:paraId="61E310A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339" w:type="dxa"/>
            <w:shd w:val="clear" w:color="auto" w:fill="auto"/>
            <w:vAlign w:val="center"/>
          </w:tcPr>
          <w:p w14:paraId="0CA9393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用户登录信息</w:t>
            </w:r>
          </w:p>
        </w:tc>
        <w:tc>
          <w:tcPr>
            <w:tcW w:w="1446" w:type="dxa"/>
            <w:shd w:val="clear" w:color="auto" w:fill="auto"/>
            <w:vAlign w:val="center"/>
          </w:tcPr>
          <w:p w14:paraId="5317A75F">
            <w:pPr>
              <w:widowControl w:val="0"/>
              <w:tabs>
                <w:tab w:val="left" w:pos="1445"/>
              </w:tabs>
              <w:spacing w:line="360" w:lineRule="auto"/>
              <w:ind w:firstLine="600"/>
              <w:jc w:val="center"/>
              <w:rPr>
                <w:rFonts w:hint="eastAsia" w:ascii="宋体" w:hAnsi="宋体" w:eastAsia="宋体" w:cs="宋体"/>
                <w:color w:val="auto"/>
                <w:szCs w:val="30"/>
              </w:rPr>
            </w:pPr>
          </w:p>
        </w:tc>
        <w:tc>
          <w:tcPr>
            <w:tcW w:w="1676" w:type="dxa"/>
            <w:shd w:val="clear" w:color="auto" w:fill="auto"/>
            <w:vAlign w:val="center"/>
          </w:tcPr>
          <w:p w14:paraId="1DD746C4">
            <w:pPr>
              <w:widowControl w:val="0"/>
              <w:tabs>
                <w:tab w:val="left" w:pos="1445"/>
              </w:tabs>
              <w:spacing w:line="360" w:lineRule="auto"/>
              <w:ind w:firstLine="600"/>
              <w:rPr>
                <w:rFonts w:hint="eastAsia" w:ascii="宋体" w:hAnsi="宋体" w:eastAsia="宋体" w:cs="宋体"/>
                <w:color w:val="auto"/>
                <w:szCs w:val="30"/>
              </w:rPr>
            </w:pPr>
          </w:p>
        </w:tc>
      </w:tr>
      <w:tr w14:paraId="2453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Align w:val="center"/>
          </w:tcPr>
          <w:p w14:paraId="1E6506ED">
            <w:pPr>
              <w:widowControl w:val="0"/>
              <w:numPr>
                <w:ilvl w:val="0"/>
                <w:numId w:val="50"/>
              </w:numPr>
              <w:tabs>
                <w:tab w:val="left" w:pos="1445"/>
              </w:tabs>
              <w:spacing w:line="360" w:lineRule="auto"/>
              <w:ind w:firstLineChars="0"/>
              <w:jc w:val="center"/>
              <w:rPr>
                <w:rFonts w:hint="eastAsia" w:ascii="宋体" w:hAnsi="宋体" w:eastAsia="宋体" w:cs="宋体"/>
                <w:color w:val="auto"/>
                <w:position w:val="2"/>
                <w:szCs w:val="30"/>
              </w:rPr>
            </w:pPr>
          </w:p>
        </w:tc>
        <w:tc>
          <w:tcPr>
            <w:tcW w:w="1152" w:type="dxa"/>
            <w:shd w:val="clear" w:color="auto" w:fill="auto"/>
            <w:vAlign w:val="center"/>
          </w:tcPr>
          <w:p w14:paraId="663FD3D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CaseData</w:t>
            </w:r>
          </w:p>
        </w:tc>
        <w:tc>
          <w:tcPr>
            <w:tcW w:w="1455" w:type="dxa"/>
            <w:shd w:val="clear" w:color="auto" w:fill="auto"/>
            <w:vAlign w:val="center"/>
          </w:tcPr>
          <w:p w14:paraId="1D6A707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339" w:type="dxa"/>
            <w:shd w:val="clear" w:color="auto" w:fill="auto"/>
            <w:vAlign w:val="center"/>
          </w:tcPr>
          <w:p w14:paraId="11CA696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入参数据</w:t>
            </w:r>
          </w:p>
        </w:tc>
        <w:tc>
          <w:tcPr>
            <w:tcW w:w="1446" w:type="dxa"/>
            <w:shd w:val="clear" w:color="auto" w:fill="auto"/>
            <w:vAlign w:val="center"/>
          </w:tcPr>
          <w:p w14:paraId="4DF4F86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AN..4000</w:t>
            </w:r>
          </w:p>
        </w:tc>
        <w:tc>
          <w:tcPr>
            <w:tcW w:w="1676" w:type="dxa"/>
            <w:shd w:val="clear" w:color="auto" w:fill="auto"/>
            <w:vAlign w:val="center"/>
          </w:tcPr>
          <w:p w14:paraId="20E8892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必填</w:t>
            </w:r>
          </w:p>
          <w:p w14:paraId="0890A5A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个人基本信息随传染病病例报告信息上报时要求：入参数据不能为空；</w:t>
            </w:r>
          </w:p>
        </w:tc>
      </w:tr>
    </w:tbl>
    <w:p w14:paraId="76583994">
      <w:pPr>
        <w:widowControl w:val="0"/>
        <w:tabs>
          <w:tab w:val="left" w:pos="1445"/>
        </w:tabs>
        <w:spacing w:line="360" w:lineRule="auto"/>
        <w:ind w:firstLine="600"/>
        <w:rPr>
          <w:rFonts w:hint="eastAsia" w:eastAsia="宋体"/>
          <w:color w:val="auto"/>
          <w:position w:val="2"/>
          <w:szCs w:val="30"/>
        </w:rPr>
      </w:pPr>
    </w:p>
    <w:p w14:paraId="59AA02C1">
      <w:pPr>
        <w:pStyle w:val="4"/>
        <w:spacing w:line="364" w:lineRule="auto"/>
        <w:ind w:right="350" w:firstLine="479"/>
        <w:rPr>
          <w:rFonts w:hint="eastAsia" w:ascii="宋体" w:hAnsi="宋体" w:eastAsia="宋体" w:cs="宋体"/>
          <w:color w:val="auto"/>
          <w:spacing w:val="-2"/>
          <w:lang w:val="en-US" w:eastAsia="zh-CN"/>
        </w:rPr>
      </w:pPr>
      <w:r>
        <w:rPr>
          <w:rFonts w:hint="default" w:ascii="宋体" w:hAnsi="宋体" w:eastAsia="宋体" w:cs="宋体"/>
          <w:color w:val="auto"/>
          <w:spacing w:val="-2"/>
          <w:lang w:val="en-US" w:eastAsia="zh-CN"/>
        </w:rPr>
        <w:t>√</w:t>
      </w:r>
      <w:r>
        <w:rPr>
          <w:rFonts w:hint="eastAsia" w:ascii="宋体" w:hAnsi="宋体" w:eastAsia="宋体" w:cs="宋体"/>
          <w:color w:val="auto"/>
          <w:spacing w:val="-2"/>
          <w:lang w:val="en-US" w:eastAsia="zh-CN"/>
        </w:rPr>
        <w:t>查询信息</w:t>
      </w:r>
    </w:p>
    <w:tbl>
      <w:tblPr>
        <w:tblStyle w:val="14"/>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1500"/>
        <w:gridCol w:w="1178"/>
        <w:gridCol w:w="1465"/>
        <w:gridCol w:w="1267"/>
        <w:gridCol w:w="1569"/>
      </w:tblGrid>
      <w:tr w14:paraId="2D74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6BDE74AF">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序号</w:t>
            </w:r>
          </w:p>
        </w:tc>
        <w:tc>
          <w:tcPr>
            <w:tcW w:w="1500" w:type="dxa"/>
            <w:vAlign w:val="center"/>
          </w:tcPr>
          <w:p w14:paraId="72FD814A">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元素名称</w:t>
            </w:r>
          </w:p>
        </w:tc>
        <w:tc>
          <w:tcPr>
            <w:tcW w:w="1178" w:type="dxa"/>
            <w:vAlign w:val="center"/>
          </w:tcPr>
          <w:p w14:paraId="408DA4AB">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基数</w:t>
            </w:r>
          </w:p>
        </w:tc>
        <w:tc>
          <w:tcPr>
            <w:tcW w:w="1465" w:type="dxa"/>
            <w:vAlign w:val="center"/>
          </w:tcPr>
          <w:p w14:paraId="6B6A6497">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说明与描述</w:t>
            </w:r>
          </w:p>
        </w:tc>
        <w:tc>
          <w:tcPr>
            <w:tcW w:w="1267" w:type="dxa"/>
            <w:vAlign w:val="center"/>
          </w:tcPr>
          <w:p w14:paraId="7B7EE108">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数据格式</w:t>
            </w:r>
          </w:p>
        </w:tc>
        <w:tc>
          <w:tcPr>
            <w:tcW w:w="1569" w:type="dxa"/>
            <w:vAlign w:val="center"/>
          </w:tcPr>
          <w:p w14:paraId="58ADD20A">
            <w:pPr>
              <w:widowControl w:val="0"/>
              <w:tabs>
                <w:tab w:val="left" w:pos="1445"/>
              </w:tabs>
              <w:spacing w:line="360" w:lineRule="auto"/>
              <w:ind w:left="0" w:firstLine="0" w:firstLineChars="0"/>
              <w:jc w:val="center"/>
              <w:rPr>
                <w:rFonts w:hint="eastAsia" w:ascii="宋体" w:hAnsi="宋体" w:eastAsia="宋体" w:cs="宋体"/>
                <w:b/>
                <w:bCs/>
                <w:color w:val="auto"/>
                <w:position w:val="2"/>
                <w:szCs w:val="30"/>
              </w:rPr>
            </w:pPr>
            <w:r>
              <w:rPr>
                <w:rFonts w:hint="eastAsia" w:ascii="宋体" w:hAnsi="宋体" w:eastAsia="宋体" w:cs="宋体"/>
                <w:b/>
                <w:bCs/>
                <w:color w:val="auto"/>
                <w:position w:val="2"/>
                <w:szCs w:val="30"/>
              </w:rPr>
              <w:t>规则</w:t>
            </w:r>
          </w:p>
        </w:tc>
      </w:tr>
      <w:tr w14:paraId="2AAA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197315EE">
            <w:pPr>
              <w:widowControl w:val="0"/>
              <w:numPr>
                <w:ilvl w:val="0"/>
                <w:numId w:val="51"/>
              </w:numPr>
              <w:tabs>
                <w:tab w:val="left" w:pos="1445"/>
              </w:tabs>
              <w:spacing w:line="360" w:lineRule="auto"/>
              <w:ind w:firstLineChars="0"/>
              <w:jc w:val="center"/>
              <w:rPr>
                <w:rFonts w:hint="eastAsia" w:ascii="宋体" w:hAnsi="宋体" w:eastAsia="宋体" w:cs="宋体"/>
                <w:color w:val="auto"/>
                <w:position w:val="2"/>
                <w:szCs w:val="30"/>
              </w:rPr>
            </w:pPr>
          </w:p>
        </w:tc>
        <w:tc>
          <w:tcPr>
            <w:tcW w:w="1500" w:type="dxa"/>
            <w:shd w:val="clear" w:color="auto" w:fill="auto"/>
            <w:vAlign w:val="center"/>
          </w:tcPr>
          <w:p w14:paraId="35729E3A">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CaseData</w:t>
            </w:r>
          </w:p>
        </w:tc>
        <w:tc>
          <w:tcPr>
            <w:tcW w:w="1178" w:type="dxa"/>
            <w:shd w:val="clear" w:color="auto" w:fill="auto"/>
            <w:vAlign w:val="center"/>
          </w:tcPr>
          <w:p w14:paraId="741D3DC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65" w:type="dxa"/>
            <w:shd w:val="clear" w:color="auto" w:fill="auto"/>
            <w:vAlign w:val="center"/>
          </w:tcPr>
          <w:p w14:paraId="3035ADE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附加信息</w:t>
            </w:r>
          </w:p>
        </w:tc>
        <w:tc>
          <w:tcPr>
            <w:tcW w:w="1267" w:type="dxa"/>
            <w:shd w:val="clear" w:color="auto" w:fill="auto"/>
            <w:vAlign w:val="center"/>
          </w:tcPr>
          <w:p w14:paraId="0DE59527">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569" w:type="dxa"/>
            <w:shd w:val="clear" w:color="auto" w:fill="auto"/>
            <w:vAlign w:val="center"/>
          </w:tcPr>
          <w:p w14:paraId="05893FBC">
            <w:pPr>
              <w:widowControl w:val="0"/>
              <w:tabs>
                <w:tab w:val="left" w:pos="1445"/>
              </w:tabs>
              <w:spacing w:line="360" w:lineRule="auto"/>
              <w:ind w:left="0" w:firstLine="0" w:firstLineChars="0"/>
              <w:jc w:val="both"/>
              <w:rPr>
                <w:rFonts w:hint="eastAsia" w:ascii="宋体" w:hAnsi="宋体" w:eastAsia="宋体" w:cs="宋体"/>
                <w:color w:val="auto"/>
                <w:szCs w:val="30"/>
              </w:rPr>
            </w:pPr>
          </w:p>
        </w:tc>
      </w:tr>
      <w:tr w14:paraId="6994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13FD8F0F">
            <w:pPr>
              <w:widowControl w:val="0"/>
              <w:numPr>
                <w:ilvl w:val="0"/>
                <w:numId w:val="51"/>
              </w:numPr>
              <w:tabs>
                <w:tab w:val="left" w:pos="1445"/>
              </w:tabs>
              <w:spacing w:line="360" w:lineRule="auto"/>
              <w:ind w:firstLineChars="0"/>
              <w:jc w:val="center"/>
              <w:rPr>
                <w:rFonts w:hint="eastAsia" w:ascii="宋体" w:hAnsi="宋体" w:eastAsia="宋体" w:cs="宋体"/>
                <w:color w:val="auto"/>
                <w:position w:val="2"/>
                <w:szCs w:val="30"/>
              </w:rPr>
            </w:pPr>
          </w:p>
        </w:tc>
        <w:tc>
          <w:tcPr>
            <w:tcW w:w="1500" w:type="dxa"/>
            <w:shd w:val="clear" w:color="auto" w:fill="auto"/>
            <w:vAlign w:val="center"/>
          </w:tcPr>
          <w:p w14:paraId="6A2C950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LogCode</w:t>
            </w:r>
          </w:p>
        </w:tc>
        <w:tc>
          <w:tcPr>
            <w:tcW w:w="1178" w:type="dxa"/>
            <w:shd w:val="clear" w:color="auto" w:fill="auto"/>
            <w:vAlign w:val="center"/>
          </w:tcPr>
          <w:p w14:paraId="796CB09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65" w:type="dxa"/>
            <w:shd w:val="clear" w:color="auto" w:fill="auto"/>
            <w:vAlign w:val="center"/>
          </w:tcPr>
          <w:p w14:paraId="2EEC4A47">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日志编码</w:t>
            </w:r>
          </w:p>
          <w:p w14:paraId="4ACB2075">
            <w:pPr>
              <w:widowControl w:val="0"/>
              <w:tabs>
                <w:tab w:val="left" w:pos="1445"/>
              </w:tabs>
              <w:spacing w:line="360" w:lineRule="auto"/>
              <w:ind w:left="0" w:firstLine="0" w:firstLineChars="0"/>
              <w:jc w:val="both"/>
              <w:rPr>
                <w:rFonts w:hint="eastAsia" w:ascii="宋体" w:hAnsi="宋体" w:eastAsia="宋体" w:cs="宋体"/>
                <w:color w:val="auto"/>
                <w:szCs w:val="30"/>
              </w:rPr>
            </w:pPr>
          </w:p>
        </w:tc>
        <w:tc>
          <w:tcPr>
            <w:tcW w:w="1267" w:type="dxa"/>
            <w:shd w:val="clear" w:color="auto" w:fill="auto"/>
            <w:vAlign w:val="center"/>
          </w:tcPr>
          <w:p w14:paraId="3EE082C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AN..50</w:t>
            </w:r>
          </w:p>
        </w:tc>
        <w:tc>
          <w:tcPr>
            <w:tcW w:w="1569" w:type="dxa"/>
            <w:shd w:val="clear" w:color="auto" w:fill="auto"/>
            <w:vAlign w:val="center"/>
          </w:tcPr>
          <w:p w14:paraId="6367A65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w:t>
            </w:r>
          </w:p>
          <w:p w14:paraId="6FBD7DBE">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099B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5B2E9DDE">
            <w:pPr>
              <w:widowControl w:val="0"/>
              <w:numPr>
                <w:ilvl w:val="0"/>
                <w:numId w:val="51"/>
              </w:numPr>
              <w:tabs>
                <w:tab w:val="left" w:pos="1445"/>
              </w:tabs>
              <w:spacing w:line="360" w:lineRule="auto"/>
              <w:ind w:firstLineChars="0"/>
              <w:jc w:val="center"/>
              <w:rPr>
                <w:rFonts w:hint="eastAsia" w:ascii="宋体" w:hAnsi="宋体" w:eastAsia="宋体" w:cs="宋体"/>
                <w:color w:val="auto"/>
                <w:position w:val="2"/>
                <w:szCs w:val="30"/>
              </w:rPr>
            </w:pPr>
          </w:p>
        </w:tc>
        <w:tc>
          <w:tcPr>
            <w:tcW w:w="1500" w:type="dxa"/>
            <w:shd w:val="clear" w:color="auto" w:fill="auto"/>
            <w:vAlign w:val="center"/>
          </w:tcPr>
          <w:p w14:paraId="315EC43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StartTime</w:t>
            </w:r>
          </w:p>
        </w:tc>
        <w:tc>
          <w:tcPr>
            <w:tcW w:w="1178" w:type="dxa"/>
            <w:shd w:val="clear" w:color="auto" w:fill="auto"/>
            <w:vAlign w:val="center"/>
          </w:tcPr>
          <w:p w14:paraId="0C996B2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65" w:type="dxa"/>
            <w:shd w:val="clear" w:color="auto" w:fill="auto"/>
            <w:vAlign w:val="center"/>
          </w:tcPr>
          <w:p w14:paraId="6791F235">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开始时间</w:t>
            </w:r>
          </w:p>
          <w:p w14:paraId="0703D802">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0A7495F9">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267" w:type="dxa"/>
            <w:shd w:val="clear" w:color="auto" w:fill="auto"/>
            <w:vAlign w:val="center"/>
          </w:tcPr>
          <w:p w14:paraId="2BC0D26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AN..8</w:t>
            </w:r>
          </w:p>
        </w:tc>
        <w:tc>
          <w:tcPr>
            <w:tcW w:w="1569" w:type="dxa"/>
            <w:shd w:val="clear" w:color="auto" w:fill="auto"/>
            <w:vAlign w:val="center"/>
          </w:tcPr>
          <w:p w14:paraId="07FD0F38">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w:t>
            </w:r>
          </w:p>
          <w:p w14:paraId="03F7004C">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r w14:paraId="200D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 w:type="dxa"/>
            <w:vAlign w:val="center"/>
          </w:tcPr>
          <w:p w14:paraId="31C87D60">
            <w:pPr>
              <w:widowControl w:val="0"/>
              <w:numPr>
                <w:ilvl w:val="0"/>
                <w:numId w:val="51"/>
              </w:numPr>
              <w:tabs>
                <w:tab w:val="left" w:pos="1445"/>
              </w:tabs>
              <w:spacing w:line="360" w:lineRule="auto"/>
              <w:ind w:firstLineChars="0"/>
              <w:jc w:val="center"/>
              <w:rPr>
                <w:rFonts w:hint="eastAsia" w:ascii="宋体" w:hAnsi="宋体" w:eastAsia="宋体" w:cs="宋体"/>
                <w:color w:val="auto"/>
                <w:position w:val="2"/>
                <w:szCs w:val="30"/>
              </w:rPr>
            </w:pPr>
          </w:p>
        </w:tc>
        <w:tc>
          <w:tcPr>
            <w:tcW w:w="1500" w:type="dxa"/>
            <w:shd w:val="clear" w:color="auto" w:fill="auto"/>
            <w:vAlign w:val="center"/>
          </w:tcPr>
          <w:p w14:paraId="2BB842D3">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 EndTime</w:t>
            </w:r>
          </w:p>
        </w:tc>
        <w:tc>
          <w:tcPr>
            <w:tcW w:w="1178" w:type="dxa"/>
            <w:shd w:val="clear" w:color="auto" w:fill="auto"/>
            <w:vAlign w:val="center"/>
          </w:tcPr>
          <w:p w14:paraId="251A836B">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1..1</w:t>
            </w:r>
          </w:p>
        </w:tc>
        <w:tc>
          <w:tcPr>
            <w:tcW w:w="1465" w:type="dxa"/>
            <w:shd w:val="clear" w:color="auto" w:fill="auto"/>
            <w:vAlign w:val="center"/>
          </w:tcPr>
          <w:p w14:paraId="5CDE19C0">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结束时间</w:t>
            </w:r>
          </w:p>
          <w:p w14:paraId="7AB987F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时间格式：</w:t>
            </w:r>
          </w:p>
          <w:p w14:paraId="0A01C0C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yyyymmdd</w:t>
            </w:r>
          </w:p>
        </w:tc>
        <w:tc>
          <w:tcPr>
            <w:tcW w:w="1267" w:type="dxa"/>
            <w:shd w:val="clear" w:color="auto" w:fill="auto"/>
            <w:vAlign w:val="center"/>
          </w:tcPr>
          <w:p w14:paraId="60FF67DF">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AN..</w:t>
            </w:r>
          </w:p>
        </w:tc>
        <w:tc>
          <w:tcPr>
            <w:tcW w:w="1569" w:type="dxa"/>
            <w:shd w:val="clear" w:color="auto" w:fill="auto"/>
            <w:vAlign w:val="center"/>
          </w:tcPr>
          <w:p w14:paraId="701DA604">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个人基本信息随传染病病例报告信息上报时要求：</w:t>
            </w:r>
          </w:p>
          <w:p w14:paraId="6147905D">
            <w:pPr>
              <w:widowControl w:val="0"/>
              <w:tabs>
                <w:tab w:val="left" w:pos="1445"/>
              </w:tabs>
              <w:spacing w:line="360" w:lineRule="auto"/>
              <w:ind w:left="0" w:firstLine="0" w:firstLineChars="0"/>
              <w:jc w:val="both"/>
              <w:rPr>
                <w:rFonts w:hint="eastAsia" w:ascii="宋体" w:hAnsi="宋体" w:eastAsia="宋体" w:cs="宋体"/>
                <w:color w:val="auto"/>
                <w:szCs w:val="30"/>
              </w:rPr>
            </w:pPr>
            <w:r>
              <w:rPr>
                <w:rFonts w:hint="eastAsia" w:ascii="宋体" w:hAnsi="宋体" w:eastAsia="宋体" w:cs="宋体"/>
                <w:color w:val="auto"/>
                <w:szCs w:val="30"/>
              </w:rPr>
              <w:t>非必填</w:t>
            </w:r>
          </w:p>
        </w:tc>
      </w:tr>
    </w:tbl>
    <w:p w14:paraId="58B5CAC4">
      <w:pPr>
        <w:spacing w:line="360" w:lineRule="auto"/>
        <w:ind w:firstLine="482"/>
        <w:rPr>
          <w:rFonts w:hint="eastAsia" w:cs="Times New Roman"/>
          <w:b/>
          <w:bCs/>
          <w:color w:val="auto"/>
          <w:sz w:val="24"/>
          <w:szCs w:val="24"/>
        </w:rPr>
      </w:pPr>
      <w:bookmarkStart w:id="243" w:name="_bookmark34"/>
      <w:bookmarkEnd w:id="243"/>
      <w:r>
        <w:rPr>
          <w:rFonts w:hint="eastAsia" w:cs="Times New Roman"/>
          <w:b/>
          <w:bCs/>
          <w:color w:val="auto"/>
          <w:sz w:val="24"/>
          <w:szCs w:val="24"/>
          <w:lang w:val="en-US" w:eastAsia="zh-CN"/>
        </w:rPr>
        <w:t>六、</w:t>
      </w:r>
      <w:r>
        <w:rPr>
          <w:rFonts w:hint="eastAsia" w:cs="Times New Roman"/>
          <w:b/>
          <w:bCs/>
          <w:color w:val="auto"/>
          <w:sz w:val="24"/>
          <w:szCs w:val="24"/>
        </w:rPr>
        <w:t>项目总体要求</w:t>
      </w:r>
    </w:p>
    <w:p w14:paraId="4EB9314B">
      <w:pPr>
        <w:spacing w:line="360" w:lineRule="auto"/>
        <w:ind w:firstLine="482"/>
        <w:rPr>
          <w:rFonts w:hint="eastAsia" w:cs="Times New Roman"/>
          <w:b/>
          <w:bCs/>
          <w:color w:val="auto"/>
          <w:sz w:val="24"/>
          <w:szCs w:val="24"/>
        </w:rPr>
      </w:pPr>
      <w:bookmarkStart w:id="244" w:name="_bookmark35"/>
      <w:bookmarkEnd w:id="244"/>
      <w:r>
        <w:rPr>
          <w:rFonts w:hint="eastAsia" w:cs="Times New Roman"/>
          <w:b/>
          <w:bCs/>
          <w:color w:val="auto"/>
          <w:sz w:val="24"/>
          <w:szCs w:val="24"/>
          <w:lang w:val="en-US" w:eastAsia="zh-CN"/>
        </w:rPr>
        <w:t>1、</w:t>
      </w:r>
      <w:r>
        <w:rPr>
          <w:rFonts w:hint="eastAsia" w:cs="Times New Roman"/>
          <w:b/>
          <w:bCs/>
          <w:color w:val="auto"/>
          <w:sz w:val="24"/>
          <w:szCs w:val="24"/>
        </w:rPr>
        <w:t>工期要求</w:t>
      </w:r>
    </w:p>
    <w:p w14:paraId="5D1DAE4F">
      <w:pPr>
        <w:spacing w:line="360" w:lineRule="auto"/>
        <w:ind w:firstLine="482"/>
        <w:rPr>
          <w:rFonts w:hint="eastAsia" w:cs="Times New Roman"/>
          <w:color w:val="auto"/>
          <w:sz w:val="24"/>
          <w:szCs w:val="24"/>
        </w:rPr>
      </w:pPr>
      <w:r>
        <w:rPr>
          <w:rFonts w:hint="eastAsia" w:cs="Times New Roman"/>
          <w:color w:val="auto"/>
          <w:sz w:val="24"/>
          <w:szCs w:val="24"/>
        </w:rPr>
        <w:t>在考虑医院实际信息化水平及医院整体需求的基础上并结合医院信息系统实施客观规律，整体项目实施能够划分成多个阶段进行，以保障项目的平稳实施。要求中标人从整体项目实施角度出发，保证质量控制实施周期，必须在合同签订后软件部分</w:t>
      </w:r>
      <w:r>
        <w:rPr>
          <w:rFonts w:hint="eastAsia" w:cs="Times New Roman"/>
          <w:color w:val="auto"/>
          <w:sz w:val="24"/>
          <w:szCs w:val="24"/>
          <w:lang w:val="en-US" w:eastAsia="zh-CN"/>
        </w:rPr>
        <w:t>在</w:t>
      </w:r>
      <w:r>
        <w:rPr>
          <w:rFonts w:hint="eastAsia" w:cs="Times New Roman"/>
          <w:color w:val="auto"/>
          <w:sz w:val="24"/>
          <w:szCs w:val="24"/>
        </w:rPr>
        <w:t xml:space="preserve"> 6 个月内完成主体框架上线（由第三方监理公司监督实施过程），并完成 1 期项目的验收。本项目将充分按照 “以评促建”的核心理念，通过本项目的建设，医院的整体信息系统建设水平能够达到电子病历系统应用水平分级评价 4 级并拓展至 5 级，医院信息互联互通标准化成熟度 4 级甲等，初步达到智慧医院评价标准，医院综合能力能够达到三级中医医院的建设要求。</w:t>
      </w:r>
    </w:p>
    <w:p w14:paraId="67A77599">
      <w:pPr>
        <w:spacing w:line="360" w:lineRule="auto"/>
        <w:ind w:firstLine="482"/>
        <w:rPr>
          <w:rFonts w:hint="eastAsia" w:cs="Times New Roman"/>
          <w:b/>
          <w:bCs/>
          <w:color w:val="auto"/>
          <w:sz w:val="24"/>
          <w:szCs w:val="24"/>
        </w:rPr>
      </w:pPr>
      <w:bookmarkStart w:id="245" w:name="_bookmark36"/>
      <w:bookmarkEnd w:id="245"/>
      <w:r>
        <w:rPr>
          <w:rFonts w:hint="eastAsia" w:cs="Times New Roman"/>
          <w:b/>
          <w:bCs/>
          <w:color w:val="auto"/>
          <w:sz w:val="24"/>
          <w:szCs w:val="24"/>
          <w:lang w:val="en-US" w:eastAsia="zh-CN"/>
        </w:rPr>
        <w:t>2、</w:t>
      </w:r>
      <w:r>
        <w:rPr>
          <w:rFonts w:hint="eastAsia" w:cs="Times New Roman"/>
          <w:b/>
          <w:bCs/>
          <w:color w:val="auto"/>
          <w:sz w:val="24"/>
          <w:szCs w:val="24"/>
        </w:rPr>
        <w:t>先进性要求</w:t>
      </w:r>
    </w:p>
    <w:p w14:paraId="68820DB1">
      <w:pPr>
        <w:spacing w:line="360" w:lineRule="auto"/>
        <w:ind w:firstLine="482"/>
        <w:rPr>
          <w:rFonts w:hint="eastAsia" w:cs="Times New Roman"/>
          <w:color w:val="auto"/>
          <w:sz w:val="24"/>
          <w:szCs w:val="24"/>
        </w:rPr>
      </w:pPr>
      <w:r>
        <w:rPr>
          <w:rFonts w:hint="eastAsia" w:cs="Times New Roman"/>
          <w:color w:val="auto"/>
          <w:sz w:val="24"/>
          <w:szCs w:val="24"/>
        </w:rPr>
        <w:t>必须充分考虑医疗行业发展趋势，采用先进的体系结构和软硬件技术，满 足目前 4 级电子病历系统、4 级甲等互联互通、智慧医院三级、医共体建设、 三级中医医院评审测评要求、且还能够满足将来相当一段时间对系统的需求。 从而达到既满足医疗机构或组织应用整合现阶段工作对系统水平和能力的要求，推动计算机应用向更高级阶段发展，又能够在今后数年内保持其技术的先进性 和实用性，从而保护投资的有效性。</w:t>
      </w:r>
    </w:p>
    <w:p w14:paraId="56D4885C">
      <w:pPr>
        <w:spacing w:line="360" w:lineRule="auto"/>
        <w:ind w:firstLine="482"/>
        <w:rPr>
          <w:rFonts w:hint="eastAsia" w:cs="Times New Roman"/>
          <w:b/>
          <w:bCs/>
          <w:color w:val="auto"/>
          <w:sz w:val="24"/>
          <w:szCs w:val="24"/>
          <w:lang w:val="en-US" w:eastAsia="zh-CN"/>
        </w:rPr>
      </w:pPr>
      <w:bookmarkStart w:id="246" w:name="_bookmark37"/>
      <w:bookmarkEnd w:id="246"/>
      <w:r>
        <w:rPr>
          <w:rFonts w:hint="eastAsia" w:cs="Times New Roman"/>
          <w:b/>
          <w:bCs/>
          <w:color w:val="auto"/>
          <w:sz w:val="24"/>
          <w:szCs w:val="24"/>
          <w:lang w:val="en-US" w:eastAsia="zh-CN"/>
        </w:rPr>
        <w:t>3、整体架构要求</w:t>
      </w:r>
    </w:p>
    <w:p w14:paraId="376CE558">
      <w:pPr>
        <w:spacing w:line="360" w:lineRule="auto"/>
        <w:ind w:firstLine="482"/>
        <w:rPr>
          <w:rFonts w:hint="eastAsia" w:cs="Times New Roman"/>
          <w:color w:val="auto"/>
          <w:sz w:val="24"/>
          <w:szCs w:val="24"/>
        </w:rPr>
      </w:pPr>
      <w:r>
        <w:rPr>
          <w:rFonts w:hint="eastAsia" w:cs="Times New Roman"/>
          <w:color w:val="auto"/>
          <w:sz w:val="24"/>
          <w:szCs w:val="24"/>
        </w:rPr>
        <w:t>整体架构规划设计能够满足医院未来三到五年的医院信息化建设需求，能 够采用国际主流 SOA 架构，采用分布式、多层次和松耦合结构。通过制定全院 的数据标准、传输标准、安全体系，对医院的各个业务系统进行流程梳理并提 出相应的改造建议，完成符合国家标准、共享交换、安全体系。从而实现 5 级 电子病历测评中面向患者、面向医护及面向管理部门的多维度应用要求，体现 病人服务精细化，以病人为中心，面向病人优化业务流程，加强病人就诊体验，提升医院整体服务质量。</w:t>
      </w:r>
    </w:p>
    <w:p w14:paraId="3F11710F">
      <w:pPr>
        <w:spacing w:line="360" w:lineRule="auto"/>
        <w:ind w:firstLine="482"/>
        <w:rPr>
          <w:rFonts w:hint="eastAsia" w:cs="Times New Roman"/>
          <w:b/>
          <w:bCs/>
          <w:color w:val="auto"/>
          <w:sz w:val="24"/>
          <w:szCs w:val="24"/>
        </w:rPr>
      </w:pPr>
      <w:bookmarkStart w:id="247" w:name="_bookmark38"/>
      <w:bookmarkEnd w:id="247"/>
      <w:r>
        <w:rPr>
          <w:rFonts w:hint="eastAsia" w:cs="Times New Roman"/>
          <w:b/>
          <w:bCs/>
          <w:color w:val="auto"/>
          <w:sz w:val="24"/>
          <w:szCs w:val="24"/>
          <w:lang w:val="en-US" w:eastAsia="zh-CN"/>
        </w:rPr>
        <w:t>4、</w:t>
      </w:r>
      <w:r>
        <w:rPr>
          <w:rFonts w:hint="eastAsia" w:cs="Times New Roman"/>
          <w:b/>
          <w:bCs/>
          <w:color w:val="auto"/>
          <w:sz w:val="24"/>
          <w:szCs w:val="24"/>
        </w:rPr>
        <w:t>交互标准要求</w:t>
      </w:r>
    </w:p>
    <w:p w14:paraId="7D4763A4">
      <w:pPr>
        <w:spacing w:line="360" w:lineRule="auto"/>
        <w:ind w:firstLine="482"/>
        <w:rPr>
          <w:rFonts w:hint="eastAsia" w:cs="Times New Roman"/>
          <w:color w:val="auto"/>
          <w:sz w:val="24"/>
          <w:szCs w:val="24"/>
        </w:rPr>
      </w:pPr>
      <w:r>
        <w:rPr>
          <w:rFonts w:hint="eastAsia" w:cs="Times New Roman"/>
          <w:color w:val="auto"/>
          <w:sz w:val="24"/>
          <w:szCs w:val="24"/>
        </w:rPr>
        <w:t>本次医院信息化建设项目，借助电子病历 4 级、互联互通四级甲等测评的契机，不断深化和完善医院标准化交互体系、开放性设计，在数据通信协议、数据标准、数据库系统、应用界面开发、接口设计等方面采用开放性设计，支持 XML、SOAP、WebServices 等当前受到普遍支持的开放标准，从生产系统、分析系统、接口交换等各层面都能够产生并使用标准化的数据和消息，将医院所有信息系统以灵活的方式进行互联互通。</w:t>
      </w:r>
    </w:p>
    <w:p w14:paraId="758598AE">
      <w:pPr>
        <w:spacing w:line="360" w:lineRule="auto"/>
        <w:ind w:firstLine="482"/>
        <w:rPr>
          <w:rFonts w:hint="eastAsia" w:cs="Times New Roman"/>
          <w:b/>
          <w:bCs/>
          <w:color w:val="auto"/>
          <w:sz w:val="24"/>
          <w:szCs w:val="24"/>
        </w:rPr>
      </w:pPr>
      <w:bookmarkStart w:id="248" w:name="_bookmark39"/>
      <w:bookmarkEnd w:id="248"/>
      <w:r>
        <w:rPr>
          <w:rFonts w:hint="eastAsia" w:cs="Times New Roman"/>
          <w:b/>
          <w:bCs/>
          <w:color w:val="auto"/>
          <w:sz w:val="24"/>
          <w:szCs w:val="24"/>
          <w:lang w:val="en-US" w:eastAsia="zh-CN"/>
        </w:rPr>
        <w:t>5、</w:t>
      </w:r>
      <w:r>
        <w:rPr>
          <w:rFonts w:hint="eastAsia" w:cs="Times New Roman"/>
          <w:b/>
          <w:bCs/>
          <w:color w:val="auto"/>
          <w:sz w:val="24"/>
          <w:szCs w:val="24"/>
        </w:rPr>
        <w:t>业务流程要求</w:t>
      </w:r>
    </w:p>
    <w:p w14:paraId="7021D5A0">
      <w:pPr>
        <w:spacing w:line="360" w:lineRule="auto"/>
        <w:ind w:firstLine="482"/>
        <w:rPr>
          <w:rFonts w:hint="eastAsia" w:cs="Times New Roman"/>
          <w:color w:val="auto"/>
          <w:sz w:val="24"/>
          <w:szCs w:val="24"/>
        </w:rPr>
      </w:pPr>
      <w:r>
        <w:rPr>
          <w:rFonts w:hint="eastAsia" w:cs="Times New Roman"/>
          <w:color w:val="auto"/>
          <w:sz w:val="24"/>
          <w:szCs w:val="24"/>
        </w:rPr>
        <w:t>协助医院通过电子病历系统应用水平分级评价 4 级、互联互通 4 甲测评。</w:t>
      </w:r>
    </w:p>
    <w:p w14:paraId="45C6355C">
      <w:pPr>
        <w:spacing w:line="360" w:lineRule="auto"/>
        <w:ind w:firstLine="482"/>
        <w:rPr>
          <w:rFonts w:hint="eastAsia" w:cs="Times New Roman"/>
          <w:color w:val="auto"/>
          <w:sz w:val="24"/>
          <w:szCs w:val="24"/>
        </w:rPr>
      </w:pPr>
      <w:r>
        <w:rPr>
          <w:rFonts w:hint="eastAsia" w:cs="Times New Roman"/>
          <w:color w:val="auto"/>
          <w:sz w:val="24"/>
          <w:szCs w:val="24"/>
        </w:rPr>
        <w:t>投标人应通过本次项目建设，可扩展支撑 5 级电子病历系统测评过程中的各项闭环流程要求，实现临床信息系统以安全与质量为核心实现闭环管理。可扩展支撑 5 级电子病历系统测评过程中的各项结构化病历应用，能够给医生提供更全面的诊断依据，减少医疗差错的发生概率，使医疗工作更为规范。</w:t>
      </w:r>
    </w:p>
    <w:p w14:paraId="4DA84D1A">
      <w:pPr>
        <w:spacing w:line="360" w:lineRule="auto"/>
        <w:ind w:firstLine="482"/>
        <w:rPr>
          <w:rFonts w:hint="eastAsia" w:cs="Times New Roman"/>
          <w:b/>
          <w:bCs/>
          <w:color w:val="auto"/>
          <w:sz w:val="24"/>
          <w:szCs w:val="24"/>
        </w:rPr>
      </w:pPr>
      <w:bookmarkStart w:id="249" w:name="_bookmark40"/>
      <w:bookmarkEnd w:id="249"/>
      <w:r>
        <w:rPr>
          <w:rFonts w:hint="eastAsia" w:cs="Times New Roman"/>
          <w:b/>
          <w:bCs/>
          <w:color w:val="auto"/>
          <w:sz w:val="24"/>
          <w:szCs w:val="24"/>
          <w:lang w:val="en-US" w:eastAsia="zh-CN"/>
        </w:rPr>
        <w:t>6、</w:t>
      </w:r>
      <w:r>
        <w:rPr>
          <w:rFonts w:hint="eastAsia" w:cs="Times New Roman"/>
          <w:b/>
          <w:bCs/>
          <w:color w:val="auto"/>
          <w:sz w:val="24"/>
          <w:szCs w:val="24"/>
        </w:rPr>
        <w:t>基础设施要求</w:t>
      </w:r>
    </w:p>
    <w:p w14:paraId="3511CBEF">
      <w:pPr>
        <w:spacing w:line="360" w:lineRule="auto"/>
        <w:ind w:firstLine="482"/>
        <w:rPr>
          <w:rFonts w:hint="eastAsia" w:cs="Times New Roman"/>
          <w:color w:val="auto"/>
          <w:sz w:val="24"/>
          <w:szCs w:val="24"/>
        </w:rPr>
      </w:pPr>
      <w:r>
        <w:rPr>
          <w:rFonts w:hint="eastAsia" w:cs="Times New Roman"/>
          <w:color w:val="auto"/>
          <w:sz w:val="24"/>
          <w:szCs w:val="24"/>
        </w:rPr>
        <w:t>符合电子病历 4 级测评、互联互通四级甲等测评中基础设施与安全管控要 求。从网络安全、运维制度、服务器时间一致管理、数据审查机制、灾难恢复、数据备份等维度支撑。</w:t>
      </w:r>
    </w:p>
    <w:p w14:paraId="6879F705">
      <w:pPr>
        <w:spacing w:line="360" w:lineRule="auto"/>
        <w:ind w:firstLine="482"/>
        <w:rPr>
          <w:rFonts w:hint="eastAsia" w:cs="Times New Roman"/>
          <w:b/>
          <w:bCs/>
          <w:color w:val="auto"/>
          <w:sz w:val="24"/>
          <w:szCs w:val="24"/>
        </w:rPr>
      </w:pPr>
      <w:bookmarkStart w:id="250" w:name="_bookmark41"/>
      <w:bookmarkEnd w:id="250"/>
      <w:r>
        <w:rPr>
          <w:rFonts w:hint="eastAsia" w:cs="Times New Roman"/>
          <w:b/>
          <w:bCs/>
          <w:color w:val="auto"/>
          <w:sz w:val="24"/>
          <w:szCs w:val="24"/>
          <w:lang w:val="en-US" w:eastAsia="zh-CN"/>
        </w:rPr>
        <w:t>7、</w:t>
      </w:r>
      <w:r>
        <w:rPr>
          <w:rFonts w:hint="eastAsia" w:cs="Times New Roman"/>
          <w:b/>
          <w:bCs/>
          <w:color w:val="auto"/>
          <w:sz w:val="24"/>
          <w:szCs w:val="24"/>
        </w:rPr>
        <w:t>个性化改造要求</w:t>
      </w:r>
    </w:p>
    <w:p w14:paraId="6C8D72F7">
      <w:pPr>
        <w:spacing w:line="360" w:lineRule="auto"/>
        <w:ind w:firstLine="482"/>
        <w:rPr>
          <w:rFonts w:hint="eastAsia" w:cs="Times New Roman"/>
          <w:color w:val="auto"/>
          <w:sz w:val="24"/>
          <w:szCs w:val="24"/>
        </w:rPr>
      </w:pPr>
      <w:r>
        <w:rPr>
          <w:rFonts w:hint="eastAsia" w:cs="Times New Roman"/>
          <w:color w:val="auto"/>
          <w:sz w:val="24"/>
          <w:szCs w:val="24"/>
        </w:rPr>
        <w:t>本次项目是医院的顶层设计项目，项目的建设将支撑医院三到五年的信息化发展。项目开展过程中会涉及部分个性化的业务流程，如果存在与投标人产品流程不符的情况下，投标人承诺能够根据医院的实际业务流程、评估个性化开发工作量，为医院提供进行个性化需求的定制与改造。</w:t>
      </w:r>
    </w:p>
    <w:p w14:paraId="279B7AB6">
      <w:pPr>
        <w:spacing w:line="360" w:lineRule="auto"/>
        <w:ind w:firstLine="482"/>
        <w:rPr>
          <w:rFonts w:hint="eastAsia" w:cs="Times New Roman"/>
          <w:b/>
          <w:bCs/>
          <w:color w:val="auto"/>
          <w:sz w:val="24"/>
          <w:szCs w:val="24"/>
        </w:rPr>
      </w:pPr>
      <w:bookmarkStart w:id="251" w:name="_bookmark42"/>
      <w:bookmarkEnd w:id="251"/>
      <w:r>
        <w:rPr>
          <w:rFonts w:hint="eastAsia" w:cs="Times New Roman"/>
          <w:b/>
          <w:bCs/>
          <w:color w:val="auto"/>
          <w:sz w:val="24"/>
          <w:szCs w:val="24"/>
          <w:lang w:val="en-US" w:eastAsia="zh-CN"/>
        </w:rPr>
        <w:t>8、</w:t>
      </w:r>
      <w:r>
        <w:rPr>
          <w:rFonts w:hint="eastAsia" w:cs="Times New Roman"/>
          <w:b/>
          <w:bCs/>
          <w:color w:val="auto"/>
          <w:sz w:val="24"/>
          <w:szCs w:val="24"/>
        </w:rPr>
        <w:t>信创要求</w:t>
      </w:r>
    </w:p>
    <w:p w14:paraId="251123EE">
      <w:pPr>
        <w:spacing w:line="360" w:lineRule="auto"/>
        <w:ind w:firstLine="482"/>
        <w:rPr>
          <w:rFonts w:hint="eastAsia" w:cs="Times New Roman"/>
          <w:color w:val="auto"/>
          <w:sz w:val="24"/>
          <w:szCs w:val="24"/>
        </w:rPr>
      </w:pPr>
      <w:r>
        <w:rPr>
          <w:rFonts w:hint="eastAsia" w:cs="Times New Roman"/>
          <w:color w:val="auto"/>
          <w:sz w:val="24"/>
          <w:szCs w:val="24"/>
        </w:rPr>
        <w:t>根据卫健委联合多部门出台的信创工作实施方案通知中明确要求，信创医院在2027年底前完成信创升级工作。通知明确要求医院应用软件分为: 1、诊疗核心业务系统(HIS、EMR、LIS、PACS、RIS 等)，暂不全面实施信创工作，但要求完成信创潜在方案评估;2、支撑诊疗的外围业务系统(如 CDR、ODR、互联网医院、远程诊疗等)，除部分与核心诊疗业务系统交互的功能模块。经论证后可保留使用非信创技术，其余部分应进行信创改造; 3、与诊疗无关的业务应用系统(OA、网站、邮件、财务、后勤、安防、教学、HRP 等)应全部完成信创升级。</w:t>
      </w:r>
    </w:p>
    <w:p w14:paraId="4729F7D7">
      <w:pPr>
        <w:spacing w:line="360" w:lineRule="auto"/>
        <w:ind w:firstLine="482"/>
        <w:rPr>
          <w:rFonts w:hint="eastAsia" w:cs="Times New Roman"/>
          <w:color w:val="auto"/>
          <w:sz w:val="24"/>
          <w:szCs w:val="24"/>
        </w:rPr>
      </w:pPr>
      <w:r>
        <w:rPr>
          <w:rFonts w:hint="eastAsia" w:cs="Times New Roman"/>
          <w:color w:val="auto"/>
          <w:sz w:val="24"/>
          <w:szCs w:val="24"/>
        </w:rPr>
        <w:t>上述政策要求医院在建设和升级应用系统时，须严格遵守以下几点信创工作要求：1、医院在采购选择新建应用系统时，不管是诊疗核心业务系统，还是诊疗外围支撑业务系统，或者是与诊疗无关的应用系统必须选择符合信创技术要求的产品，即非信创产品不得入围;2、原有不符合信创技术要求的诊疗外围支撑应用业务系统和与诊疗无关的应用系统必须进行重新翻新，即更换为符合信创技术要求的产品;3、应用系统架构上要求选择 JAVA 开发的产品。</w:t>
      </w:r>
    </w:p>
    <w:p w14:paraId="1506C7B4">
      <w:pPr>
        <w:spacing w:line="360" w:lineRule="auto"/>
        <w:ind w:firstLine="482"/>
        <w:rPr>
          <w:rFonts w:hint="eastAsia" w:cs="Times New Roman"/>
          <w:b/>
          <w:bCs/>
          <w:color w:val="auto"/>
          <w:sz w:val="24"/>
          <w:szCs w:val="24"/>
        </w:rPr>
      </w:pPr>
      <w:bookmarkStart w:id="252" w:name="_bookmark43"/>
      <w:bookmarkEnd w:id="252"/>
      <w:r>
        <w:rPr>
          <w:rFonts w:hint="eastAsia" w:cs="Times New Roman"/>
          <w:b/>
          <w:bCs/>
          <w:color w:val="auto"/>
          <w:sz w:val="24"/>
          <w:szCs w:val="24"/>
          <w:lang w:val="en-US" w:eastAsia="zh-CN"/>
        </w:rPr>
        <w:t>9、</w:t>
      </w:r>
      <w:r>
        <w:rPr>
          <w:rFonts w:hint="eastAsia" w:cs="Times New Roman"/>
          <w:b/>
          <w:bCs/>
          <w:color w:val="auto"/>
          <w:sz w:val="24"/>
          <w:szCs w:val="24"/>
        </w:rPr>
        <w:t>等保要求</w:t>
      </w:r>
    </w:p>
    <w:p w14:paraId="1550B270">
      <w:pPr>
        <w:spacing w:line="360" w:lineRule="auto"/>
        <w:ind w:firstLine="482"/>
        <w:rPr>
          <w:rFonts w:hint="eastAsia" w:cs="Times New Roman"/>
          <w:color w:val="auto"/>
          <w:sz w:val="24"/>
          <w:szCs w:val="24"/>
        </w:rPr>
      </w:pPr>
      <w:r>
        <w:rPr>
          <w:rFonts w:hint="eastAsia" w:cs="Times New Roman"/>
          <w:color w:val="auto"/>
          <w:sz w:val="24"/>
          <w:szCs w:val="24"/>
        </w:rPr>
        <w:t>等保是指对信息和信息载体按照重要性等级分级别进行保护的一种工作，广泛应用于中国、美国等很多国家的信息安全领域。在中国，信息安全等级保护包括涉及到该工作的标准、产品、系统、信息等均依据等级保护思想的安全工作。狭义上，信息安全等级保护主要指信息系统安全等级保护，其保护工作一般包括定级、备案、安全建设和整改、信息安全等级测评、信息安全检查五个阶段。</w:t>
      </w:r>
    </w:p>
    <w:p w14:paraId="7FBD7FDD">
      <w:pPr>
        <w:spacing w:line="360" w:lineRule="auto"/>
        <w:ind w:firstLine="482"/>
        <w:rPr>
          <w:rFonts w:hint="eastAsia" w:cs="Times New Roman"/>
          <w:b/>
          <w:bCs/>
          <w:color w:val="auto"/>
          <w:sz w:val="24"/>
          <w:szCs w:val="24"/>
        </w:rPr>
      </w:pPr>
      <w:bookmarkStart w:id="253" w:name="_bookmark44"/>
      <w:bookmarkEnd w:id="253"/>
      <w:r>
        <w:rPr>
          <w:rFonts w:hint="eastAsia" w:cs="Times New Roman"/>
          <w:b/>
          <w:bCs/>
          <w:color w:val="auto"/>
          <w:sz w:val="24"/>
          <w:szCs w:val="24"/>
          <w:lang w:val="en-US" w:eastAsia="zh-CN"/>
        </w:rPr>
        <w:t>10、</w:t>
      </w:r>
      <w:r>
        <w:rPr>
          <w:rFonts w:hint="eastAsia" w:cs="Times New Roman"/>
          <w:b/>
          <w:bCs/>
          <w:color w:val="auto"/>
          <w:sz w:val="24"/>
          <w:szCs w:val="24"/>
        </w:rPr>
        <w:t>软件正版及数据库使用许可要求</w:t>
      </w:r>
    </w:p>
    <w:p w14:paraId="35C66AC0">
      <w:pPr>
        <w:spacing w:line="360" w:lineRule="auto"/>
        <w:ind w:firstLine="482"/>
        <w:rPr>
          <w:rFonts w:hint="eastAsia" w:cs="Times New Roman"/>
          <w:color w:val="auto"/>
          <w:sz w:val="24"/>
          <w:szCs w:val="24"/>
          <w:highlight w:val="yellow"/>
        </w:rPr>
      </w:pPr>
      <w:r>
        <w:rPr>
          <w:rFonts w:hint="eastAsia" w:cs="Times New Roman"/>
          <w:color w:val="auto"/>
          <w:sz w:val="24"/>
          <w:szCs w:val="24"/>
          <w:highlight w:val="yellow"/>
        </w:rPr>
        <w:t>我院此次信息化建设项目涉及的软件（含操作系统及数据库等）投标人承诺本次投标软件及数据库为正版，并提供承诺函。</w:t>
      </w:r>
    </w:p>
    <w:p w14:paraId="6BDDAE1F">
      <w:pPr>
        <w:spacing w:line="360" w:lineRule="auto"/>
        <w:ind w:firstLine="482"/>
        <w:rPr>
          <w:rFonts w:hint="eastAsia" w:cs="Times New Roman"/>
          <w:b/>
          <w:bCs/>
          <w:color w:val="auto"/>
          <w:sz w:val="24"/>
          <w:szCs w:val="24"/>
        </w:rPr>
      </w:pPr>
      <w:bookmarkStart w:id="254" w:name="_bookmark45"/>
      <w:bookmarkEnd w:id="254"/>
      <w:r>
        <w:rPr>
          <w:rFonts w:hint="eastAsia" w:cs="Times New Roman"/>
          <w:b/>
          <w:bCs/>
          <w:color w:val="auto"/>
          <w:sz w:val="24"/>
          <w:szCs w:val="24"/>
          <w:lang w:val="en-US" w:eastAsia="zh-CN"/>
        </w:rPr>
        <w:t>11、</w:t>
      </w:r>
      <w:r>
        <w:rPr>
          <w:rFonts w:hint="eastAsia" w:cs="Times New Roman"/>
          <w:b/>
          <w:bCs/>
          <w:color w:val="auto"/>
          <w:sz w:val="24"/>
          <w:szCs w:val="24"/>
        </w:rPr>
        <w:t>维保服务</w:t>
      </w:r>
    </w:p>
    <w:p w14:paraId="7C6F6BDD">
      <w:pPr>
        <w:spacing w:line="360" w:lineRule="auto"/>
        <w:ind w:firstLine="482"/>
        <w:rPr>
          <w:rFonts w:hint="eastAsia" w:cs="Times New Roman"/>
          <w:color w:val="auto"/>
          <w:sz w:val="24"/>
          <w:szCs w:val="24"/>
        </w:rPr>
      </w:pPr>
      <w:r>
        <w:rPr>
          <w:rFonts w:hint="eastAsia" w:cs="Times New Roman"/>
          <w:color w:val="auto"/>
          <w:sz w:val="24"/>
          <w:szCs w:val="24"/>
        </w:rPr>
        <w:t>进入维保期后，维保费不超过总合同金额的 5.5%。</w:t>
      </w:r>
    </w:p>
    <w:p w14:paraId="65D6610B">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12、</w:t>
      </w:r>
      <w:r>
        <w:rPr>
          <w:rFonts w:hint="eastAsia" w:cs="Times New Roman"/>
          <w:b/>
          <w:bCs/>
          <w:color w:val="auto"/>
          <w:sz w:val="24"/>
          <w:szCs w:val="24"/>
        </w:rPr>
        <w:t>接口服务</w:t>
      </w:r>
    </w:p>
    <w:p w14:paraId="72EC4F6B">
      <w:pPr>
        <w:spacing w:line="360" w:lineRule="auto"/>
        <w:ind w:firstLine="482"/>
        <w:rPr>
          <w:rFonts w:hint="eastAsia" w:cs="Times New Roman"/>
          <w:color w:val="auto"/>
          <w:sz w:val="24"/>
          <w:szCs w:val="24"/>
        </w:rPr>
      </w:pPr>
      <w:r>
        <w:rPr>
          <w:rFonts w:hint="eastAsia" w:cs="Times New Roman"/>
          <w:color w:val="auto"/>
          <w:sz w:val="24"/>
          <w:szCs w:val="24"/>
        </w:rPr>
        <w:t>要求供应商供应的产品提供的产品所有接口保证 3 年使用期内满足医院业务需求及免费对接（包含接口升级等），维保期内免费升级。</w:t>
      </w:r>
      <w:r>
        <w:rPr>
          <w:rFonts w:hint="eastAsia" w:cs="Times New Roman"/>
          <w:color w:val="auto"/>
          <w:sz w:val="24"/>
          <w:szCs w:val="24"/>
          <w:lang w:val="en-US" w:eastAsia="zh-CN"/>
        </w:rPr>
        <w:t>时间自系统上线通过验收之日起计算，</w:t>
      </w:r>
      <w:r>
        <w:rPr>
          <w:rFonts w:hint="eastAsia" w:cs="Times New Roman"/>
          <w:color w:val="auto"/>
          <w:sz w:val="24"/>
          <w:szCs w:val="24"/>
        </w:rPr>
        <w:t>提供承诺函。</w:t>
      </w:r>
    </w:p>
    <w:p w14:paraId="6817E149">
      <w:pPr>
        <w:spacing w:line="360" w:lineRule="auto"/>
        <w:ind w:firstLine="482"/>
        <w:rPr>
          <w:rFonts w:hint="eastAsia" w:cs="Times New Roman"/>
          <w:color w:val="auto"/>
          <w:sz w:val="24"/>
          <w:szCs w:val="24"/>
        </w:rPr>
      </w:pPr>
      <w:r>
        <w:rPr>
          <w:rFonts w:hint="eastAsia" w:cs="Times New Roman"/>
          <w:color w:val="auto"/>
          <w:sz w:val="24"/>
          <w:szCs w:val="24"/>
        </w:rPr>
        <w:t>维保期内免费升级，如后期第三方软件公司需接入或抓取数据，涉及到接口工作量的，工作量不大，乙方不再收取费用，维保期外增加新的接口如确实工作量较大，可与甲方协商收取一定的费用，院内系统接口原则上限价 3 万。</w:t>
      </w:r>
    </w:p>
    <w:p w14:paraId="083DEE48">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13、</w:t>
      </w:r>
      <w:r>
        <w:rPr>
          <w:rFonts w:hint="eastAsia" w:cs="Times New Roman"/>
          <w:b/>
          <w:bCs/>
          <w:color w:val="auto"/>
          <w:sz w:val="24"/>
          <w:szCs w:val="24"/>
        </w:rPr>
        <w:t>软件服务</w:t>
      </w:r>
    </w:p>
    <w:p w14:paraId="0B9F6AA3">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1</w:t>
      </w:r>
      <w:r>
        <w:rPr>
          <w:rFonts w:hint="eastAsia" w:cs="Times New Roman"/>
          <w:b/>
          <w:bCs/>
          <w:color w:val="auto"/>
          <w:sz w:val="24"/>
          <w:szCs w:val="24"/>
          <w:lang w:eastAsia="zh-CN"/>
        </w:rPr>
        <w:t>）</w:t>
      </w:r>
      <w:r>
        <w:rPr>
          <w:rFonts w:hint="eastAsia" w:cs="Times New Roman"/>
          <w:b/>
          <w:bCs/>
          <w:color w:val="auto"/>
          <w:sz w:val="24"/>
          <w:szCs w:val="24"/>
        </w:rPr>
        <w:t>驻场服务</w:t>
      </w:r>
    </w:p>
    <w:p w14:paraId="20705DBB">
      <w:pPr>
        <w:spacing w:line="360" w:lineRule="auto"/>
        <w:ind w:firstLine="482"/>
        <w:rPr>
          <w:rFonts w:hint="eastAsia" w:cs="Times New Roman"/>
          <w:color w:val="auto"/>
          <w:sz w:val="24"/>
          <w:szCs w:val="24"/>
        </w:rPr>
      </w:pPr>
      <w:r>
        <w:rPr>
          <w:rFonts w:hint="eastAsia" w:cs="Times New Roman"/>
          <w:color w:val="auto"/>
          <w:sz w:val="24"/>
          <w:szCs w:val="24"/>
        </w:rPr>
        <w:t>驻场服务要求3人，免费质保期为三年，质保期自甲、乙双方代表在项目验收单上签字之日起开始计算，工作经验要求，中标人需派3名相关人员提供全天24小时驻场技术服务，包括1名项目经理，1名开发人员及1名实施人员，这些人员必须拥有丰富的项目技术服务经验和能力（不少于3年的工作经验），并来自项目核心团队，以确保服务的连续性和质量。</w:t>
      </w:r>
    </w:p>
    <w:p w14:paraId="330B0C6B">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2</w:t>
      </w:r>
      <w:r>
        <w:rPr>
          <w:rFonts w:hint="eastAsia" w:cs="Times New Roman"/>
          <w:b/>
          <w:bCs/>
          <w:color w:val="auto"/>
          <w:sz w:val="24"/>
          <w:szCs w:val="24"/>
          <w:lang w:eastAsia="zh-CN"/>
        </w:rPr>
        <w:t>）</w:t>
      </w:r>
      <w:r>
        <w:rPr>
          <w:rFonts w:hint="eastAsia" w:cs="Times New Roman"/>
          <w:b/>
          <w:bCs/>
          <w:color w:val="auto"/>
          <w:sz w:val="24"/>
          <w:szCs w:val="24"/>
        </w:rPr>
        <w:t>售后要求</w:t>
      </w:r>
    </w:p>
    <w:p w14:paraId="12957C5A">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①</w:t>
      </w:r>
      <w:r>
        <w:rPr>
          <w:rFonts w:hint="eastAsia" w:cs="Times New Roman"/>
          <w:color w:val="auto"/>
          <w:sz w:val="24"/>
          <w:szCs w:val="24"/>
        </w:rPr>
        <w:t>软件产品质保期为</w:t>
      </w:r>
      <w:r>
        <w:rPr>
          <w:rFonts w:hint="eastAsia" w:cs="Times New Roman"/>
          <w:color w:val="auto"/>
          <w:sz w:val="24"/>
          <w:szCs w:val="24"/>
          <w:lang w:val="en-US" w:eastAsia="zh-CN"/>
        </w:rPr>
        <w:t>三</w:t>
      </w:r>
      <w:r>
        <w:rPr>
          <w:rFonts w:hint="eastAsia" w:cs="Times New Roman"/>
          <w:color w:val="auto"/>
          <w:sz w:val="24"/>
          <w:szCs w:val="24"/>
        </w:rPr>
        <w:t>年。质保期自甲、乙双方代表在项目验收单上签字之日起开始计算。</w:t>
      </w:r>
    </w:p>
    <w:p w14:paraId="55648B72">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②</w:t>
      </w:r>
      <w:r>
        <w:rPr>
          <w:rFonts w:hint="eastAsia" w:cs="Times New Roman"/>
          <w:color w:val="auto"/>
          <w:sz w:val="24"/>
          <w:szCs w:val="24"/>
        </w:rPr>
        <w:t>供应商应保证在质保期间提供至少</w:t>
      </w:r>
      <w:r>
        <w:rPr>
          <w:rFonts w:hint="eastAsia" w:cs="Times New Roman"/>
          <w:color w:val="auto"/>
          <w:sz w:val="24"/>
          <w:szCs w:val="24"/>
          <w:lang w:eastAsia="zh-CN"/>
        </w:rPr>
        <w:t>3</w:t>
      </w:r>
      <w:r>
        <w:rPr>
          <w:rFonts w:hint="eastAsia" w:cs="Times New Roman"/>
          <w:color w:val="auto"/>
          <w:sz w:val="24"/>
          <w:szCs w:val="24"/>
        </w:rPr>
        <w:t>名驻场技术服务人员，包括1名项目经理、</w:t>
      </w:r>
      <w:r>
        <w:rPr>
          <w:rFonts w:hint="eastAsia" w:cs="Times New Roman"/>
          <w:color w:val="auto"/>
          <w:sz w:val="24"/>
          <w:szCs w:val="24"/>
          <w:lang w:eastAsia="zh-CN"/>
        </w:rPr>
        <w:t>1</w:t>
      </w:r>
      <w:r>
        <w:rPr>
          <w:rFonts w:hint="eastAsia" w:cs="Times New Roman"/>
          <w:color w:val="auto"/>
          <w:sz w:val="24"/>
          <w:szCs w:val="24"/>
        </w:rPr>
        <w:t>名开发人员及</w:t>
      </w:r>
      <w:r>
        <w:rPr>
          <w:rFonts w:hint="eastAsia" w:cs="Times New Roman"/>
          <w:color w:val="auto"/>
          <w:sz w:val="24"/>
          <w:szCs w:val="24"/>
          <w:lang w:eastAsia="zh-CN"/>
        </w:rPr>
        <w:t>1</w:t>
      </w:r>
      <w:r>
        <w:rPr>
          <w:rFonts w:hint="eastAsia" w:cs="Times New Roman"/>
          <w:color w:val="auto"/>
          <w:sz w:val="24"/>
          <w:szCs w:val="24"/>
        </w:rPr>
        <w:t>名实施人员。这些人员必须拥有丰富的项目技术服务经验和能力，并来自项目核心团队，以确保服务的连续性和质量。需明确各技术人员的职责，以便用户沟通并协助制定系统操作规章制度。</w:t>
      </w:r>
    </w:p>
    <w:p w14:paraId="424519A6">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③</w:t>
      </w:r>
      <w:r>
        <w:rPr>
          <w:rFonts w:hint="eastAsia" w:cs="Times New Roman"/>
          <w:color w:val="auto"/>
          <w:sz w:val="24"/>
          <w:szCs w:val="24"/>
        </w:rPr>
        <w:t>供应商应在质保期过期前三个月内与医院接洽商讨，并在质保期过期前签订下一期的技术售后服务合同，保障技术售后服务的连续性，售后服务费用按照双方协议价格收取。如本合同到期后，因客观因素导致尚未签订新一年采购合同，乙方应在合理期间内保证在甲方签订新合同前持续提供服务，直至新合同签订为止。</w:t>
      </w:r>
    </w:p>
    <w:p w14:paraId="416B2BD6">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④</w:t>
      </w:r>
      <w:r>
        <w:rPr>
          <w:rFonts w:hint="eastAsia" w:cs="Times New Roman"/>
          <w:color w:val="auto"/>
          <w:sz w:val="24"/>
          <w:szCs w:val="24"/>
        </w:rPr>
        <w:t>在质保期内，供应商须无偿提供本次采购的软件系统与医院现有系统间的对接服务，期间内若医院更换任何系统，供应商不得收取额外接口费用。</w:t>
      </w:r>
    </w:p>
    <w:p w14:paraId="5E0A76ED">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⑤</w:t>
      </w:r>
      <w:r>
        <w:rPr>
          <w:rFonts w:hint="eastAsia" w:cs="Times New Roman"/>
          <w:color w:val="auto"/>
          <w:sz w:val="24"/>
          <w:szCs w:val="24"/>
        </w:rPr>
        <w:t>软件产品质保期内，供应商应提供系统扩充、升级方面的技术支持服务。</w:t>
      </w:r>
    </w:p>
    <w:p w14:paraId="0C3366F6">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⑥</w:t>
      </w:r>
      <w:r>
        <w:rPr>
          <w:rFonts w:hint="eastAsia" w:cs="Times New Roman"/>
          <w:color w:val="auto"/>
          <w:sz w:val="24"/>
          <w:szCs w:val="24"/>
        </w:rPr>
        <w:t>供应商应该在项目的实施过程中提供软件支持的服务，这些服务应该包括:</w:t>
      </w:r>
    </w:p>
    <w:p w14:paraId="1FFF8E38">
      <w:pPr>
        <w:spacing w:line="360" w:lineRule="auto"/>
        <w:ind w:firstLine="482"/>
        <w:rPr>
          <w:rFonts w:hint="eastAsia" w:cs="Times New Roman"/>
          <w:color w:val="auto"/>
          <w:sz w:val="24"/>
          <w:szCs w:val="24"/>
        </w:rPr>
      </w:pPr>
      <w:r>
        <w:rPr>
          <w:rFonts w:hint="eastAsia" w:cs="Times New Roman"/>
          <w:color w:val="auto"/>
          <w:sz w:val="24"/>
          <w:szCs w:val="24"/>
        </w:rPr>
        <w:t>◆对影响到应用系统平稳作业的问题解答与分析，并提出解决方案;</w:t>
      </w:r>
    </w:p>
    <w:p w14:paraId="2AEE859E">
      <w:pPr>
        <w:spacing w:line="360" w:lineRule="auto"/>
        <w:ind w:firstLine="482"/>
        <w:rPr>
          <w:rFonts w:hint="eastAsia" w:cs="Times New Roman"/>
          <w:color w:val="auto"/>
          <w:sz w:val="24"/>
          <w:szCs w:val="24"/>
        </w:rPr>
      </w:pPr>
      <w:r>
        <w:rPr>
          <w:rFonts w:hint="eastAsia" w:cs="Times New Roman"/>
          <w:color w:val="auto"/>
          <w:sz w:val="24"/>
          <w:szCs w:val="24"/>
        </w:rPr>
        <w:t>◆定期进行程序错误的修改、维护、实施;</w:t>
      </w:r>
    </w:p>
    <w:p w14:paraId="19FB376D">
      <w:pPr>
        <w:spacing w:line="360" w:lineRule="auto"/>
        <w:ind w:firstLine="482"/>
        <w:rPr>
          <w:rFonts w:hint="eastAsia" w:cs="Times New Roman"/>
          <w:color w:val="auto"/>
          <w:sz w:val="24"/>
          <w:szCs w:val="24"/>
        </w:rPr>
      </w:pPr>
      <w:r>
        <w:rPr>
          <w:rFonts w:hint="eastAsia" w:cs="Times New Roman"/>
          <w:color w:val="auto"/>
          <w:sz w:val="24"/>
          <w:szCs w:val="24"/>
        </w:rPr>
        <w:t>◆信息系统的服务关联到软硬件的各个方面，因此必须对所有相关的变化进行实时的更新;</w:t>
      </w:r>
    </w:p>
    <w:p w14:paraId="2819C0EC">
      <w:pPr>
        <w:spacing w:line="360" w:lineRule="auto"/>
        <w:ind w:firstLine="482"/>
        <w:rPr>
          <w:rFonts w:hint="eastAsia" w:cs="Times New Roman"/>
          <w:color w:val="auto"/>
          <w:sz w:val="24"/>
          <w:szCs w:val="24"/>
        </w:rPr>
      </w:pPr>
      <w:r>
        <w:rPr>
          <w:rFonts w:hint="eastAsia" w:cs="Times New Roman"/>
          <w:color w:val="auto"/>
          <w:sz w:val="24"/>
          <w:szCs w:val="24"/>
        </w:rPr>
        <w:t>◆对所有的维护活动进行记录，并形成规范的文档，例如记录时间、地点、原因等，最后还要注明完成的时间和人员.</w:t>
      </w:r>
    </w:p>
    <w:p w14:paraId="69013CD9">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⑦</w:t>
      </w:r>
      <w:r>
        <w:rPr>
          <w:rFonts w:hint="eastAsia" w:cs="Times New Roman"/>
          <w:color w:val="auto"/>
          <w:sz w:val="24"/>
          <w:szCs w:val="24"/>
        </w:rPr>
        <w:t>供应商应提供系统的维护服务，维护服务包含但不局限于以下几点:</w:t>
      </w:r>
    </w:p>
    <w:p w14:paraId="0A80B581">
      <w:pPr>
        <w:spacing w:line="360" w:lineRule="auto"/>
        <w:ind w:firstLine="482"/>
        <w:rPr>
          <w:rFonts w:hint="eastAsia" w:cs="Times New Roman"/>
          <w:color w:val="auto"/>
          <w:sz w:val="24"/>
          <w:szCs w:val="24"/>
        </w:rPr>
      </w:pPr>
      <w:r>
        <w:rPr>
          <w:rFonts w:hint="eastAsia" w:cs="Times New Roman"/>
          <w:color w:val="auto"/>
          <w:sz w:val="24"/>
          <w:szCs w:val="24"/>
        </w:rPr>
        <w:t>◆管理、维护系统以及与其他系统的接口;</w:t>
      </w:r>
    </w:p>
    <w:p w14:paraId="32953A75">
      <w:pPr>
        <w:spacing w:line="360" w:lineRule="auto"/>
        <w:ind w:firstLine="482"/>
        <w:rPr>
          <w:rFonts w:hint="eastAsia" w:cs="Times New Roman"/>
          <w:color w:val="auto"/>
          <w:sz w:val="24"/>
          <w:szCs w:val="24"/>
        </w:rPr>
      </w:pPr>
      <w:r>
        <w:rPr>
          <w:rFonts w:hint="eastAsia" w:cs="Times New Roman"/>
          <w:color w:val="auto"/>
          <w:sz w:val="24"/>
          <w:szCs w:val="24"/>
        </w:rPr>
        <w:t>◆问题解答、问题分析、与其他合作方的协作;</w:t>
      </w:r>
    </w:p>
    <w:p w14:paraId="2D2914F2">
      <w:pPr>
        <w:spacing w:line="360" w:lineRule="auto"/>
        <w:ind w:firstLine="482"/>
        <w:rPr>
          <w:rFonts w:hint="eastAsia" w:cs="Times New Roman"/>
          <w:color w:val="auto"/>
          <w:sz w:val="24"/>
          <w:szCs w:val="24"/>
        </w:rPr>
      </w:pPr>
      <w:r>
        <w:rPr>
          <w:rFonts w:hint="eastAsia" w:cs="Times New Roman"/>
          <w:color w:val="auto"/>
          <w:sz w:val="24"/>
          <w:szCs w:val="24"/>
        </w:rPr>
        <w:t>◆修正应用软件的错误；</w:t>
      </w:r>
    </w:p>
    <w:p w14:paraId="14CF92CE">
      <w:pPr>
        <w:spacing w:line="360" w:lineRule="auto"/>
        <w:ind w:firstLine="482"/>
        <w:rPr>
          <w:rFonts w:hint="eastAsia" w:cs="Times New Roman"/>
          <w:color w:val="auto"/>
          <w:sz w:val="24"/>
          <w:szCs w:val="24"/>
        </w:rPr>
      </w:pPr>
      <w:r>
        <w:rPr>
          <w:rFonts w:hint="eastAsia" w:cs="Times New Roman"/>
          <w:color w:val="auto"/>
          <w:sz w:val="24"/>
          <w:szCs w:val="24"/>
        </w:rPr>
        <w:t>◆维护和执行的服务必须满足系统的操作;</w:t>
      </w:r>
    </w:p>
    <w:p w14:paraId="7C3429CD">
      <w:pPr>
        <w:spacing w:line="360" w:lineRule="auto"/>
        <w:ind w:firstLine="482"/>
        <w:rPr>
          <w:rFonts w:hint="eastAsia" w:cs="Times New Roman"/>
          <w:color w:val="auto"/>
          <w:sz w:val="24"/>
          <w:szCs w:val="24"/>
        </w:rPr>
      </w:pPr>
      <w:r>
        <w:rPr>
          <w:rFonts w:hint="eastAsia" w:cs="Times New Roman"/>
          <w:color w:val="auto"/>
          <w:sz w:val="24"/>
          <w:szCs w:val="24"/>
        </w:rPr>
        <w:t>◆信息系统的服务是与整个系统相关的，维护服务必须保证系统的一致性与稳定性;</w:t>
      </w:r>
    </w:p>
    <w:p w14:paraId="44967FFD">
      <w:pPr>
        <w:spacing w:line="360" w:lineRule="auto"/>
        <w:ind w:firstLine="482"/>
        <w:rPr>
          <w:rFonts w:hint="eastAsia" w:cs="Times New Roman"/>
          <w:color w:val="auto"/>
          <w:sz w:val="24"/>
          <w:szCs w:val="24"/>
        </w:rPr>
      </w:pPr>
      <w:r>
        <w:rPr>
          <w:rFonts w:hint="eastAsia" w:cs="Times New Roman"/>
          <w:color w:val="auto"/>
          <w:sz w:val="24"/>
          <w:szCs w:val="24"/>
        </w:rPr>
        <w:t>◆对医院系统的每一次改变或是升级都必须对需求进行检查;</w:t>
      </w:r>
    </w:p>
    <w:p w14:paraId="49B2BE13">
      <w:pPr>
        <w:spacing w:line="360" w:lineRule="auto"/>
        <w:ind w:firstLine="482"/>
        <w:rPr>
          <w:rFonts w:hint="eastAsia" w:cs="Times New Roman"/>
          <w:color w:val="auto"/>
          <w:sz w:val="24"/>
          <w:szCs w:val="24"/>
        </w:rPr>
      </w:pPr>
      <w:r>
        <w:rPr>
          <w:rFonts w:hint="eastAsia" w:cs="Times New Roman"/>
          <w:color w:val="auto"/>
          <w:sz w:val="24"/>
          <w:szCs w:val="24"/>
        </w:rPr>
        <w:t>◆评估并保证建议的解决方案是完全符合目前的操作模式，并对系统的正常运作没有影响，所有的调优或修改建议不能够降低系统操作性能。</w:t>
      </w:r>
    </w:p>
    <w:p w14:paraId="799D1D98">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（3）</w:t>
      </w:r>
      <w:r>
        <w:rPr>
          <w:rFonts w:hint="eastAsia" w:cs="Times New Roman"/>
          <w:b/>
          <w:bCs/>
          <w:color w:val="auto"/>
          <w:sz w:val="24"/>
          <w:szCs w:val="24"/>
        </w:rPr>
        <w:t>软件升级服务</w:t>
      </w:r>
    </w:p>
    <w:p w14:paraId="5D34ECF0">
      <w:pPr>
        <w:spacing w:line="360" w:lineRule="auto"/>
        <w:ind w:firstLine="482"/>
        <w:rPr>
          <w:rFonts w:hint="eastAsia" w:cs="Times New Roman"/>
          <w:color w:val="auto"/>
          <w:sz w:val="24"/>
          <w:szCs w:val="24"/>
        </w:rPr>
      </w:pPr>
      <w:r>
        <w:rPr>
          <w:rFonts w:hint="eastAsia" w:cs="Times New Roman"/>
          <w:color w:val="auto"/>
          <w:sz w:val="24"/>
          <w:szCs w:val="24"/>
        </w:rPr>
        <w:t>要求中标单位提供最新版本的标准产品，且在3年内免费升级，若采购人3 年使用期后对软件有新的功能需求，费用另行商议。</w:t>
      </w:r>
    </w:p>
    <w:p w14:paraId="2350E31C">
      <w:pPr>
        <w:spacing w:line="360" w:lineRule="auto"/>
        <w:ind w:firstLine="482"/>
        <w:rPr>
          <w:rFonts w:hint="eastAsia" w:cs="Times New Roman"/>
          <w:color w:val="auto"/>
          <w:sz w:val="24"/>
          <w:szCs w:val="24"/>
        </w:rPr>
      </w:pPr>
      <w:r>
        <w:rPr>
          <w:rFonts w:hint="eastAsia" w:cs="Times New Roman"/>
          <w:color w:val="auto"/>
          <w:sz w:val="24"/>
          <w:szCs w:val="24"/>
        </w:rPr>
        <w:t>要求供应商供应的产品需满足 7*24小时质保服务，要求故障 1小时内响应、24 小时内处理。提供承诺函。</w:t>
      </w:r>
    </w:p>
    <w:p w14:paraId="1DDF4601">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4</w:t>
      </w:r>
      <w:r>
        <w:rPr>
          <w:rFonts w:hint="eastAsia" w:cs="Times New Roman"/>
          <w:b/>
          <w:bCs/>
          <w:color w:val="auto"/>
          <w:sz w:val="24"/>
          <w:szCs w:val="24"/>
          <w:lang w:eastAsia="zh-CN"/>
        </w:rPr>
        <w:t>）</w:t>
      </w:r>
      <w:r>
        <w:rPr>
          <w:rFonts w:hint="eastAsia" w:cs="Times New Roman"/>
          <w:b/>
          <w:bCs/>
          <w:color w:val="auto"/>
          <w:sz w:val="24"/>
          <w:szCs w:val="24"/>
        </w:rPr>
        <w:t>数据服务</w:t>
      </w:r>
    </w:p>
    <w:p w14:paraId="65EB1ED0">
      <w:pPr>
        <w:spacing w:line="360" w:lineRule="auto"/>
        <w:ind w:firstLine="482"/>
        <w:rPr>
          <w:rFonts w:hint="eastAsia" w:cs="Times New Roman"/>
          <w:color w:val="auto"/>
          <w:sz w:val="24"/>
          <w:szCs w:val="24"/>
        </w:rPr>
      </w:pPr>
      <w:r>
        <w:rPr>
          <w:rFonts w:hint="eastAsia" w:cs="Times New Roman"/>
          <w:color w:val="auto"/>
          <w:sz w:val="24"/>
          <w:szCs w:val="24"/>
        </w:rPr>
        <w:t>对过渡期原系统维护及历史数据归档导入，满足医院业务需求及设计要求。提供承诺函。</w:t>
      </w:r>
    </w:p>
    <w:p w14:paraId="1CF591D0">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5</w:t>
      </w:r>
      <w:r>
        <w:rPr>
          <w:rFonts w:hint="eastAsia" w:cs="Times New Roman"/>
          <w:b/>
          <w:bCs/>
          <w:color w:val="auto"/>
          <w:sz w:val="24"/>
          <w:szCs w:val="24"/>
          <w:lang w:eastAsia="zh-CN"/>
        </w:rPr>
        <w:t>）</w:t>
      </w:r>
      <w:r>
        <w:rPr>
          <w:rFonts w:hint="eastAsia" w:cs="Times New Roman"/>
          <w:b/>
          <w:bCs/>
          <w:color w:val="auto"/>
          <w:sz w:val="24"/>
          <w:szCs w:val="24"/>
        </w:rPr>
        <w:t>数据上报服务及维护工作</w:t>
      </w:r>
    </w:p>
    <w:p w14:paraId="7CAE11F2">
      <w:pPr>
        <w:spacing w:line="360" w:lineRule="auto"/>
        <w:ind w:firstLine="482"/>
        <w:rPr>
          <w:rFonts w:hint="eastAsia" w:cs="Times New Roman"/>
          <w:color w:val="auto"/>
          <w:sz w:val="24"/>
          <w:szCs w:val="24"/>
        </w:rPr>
      </w:pPr>
      <w:r>
        <w:rPr>
          <w:rFonts w:hint="eastAsia" w:cs="Times New Roman"/>
          <w:color w:val="auto"/>
          <w:sz w:val="24"/>
          <w:szCs w:val="24"/>
        </w:rPr>
        <w:t>免费为医院提供省全民健康信息平台、省影像平台、省检验平台、国家传染病上报平台、网采率、药耗追溯率等国家省市县政策要求的平台数据上传及维护工作，同时质控达到相关标准要求。</w:t>
      </w:r>
    </w:p>
    <w:p w14:paraId="7AEE156B">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6</w:t>
      </w:r>
      <w:r>
        <w:rPr>
          <w:rFonts w:hint="eastAsia" w:cs="Times New Roman"/>
          <w:b/>
          <w:bCs/>
          <w:color w:val="auto"/>
          <w:sz w:val="24"/>
          <w:szCs w:val="24"/>
          <w:lang w:eastAsia="zh-CN"/>
        </w:rPr>
        <w:t>）</w:t>
      </w:r>
      <w:r>
        <w:rPr>
          <w:rFonts w:hint="eastAsia" w:cs="Times New Roman"/>
          <w:b/>
          <w:bCs/>
          <w:color w:val="auto"/>
          <w:sz w:val="24"/>
          <w:szCs w:val="24"/>
        </w:rPr>
        <w:t>测评服务</w:t>
      </w:r>
    </w:p>
    <w:p w14:paraId="508D45A1">
      <w:pPr>
        <w:spacing w:line="360" w:lineRule="auto"/>
        <w:ind w:firstLine="482"/>
        <w:rPr>
          <w:rFonts w:hint="eastAsia" w:cs="Times New Roman"/>
          <w:color w:val="auto"/>
          <w:sz w:val="24"/>
          <w:szCs w:val="24"/>
        </w:rPr>
      </w:pPr>
      <w:r>
        <w:rPr>
          <w:rFonts w:hint="eastAsia" w:cs="Times New Roman"/>
          <w:color w:val="auto"/>
          <w:sz w:val="24"/>
          <w:szCs w:val="24"/>
        </w:rPr>
        <w:t>电子病历系统功能应用水平分级评价四级、互联互通标准化成熟度评测四级甲等。提供承诺函。</w:t>
      </w:r>
    </w:p>
    <w:p w14:paraId="4499ACE4">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7</w:t>
      </w:r>
      <w:r>
        <w:rPr>
          <w:rFonts w:hint="eastAsia" w:cs="Times New Roman"/>
          <w:b/>
          <w:bCs/>
          <w:color w:val="auto"/>
          <w:sz w:val="24"/>
          <w:szCs w:val="24"/>
          <w:lang w:eastAsia="zh-CN"/>
        </w:rPr>
        <w:t>）</w:t>
      </w:r>
      <w:r>
        <w:rPr>
          <w:rFonts w:hint="eastAsia" w:cs="Times New Roman"/>
          <w:b/>
          <w:bCs/>
          <w:color w:val="auto"/>
          <w:sz w:val="24"/>
          <w:szCs w:val="24"/>
        </w:rPr>
        <w:t>操作系统及数据库软件服务</w:t>
      </w:r>
    </w:p>
    <w:p w14:paraId="538ACAE1">
      <w:pPr>
        <w:spacing w:line="360" w:lineRule="auto"/>
        <w:ind w:firstLine="482"/>
        <w:rPr>
          <w:rFonts w:hint="eastAsia" w:cs="Times New Roman"/>
          <w:color w:val="auto"/>
          <w:sz w:val="24"/>
          <w:szCs w:val="24"/>
        </w:rPr>
      </w:pPr>
      <w:r>
        <w:rPr>
          <w:rFonts w:hint="eastAsia" w:cs="Times New Roman"/>
          <w:color w:val="auto"/>
          <w:sz w:val="24"/>
          <w:szCs w:val="24"/>
        </w:rPr>
        <w:t>要求软件供应商提供满足软件使用需求的操作系统软件及数据库并保证射阳县中医院的业务正常使用，无版权纠纷。提供承诺函。数据库功能：可在无插槽限制的单台服务器和集群服务器上使用。它为任务关键型事务应用程序、查询密集型大数据仓库以及混合负载提供高效、可靠且安全的数据管理;支持 Oracle RAC ；支持当前最流行的数据库技术标准，如：ANSI/ISO SQL89 、 ANSI/ISO SQL92、ANSI/ISO SQL99、SQL 2003，ODBC3.0、X/Open、CLI、JDBC，XQuery 等; 集群应具有极佳的可扩展，可以从两个节点开始，可以支持多达100 个节点部署；配置1套数据库企业版使用授权，支持真实应用集群（RAC）功能及活动数据卫士功能（ADG）功能，以上最终授权用户须为“射阳县中医院”，提供一年原厂标准服务。</w:t>
      </w:r>
    </w:p>
    <w:p w14:paraId="630BFC64">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8</w:t>
      </w:r>
      <w:r>
        <w:rPr>
          <w:rFonts w:hint="eastAsia" w:cs="Times New Roman"/>
          <w:b/>
          <w:bCs/>
          <w:color w:val="auto"/>
          <w:sz w:val="24"/>
          <w:szCs w:val="24"/>
          <w:lang w:eastAsia="zh-CN"/>
        </w:rPr>
        <w:t>）</w:t>
      </w:r>
      <w:r>
        <w:rPr>
          <w:rFonts w:hint="eastAsia" w:cs="Times New Roman"/>
          <w:b/>
          <w:bCs/>
          <w:color w:val="auto"/>
          <w:sz w:val="24"/>
          <w:szCs w:val="24"/>
        </w:rPr>
        <w:t>数据迁移</w:t>
      </w:r>
    </w:p>
    <w:p w14:paraId="3A4CCA87">
      <w:pPr>
        <w:spacing w:line="360" w:lineRule="auto"/>
        <w:ind w:firstLine="482"/>
        <w:rPr>
          <w:rFonts w:hint="eastAsia" w:cs="Times New Roman"/>
          <w:color w:val="auto"/>
          <w:sz w:val="24"/>
          <w:szCs w:val="24"/>
        </w:rPr>
      </w:pPr>
      <w:r>
        <w:rPr>
          <w:rFonts w:hint="eastAsia" w:cs="Times New Roman"/>
          <w:color w:val="auto"/>
          <w:sz w:val="24"/>
          <w:szCs w:val="24"/>
        </w:rPr>
        <w:t>要求软件供应商保证核心数据库的迁移、影像归档数据迁移、全院虚拟化平台系统升级、业务系统的迁移等工作。提供承诺函。</w:t>
      </w:r>
    </w:p>
    <w:p w14:paraId="6367CADC">
      <w:pPr>
        <w:spacing w:line="360" w:lineRule="auto"/>
        <w:ind w:firstLine="482"/>
        <w:rPr>
          <w:rFonts w:hint="eastAsia" w:cs="Times New Roman"/>
          <w:b/>
          <w:bCs/>
          <w:color w:val="auto"/>
          <w:sz w:val="24"/>
          <w:szCs w:val="24"/>
        </w:rPr>
      </w:pPr>
      <w:bookmarkStart w:id="255" w:name="_bookmark46"/>
      <w:bookmarkEnd w:id="255"/>
      <w:r>
        <w:rPr>
          <w:rFonts w:hint="eastAsia" w:cs="Times New Roman"/>
          <w:b/>
          <w:bCs/>
          <w:color w:val="auto"/>
          <w:sz w:val="24"/>
          <w:szCs w:val="24"/>
          <w:lang w:val="en-US" w:eastAsia="zh-CN"/>
        </w:rPr>
        <w:t>七、</w:t>
      </w:r>
      <w:r>
        <w:rPr>
          <w:rFonts w:hint="eastAsia" w:cs="Times New Roman"/>
          <w:b/>
          <w:bCs/>
          <w:color w:val="auto"/>
          <w:sz w:val="24"/>
          <w:szCs w:val="24"/>
        </w:rPr>
        <w:t>实施与服务要求</w:t>
      </w:r>
    </w:p>
    <w:p w14:paraId="326679A7">
      <w:pPr>
        <w:spacing w:line="360" w:lineRule="auto"/>
        <w:ind w:firstLine="482"/>
        <w:rPr>
          <w:rFonts w:hint="eastAsia" w:cs="Times New Roman"/>
          <w:b/>
          <w:bCs/>
          <w:color w:val="auto"/>
          <w:sz w:val="24"/>
          <w:szCs w:val="24"/>
        </w:rPr>
      </w:pPr>
      <w:bookmarkStart w:id="256" w:name="_bookmark47"/>
      <w:bookmarkEnd w:id="256"/>
      <w:r>
        <w:rPr>
          <w:rFonts w:hint="eastAsia" w:cs="Times New Roman"/>
          <w:b/>
          <w:bCs/>
          <w:color w:val="auto"/>
          <w:sz w:val="24"/>
          <w:szCs w:val="24"/>
          <w:lang w:eastAsia="zh-CN"/>
        </w:rPr>
        <w:t>（</w:t>
      </w:r>
      <w:r>
        <w:rPr>
          <w:rFonts w:hint="eastAsia" w:cs="Times New Roman"/>
          <w:b/>
          <w:bCs/>
          <w:color w:val="auto"/>
          <w:sz w:val="24"/>
          <w:szCs w:val="24"/>
          <w:lang w:val="en-US" w:eastAsia="zh-CN"/>
        </w:rPr>
        <w:t>1</w:t>
      </w:r>
      <w:r>
        <w:rPr>
          <w:rFonts w:hint="eastAsia" w:cs="Times New Roman"/>
          <w:b/>
          <w:bCs/>
          <w:color w:val="auto"/>
          <w:sz w:val="24"/>
          <w:szCs w:val="24"/>
          <w:lang w:eastAsia="zh-CN"/>
        </w:rPr>
        <w:t>）</w:t>
      </w:r>
      <w:r>
        <w:rPr>
          <w:rFonts w:hint="eastAsia" w:cs="Times New Roman"/>
          <w:b/>
          <w:bCs/>
          <w:color w:val="auto"/>
          <w:sz w:val="24"/>
          <w:szCs w:val="24"/>
        </w:rPr>
        <w:t>项目实施要求</w:t>
      </w:r>
    </w:p>
    <w:p w14:paraId="1D903C00">
      <w:pPr>
        <w:spacing w:line="360" w:lineRule="auto"/>
        <w:ind w:firstLine="482"/>
        <w:rPr>
          <w:rFonts w:hint="eastAsia" w:cs="Times New Roman"/>
          <w:color w:val="auto"/>
          <w:sz w:val="24"/>
          <w:szCs w:val="24"/>
        </w:rPr>
      </w:pPr>
      <w:r>
        <w:rPr>
          <w:rFonts w:hint="eastAsia" w:cs="Times New Roman"/>
          <w:color w:val="auto"/>
          <w:sz w:val="24"/>
          <w:szCs w:val="24"/>
        </w:rPr>
        <w:t>医院信息化的建设是一个庞大的系统工程，不可能一蹴而就，其是一个复杂的过程，是医院从传统模式走向数字化，信息化，智能化，现代化的磨合过程。医院信息化建设的过程是一个不会结束的过程，它将随着医院的发展，医学技术的发展，医院管理的发展而不断发展。</w:t>
      </w:r>
    </w:p>
    <w:p w14:paraId="095C8786">
      <w:pPr>
        <w:spacing w:line="360" w:lineRule="auto"/>
        <w:ind w:firstLine="482"/>
        <w:rPr>
          <w:rFonts w:hint="eastAsia" w:cs="Times New Roman"/>
          <w:color w:val="auto"/>
          <w:sz w:val="24"/>
          <w:szCs w:val="24"/>
        </w:rPr>
      </w:pPr>
      <w:r>
        <w:rPr>
          <w:rFonts w:hint="eastAsia" w:cs="Times New Roman"/>
          <w:color w:val="auto"/>
          <w:sz w:val="24"/>
          <w:szCs w:val="24"/>
        </w:rPr>
        <w:t>投标厂商需要根据项目建设内容和进度需要，派驻项目小组对医院信息系统进行实施及服务。期间可能由于用户的需要及政策的变化而对系统进行相应的客户化修改，投标厂商必须无条件满足。</w:t>
      </w:r>
    </w:p>
    <w:p w14:paraId="4C0806BB">
      <w:pPr>
        <w:spacing w:line="360" w:lineRule="auto"/>
        <w:ind w:firstLine="482"/>
        <w:rPr>
          <w:rFonts w:hint="eastAsia" w:cs="Times New Roman"/>
          <w:color w:val="auto"/>
          <w:sz w:val="24"/>
          <w:szCs w:val="24"/>
        </w:rPr>
      </w:pPr>
      <w:r>
        <w:rPr>
          <w:rFonts w:hint="eastAsia" w:cs="Times New Roman"/>
          <w:color w:val="auto"/>
          <w:sz w:val="24"/>
          <w:szCs w:val="24"/>
        </w:rPr>
        <w:t>投标人应充分考虑医疗卫生信息化项目质量管理、信息安全管理、信息技 术服务管理、业务连续性管理、隐私信息管理等，提供信息化工程与技术服务、信息系统建设和服务等。</w:t>
      </w:r>
    </w:p>
    <w:p w14:paraId="43FFD246">
      <w:pPr>
        <w:spacing w:line="360" w:lineRule="auto"/>
        <w:ind w:firstLine="482"/>
        <w:rPr>
          <w:rFonts w:hint="eastAsia" w:cs="Times New Roman"/>
          <w:color w:val="auto"/>
          <w:sz w:val="24"/>
          <w:szCs w:val="24"/>
        </w:rPr>
      </w:pPr>
      <w:r>
        <w:rPr>
          <w:rFonts w:hint="eastAsia" w:cs="Times New Roman"/>
          <w:color w:val="auto"/>
          <w:sz w:val="24"/>
          <w:szCs w:val="24"/>
        </w:rPr>
        <w:t>本项目需要签订项目合同后 6 个月内完成系统调研、安装、调试和系统上线工作,12 个月内完成验收。</w:t>
      </w:r>
    </w:p>
    <w:p w14:paraId="279D474D">
      <w:pPr>
        <w:spacing w:line="360" w:lineRule="auto"/>
        <w:ind w:firstLine="482"/>
        <w:rPr>
          <w:rFonts w:hint="eastAsia" w:cs="Times New Roman"/>
          <w:color w:val="auto"/>
          <w:sz w:val="24"/>
          <w:szCs w:val="24"/>
        </w:rPr>
      </w:pPr>
      <w:r>
        <w:rPr>
          <w:rFonts w:hint="eastAsia" w:cs="Times New Roman"/>
          <w:color w:val="auto"/>
          <w:sz w:val="24"/>
          <w:szCs w:val="24"/>
        </w:rPr>
        <w:t>期间可能由于用户的需要及政策的变化而对系统进行相应的客户化修改， 中标人必须无条件满足。投标人应承诺在项目建设及维护过程中，如医院需要，中标人应与医院共同定制开发信息系统产品，并承诺完成软件著作权登记证书 的申请和办理等工作。</w:t>
      </w:r>
    </w:p>
    <w:p w14:paraId="7ED559C9">
      <w:pPr>
        <w:spacing w:line="360" w:lineRule="auto"/>
        <w:ind w:firstLine="482"/>
        <w:rPr>
          <w:rFonts w:hint="eastAsia" w:cs="Times New Roman"/>
          <w:color w:val="auto"/>
          <w:sz w:val="24"/>
          <w:szCs w:val="24"/>
        </w:rPr>
      </w:pPr>
      <w:r>
        <w:rPr>
          <w:rFonts w:hint="eastAsia" w:cs="Times New Roman"/>
          <w:color w:val="auto"/>
          <w:sz w:val="24"/>
          <w:szCs w:val="24"/>
        </w:rPr>
        <w:t>投标人需承诺本项目建设的系统能够与医院现有业务系统做到无缝对接，对接费用包含在项目总体报价中，医院不需要额外支付该费用。</w:t>
      </w:r>
    </w:p>
    <w:p w14:paraId="4AA1D14A">
      <w:pPr>
        <w:spacing w:line="360" w:lineRule="auto"/>
        <w:ind w:firstLine="482"/>
        <w:rPr>
          <w:rFonts w:hint="eastAsia" w:cs="Times New Roman"/>
          <w:b/>
          <w:bCs/>
          <w:color w:val="auto"/>
          <w:sz w:val="24"/>
          <w:szCs w:val="24"/>
        </w:rPr>
      </w:pPr>
      <w:bookmarkStart w:id="257" w:name="_bookmark48"/>
      <w:bookmarkEnd w:id="257"/>
      <w:r>
        <w:rPr>
          <w:rFonts w:hint="eastAsia" w:cs="Times New Roman"/>
          <w:b/>
          <w:bCs/>
          <w:color w:val="auto"/>
          <w:sz w:val="24"/>
          <w:szCs w:val="24"/>
          <w:lang w:eastAsia="zh-CN"/>
        </w:rPr>
        <w:t>（</w:t>
      </w:r>
      <w:r>
        <w:rPr>
          <w:rFonts w:hint="eastAsia" w:cs="Times New Roman"/>
          <w:b/>
          <w:bCs/>
          <w:color w:val="auto"/>
          <w:sz w:val="24"/>
          <w:szCs w:val="24"/>
          <w:lang w:val="en-US" w:eastAsia="zh-CN"/>
        </w:rPr>
        <w:t>2</w:t>
      </w:r>
      <w:r>
        <w:rPr>
          <w:rFonts w:hint="eastAsia" w:cs="Times New Roman"/>
          <w:b/>
          <w:bCs/>
          <w:color w:val="auto"/>
          <w:sz w:val="24"/>
          <w:szCs w:val="24"/>
          <w:lang w:eastAsia="zh-CN"/>
        </w:rPr>
        <w:t>）</w:t>
      </w:r>
      <w:r>
        <w:rPr>
          <w:rFonts w:hint="eastAsia" w:cs="Times New Roman"/>
          <w:b/>
          <w:bCs/>
          <w:color w:val="auto"/>
          <w:sz w:val="24"/>
          <w:szCs w:val="24"/>
        </w:rPr>
        <w:t>验收要求</w:t>
      </w:r>
    </w:p>
    <w:p w14:paraId="4D19C1C1">
      <w:pPr>
        <w:spacing w:line="360" w:lineRule="auto"/>
        <w:ind w:firstLine="482"/>
        <w:rPr>
          <w:rFonts w:hint="eastAsia" w:cs="Times New Roman"/>
          <w:color w:val="auto"/>
          <w:sz w:val="24"/>
          <w:szCs w:val="24"/>
        </w:rPr>
      </w:pPr>
      <w:r>
        <w:rPr>
          <w:rFonts w:hint="eastAsia" w:cs="Times New Roman"/>
          <w:color w:val="auto"/>
          <w:sz w:val="24"/>
          <w:szCs w:val="24"/>
        </w:rPr>
        <w:t>中标人应按照招标人的要求，如期将软件送达指定的使用单位和场地进行安装调试并培训有关人员。</w:t>
      </w:r>
    </w:p>
    <w:p w14:paraId="1E8F2E88">
      <w:pPr>
        <w:spacing w:line="360" w:lineRule="auto"/>
        <w:ind w:firstLine="482"/>
        <w:rPr>
          <w:rFonts w:hint="eastAsia" w:cs="Times New Roman"/>
          <w:color w:val="auto"/>
          <w:sz w:val="24"/>
          <w:szCs w:val="24"/>
        </w:rPr>
      </w:pPr>
      <w:r>
        <w:rPr>
          <w:rFonts w:hint="eastAsia" w:cs="Times New Roman"/>
          <w:color w:val="auto"/>
          <w:sz w:val="24"/>
          <w:szCs w:val="24"/>
        </w:rPr>
        <w:t>中标人完成全部应用软件交货安装调试完毕并完成试运行，取得上述书面报告，并提交有关产品文件材料，可向招标人书面申请验收付款。如无合理理由，采购人应接到中标人系统软件书面验收申请 7 个工作日内应组织本项目内容进行验收确认。</w:t>
      </w:r>
    </w:p>
    <w:p w14:paraId="34E41DB6">
      <w:pPr>
        <w:spacing w:line="360" w:lineRule="auto"/>
        <w:ind w:firstLine="482"/>
        <w:rPr>
          <w:rFonts w:hint="eastAsia" w:cs="Times New Roman"/>
          <w:color w:val="auto"/>
          <w:sz w:val="24"/>
          <w:szCs w:val="24"/>
        </w:rPr>
      </w:pPr>
      <w:r>
        <w:rPr>
          <w:rFonts w:hint="eastAsia" w:cs="Times New Roman"/>
          <w:color w:val="auto"/>
          <w:sz w:val="24"/>
          <w:szCs w:val="24"/>
        </w:rPr>
        <w:t>采购人应组织其各使用单位与管理单位提供必要的场地和部署工作条件。应组织各使用单位与管理单位责任人及时配合安装调试培训与验收工作。</w:t>
      </w:r>
    </w:p>
    <w:p w14:paraId="408883DE">
      <w:pPr>
        <w:spacing w:line="360" w:lineRule="auto"/>
        <w:ind w:firstLine="482"/>
        <w:rPr>
          <w:rFonts w:hint="eastAsia" w:cs="Times New Roman"/>
          <w:color w:val="auto"/>
          <w:sz w:val="24"/>
          <w:szCs w:val="24"/>
        </w:rPr>
      </w:pPr>
      <w:r>
        <w:rPr>
          <w:rFonts w:hint="eastAsia" w:cs="Times New Roman"/>
          <w:color w:val="auto"/>
          <w:sz w:val="24"/>
          <w:szCs w:val="24"/>
        </w:rPr>
        <w:t>验收标准按照国家、地区相关标准，招投标文件、合同条款具体执行。</w:t>
      </w:r>
    </w:p>
    <w:p w14:paraId="54164EDE">
      <w:pPr>
        <w:spacing w:line="360" w:lineRule="auto"/>
        <w:ind w:firstLine="482"/>
        <w:rPr>
          <w:rFonts w:hint="eastAsia" w:cs="Times New Roman"/>
          <w:b/>
          <w:bCs/>
          <w:color w:val="auto"/>
          <w:sz w:val="24"/>
          <w:szCs w:val="24"/>
        </w:rPr>
      </w:pPr>
      <w:bookmarkStart w:id="258" w:name="_bookmark49"/>
      <w:bookmarkEnd w:id="258"/>
      <w:r>
        <w:rPr>
          <w:rFonts w:hint="eastAsia" w:cs="Times New Roman"/>
          <w:b/>
          <w:bCs/>
          <w:color w:val="auto"/>
          <w:sz w:val="24"/>
          <w:szCs w:val="24"/>
          <w:lang w:eastAsia="zh-CN"/>
        </w:rPr>
        <w:t>（</w:t>
      </w:r>
      <w:r>
        <w:rPr>
          <w:rFonts w:hint="eastAsia" w:cs="Times New Roman"/>
          <w:b/>
          <w:bCs/>
          <w:color w:val="auto"/>
          <w:sz w:val="24"/>
          <w:szCs w:val="24"/>
          <w:lang w:val="en-US" w:eastAsia="zh-CN"/>
        </w:rPr>
        <w:t>3</w:t>
      </w:r>
      <w:r>
        <w:rPr>
          <w:rFonts w:hint="eastAsia" w:cs="Times New Roman"/>
          <w:b/>
          <w:bCs/>
          <w:color w:val="auto"/>
          <w:sz w:val="24"/>
          <w:szCs w:val="24"/>
          <w:lang w:eastAsia="zh-CN"/>
        </w:rPr>
        <w:t>）</w:t>
      </w:r>
      <w:r>
        <w:rPr>
          <w:rFonts w:hint="eastAsia" w:cs="Times New Roman"/>
          <w:b/>
          <w:bCs/>
          <w:color w:val="auto"/>
          <w:sz w:val="24"/>
          <w:szCs w:val="24"/>
        </w:rPr>
        <w:t>培训要求</w:t>
      </w:r>
    </w:p>
    <w:p w14:paraId="35615F84">
      <w:pPr>
        <w:spacing w:line="360" w:lineRule="auto"/>
        <w:ind w:firstLine="482"/>
        <w:rPr>
          <w:rFonts w:hint="eastAsia" w:cs="Times New Roman"/>
          <w:color w:val="auto"/>
          <w:sz w:val="24"/>
          <w:szCs w:val="24"/>
        </w:rPr>
      </w:pPr>
      <w:r>
        <w:rPr>
          <w:rFonts w:hint="eastAsia" w:cs="Times New Roman"/>
          <w:color w:val="auto"/>
          <w:sz w:val="24"/>
          <w:szCs w:val="24"/>
        </w:rPr>
        <w:t>培训是项目顺利进行的保证。在项目的不同阶段要求提供相关的培训课程，面向系统开发和管理员、各级领导、系统操作人员等不同群体提供系统化、定制化和有针对性的培训。</w:t>
      </w:r>
    </w:p>
    <w:p w14:paraId="5C8C0001">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①</w:t>
      </w:r>
      <w:r>
        <w:rPr>
          <w:rFonts w:hint="eastAsia" w:cs="Times New Roman"/>
          <w:color w:val="auto"/>
          <w:sz w:val="24"/>
          <w:szCs w:val="24"/>
        </w:rPr>
        <w:t>培训内容要求分为三类，分别为系统开发和管理培训、运行与维护管理培训和用户使用培训。通过培训应使各类用户能独立进行相应应用与管理、故障处理、日常维护等工作，确保系统能正常安全运行；</w:t>
      </w:r>
    </w:p>
    <w:p w14:paraId="36AD96C8">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②</w:t>
      </w:r>
      <w:r>
        <w:rPr>
          <w:rFonts w:hint="eastAsia" w:cs="Times New Roman"/>
          <w:color w:val="auto"/>
          <w:sz w:val="24"/>
          <w:szCs w:val="24"/>
        </w:rPr>
        <w:t>供应商应在投标文件中提出培训计划，计划包括培训项目、人数、地点等详细内容；</w:t>
      </w:r>
    </w:p>
    <w:p w14:paraId="79385027">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③</w:t>
      </w:r>
      <w:r>
        <w:rPr>
          <w:rFonts w:hint="eastAsia" w:cs="Times New Roman"/>
          <w:color w:val="auto"/>
          <w:sz w:val="24"/>
          <w:szCs w:val="24"/>
        </w:rPr>
        <w:t>培训人员必须是供应商的正式雇员或专业的授权培训机构雇员。</w:t>
      </w:r>
    </w:p>
    <w:p w14:paraId="2DDD8775">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④</w:t>
      </w:r>
      <w:r>
        <w:rPr>
          <w:rFonts w:hint="eastAsia" w:cs="Times New Roman"/>
          <w:color w:val="auto"/>
          <w:sz w:val="24"/>
          <w:szCs w:val="24"/>
        </w:rPr>
        <w:t>其中要求对系统管理员进行充分的技术培训和教育，保证管理人员掌握必要的管理工具，通晓管理规范；</w:t>
      </w:r>
    </w:p>
    <w:p w14:paraId="15E9CCF9">
      <w:pPr>
        <w:spacing w:line="360" w:lineRule="auto"/>
        <w:ind w:firstLine="482"/>
        <w:rPr>
          <w:rFonts w:hint="eastAsia" w:cs="Times New Roman"/>
          <w:b/>
          <w:bCs/>
          <w:color w:val="auto"/>
          <w:sz w:val="24"/>
          <w:szCs w:val="24"/>
        </w:rPr>
      </w:pPr>
      <w:bookmarkStart w:id="259" w:name="_bookmark50"/>
      <w:bookmarkEnd w:id="259"/>
      <w:r>
        <w:rPr>
          <w:rFonts w:hint="eastAsia" w:cs="Times New Roman"/>
          <w:b/>
          <w:bCs/>
          <w:color w:val="auto"/>
          <w:sz w:val="24"/>
          <w:szCs w:val="24"/>
          <w:lang w:val="en-US" w:eastAsia="zh-CN"/>
        </w:rPr>
        <w:t>（4）项目总体</w:t>
      </w:r>
      <w:r>
        <w:rPr>
          <w:rFonts w:hint="eastAsia" w:cs="Times New Roman"/>
          <w:b/>
          <w:bCs/>
          <w:color w:val="auto"/>
          <w:sz w:val="24"/>
          <w:szCs w:val="24"/>
        </w:rPr>
        <w:t>售后要求</w:t>
      </w:r>
    </w:p>
    <w:p w14:paraId="73CE53EE">
      <w:pPr>
        <w:spacing w:line="360" w:lineRule="auto"/>
        <w:ind w:firstLine="482"/>
        <w:rPr>
          <w:rFonts w:hint="eastAsia" w:cs="Times New Roman"/>
          <w:color w:val="auto"/>
          <w:sz w:val="24"/>
          <w:szCs w:val="24"/>
        </w:rPr>
      </w:pPr>
      <w:r>
        <w:rPr>
          <w:rFonts w:hint="eastAsia" w:cs="Times New Roman"/>
          <w:color w:val="auto"/>
          <w:sz w:val="24"/>
          <w:szCs w:val="24"/>
        </w:rPr>
        <w:t>投标人应具备与本项目匹配的服务能力，以响应招标人的技术服务要求。工程建设期间及质保期均属于免费服务期，该期限内的所有售后服务，包括软件维护所产生的费用均由中标人承担。</w:t>
      </w:r>
    </w:p>
    <w:p w14:paraId="0516D249">
      <w:pPr>
        <w:spacing w:line="360" w:lineRule="auto"/>
        <w:ind w:firstLine="482"/>
        <w:rPr>
          <w:rFonts w:hint="eastAsia" w:cs="Times New Roman"/>
          <w:color w:val="auto"/>
          <w:sz w:val="24"/>
          <w:szCs w:val="24"/>
        </w:rPr>
      </w:pPr>
      <w:r>
        <w:rPr>
          <w:rFonts w:hint="eastAsia" w:cs="Times New Roman"/>
          <w:color w:val="auto"/>
          <w:sz w:val="24"/>
          <w:szCs w:val="24"/>
        </w:rPr>
        <w:t>响应时间：投标人在投标书中必须明确承诺售后服务响应时间，并不得低于以下标准：提供 7×24 电话或电子邮件服务，接到招标人报修通知 2 小时内做出明确响应和安排，8 小时内做出故障诊断报告。如需现场服务的，具有解决故障能力的工程师应在接到报修通知次日到达现场。</w:t>
      </w:r>
    </w:p>
    <w:p w14:paraId="52371162">
      <w:pPr>
        <w:spacing w:line="360" w:lineRule="auto"/>
        <w:ind w:firstLine="482"/>
        <w:rPr>
          <w:rFonts w:hint="eastAsia" w:cs="Times New Roman"/>
          <w:color w:val="auto"/>
          <w:sz w:val="24"/>
          <w:szCs w:val="24"/>
        </w:rPr>
      </w:pPr>
      <w:r>
        <w:rPr>
          <w:rFonts w:hint="eastAsia" w:cs="Times New Roman"/>
          <w:color w:val="auto"/>
          <w:sz w:val="24"/>
          <w:szCs w:val="24"/>
        </w:rPr>
        <w:t>投标人在质保期满后向招标人提供如质保期内的售后服务，并经双方协商后收取相应费用。</w:t>
      </w:r>
    </w:p>
    <w:p w14:paraId="72F9F1E8">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（5）实施要求</w:t>
      </w:r>
    </w:p>
    <w:p w14:paraId="2D85402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实施后，中标人应定期向采购人汇报项目进展状况,参加与项目有关的各类会议，提交项目周报、项目月报以及阶段性进展报告;项目验收方案，包括技术文档移交等内容的阐述。应提供项目组人员组成及人员简介、其体工作内容等。项目组人员调整须提前1周与采购人协商，并征得采购人同意。</w:t>
      </w:r>
    </w:p>
    <w:p w14:paraId="236F72A6">
      <w:pPr>
        <w:spacing w:line="360" w:lineRule="auto"/>
        <w:ind w:firstLine="482"/>
        <w:rPr>
          <w:rFonts w:hint="eastAsia" w:cs="Times New Roman"/>
          <w:b/>
          <w:bCs/>
          <w:color w:val="auto"/>
          <w:sz w:val="24"/>
          <w:szCs w:val="24"/>
          <w:lang w:val="en-US" w:eastAsia="zh-CN"/>
        </w:rPr>
      </w:pPr>
      <w:bookmarkStart w:id="260" w:name="_bookmark51"/>
      <w:bookmarkEnd w:id="260"/>
      <w:r>
        <w:rPr>
          <w:rFonts w:hint="eastAsia" w:cs="Times New Roman"/>
          <w:b/>
          <w:bCs/>
          <w:color w:val="auto"/>
          <w:sz w:val="24"/>
          <w:szCs w:val="24"/>
          <w:lang w:val="en-US" w:eastAsia="zh-CN"/>
        </w:rPr>
        <w:t>（6）项目应提交的成果和电子文档</w:t>
      </w:r>
    </w:p>
    <w:p w14:paraId="2318CC3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项目应提交的成果，包括但不限于：需求分析报告；</w:t>
      </w:r>
    </w:p>
    <w:p w14:paraId="1F32A5C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系统测试方案；</w:t>
      </w:r>
    </w:p>
    <w:p w14:paraId="79E4A8E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系统测试分析报告；安装维护手册；</w:t>
      </w:r>
    </w:p>
    <w:p w14:paraId="493007E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使用操作手册；培训资料；</w:t>
      </w:r>
    </w:p>
    <w:p w14:paraId="7A7C7C8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数据结构说明文档。</w:t>
      </w:r>
    </w:p>
    <w:p w14:paraId="3F663611">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八、</w:t>
      </w:r>
      <w:r>
        <w:rPr>
          <w:rFonts w:hint="eastAsia" w:cs="Times New Roman"/>
          <w:b/>
          <w:bCs/>
          <w:color w:val="auto"/>
          <w:sz w:val="24"/>
          <w:szCs w:val="24"/>
        </w:rPr>
        <w:t>合同履行期限和地点</w:t>
      </w:r>
    </w:p>
    <w:p w14:paraId="3C8B9CBB">
      <w:pPr>
        <w:spacing w:line="360" w:lineRule="auto"/>
        <w:ind w:firstLine="482"/>
        <w:jc w:val="both"/>
        <w:rPr>
          <w:rFonts w:hint="eastAsia" w:cs="Times New Roman"/>
          <w:color w:val="auto"/>
          <w:sz w:val="24"/>
          <w:szCs w:val="24"/>
          <w:lang w:val="en-US" w:eastAsia="zh-CN"/>
        </w:rPr>
      </w:pPr>
      <w:r>
        <w:rPr>
          <w:rFonts w:hint="eastAsia" w:cs="Times New Roman"/>
          <w:color w:val="auto"/>
          <w:sz w:val="24"/>
          <w:szCs w:val="24"/>
        </w:rPr>
        <w:t>1、本项目软件系统建设周期为 18 个月</w:t>
      </w:r>
      <w:r>
        <w:rPr>
          <w:rFonts w:hint="eastAsia" w:cs="Times New Roman"/>
          <w:color w:val="auto"/>
          <w:sz w:val="24"/>
          <w:szCs w:val="24"/>
          <w:lang w:eastAsia="zh-CN"/>
        </w:rPr>
        <w:t>；</w:t>
      </w:r>
      <w:r>
        <w:rPr>
          <w:rFonts w:hint="eastAsia" w:cs="Times New Roman"/>
          <w:color w:val="auto"/>
          <w:sz w:val="24"/>
          <w:szCs w:val="24"/>
        </w:rPr>
        <w:t>自合同签订之日起</w:t>
      </w:r>
      <w:r>
        <w:rPr>
          <w:rFonts w:hint="eastAsia" w:cs="Times New Roman"/>
          <w:color w:val="auto"/>
          <w:sz w:val="24"/>
          <w:szCs w:val="24"/>
          <w:lang w:eastAsia="zh-CN"/>
        </w:rPr>
        <w:t>，</w:t>
      </w:r>
      <w:r>
        <w:rPr>
          <w:rFonts w:hint="eastAsia" w:cs="Times New Roman"/>
          <w:color w:val="auto"/>
          <w:sz w:val="24"/>
          <w:szCs w:val="24"/>
          <w:lang w:val="en-US" w:eastAsia="zh-CN"/>
        </w:rPr>
        <w:t>须</w:t>
      </w:r>
      <w:r>
        <w:rPr>
          <w:rFonts w:hint="eastAsia" w:cs="Times New Roman"/>
          <w:color w:val="auto"/>
          <w:sz w:val="24"/>
          <w:szCs w:val="24"/>
        </w:rPr>
        <w:t>在 2025 年7月前完成主要系统</w:t>
      </w:r>
      <w:r>
        <w:rPr>
          <w:rFonts w:hint="default" w:cs="Times New Roman"/>
          <w:color w:val="auto"/>
          <w:sz w:val="24"/>
          <w:szCs w:val="24"/>
        </w:rPr>
        <w:t>（医院集成平台、医院数据中心、药品管理系统、医务管理（病案管理系统、病案首页数据质量管理）、临床医生、临床护理（住院护士工作站、护理记录、门急诊输液管理）、医技业务（检验信息系统对接、影像信息系统、电生理信息管理、治疗信息管理）、就诊管理、结算管理、财务管理、统一接口）</w:t>
      </w:r>
      <w:r>
        <w:rPr>
          <w:rFonts w:hint="eastAsia" w:cs="Times New Roman"/>
          <w:color w:val="auto"/>
          <w:sz w:val="24"/>
          <w:szCs w:val="24"/>
        </w:rPr>
        <w:t>的安装调试并交付采购人投入使用</w:t>
      </w:r>
      <w:r>
        <w:rPr>
          <w:rFonts w:hint="eastAsia" w:cs="Times New Roman"/>
          <w:color w:val="auto"/>
          <w:sz w:val="24"/>
          <w:szCs w:val="24"/>
          <w:lang w:eastAsia="zh-CN"/>
        </w:rPr>
        <w:t>，</w:t>
      </w:r>
      <w:r>
        <w:rPr>
          <w:rFonts w:hint="eastAsia" w:cs="Times New Roman"/>
          <w:color w:val="auto"/>
          <w:sz w:val="24"/>
          <w:szCs w:val="24"/>
        </w:rPr>
        <w:t>且</w:t>
      </w:r>
      <w:r>
        <w:rPr>
          <w:rFonts w:hint="eastAsia" w:cs="Times New Roman"/>
          <w:color w:val="auto"/>
          <w:sz w:val="24"/>
          <w:szCs w:val="24"/>
          <w:lang w:val="en-US" w:eastAsia="zh-CN"/>
        </w:rPr>
        <w:t>在</w:t>
      </w:r>
      <w:r>
        <w:rPr>
          <w:rFonts w:hint="eastAsia" w:cs="Times New Roman"/>
          <w:color w:val="auto"/>
          <w:sz w:val="24"/>
          <w:szCs w:val="24"/>
        </w:rPr>
        <w:t>2025 年内通过国家电子病历分级评价4级测评</w:t>
      </w:r>
      <w:r>
        <w:rPr>
          <w:rFonts w:hint="eastAsia" w:cs="Times New Roman"/>
          <w:color w:val="auto"/>
          <w:sz w:val="24"/>
          <w:szCs w:val="24"/>
          <w:lang w:eastAsia="zh-CN"/>
        </w:rPr>
        <w:t>；</w:t>
      </w:r>
      <w:r>
        <w:rPr>
          <w:rFonts w:hint="eastAsia" w:cs="Times New Roman"/>
          <w:color w:val="auto"/>
          <w:sz w:val="24"/>
          <w:szCs w:val="24"/>
        </w:rPr>
        <w:t>18 个月内完成全部软件模块的安装调试并交付采购人投入</w:t>
      </w:r>
      <w:r>
        <w:rPr>
          <w:rFonts w:hint="eastAsia" w:cs="Times New Roman"/>
          <w:color w:val="auto"/>
          <w:sz w:val="24"/>
          <w:szCs w:val="24"/>
          <w:lang w:val="en-US" w:eastAsia="zh-CN"/>
        </w:rPr>
        <w:t>使用。并经采购人（或委托有资质的第三方）验收合格。</w:t>
      </w:r>
    </w:p>
    <w:p w14:paraId="539886C0">
      <w:pPr>
        <w:spacing w:line="360" w:lineRule="auto"/>
        <w:ind w:firstLine="482"/>
        <w:rPr>
          <w:rFonts w:hint="eastAsia" w:cs="Times New Roman"/>
          <w:color w:val="auto"/>
          <w:sz w:val="24"/>
          <w:szCs w:val="24"/>
        </w:rPr>
      </w:pPr>
      <w:r>
        <w:rPr>
          <w:rFonts w:hint="eastAsia" w:cs="Times New Roman"/>
          <w:color w:val="auto"/>
          <w:sz w:val="24"/>
          <w:szCs w:val="24"/>
        </w:rPr>
        <w:t>2、履约地点：采购人指定地点。</w:t>
      </w:r>
    </w:p>
    <w:p w14:paraId="4E68C1B0">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九、</w:t>
      </w:r>
      <w:r>
        <w:rPr>
          <w:rFonts w:hint="eastAsia" w:cs="Times New Roman"/>
          <w:b/>
          <w:bCs/>
          <w:color w:val="auto"/>
          <w:sz w:val="24"/>
          <w:szCs w:val="24"/>
        </w:rPr>
        <w:t>付款方式</w:t>
      </w:r>
    </w:p>
    <w:p w14:paraId="4FB83D49">
      <w:pPr>
        <w:spacing w:line="360" w:lineRule="auto"/>
        <w:ind w:firstLine="482"/>
        <w:rPr>
          <w:rFonts w:hint="eastAsia" w:cs="Times New Roman"/>
          <w:color w:val="auto"/>
          <w:sz w:val="24"/>
          <w:szCs w:val="24"/>
        </w:rPr>
      </w:pPr>
      <w:r>
        <w:rPr>
          <w:rFonts w:hint="eastAsia" w:cs="Times New Roman"/>
          <w:color w:val="auto"/>
          <w:sz w:val="24"/>
          <w:szCs w:val="24"/>
          <w:lang w:val="en-US" w:eastAsia="zh-CN"/>
        </w:rPr>
        <w:t>1.</w:t>
      </w:r>
      <w:r>
        <w:rPr>
          <w:rFonts w:hint="eastAsia" w:cs="Times New Roman"/>
          <w:color w:val="auto"/>
          <w:sz w:val="24"/>
          <w:szCs w:val="24"/>
        </w:rPr>
        <w:t>合同签订时，采购单位支付合同总价的30%作为项目启动预付款。预付款支付比例（或中标单位是否需要采购单位支付预付款）由采购人与中标人根据实际情况协商一致在合同中作说明。</w:t>
      </w:r>
    </w:p>
    <w:p w14:paraId="2A7C6CB9">
      <w:pPr>
        <w:spacing w:line="360" w:lineRule="auto"/>
        <w:ind w:firstLine="482"/>
        <w:rPr>
          <w:rFonts w:hint="eastAsia" w:cs="Times New Roman"/>
          <w:color w:val="auto"/>
          <w:sz w:val="24"/>
          <w:szCs w:val="24"/>
          <w:lang w:eastAsia="zh-CN"/>
        </w:rPr>
      </w:pPr>
      <w:r>
        <w:rPr>
          <w:rFonts w:hint="eastAsia" w:cs="Times New Roman"/>
          <w:color w:val="auto"/>
          <w:sz w:val="24"/>
          <w:szCs w:val="24"/>
        </w:rPr>
        <w:t>2</w:t>
      </w:r>
      <w:r>
        <w:rPr>
          <w:rFonts w:hint="eastAsia" w:cs="Times New Roman"/>
          <w:color w:val="auto"/>
          <w:sz w:val="24"/>
          <w:szCs w:val="24"/>
          <w:lang w:eastAsia="zh-CN"/>
        </w:rPr>
        <w:t>、</w:t>
      </w:r>
      <w:r>
        <w:rPr>
          <w:rFonts w:hint="eastAsia" w:cs="Times New Roman"/>
          <w:color w:val="auto"/>
          <w:sz w:val="24"/>
          <w:szCs w:val="24"/>
        </w:rPr>
        <w:t>项目验收合格正式运行后付</w:t>
      </w:r>
      <w:r>
        <w:rPr>
          <w:rFonts w:hint="eastAsia" w:cs="Times New Roman"/>
          <w:color w:val="auto"/>
          <w:sz w:val="24"/>
          <w:szCs w:val="24"/>
          <w:lang w:val="en-US" w:eastAsia="zh-CN"/>
        </w:rPr>
        <w:t>至</w:t>
      </w:r>
      <w:r>
        <w:rPr>
          <w:rFonts w:hint="eastAsia" w:cs="Times New Roman"/>
          <w:color w:val="auto"/>
          <w:sz w:val="24"/>
          <w:szCs w:val="24"/>
        </w:rPr>
        <w:t>合同</w:t>
      </w:r>
      <w:r>
        <w:rPr>
          <w:rFonts w:hint="eastAsia" w:cs="Times New Roman"/>
          <w:color w:val="auto"/>
          <w:sz w:val="24"/>
          <w:szCs w:val="24"/>
          <w:lang w:val="en-US" w:eastAsia="zh-CN"/>
        </w:rPr>
        <w:t>总</w:t>
      </w:r>
      <w:r>
        <w:rPr>
          <w:rFonts w:hint="eastAsia" w:cs="Times New Roman"/>
          <w:color w:val="auto"/>
          <w:sz w:val="24"/>
          <w:szCs w:val="24"/>
        </w:rPr>
        <w:t>价的 70%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24587BCD">
      <w:pPr>
        <w:spacing w:line="360" w:lineRule="auto"/>
        <w:ind w:firstLine="482"/>
        <w:rPr>
          <w:rFonts w:hint="eastAsia" w:cs="Times New Roman"/>
          <w:color w:val="auto"/>
          <w:sz w:val="24"/>
          <w:szCs w:val="24"/>
          <w:lang w:eastAsia="zh-CN"/>
        </w:rPr>
      </w:pPr>
      <w:r>
        <w:rPr>
          <w:rFonts w:hint="eastAsia" w:cs="Times New Roman"/>
          <w:color w:val="auto"/>
          <w:sz w:val="24"/>
          <w:szCs w:val="24"/>
          <w:lang w:val="en-US" w:eastAsia="zh-CN"/>
        </w:rPr>
        <w:t>备注：</w:t>
      </w:r>
      <w:r>
        <w:rPr>
          <w:rFonts w:hint="eastAsia" w:cs="Times New Roman"/>
          <w:color w:val="auto"/>
          <w:sz w:val="24"/>
          <w:szCs w:val="24"/>
        </w:rPr>
        <w:t>其中软件项目完成进度的 80%，付至合同</w:t>
      </w:r>
      <w:r>
        <w:rPr>
          <w:rFonts w:hint="eastAsia" w:cs="Times New Roman"/>
          <w:color w:val="auto"/>
          <w:sz w:val="24"/>
          <w:szCs w:val="24"/>
          <w:lang w:val="en-US" w:eastAsia="zh-CN"/>
        </w:rPr>
        <w:t>总</w:t>
      </w:r>
      <w:r>
        <w:rPr>
          <w:rFonts w:hint="eastAsia" w:cs="Times New Roman"/>
          <w:color w:val="auto"/>
          <w:sz w:val="24"/>
          <w:szCs w:val="24"/>
        </w:rPr>
        <w:t>价的50%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3B477D79">
      <w:pPr>
        <w:spacing w:line="360" w:lineRule="auto"/>
        <w:ind w:firstLine="482"/>
        <w:rPr>
          <w:rFonts w:hint="eastAsia" w:cs="Times New Roman"/>
          <w:color w:val="auto"/>
          <w:sz w:val="24"/>
          <w:szCs w:val="24"/>
          <w:lang w:eastAsia="zh-CN"/>
        </w:rPr>
      </w:pPr>
      <w:r>
        <w:rPr>
          <w:rFonts w:hint="eastAsia" w:cs="Times New Roman"/>
          <w:color w:val="auto"/>
          <w:sz w:val="24"/>
          <w:szCs w:val="24"/>
        </w:rPr>
        <w:t>3、项目正式运行起一年后付至合同价的 80%</w:t>
      </w:r>
      <w:r>
        <w:rPr>
          <w:rFonts w:hint="eastAsia" w:cs="Times New Roman"/>
          <w:color w:val="auto"/>
          <w:sz w:val="24"/>
          <w:szCs w:val="24"/>
          <w:lang w:eastAsia="zh-CN"/>
        </w:rPr>
        <w:t>；</w:t>
      </w:r>
    </w:p>
    <w:p w14:paraId="702C032C">
      <w:pPr>
        <w:spacing w:line="360" w:lineRule="auto"/>
        <w:ind w:firstLine="482"/>
        <w:rPr>
          <w:rFonts w:hint="eastAsia" w:cs="Times New Roman"/>
          <w:color w:val="auto"/>
          <w:sz w:val="24"/>
          <w:szCs w:val="24"/>
        </w:rPr>
      </w:pPr>
      <w:r>
        <w:rPr>
          <w:rFonts w:hint="eastAsia" w:cs="Times New Roman"/>
          <w:color w:val="auto"/>
          <w:sz w:val="24"/>
          <w:szCs w:val="24"/>
        </w:rPr>
        <w:t>4、项目正式运行起二年后付至合同价的 100%;</w:t>
      </w:r>
    </w:p>
    <w:p w14:paraId="7CCC1DAC">
      <w:pPr>
        <w:keepNext w:val="0"/>
        <w:keepLines w:val="0"/>
        <w:pageBreakBefore w:val="0"/>
        <w:widowControl w:val="0"/>
        <w:numPr>
          <w:ilvl w:val="0"/>
          <w:numId w:val="0"/>
        </w:numPr>
        <w:tabs>
          <w:tab w:val="left" w:pos="406"/>
        </w:tabs>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十、演示部分</w:t>
      </w:r>
    </w:p>
    <w:p w14:paraId="223B782C">
      <w:pPr>
        <w:keepNext w:val="0"/>
        <w:keepLines w:val="0"/>
        <w:pageBreakBefore w:val="0"/>
        <w:widowControl w:val="0"/>
        <w:numPr>
          <w:ilvl w:val="0"/>
          <w:numId w:val="0"/>
        </w:numPr>
        <w:tabs>
          <w:tab w:val="left" w:pos="406"/>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1.演示要求（演示时间为十五分钟）</w:t>
      </w:r>
    </w:p>
    <w:p w14:paraId="59BC61DF">
      <w:pPr>
        <w:keepNext w:val="0"/>
        <w:keepLines w:val="0"/>
        <w:pageBreakBefore w:val="0"/>
        <w:widowControl w:val="0"/>
        <w:numPr>
          <w:ilvl w:val="0"/>
          <w:numId w:val="0"/>
        </w:numPr>
        <w:tabs>
          <w:tab w:val="left" w:pos="406"/>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 1.1投标人演示人员和设备需在评标前到达射阳县公共资源交易中心八楼等候区。按照苏采云系统安排的顺序进行现场演示，演示需按照招标文件的规定和评标委员会的要求进行，时间不超过30分钟。采购中心提供投影机及幕布，其他所需设备由投标人自备。</w:t>
      </w:r>
    </w:p>
    <w:p w14:paraId="65CDD91B">
      <w:pPr>
        <w:keepNext w:val="0"/>
        <w:keepLines w:val="0"/>
        <w:pageBreakBefore w:val="0"/>
        <w:widowControl w:val="0"/>
        <w:numPr>
          <w:ilvl w:val="0"/>
          <w:numId w:val="0"/>
        </w:numPr>
        <w:tabs>
          <w:tab w:val="left" w:pos="406"/>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FF0000"/>
          <w:sz w:val="24"/>
          <w:szCs w:val="24"/>
          <w:lang w:val="en-US" w:eastAsia="zh-CN"/>
        </w:rPr>
      </w:pPr>
      <w:r>
        <w:rPr>
          <w:rFonts w:hint="eastAsia" w:ascii="宋体" w:hAnsi="宋体" w:eastAsia="宋体" w:cs="Times New Roman"/>
          <w:color w:val="FF0000"/>
          <w:sz w:val="24"/>
          <w:szCs w:val="24"/>
          <w:lang w:val="en-US" w:eastAsia="zh-CN"/>
        </w:rPr>
        <w:t>1.2投标人需在“法人授权书”中注明进行现场演示的人员姓名及身份证号，不接受非注明的人员进入评审现场进行演示。投标人进入评审现场的人员应出示有效身份证件。</w:t>
      </w:r>
    </w:p>
    <w:p w14:paraId="76781B93">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十一、</w:t>
      </w:r>
      <w:r>
        <w:rPr>
          <w:rFonts w:hint="eastAsia" w:cs="Times New Roman"/>
          <w:b/>
          <w:bCs/>
          <w:color w:val="auto"/>
          <w:sz w:val="24"/>
          <w:szCs w:val="24"/>
        </w:rPr>
        <w:t>采购标的对应的中小企业划分标准所属行业一览表</w:t>
      </w:r>
    </w:p>
    <w:tbl>
      <w:tblPr>
        <w:tblStyle w:val="13"/>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72ABB29A">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17BA54F2">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0243FD82">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采购标的</w:t>
            </w:r>
          </w:p>
        </w:tc>
        <w:tc>
          <w:tcPr>
            <w:tcW w:w="2852" w:type="dxa"/>
            <w:tcBorders>
              <w:top w:val="single" w:color="000000" w:sz="4" w:space="0"/>
              <w:left w:val="single" w:color="000000" w:sz="4" w:space="0"/>
              <w:bottom w:val="single" w:color="000000" w:sz="4" w:space="0"/>
              <w:right w:val="single" w:color="000000" w:sz="4" w:space="0"/>
            </w:tcBorders>
            <w:vAlign w:val="center"/>
          </w:tcPr>
          <w:p w14:paraId="7D12FF08">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对应中小企业划分标准所属行业</w:t>
            </w:r>
          </w:p>
        </w:tc>
      </w:tr>
      <w:tr w14:paraId="5547FD3D">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46ABFCCC">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1</w:t>
            </w:r>
          </w:p>
        </w:tc>
        <w:tc>
          <w:tcPr>
            <w:tcW w:w="3291" w:type="dxa"/>
            <w:tcBorders>
              <w:top w:val="single" w:color="000000" w:sz="4" w:space="0"/>
              <w:left w:val="single" w:color="000000" w:sz="4" w:space="0"/>
              <w:bottom w:val="single" w:color="000000" w:sz="4" w:space="0"/>
              <w:right w:val="single" w:color="000000" w:sz="4" w:space="0"/>
            </w:tcBorders>
            <w:vAlign w:val="center"/>
          </w:tcPr>
          <w:p w14:paraId="78A9979E">
            <w:pPr>
              <w:pStyle w:val="9"/>
              <w:spacing w:beforeAutospacing="0" w:afterAutospacing="0" w:line="0" w:lineRule="atLeast"/>
              <w:jc w:val="center"/>
              <w:rPr>
                <w:rFonts w:hint="eastAsia" w:ascii="宋体" w:hAnsi="宋体" w:eastAsia="宋体"/>
                <w:color w:val="auto"/>
                <w:kern w:val="2"/>
                <w:highlight w:val="none"/>
                <w:lang w:val="en-US" w:eastAsia="zh-CN"/>
              </w:rPr>
            </w:pPr>
            <w:r>
              <w:rPr>
                <w:rFonts w:hint="eastAsia" w:ascii="宋体" w:hAnsi="宋体" w:eastAsia="宋体"/>
                <w:color w:val="auto"/>
                <w:kern w:val="2"/>
                <w:highlight w:val="none"/>
                <w:lang w:val="en-US" w:eastAsia="zh-CN"/>
              </w:rPr>
              <w:t>射阳县中医院信息化建设项目-软件系统</w:t>
            </w:r>
          </w:p>
        </w:tc>
        <w:tc>
          <w:tcPr>
            <w:tcW w:w="2852" w:type="dxa"/>
            <w:tcBorders>
              <w:top w:val="single" w:color="000000" w:sz="4" w:space="0"/>
              <w:left w:val="single" w:color="000000" w:sz="4" w:space="0"/>
              <w:bottom w:val="single" w:color="000000" w:sz="4" w:space="0"/>
              <w:right w:val="single" w:color="000000" w:sz="4" w:space="0"/>
            </w:tcBorders>
            <w:vAlign w:val="center"/>
          </w:tcPr>
          <w:p w14:paraId="020F689A">
            <w:pPr>
              <w:pStyle w:val="9"/>
              <w:spacing w:beforeAutospacing="0" w:afterAutospacing="0" w:line="0" w:lineRule="atLeast"/>
              <w:jc w:val="center"/>
              <w:rPr>
                <w:rFonts w:hint="default" w:ascii="宋体" w:hAnsi="宋体" w:eastAsia="宋体"/>
                <w:color w:val="auto"/>
                <w:kern w:val="2"/>
                <w:highlight w:val="none"/>
                <w:lang w:val="en-US" w:eastAsia="zh-CN"/>
              </w:rPr>
            </w:pPr>
            <w:r>
              <w:rPr>
                <w:rFonts w:hint="eastAsia" w:ascii="宋体" w:hAnsi="宋体" w:cs="宋体"/>
                <w:color w:val="auto"/>
              </w:rPr>
              <w:t>软件和信息技术服务业</w:t>
            </w:r>
          </w:p>
        </w:tc>
      </w:tr>
      <w:tr w14:paraId="5BF4CA84">
        <w:tblPrEx>
          <w:tblCellMar>
            <w:top w:w="0" w:type="dxa"/>
            <w:left w:w="108" w:type="dxa"/>
            <w:bottom w:w="0" w:type="dxa"/>
            <w:right w:w="108" w:type="dxa"/>
          </w:tblCellMar>
        </w:tblPrEx>
        <w:trPr>
          <w:trHeight w:val="235"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3142E7F5">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2</w:t>
            </w:r>
          </w:p>
        </w:tc>
        <w:tc>
          <w:tcPr>
            <w:tcW w:w="3291" w:type="dxa"/>
            <w:tcBorders>
              <w:top w:val="single" w:color="000000" w:sz="4" w:space="0"/>
              <w:left w:val="single" w:color="000000" w:sz="4" w:space="0"/>
              <w:bottom w:val="single" w:color="000000" w:sz="4" w:space="0"/>
              <w:right w:val="single" w:color="000000" w:sz="4" w:space="0"/>
            </w:tcBorders>
            <w:vAlign w:val="center"/>
          </w:tcPr>
          <w:p w14:paraId="0B7B7CD0">
            <w:pPr>
              <w:pStyle w:val="9"/>
              <w:spacing w:beforeAutospacing="0" w:afterAutospacing="0" w:line="0" w:lineRule="atLeast"/>
              <w:jc w:val="center"/>
              <w:rPr>
                <w:rFonts w:hint="default" w:ascii="宋体" w:hAnsi="宋体" w:eastAsia="宋体"/>
                <w:color w:val="auto"/>
                <w:kern w:val="2"/>
                <w:highlight w:val="none"/>
                <w:lang w:val="en-US" w:eastAsia="zh-CN"/>
              </w:rPr>
            </w:pPr>
          </w:p>
        </w:tc>
        <w:tc>
          <w:tcPr>
            <w:tcW w:w="2852" w:type="dxa"/>
            <w:tcBorders>
              <w:top w:val="single" w:color="000000" w:sz="4" w:space="0"/>
              <w:left w:val="single" w:color="000000" w:sz="4" w:space="0"/>
              <w:bottom w:val="single" w:color="000000" w:sz="4" w:space="0"/>
              <w:right w:val="single" w:color="000000" w:sz="4" w:space="0"/>
            </w:tcBorders>
            <w:vAlign w:val="center"/>
          </w:tcPr>
          <w:p w14:paraId="6F53D9ED">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  </w:t>
            </w:r>
          </w:p>
        </w:tc>
      </w:tr>
      <w:tr w14:paraId="436CD88E">
        <w:tblPrEx>
          <w:tblCellMar>
            <w:top w:w="0" w:type="dxa"/>
            <w:left w:w="108" w:type="dxa"/>
            <w:bottom w:w="0" w:type="dxa"/>
            <w:right w:w="108" w:type="dxa"/>
          </w:tblCellMar>
        </w:tblPrEx>
        <w:trPr>
          <w:trHeight w:val="222"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093CD3F4">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3</w:t>
            </w:r>
          </w:p>
        </w:tc>
        <w:tc>
          <w:tcPr>
            <w:tcW w:w="3291" w:type="dxa"/>
            <w:tcBorders>
              <w:top w:val="single" w:color="000000" w:sz="4" w:space="0"/>
              <w:left w:val="single" w:color="000000" w:sz="4" w:space="0"/>
              <w:bottom w:val="single" w:color="000000" w:sz="4" w:space="0"/>
              <w:right w:val="single" w:color="000000" w:sz="4" w:space="0"/>
            </w:tcBorders>
            <w:vAlign w:val="center"/>
          </w:tcPr>
          <w:p w14:paraId="521D722B">
            <w:pPr>
              <w:pStyle w:val="9"/>
              <w:spacing w:beforeAutospacing="0" w:afterAutospacing="0" w:line="0" w:lineRule="atLeast"/>
              <w:jc w:val="center"/>
              <w:rPr>
                <w:rFonts w:hint="eastAsia" w:ascii="宋体" w:hAnsi="宋体" w:eastAsia="宋体"/>
                <w:color w:val="auto"/>
                <w:kern w:val="2"/>
                <w:highlight w:val="none"/>
              </w:rPr>
            </w:pPr>
          </w:p>
        </w:tc>
        <w:tc>
          <w:tcPr>
            <w:tcW w:w="2852" w:type="dxa"/>
            <w:tcBorders>
              <w:top w:val="single" w:color="000000" w:sz="4" w:space="0"/>
              <w:left w:val="single" w:color="000000" w:sz="4" w:space="0"/>
              <w:bottom w:val="single" w:color="000000" w:sz="4" w:space="0"/>
              <w:right w:val="single" w:color="000000" w:sz="4" w:space="0"/>
            </w:tcBorders>
            <w:vAlign w:val="center"/>
          </w:tcPr>
          <w:p w14:paraId="6DFBCF77">
            <w:pPr>
              <w:pStyle w:val="9"/>
              <w:spacing w:beforeAutospacing="0" w:afterAutospacing="0" w:line="0" w:lineRule="atLeast"/>
              <w:jc w:val="center"/>
              <w:rPr>
                <w:rFonts w:hint="eastAsia" w:ascii="宋体" w:hAnsi="宋体" w:eastAsia="宋体"/>
                <w:color w:val="auto"/>
                <w:kern w:val="2"/>
                <w:highlight w:val="none"/>
              </w:rPr>
            </w:pPr>
          </w:p>
        </w:tc>
      </w:tr>
      <w:tr w14:paraId="0827B20D">
        <w:tblPrEx>
          <w:tblCellMar>
            <w:top w:w="0" w:type="dxa"/>
            <w:left w:w="108" w:type="dxa"/>
            <w:bottom w:w="0" w:type="dxa"/>
            <w:right w:w="108" w:type="dxa"/>
          </w:tblCellMar>
        </w:tblPrEx>
        <w:trPr>
          <w:trHeight w:val="222"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60C6D66E">
            <w:pPr>
              <w:pStyle w:val="9"/>
              <w:spacing w:beforeAutospacing="0" w:afterAutospacing="0" w:line="0" w:lineRule="atLeast"/>
              <w:jc w:val="center"/>
              <w:rPr>
                <w:rFonts w:hint="eastAsia" w:ascii="宋体" w:hAnsi="宋体" w:eastAsia="宋体"/>
                <w:color w:val="auto"/>
                <w:kern w:val="2"/>
                <w:highlight w:val="none"/>
              </w:rPr>
            </w:pPr>
            <w:r>
              <w:rPr>
                <w:rFonts w:hint="eastAsia" w:ascii="宋体" w:hAnsi="宋体" w:eastAsia="宋体"/>
                <w:color w:val="auto"/>
                <w:kern w:val="2"/>
                <w:highlight w:val="none"/>
              </w:rPr>
              <w:t>4</w:t>
            </w:r>
          </w:p>
        </w:tc>
        <w:tc>
          <w:tcPr>
            <w:tcW w:w="3291" w:type="dxa"/>
            <w:tcBorders>
              <w:top w:val="single" w:color="000000" w:sz="4" w:space="0"/>
              <w:left w:val="single" w:color="000000" w:sz="4" w:space="0"/>
              <w:bottom w:val="single" w:color="000000" w:sz="4" w:space="0"/>
              <w:right w:val="single" w:color="000000" w:sz="4" w:space="0"/>
            </w:tcBorders>
            <w:vAlign w:val="center"/>
          </w:tcPr>
          <w:p w14:paraId="46469DCA">
            <w:pPr>
              <w:pStyle w:val="9"/>
              <w:spacing w:beforeAutospacing="0" w:afterAutospacing="0" w:line="0" w:lineRule="atLeast"/>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w:t>
            </w:r>
          </w:p>
        </w:tc>
        <w:tc>
          <w:tcPr>
            <w:tcW w:w="2852" w:type="dxa"/>
            <w:tcBorders>
              <w:top w:val="single" w:color="000000" w:sz="4" w:space="0"/>
              <w:left w:val="single" w:color="000000" w:sz="4" w:space="0"/>
              <w:bottom w:val="single" w:color="000000" w:sz="4" w:space="0"/>
              <w:right w:val="single" w:color="000000" w:sz="4" w:space="0"/>
            </w:tcBorders>
            <w:vAlign w:val="center"/>
          </w:tcPr>
          <w:p w14:paraId="348BDDB5">
            <w:pPr>
              <w:pStyle w:val="9"/>
              <w:spacing w:beforeAutospacing="0" w:afterAutospacing="0" w:line="0" w:lineRule="atLeast"/>
              <w:jc w:val="center"/>
              <w:rPr>
                <w:rFonts w:hint="eastAsia" w:ascii="宋体" w:hAnsi="宋体" w:eastAsia="宋体"/>
                <w:color w:val="auto"/>
                <w:kern w:val="2"/>
                <w:highlight w:val="none"/>
              </w:rPr>
            </w:pPr>
          </w:p>
        </w:tc>
      </w:tr>
    </w:tbl>
    <w:p w14:paraId="4D88675A">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十二、特别说明：</w:t>
      </w:r>
    </w:p>
    <w:p w14:paraId="643DE673">
      <w:pPr>
        <w:spacing w:line="360" w:lineRule="auto"/>
        <w:ind w:firstLine="480"/>
        <w:rPr>
          <w:rFonts w:cs="Times New Roman"/>
          <w:color w:val="auto"/>
          <w:sz w:val="24"/>
          <w:szCs w:val="24"/>
        </w:rPr>
      </w:pPr>
      <w:r>
        <w:rPr>
          <w:rFonts w:hint="eastAsia" w:cs="Times New Roman"/>
          <w:color w:val="auto"/>
          <w:sz w:val="24"/>
          <w:szCs w:val="24"/>
        </w:rPr>
        <w:t>1、报价含项目成果交付前一切费用。不接受选择性报价。</w:t>
      </w:r>
    </w:p>
    <w:p w14:paraId="19642D09">
      <w:pPr>
        <w:spacing w:line="360" w:lineRule="auto"/>
        <w:ind w:firstLine="482"/>
        <w:rPr>
          <w:rFonts w:cs="Times New Roman"/>
          <w:color w:val="auto"/>
          <w:sz w:val="24"/>
          <w:szCs w:val="24"/>
        </w:rPr>
      </w:pPr>
      <w:r>
        <w:rPr>
          <w:rFonts w:hint="eastAsia" w:cs="Times New Roman"/>
          <w:b/>
          <w:bCs/>
          <w:color w:val="auto"/>
          <w:sz w:val="24"/>
          <w:szCs w:val="24"/>
        </w:rPr>
        <w:t>备注：</w:t>
      </w:r>
      <w:r>
        <w:rPr>
          <w:rFonts w:hint="eastAsia" w:cs="Times New Roman"/>
          <w:color w:val="auto"/>
          <w:sz w:val="24"/>
          <w:szCs w:val="24"/>
        </w:rPr>
        <w:t>中标价包含为保证采购单位项目顺利实施达到采购人采购需求，并须经验收合格，中标单位在项目建设过程中所产生的一切费用由中标单位承担。</w:t>
      </w:r>
    </w:p>
    <w:p w14:paraId="43A1658E">
      <w:pPr>
        <w:spacing w:line="360" w:lineRule="auto"/>
        <w:ind w:firstLine="480"/>
        <w:rPr>
          <w:rFonts w:cs="Times New Roman"/>
          <w:color w:val="auto"/>
          <w:sz w:val="24"/>
          <w:szCs w:val="24"/>
        </w:rPr>
      </w:pPr>
      <w:r>
        <w:rPr>
          <w:rFonts w:hint="eastAsia" w:cs="Times New Roman"/>
          <w:color w:val="auto"/>
          <w:sz w:val="24"/>
          <w:szCs w:val="24"/>
        </w:rPr>
        <w:t>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p>
    <w:p w14:paraId="69EFC24E">
      <w:pPr>
        <w:spacing w:line="360" w:lineRule="auto"/>
        <w:ind w:firstLine="480"/>
        <w:rPr>
          <w:rFonts w:cs="Times New Roman"/>
          <w:color w:val="auto"/>
          <w:sz w:val="24"/>
          <w:szCs w:val="24"/>
        </w:rPr>
      </w:pPr>
      <w:r>
        <w:rPr>
          <w:rFonts w:hint="eastAsia" w:cs="Times New Roman"/>
          <w:color w:val="auto"/>
          <w:sz w:val="24"/>
          <w:szCs w:val="24"/>
        </w:rPr>
        <w:t>3、资格后审：项目开标结束后，</w:t>
      </w:r>
      <w:r>
        <w:rPr>
          <w:rFonts w:hint="eastAsia" w:ascii="宋体" w:hAnsi="宋体"/>
          <w:color w:val="auto"/>
          <w:sz w:val="24"/>
        </w:rPr>
        <w:t>由采购人或者采购人委托评标委员会</w:t>
      </w:r>
      <w:r>
        <w:rPr>
          <w:rFonts w:hint="eastAsia" w:cs="Times New Roman"/>
          <w:color w:val="auto"/>
          <w:sz w:val="24"/>
          <w:szCs w:val="24"/>
        </w:rPr>
        <w:t>应当依法对投标人的资格进行审查。资格审查材料的原件彩色扫描件须在投标文件中提供。</w:t>
      </w:r>
    </w:p>
    <w:p w14:paraId="413A2BD4">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4</w:t>
      </w:r>
      <w:r>
        <w:rPr>
          <w:rFonts w:hint="eastAsia" w:ascii="宋体" w:hAnsi="宋体"/>
          <w:color w:val="auto"/>
          <w:sz w:val="24"/>
        </w:rPr>
        <w:t>、对本项目投标人资格要求、项目需求、评分标准等的质疑由采购单位负责答复；采购单位具有项目的解释权，质疑函和答复须同时报采购中心备案管理。</w:t>
      </w:r>
    </w:p>
    <w:p w14:paraId="314F38A7">
      <w:pPr>
        <w:spacing w:line="360" w:lineRule="auto"/>
        <w:ind w:firstLine="480"/>
        <w:rPr>
          <w:rFonts w:cs="Times New Roman"/>
          <w:color w:val="auto"/>
          <w:sz w:val="24"/>
          <w:szCs w:val="24"/>
        </w:rPr>
      </w:pPr>
      <w:r>
        <w:rPr>
          <w:rFonts w:hint="eastAsia" w:cs="Times New Roman"/>
          <w:color w:val="auto"/>
          <w:sz w:val="24"/>
          <w:szCs w:val="24"/>
          <w:lang w:val="en-US" w:eastAsia="zh-CN"/>
        </w:rPr>
        <w:t>5</w:t>
      </w:r>
      <w:r>
        <w:rPr>
          <w:rFonts w:hint="eastAsia" w:cs="Times New Roman"/>
          <w:color w:val="auto"/>
          <w:sz w:val="24"/>
          <w:szCs w:val="24"/>
        </w:rPr>
        <w:t>、前期咨询服务费</w:t>
      </w:r>
    </w:p>
    <w:p w14:paraId="7D8C7797">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本项目报价</w:t>
      </w:r>
      <w:r>
        <w:rPr>
          <w:rFonts w:hint="eastAsia" w:ascii="宋体" w:hAnsi="宋体" w:cs="Times New Roman"/>
          <w:color w:val="auto"/>
          <w:sz w:val="24"/>
          <w:highlight w:val="none"/>
          <w:lang w:val="en-US" w:eastAsia="zh-CN"/>
        </w:rPr>
        <w:t>须</w:t>
      </w:r>
      <w:r>
        <w:rPr>
          <w:rFonts w:hint="eastAsia" w:ascii="宋体" w:hAnsi="宋体" w:eastAsia="宋体" w:cs="Times New Roman"/>
          <w:color w:val="auto"/>
          <w:sz w:val="24"/>
          <w:highlight w:val="none"/>
        </w:rPr>
        <w:t>包含</w:t>
      </w:r>
      <w:r>
        <w:rPr>
          <w:rFonts w:hint="eastAsia" w:ascii="宋体" w:hAnsi="宋体" w:cs="Times New Roman"/>
          <w:color w:val="auto"/>
          <w:sz w:val="24"/>
          <w:highlight w:val="none"/>
          <w:lang w:val="en-US" w:eastAsia="zh-CN"/>
        </w:rPr>
        <w:t>本项目</w:t>
      </w:r>
      <w:r>
        <w:rPr>
          <w:rFonts w:hint="eastAsia" w:ascii="宋体" w:hAnsi="宋体" w:eastAsia="宋体" w:cs="Times New Roman"/>
          <w:color w:val="auto"/>
          <w:sz w:val="24"/>
          <w:highlight w:val="none"/>
        </w:rPr>
        <w:t>前期咨询费，前期咨询费</w:t>
      </w:r>
      <w:r>
        <w:rPr>
          <w:rFonts w:hint="eastAsia" w:ascii="宋体" w:hAnsi="宋体" w:cs="Times New Roman"/>
          <w:color w:val="auto"/>
          <w:sz w:val="24"/>
          <w:highlight w:val="none"/>
          <w:lang w:eastAsia="zh-CN"/>
        </w:rPr>
        <w:t>：</w:t>
      </w:r>
      <w:r>
        <w:rPr>
          <w:rFonts w:hint="eastAsia" w:cs="Times New Roman"/>
          <w:color w:val="auto"/>
          <w:sz w:val="24"/>
          <w:highlight w:val="none"/>
          <w:lang w:val="en-US" w:eastAsia="zh-CN"/>
        </w:rPr>
        <w:t>2.46</w:t>
      </w:r>
      <w:r>
        <w:rPr>
          <w:rFonts w:hint="eastAsia" w:ascii="宋体" w:hAnsi="宋体" w:cs="Times New Roman"/>
          <w:color w:val="auto"/>
          <w:sz w:val="24"/>
          <w:highlight w:val="none"/>
          <w:lang w:val="en-US" w:eastAsia="zh-CN"/>
        </w:rPr>
        <w:t>万元整</w:t>
      </w:r>
      <w:r>
        <w:rPr>
          <w:rFonts w:hint="eastAsia" w:ascii="宋体" w:hAnsi="宋体" w:eastAsia="宋体" w:cs="Times New Roman"/>
          <w:color w:val="auto"/>
          <w:sz w:val="24"/>
          <w:highlight w:val="none"/>
        </w:rPr>
        <w:t>，该费用折算在报价中，在报价单中不单独列明。中标供应商在中标公告公示后七个工作日内一次性</w:t>
      </w:r>
      <w:r>
        <w:rPr>
          <w:rFonts w:hint="eastAsia" w:ascii="宋体" w:hAnsi="宋体" w:cs="Times New Roman"/>
          <w:color w:val="auto"/>
          <w:sz w:val="24"/>
          <w:highlight w:val="none"/>
          <w:lang w:val="en-US" w:eastAsia="zh-CN"/>
        </w:rPr>
        <w:t>支付给本项目前期咨询服务公司</w:t>
      </w:r>
    </w:p>
    <w:p w14:paraId="420755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6、履约保证金</w:t>
      </w:r>
    </w:p>
    <w:p w14:paraId="30F79C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6.1中标单位在签订合同时交纳不超过中标额10%的履约保证金到采购人指定账户。供应商自主选择以支票、汇票、本票、电子履约保函等非现金形式缴纳或提交。</w:t>
      </w:r>
    </w:p>
    <w:p w14:paraId="329B9C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降低履约保证金缴纳比例至5%。依据《关于在全省政府采购领域推行电子履约保函（保险）的通知》，鼓励供应商自愿使用履约保函（保险）代替缴纳履约保证金。</w:t>
      </w:r>
    </w:p>
    <w:p w14:paraId="3E8946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6.2合同履行结束后，甲方应及时退还交纳的履约保证金。</w:t>
      </w:r>
    </w:p>
    <w:p w14:paraId="2ED9B7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6.3履约保证金的退还：</w:t>
      </w:r>
    </w:p>
    <w:p w14:paraId="680D18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6.3.1方式：无息退还至投标人缴纳履约保证金的账户。如为保函，在到期时自行失效。</w:t>
      </w:r>
    </w:p>
    <w:p w14:paraId="5A3175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6.3.2时间：验收合格且采购人收到发票后30日内。</w:t>
      </w:r>
    </w:p>
    <w:p w14:paraId="6E230A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6.3.3条件：按合同要求全部履约完成并经采购人验收合格，且采购人收到中标人出具的发票。</w:t>
      </w:r>
    </w:p>
    <w:p w14:paraId="0FA866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6.3.4不予退还情形：</w:t>
      </w:r>
    </w:p>
    <w:p w14:paraId="6FA42E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除不可抗力情况外，投标人出现下列情形之一的，其履约保证金，招标人将视情节决定不予退还或部分不予退还。</w:t>
      </w:r>
    </w:p>
    <w:p w14:paraId="257C92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（1）中标人无正当理由拒绝签订合同的，或者在签订合同时向采购人提出附加条件或者更改合同实质性内容要求的；</w:t>
      </w:r>
    </w:p>
    <w:p w14:paraId="452810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（2）中标人不履行与采购人订立的合同的；</w:t>
      </w:r>
    </w:p>
    <w:p w14:paraId="0C7B9E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（3）中标人所供货物或服务不符合招标文件规定要求的；</w:t>
      </w:r>
    </w:p>
    <w:p w14:paraId="0DC627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（4）中标人采取欺骗、弄虚作假方式投标的或与其它投标人串通投标的；</w:t>
      </w:r>
    </w:p>
    <w:p w14:paraId="673E70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（5）中标人将合同内容转包、违法分包的；</w:t>
      </w:r>
    </w:p>
    <w:p w14:paraId="7C7699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（6）中标人故意捏造事实或伪造证明材料，进行虚假恶意投诉或反映的。</w:t>
      </w:r>
    </w:p>
    <w:p w14:paraId="165A84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6.3.5逾期退还的违约责任：采购人逾期无故未退还履约保证金的，按中国人民银行同期贷款基准利率上浮20%后的利率支付超期资金占用费，但因供应商自身原因导致无法及时退还的除外。</w:t>
      </w:r>
    </w:p>
    <w:p w14:paraId="6F5809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7、政府采购履约资金扶持政策</w:t>
      </w:r>
    </w:p>
    <w:p w14:paraId="5A77E3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70AA40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8、招标项目需满足的政府采购政策目标和具体支持对象</w:t>
      </w:r>
    </w:p>
    <w:p w14:paraId="63D27F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中小微型企业有关政策</w:t>
      </w:r>
    </w:p>
    <w:p w14:paraId="3AE177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8.1根据工信部等部委发布的《关于印发中小企业划型标准规定的通知》（工信部联企业〔2011〕300号），根据具体品目确定相应标准。符合上述条件的中小微型企业应按照招标文件中的格式要求提供《中小企业声明函》。</w:t>
      </w:r>
    </w:p>
    <w:p w14:paraId="7795A4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8.2 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p>
    <w:p w14:paraId="70F75D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8.3 供应商须按照采购文件要求提供相应的《企业声明函》（格式附后），不提供声明函或有弄虚作假的，将依法承担相应责任。</w:t>
      </w:r>
    </w:p>
    <w:p w14:paraId="2694D5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8.4 根据工信部等部委发布的《关于印发中小企业划型标准规定的通知》（工信部联企业【2011】300号）文件规定自行填写，根据具体品目确定相应标准。</w:t>
      </w:r>
    </w:p>
    <w:p w14:paraId="2D338F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8.5 以上规定未尽事项，按《政府采购促进中小企业发展管理办法》 （财库【2020】46号）等有关制度规定执行。</w:t>
      </w:r>
    </w:p>
    <w:p w14:paraId="5253B1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供应商按照采购文件要求提供相应的《企业声明函》（格式附后），所投货物若全部为小微企业所制造（即货物由小微企业生产且使用该小微企业商号或者注册商标）。须将本次标的物逐一列明，如有遗漏则不能享受价格优惠政策。</w:t>
      </w:r>
    </w:p>
    <w:p w14:paraId="79B642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8.6监狱和戒毒企业</w:t>
      </w:r>
    </w:p>
    <w:p w14:paraId="62C426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（1）本项目对监狱和戒毒企业（简称监狱企业）视同小型、微型企业。</w:t>
      </w:r>
    </w:p>
    <w:p w14:paraId="32E320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743FC2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（3）监狱企业标准请参照《关于政府采购支持监狱企业发展有关问题的通知》（财库[2014]68号）。</w:t>
      </w:r>
    </w:p>
    <w:p w14:paraId="4618FD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9.7残疾人福利单位、监狱企业属于小型、微型企业的，不重复享受政策。</w:t>
      </w:r>
    </w:p>
    <w:p w14:paraId="30EB80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w:t>
      </w:r>
      <w:r>
        <w:rPr>
          <w:rFonts w:hint="eastAsia" w:ascii="宋体" w:hAnsi="宋体" w:eastAsia="宋体" w:cs="Times New Roman"/>
          <w:color w:val="000000"/>
          <w:sz w:val="24"/>
          <w:szCs w:val="24"/>
          <w:lang w:val="zh-CN" w:eastAsia="zh-CN"/>
        </w:rPr>
        <w:t>踏勘</w:t>
      </w:r>
    </w:p>
    <w:p w14:paraId="5657A5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10.1投标人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3BB66E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9.2采购人在踏勘现场中介绍的项目情况，投标人在编制投标文件时参考，采购人不对供应商据此作出的判断和决策负责。</w:t>
      </w:r>
    </w:p>
    <w:p w14:paraId="129C03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9.3投标人承担踏勘现场所发生的自身费用。</w:t>
      </w:r>
    </w:p>
    <w:p w14:paraId="246F0F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10、“信易购、政采贷”政策 </w:t>
      </w:r>
    </w:p>
    <w:p w14:paraId="4660DE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10.1根据射财库【2021】17号文件要求采购人应当政府采购活动中应用第三方信用报告，通过“信易购”应用场景，促进市场主体诚信经营。从2022年开始所有政府采购项目纳入信易购管理；</w:t>
      </w:r>
    </w:p>
    <w:p w14:paraId="684471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000000"/>
        </w:rPr>
      </w:pPr>
      <w:r>
        <w:rPr>
          <w:rFonts w:hint="eastAsia" w:ascii="宋体" w:hAnsi="宋体" w:eastAsia="宋体" w:cs="Times New Roman"/>
          <w:color w:val="000000"/>
          <w:sz w:val="24"/>
          <w:szCs w:val="24"/>
          <w:lang w:val="en-US" w:eastAsia="zh-CN"/>
        </w:rPr>
        <w:t>10.2根据射财库【2021】20号文库要求，代理机构积极配合做好政府采购线上合同信用融资工作。</w:t>
      </w:r>
    </w:p>
    <w:p w14:paraId="0D230593">
      <w:pPr>
        <w:rPr>
          <w:rFonts w:hint="eastAsia" w:ascii="黑体" w:hAnsi="Times New Roman" w:eastAsia="黑体"/>
          <w:bCs/>
          <w:color w:val="auto"/>
          <w:sz w:val="44"/>
          <w:szCs w:val="28"/>
        </w:rPr>
      </w:pPr>
      <w:r>
        <w:rPr>
          <w:rFonts w:hint="eastAsia" w:ascii="黑体" w:hAnsi="Times New Roman" w:eastAsia="黑体"/>
          <w:bCs/>
          <w:color w:val="auto"/>
          <w:sz w:val="44"/>
          <w:szCs w:val="28"/>
        </w:rPr>
        <w:br w:type="page"/>
      </w:r>
    </w:p>
    <w:p w14:paraId="2E12528A">
      <w:pPr>
        <w:keepNext/>
        <w:jc w:val="center"/>
        <w:outlineLvl w:val="0"/>
        <w:rPr>
          <w:rFonts w:ascii="黑体" w:hAnsi="Times New Roman" w:eastAsia="黑体"/>
          <w:bCs/>
          <w:color w:val="auto"/>
          <w:sz w:val="44"/>
          <w:szCs w:val="28"/>
        </w:rPr>
      </w:pPr>
      <w:r>
        <w:rPr>
          <w:rFonts w:hint="eastAsia" w:ascii="黑体" w:hAnsi="Times New Roman" w:eastAsia="黑体"/>
          <w:bCs/>
          <w:color w:val="auto"/>
          <w:sz w:val="44"/>
          <w:szCs w:val="28"/>
        </w:rPr>
        <w:t xml:space="preserve">第五章  </w:t>
      </w:r>
      <w:r>
        <w:rPr>
          <w:rFonts w:hint="eastAsia" w:ascii="黑体" w:hAnsi="Times New Roman" w:eastAsia="黑体"/>
          <w:b/>
          <w:bCs/>
          <w:color w:val="auto"/>
          <w:sz w:val="44"/>
          <w:szCs w:val="28"/>
        </w:rPr>
        <w:t>评标方法与评标标准</w:t>
      </w:r>
    </w:p>
    <w:p w14:paraId="7963EACF">
      <w:pPr>
        <w:rPr>
          <w:rFonts w:ascii="Times New Roman" w:hAnsi="Times New Roman"/>
          <w:color w:val="auto"/>
          <w:szCs w:val="21"/>
        </w:rPr>
      </w:pPr>
    </w:p>
    <w:p w14:paraId="4060B10B">
      <w:pPr>
        <w:pStyle w:val="33"/>
        <w:spacing w:line="460" w:lineRule="exact"/>
        <w:ind w:firstLine="560"/>
        <w:rPr>
          <w:rFonts w:ascii="宋体" w:hAnsi="宋体" w:cs="Times New Roman"/>
          <w:b/>
          <w:bCs/>
          <w:color w:val="auto"/>
          <w:sz w:val="24"/>
          <w:szCs w:val="24"/>
        </w:rPr>
      </w:pPr>
      <w:r>
        <w:rPr>
          <w:rFonts w:hint="eastAsia" w:ascii="宋体" w:hAnsi="宋体" w:cs="Times New Roman"/>
          <w:b/>
          <w:bCs/>
          <w:color w:val="auto"/>
          <w:sz w:val="24"/>
          <w:szCs w:val="24"/>
        </w:rPr>
        <w:t>一、评标方法与定标原则</w:t>
      </w:r>
    </w:p>
    <w:p w14:paraId="00AD5658">
      <w:pPr>
        <w:pStyle w:val="33"/>
        <w:spacing w:line="460" w:lineRule="exact"/>
        <w:ind w:firstLine="560"/>
        <w:rPr>
          <w:rFonts w:ascii="宋体" w:hAnsi="宋体" w:cs="Times New Roman"/>
          <w:color w:val="auto"/>
          <w:sz w:val="24"/>
          <w:szCs w:val="24"/>
        </w:rPr>
      </w:pPr>
      <w:r>
        <w:rPr>
          <w:rFonts w:hint="eastAsia" w:ascii="宋体" w:hAnsi="宋体" w:cs="Times New Roman"/>
          <w:color w:val="auto"/>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433513E">
      <w:pPr>
        <w:pStyle w:val="33"/>
        <w:spacing w:line="460" w:lineRule="exact"/>
        <w:ind w:firstLine="560"/>
        <w:rPr>
          <w:rFonts w:ascii="宋体" w:hAnsi="宋体" w:cs="Times New Roman"/>
          <w:b/>
          <w:bCs/>
          <w:color w:val="auto"/>
          <w:sz w:val="24"/>
          <w:szCs w:val="24"/>
        </w:rPr>
      </w:pPr>
      <w:r>
        <w:rPr>
          <w:rFonts w:hint="eastAsia" w:ascii="宋体" w:hAnsi="宋体" w:cs="Times New Roman"/>
          <w:b/>
          <w:bCs/>
          <w:color w:val="auto"/>
          <w:sz w:val="24"/>
          <w:szCs w:val="24"/>
        </w:rPr>
        <w:t>二、政府采购政策功能落实</w:t>
      </w:r>
    </w:p>
    <w:p w14:paraId="251D2969">
      <w:pPr>
        <w:pStyle w:val="9"/>
        <w:spacing w:beforeAutospacing="0" w:afterAutospacing="0" w:line="460" w:lineRule="exact"/>
        <w:ind w:firstLine="480"/>
        <w:rPr>
          <w:color w:val="auto"/>
        </w:rPr>
      </w:pPr>
      <w:r>
        <w:rPr>
          <w:rFonts w:hint="eastAsia" w:ascii="宋体" w:hAnsi="宋体" w:cs="宋体"/>
          <w:color w:val="auto"/>
        </w:rPr>
        <w:t>1、小微型企业价格扣除</w:t>
      </w:r>
    </w:p>
    <w:p w14:paraId="5F959CF7">
      <w:pPr>
        <w:pStyle w:val="9"/>
        <w:spacing w:beforeAutospacing="0" w:afterAutospacing="0" w:line="460" w:lineRule="exact"/>
        <w:ind w:firstLine="360"/>
        <w:rPr>
          <w:rFonts w:ascii="宋体" w:hAnsi="宋体" w:cs="宋体"/>
          <w:color w:val="auto"/>
        </w:rPr>
      </w:pPr>
      <w:r>
        <w:rPr>
          <w:rFonts w:hint="eastAsia" w:ascii="宋体" w:hAnsi="宋体" w:cs="宋体"/>
          <w:color w:val="auto"/>
        </w:rPr>
        <w:t>（1）本项目对小型和微型企业提供的服务给予</w:t>
      </w:r>
      <w:r>
        <w:rPr>
          <w:rFonts w:hint="eastAsia" w:ascii="宋体" w:hAnsi="宋体" w:cs="宋体"/>
          <w:color w:val="auto"/>
          <w:u w:val="single"/>
        </w:rPr>
        <w:t>20%</w:t>
      </w:r>
      <w:r>
        <w:rPr>
          <w:rFonts w:hint="eastAsia" w:ascii="宋体" w:hAnsi="宋体" w:cs="宋体"/>
          <w:color w:val="auto"/>
        </w:rPr>
        <w:t>的扣除价格，用扣除后的价格参与评审。</w:t>
      </w:r>
    </w:p>
    <w:p w14:paraId="7D882D64">
      <w:pPr>
        <w:pStyle w:val="9"/>
        <w:spacing w:beforeAutospacing="0" w:afterAutospacing="0" w:line="460" w:lineRule="exact"/>
        <w:ind w:firstLine="360"/>
        <w:rPr>
          <w:color w:val="auto"/>
        </w:rPr>
      </w:pPr>
      <w:r>
        <w:rPr>
          <w:rFonts w:hint="eastAsia" w:ascii="宋体" w:hAnsi="宋体" w:cs="宋体"/>
          <w:color w:val="auto"/>
        </w:rPr>
        <w:t>（2）供应商需按照采购文件的要求提供相应的《小微企业声明函》。</w:t>
      </w:r>
    </w:p>
    <w:p w14:paraId="283E47E3">
      <w:pPr>
        <w:pStyle w:val="9"/>
        <w:spacing w:beforeAutospacing="0" w:afterAutospacing="0" w:line="460" w:lineRule="exact"/>
        <w:ind w:firstLine="360"/>
        <w:rPr>
          <w:color w:val="auto"/>
        </w:rPr>
      </w:pPr>
      <w:r>
        <w:rPr>
          <w:rFonts w:hint="eastAsia" w:ascii="宋体" w:hAnsi="宋体" w:cs="宋体"/>
          <w:color w:val="auto"/>
        </w:rPr>
        <w:t>（3）企业标准请参照《关于印发中小企业划型标准规定的通知》（工信部联企业[2011]300号）文件规定自行填写。</w:t>
      </w:r>
    </w:p>
    <w:p w14:paraId="7E48BB78">
      <w:pPr>
        <w:pStyle w:val="9"/>
        <w:spacing w:beforeAutospacing="0" w:afterAutospacing="0" w:line="460" w:lineRule="exact"/>
        <w:ind w:firstLine="480"/>
        <w:rPr>
          <w:color w:val="auto"/>
        </w:rPr>
      </w:pPr>
      <w:r>
        <w:rPr>
          <w:rFonts w:hint="eastAsia" w:ascii="宋体" w:hAnsi="宋体" w:cs="宋体"/>
          <w:color w:val="auto"/>
        </w:rPr>
        <w:t>2、残疾人福利单位价格扣除</w:t>
      </w:r>
    </w:p>
    <w:p w14:paraId="235FA6E2">
      <w:pPr>
        <w:pStyle w:val="9"/>
        <w:spacing w:beforeAutospacing="0" w:afterAutospacing="0" w:line="460" w:lineRule="exact"/>
        <w:ind w:firstLine="360"/>
        <w:rPr>
          <w:rFonts w:ascii="宋体" w:hAnsi="宋体" w:cs="宋体"/>
          <w:color w:val="auto"/>
          <w:u w:val="single"/>
        </w:rPr>
      </w:pPr>
      <w:r>
        <w:rPr>
          <w:rFonts w:hint="eastAsia" w:ascii="宋体" w:hAnsi="宋体" w:cs="宋体"/>
          <w:color w:val="auto"/>
        </w:rPr>
        <w:t>（1）本项目对残疾人福利性单位视同小型、微型企业，给予</w:t>
      </w:r>
      <w:r>
        <w:rPr>
          <w:rFonts w:hint="eastAsia" w:ascii="宋体" w:hAnsi="宋体" w:cs="宋体"/>
          <w:color w:val="auto"/>
          <w:u w:val="single"/>
        </w:rPr>
        <w:t>20%</w:t>
      </w:r>
      <w:r>
        <w:rPr>
          <w:rFonts w:hint="eastAsia" w:ascii="宋体" w:hAnsi="宋体" w:cs="宋体"/>
          <w:color w:val="auto"/>
        </w:rPr>
        <w:t>的扣除价格，用扣除后的价格参与评审。</w:t>
      </w:r>
    </w:p>
    <w:p w14:paraId="35266799">
      <w:pPr>
        <w:pStyle w:val="9"/>
        <w:spacing w:beforeAutospacing="0" w:afterAutospacing="0" w:line="460" w:lineRule="exact"/>
        <w:ind w:left="120" w:firstLine="360"/>
        <w:rPr>
          <w:color w:val="auto"/>
        </w:rPr>
      </w:pPr>
      <w:r>
        <w:rPr>
          <w:rFonts w:hint="eastAsia" w:ascii="宋体" w:hAnsi="宋体" w:cs="宋体"/>
          <w:color w:val="auto"/>
        </w:rPr>
        <w:t>（2）残疾人福利单位需按照采购文件的要求提供《残疾人福利性单位声明函》。</w:t>
      </w:r>
    </w:p>
    <w:p w14:paraId="69B19B41">
      <w:pPr>
        <w:pStyle w:val="9"/>
        <w:spacing w:beforeAutospacing="0" w:afterAutospacing="0" w:line="460" w:lineRule="exact"/>
        <w:ind w:left="120" w:firstLine="360"/>
        <w:rPr>
          <w:color w:val="auto"/>
        </w:rPr>
      </w:pPr>
      <w:r>
        <w:rPr>
          <w:rFonts w:hint="eastAsia" w:ascii="宋体" w:hAnsi="宋体" w:cs="宋体"/>
          <w:color w:val="auto"/>
        </w:rPr>
        <w:t>（3）残疾人福利单位标准请参照《关于促进残疾人就业政府采购政策的通知》（财库〔2017〕141号）。</w:t>
      </w:r>
    </w:p>
    <w:p w14:paraId="7BE1FFC9">
      <w:pPr>
        <w:pStyle w:val="9"/>
        <w:spacing w:beforeAutospacing="0" w:afterAutospacing="0" w:line="460" w:lineRule="exact"/>
        <w:ind w:firstLine="480"/>
        <w:rPr>
          <w:color w:val="auto"/>
        </w:rPr>
      </w:pPr>
      <w:r>
        <w:rPr>
          <w:rFonts w:hint="eastAsia" w:ascii="宋体" w:hAnsi="宋体" w:cs="宋体"/>
          <w:color w:val="auto"/>
        </w:rPr>
        <w:t>3、监狱和戒毒企业价格扣除</w:t>
      </w:r>
    </w:p>
    <w:p w14:paraId="6424BFCD">
      <w:pPr>
        <w:pStyle w:val="9"/>
        <w:spacing w:beforeAutospacing="0" w:afterAutospacing="0" w:line="460" w:lineRule="exact"/>
        <w:ind w:firstLine="360"/>
        <w:rPr>
          <w:rFonts w:ascii="宋体" w:hAnsi="宋体" w:cs="宋体"/>
          <w:color w:val="auto"/>
          <w:u w:val="single"/>
        </w:rPr>
      </w:pPr>
      <w:r>
        <w:rPr>
          <w:rFonts w:hint="eastAsia" w:ascii="宋体" w:hAnsi="宋体" w:cs="宋体"/>
          <w:color w:val="auto"/>
        </w:rPr>
        <w:t>（1）本项目对监狱和戒毒企业（简称监狱企业）视同小型、微型企业，给予</w:t>
      </w:r>
      <w:r>
        <w:rPr>
          <w:rFonts w:hint="eastAsia" w:ascii="宋体" w:hAnsi="宋体" w:cs="宋体"/>
          <w:color w:val="auto"/>
          <w:u w:val="single"/>
        </w:rPr>
        <w:t>20%</w:t>
      </w:r>
      <w:r>
        <w:rPr>
          <w:rFonts w:hint="eastAsia" w:ascii="宋体" w:hAnsi="宋体" w:cs="宋体"/>
          <w:color w:val="auto"/>
        </w:rPr>
        <w:t>的扣除价格，用扣除后的价格参与评审。</w:t>
      </w:r>
    </w:p>
    <w:p w14:paraId="5655ECE9">
      <w:pPr>
        <w:pStyle w:val="9"/>
        <w:spacing w:beforeAutospacing="0" w:afterAutospacing="0" w:line="460" w:lineRule="exact"/>
        <w:ind w:firstLine="480"/>
        <w:rPr>
          <w:color w:val="auto"/>
        </w:rPr>
      </w:pPr>
      <w:r>
        <w:rPr>
          <w:rFonts w:hint="eastAsia" w:ascii="宋体" w:hAnsi="宋体" w:cs="宋体"/>
          <w:color w:val="auto"/>
        </w:rPr>
        <w:t>（2）监狱企业参加政府采购活动时，需提供由省级以上监狱管理局、戒毒管理局(含新疆生产建设兵团)出具的属于监狱企业的证明文件。供应商如不提供上述证明文件，价格将不做相应扣除。</w:t>
      </w:r>
    </w:p>
    <w:p w14:paraId="4AF49179">
      <w:pPr>
        <w:pStyle w:val="9"/>
        <w:spacing w:beforeAutospacing="0" w:afterAutospacing="0" w:line="460" w:lineRule="exact"/>
        <w:ind w:firstLine="480"/>
        <w:rPr>
          <w:color w:val="auto"/>
        </w:rPr>
      </w:pPr>
      <w:r>
        <w:rPr>
          <w:rFonts w:hint="eastAsia" w:ascii="宋体" w:hAnsi="宋体" w:cs="宋体"/>
          <w:color w:val="auto"/>
        </w:rPr>
        <w:t>（3）监狱企业标准请参照《关于政府采购支持监狱企业发展有关问题的通知》（财库[2014]68号）。</w:t>
      </w:r>
    </w:p>
    <w:p w14:paraId="32DD15C6">
      <w:pPr>
        <w:pStyle w:val="9"/>
        <w:spacing w:beforeAutospacing="0" w:afterAutospacing="0" w:line="460" w:lineRule="exact"/>
        <w:ind w:firstLine="480"/>
        <w:rPr>
          <w:color w:val="auto"/>
        </w:rPr>
      </w:pPr>
      <w:r>
        <w:rPr>
          <w:rFonts w:hint="eastAsia" w:ascii="宋体" w:hAnsi="宋体" w:cs="宋体"/>
          <w:color w:val="auto"/>
        </w:rPr>
        <w:t>4、残疾人福利单位、监狱企业属于小型、微型企业的，不重复享受政策。</w:t>
      </w:r>
    </w:p>
    <w:p w14:paraId="6F99B57A">
      <w:pPr>
        <w:pStyle w:val="33"/>
        <w:spacing w:line="460" w:lineRule="exact"/>
        <w:ind w:firstLine="560"/>
        <w:rPr>
          <w:rFonts w:ascii="宋体" w:hAnsi="宋体" w:cs="Times New Roman"/>
          <w:color w:val="auto"/>
          <w:sz w:val="24"/>
          <w:szCs w:val="24"/>
        </w:rPr>
      </w:pPr>
      <w:r>
        <w:rPr>
          <w:rFonts w:hint="eastAsia" w:ascii="宋体" w:hAnsi="宋体" w:cs="Times New Roman"/>
          <w:color w:val="auto"/>
          <w:sz w:val="24"/>
          <w:szCs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022B7E9F">
      <w:pPr>
        <w:pStyle w:val="33"/>
        <w:spacing w:line="460" w:lineRule="exact"/>
        <w:ind w:firstLine="560"/>
        <w:rPr>
          <w:rFonts w:ascii="宋体" w:hAnsi="宋体" w:cs="Times New Roman"/>
          <w:color w:val="auto"/>
          <w:sz w:val="24"/>
          <w:szCs w:val="24"/>
        </w:rPr>
      </w:pPr>
      <w:r>
        <w:rPr>
          <w:rFonts w:hint="eastAsia" w:ascii="宋体" w:hAnsi="宋体" w:cs="Times New Roman"/>
          <w:color w:val="auto"/>
          <w:sz w:val="24"/>
          <w:szCs w:val="24"/>
        </w:rPr>
        <w:t>6、投标人对于投标产品的商品包装、快递包装应按照“财办库〔2020〕123号《关于印发《商品包装政府采购需求标准（试行）》、《快递包装政府采购需求标准（试行）》的通知》”执行。</w:t>
      </w:r>
    </w:p>
    <w:p w14:paraId="44A2CCBF">
      <w:pPr>
        <w:pStyle w:val="33"/>
        <w:spacing w:line="460" w:lineRule="exact"/>
        <w:ind w:firstLine="560"/>
        <w:rPr>
          <w:rFonts w:ascii="宋体" w:hAnsi="宋体" w:cs="Times New Roman"/>
          <w:color w:val="auto"/>
          <w:sz w:val="24"/>
          <w:szCs w:val="24"/>
        </w:rPr>
      </w:pPr>
      <w:r>
        <w:rPr>
          <w:rFonts w:hint="eastAsia" w:ascii="宋体" w:hAnsi="宋体" w:cs="Times New Roman"/>
          <w:color w:val="auto"/>
          <w:sz w:val="24"/>
          <w:szCs w:val="24"/>
        </w:rPr>
        <w:t>7、本文件中若涉及到数据中心采购，应按照《&lt;绿色数据中心政府采购需求标准（试行）&gt;的通知》（财库〔2023〕7号）执行。</w:t>
      </w:r>
    </w:p>
    <w:p w14:paraId="080D93E3">
      <w:pPr>
        <w:pStyle w:val="33"/>
        <w:spacing w:line="460" w:lineRule="exact"/>
        <w:ind w:firstLine="560"/>
        <w:rPr>
          <w:rFonts w:ascii="宋体" w:hAnsi="宋体" w:cs="Times New Roman"/>
          <w:color w:val="auto"/>
          <w:sz w:val="24"/>
          <w:szCs w:val="24"/>
        </w:rPr>
      </w:pPr>
      <w:r>
        <w:rPr>
          <w:rFonts w:hint="eastAsia" w:ascii="宋体" w:hAnsi="宋体" w:cs="Times New Roman"/>
          <w:color w:val="auto"/>
          <w:sz w:val="24"/>
          <w:szCs w:val="24"/>
        </w:rPr>
        <w:t>8、根据《江苏省政府采购信用管理暂行办法》的规定，供应商信用评价结果为三星的扣2分，评价结果为二星的扣3分，评价结果为一星的扣4分。</w:t>
      </w:r>
    </w:p>
    <w:p w14:paraId="23D56A73">
      <w:pPr>
        <w:pStyle w:val="33"/>
        <w:spacing w:line="360" w:lineRule="auto"/>
        <w:ind w:firstLine="560"/>
        <w:rPr>
          <w:rFonts w:ascii="宋体" w:hAnsi="宋体" w:cs="Times New Roman"/>
          <w:b/>
          <w:bCs/>
          <w:color w:val="auto"/>
          <w:sz w:val="24"/>
          <w:szCs w:val="24"/>
        </w:rPr>
      </w:pPr>
    </w:p>
    <w:p w14:paraId="78162AA2">
      <w:pPr>
        <w:pStyle w:val="33"/>
        <w:spacing w:line="360" w:lineRule="auto"/>
        <w:ind w:firstLine="560"/>
        <w:rPr>
          <w:rFonts w:ascii="宋体" w:hAnsi="宋体" w:cs="Times New Roman"/>
          <w:b/>
          <w:bCs/>
          <w:color w:val="auto"/>
          <w:sz w:val="24"/>
          <w:szCs w:val="24"/>
        </w:rPr>
      </w:pPr>
      <w:r>
        <w:rPr>
          <w:rFonts w:hint="eastAsia" w:ascii="宋体" w:hAnsi="宋体" w:cs="Times New Roman"/>
          <w:b/>
          <w:bCs/>
          <w:color w:val="auto"/>
          <w:sz w:val="24"/>
          <w:szCs w:val="24"/>
        </w:rPr>
        <w:t>三、评标方法与评标标准</w:t>
      </w:r>
    </w:p>
    <w:p w14:paraId="1091FA53">
      <w:pPr>
        <w:rPr>
          <w:rFonts w:ascii="Times New Roman" w:hAnsi="Times New Roman"/>
          <w:color w:val="auto"/>
          <w:szCs w:val="21"/>
          <w:highlight w:val="yellow"/>
        </w:rPr>
      </w:pPr>
    </w:p>
    <w:tbl>
      <w:tblPr>
        <w:tblStyle w:val="13"/>
        <w:tblW w:w="8998" w:type="dxa"/>
        <w:tblInd w:w="96" w:type="dxa"/>
        <w:tblLayout w:type="fixed"/>
        <w:tblCellMar>
          <w:top w:w="0" w:type="dxa"/>
          <w:left w:w="108" w:type="dxa"/>
          <w:bottom w:w="0" w:type="dxa"/>
          <w:right w:w="108" w:type="dxa"/>
        </w:tblCellMar>
      </w:tblPr>
      <w:tblGrid>
        <w:gridCol w:w="540"/>
        <w:gridCol w:w="760"/>
        <w:gridCol w:w="6786"/>
        <w:gridCol w:w="912"/>
      </w:tblGrid>
      <w:tr w14:paraId="0C4656F0">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5587BF48">
            <w:pPr>
              <w:widowControl/>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760" w:type="dxa"/>
            <w:tcBorders>
              <w:top w:val="single" w:color="000000" w:sz="4" w:space="0"/>
              <w:left w:val="single" w:color="000000" w:sz="4" w:space="0"/>
              <w:bottom w:val="single" w:color="000000" w:sz="4" w:space="0"/>
              <w:right w:val="single" w:color="000000" w:sz="4" w:space="0"/>
            </w:tcBorders>
            <w:vAlign w:val="center"/>
          </w:tcPr>
          <w:p w14:paraId="19D1F47F">
            <w:pP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评分内容</w:t>
            </w:r>
          </w:p>
        </w:tc>
        <w:tc>
          <w:tcPr>
            <w:tcW w:w="6786" w:type="dxa"/>
            <w:tcBorders>
              <w:top w:val="single" w:color="000000" w:sz="4" w:space="0"/>
              <w:left w:val="single" w:color="000000" w:sz="4" w:space="0"/>
              <w:bottom w:val="single" w:color="000000" w:sz="4" w:space="0"/>
              <w:right w:val="single" w:color="000000" w:sz="4" w:space="0"/>
            </w:tcBorders>
            <w:vAlign w:val="center"/>
          </w:tcPr>
          <w:p w14:paraId="6018F119">
            <w:pPr>
              <w:widowControl/>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912" w:type="dxa"/>
            <w:tcBorders>
              <w:top w:val="single" w:color="000000" w:sz="4" w:space="0"/>
              <w:left w:val="single" w:color="000000" w:sz="4" w:space="0"/>
              <w:bottom w:val="single" w:color="000000" w:sz="4" w:space="0"/>
              <w:right w:val="single" w:color="000000" w:sz="4" w:space="0"/>
            </w:tcBorders>
            <w:vAlign w:val="center"/>
          </w:tcPr>
          <w:p w14:paraId="1171F9AA">
            <w:pPr>
              <w:widowControl/>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r>
      <w:tr w14:paraId="696179D0">
        <w:tblPrEx>
          <w:tblCellMar>
            <w:top w:w="0" w:type="dxa"/>
            <w:left w:w="108" w:type="dxa"/>
            <w:bottom w:w="0" w:type="dxa"/>
            <w:right w:w="108" w:type="dxa"/>
          </w:tblCellMar>
        </w:tblPrEx>
        <w:trPr>
          <w:trHeight w:val="138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797D7687">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60" w:type="dxa"/>
            <w:tcBorders>
              <w:top w:val="single" w:color="000000" w:sz="4" w:space="0"/>
              <w:left w:val="single" w:color="000000" w:sz="4" w:space="0"/>
              <w:bottom w:val="single" w:color="000000" w:sz="4" w:space="0"/>
              <w:right w:val="single" w:color="000000" w:sz="4" w:space="0"/>
            </w:tcBorders>
            <w:vAlign w:val="center"/>
          </w:tcPr>
          <w:p w14:paraId="695E8AB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商务报价</w:t>
            </w:r>
          </w:p>
        </w:tc>
        <w:tc>
          <w:tcPr>
            <w:tcW w:w="6786" w:type="dxa"/>
            <w:tcBorders>
              <w:top w:val="single" w:color="000000" w:sz="4" w:space="0"/>
              <w:left w:val="single" w:color="000000" w:sz="4" w:space="0"/>
              <w:bottom w:val="single" w:color="000000" w:sz="4" w:space="0"/>
              <w:right w:val="single" w:color="000000" w:sz="4" w:space="0"/>
            </w:tcBorders>
            <w:vAlign w:val="center"/>
          </w:tcPr>
          <w:p w14:paraId="33200B2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lang w:bidi="ar"/>
              </w:rPr>
              <w:t>采用低价优先法计算，即满足招标文件要求的有效的最低投标价格为评标基准价，其价格分为满分</w:t>
            </w:r>
            <w:r>
              <w:rPr>
                <w:rFonts w:hint="eastAsia" w:ascii="宋体" w:hAnsi="宋体" w:eastAsia="宋体" w:cs="宋体"/>
                <w:color w:val="auto"/>
                <w:kern w:val="0"/>
                <w:sz w:val="24"/>
                <w:lang w:val="en-US" w:eastAsia="zh-CN" w:bidi="ar"/>
              </w:rPr>
              <w:t>10</w:t>
            </w:r>
            <w:r>
              <w:rPr>
                <w:rFonts w:hint="eastAsia" w:ascii="宋体" w:hAnsi="宋体" w:eastAsia="宋体" w:cs="宋体"/>
                <w:color w:val="auto"/>
                <w:kern w:val="0"/>
                <w:sz w:val="24"/>
                <w:lang w:bidi="ar"/>
              </w:rPr>
              <w:t>分，</w:t>
            </w:r>
            <w:r>
              <w:rPr>
                <w:rFonts w:hint="eastAsia" w:ascii="宋体" w:hAnsi="宋体" w:eastAsia="宋体" w:cs="宋体"/>
                <w:color w:val="auto"/>
                <w:sz w:val="24"/>
                <w:szCs w:val="24"/>
              </w:rPr>
              <w:t>其他投标单位的价格分统一按照下列公式计算：投标报价得分=(评标基准价／投标报价)×10</w:t>
            </w:r>
          </w:p>
        </w:tc>
        <w:tc>
          <w:tcPr>
            <w:tcW w:w="912" w:type="dxa"/>
            <w:tcBorders>
              <w:top w:val="single" w:color="000000" w:sz="4" w:space="0"/>
              <w:left w:val="single" w:color="000000" w:sz="4" w:space="0"/>
              <w:bottom w:val="single" w:color="000000" w:sz="4" w:space="0"/>
              <w:right w:val="single" w:color="000000" w:sz="4" w:space="0"/>
            </w:tcBorders>
            <w:vAlign w:val="center"/>
          </w:tcPr>
          <w:p w14:paraId="6F99C45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2E386B5E">
        <w:tblPrEx>
          <w:tblCellMar>
            <w:top w:w="0" w:type="dxa"/>
            <w:left w:w="108" w:type="dxa"/>
            <w:bottom w:w="0" w:type="dxa"/>
            <w:right w:w="108" w:type="dxa"/>
          </w:tblCellMar>
        </w:tblPrEx>
        <w:trPr>
          <w:trHeight w:val="1643"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625EA420">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60" w:type="dxa"/>
            <w:tcBorders>
              <w:top w:val="single" w:color="000000" w:sz="4" w:space="0"/>
              <w:left w:val="single" w:color="000000" w:sz="4" w:space="0"/>
              <w:bottom w:val="single" w:color="000000" w:sz="4" w:space="0"/>
              <w:right w:val="single" w:color="000000" w:sz="4" w:space="0"/>
            </w:tcBorders>
            <w:vAlign w:val="center"/>
          </w:tcPr>
          <w:p w14:paraId="5CC93B5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项目理解</w:t>
            </w:r>
          </w:p>
        </w:tc>
        <w:tc>
          <w:tcPr>
            <w:tcW w:w="6786" w:type="dxa"/>
            <w:tcBorders>
              <w:top w:val="single" w:color="000000" w:sz="4" w:space="0"/>
              <w:left w:val="single" w:color="000000" w:sz="4" w:space="0"/>
              <w:bottom w:val="single" w:color="000000" w:sz="4" w:space="0"/>
              <w:right w:val="single" w:color="000000" w:sz="4" w:space="0"/>
            </w:tcBorders>
            <w:vAlign w:val="center"/>
          </w:tcPr>
          <w:p w14:paraId="4FF3355D">
            <w:pPr>
              <w:widowControl/>
              <w:spacing w:line="360" w:lineRule="auto"/>
              <w:jc w:val="left"/>
              <w:rPr>
                <w:rFonts w:hint="eastAsia" w:ascii="宋体" w:hAnsi="宋体" w:eastAsia="宋体" w:cs="宋体"/>
                <w:color w:val="auto"/>
                <w:sz w:val="24"/>
                <w:szCs w:val="24"/>
              </w:rPr>
            </w:pPr>
            <w:bookmarkStart w:id="270" w:name="_GoBack"/>
            <w:r>
              <w:rPr>
                <w:rFonts w:hint="eastAsia" w:ascii="宋体" w:hAnsi="宋体" w:eastAsia="宋体" w:cs="宋体"/>
                <w:color w:val="auto"/>
                <w:sz w:val="24"/>
                <w:szCs w:val="24"/>
                <w:lang w:val="en-US" w:eastAsia="zh-CN"/>
              </w:rPr>
              <w:t>根据招标文件项目需求的内容</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投标人提供能够满足项目需求的项目理解方案。方案内容须包括：信息化系统现状、本项目最终建设目标两项内容</w:t>
            </w:r>
            <w:r>
              <w:rPr>
                <w:rFonts w:hint="eastAsia" w:ascii="宋体" w:hAnsi="宋体" w:eastAsia="宋体" w:cs="宋体"/>
                <w:color w:val="auto"/>
                <w:sz w:val="24"/>
                <w:szCs w:val="24"/>
              </w:rPr>
              <w:t>。每</w:t>
            </w:r>
            <w:r>
              <w:rPr>
                <w:rFonts w:hint="eastAsia" w:ascii="宋体" w:hAnsi="宋体" w:eastAsia="宋体" w:cs="宋体"/>
                <w:color w:val="auto"/>
                <w:sz w:val="24"/>
                <w:szCs w:val="24"/>
                <w:lang w:val="en-US" w:eastAsia="zh-CN"/>
              </w:rPr>
              <w:t>提供一项优于项目需求内容理解方案的得</w:t>
            </w:r>
            <w:r>
              <w:rPr>
                <w:rFonts w:hint="eastAsia" w:ascii="宋体" w:hAnsi="宋体" w:eastAsia="宋体" w:cs="宋体"/>
                <w:color w:val="auto"/>
                <w:sz w:val="24"/>
                <w:szCs w:val="24"/>
              </w:rPr>
              <w:t>1分</w:t>
            </w:r>
            <w:r>
              <w:rPr>
                <w:rFonts w:hint="eastAsia" w:cs="宋体"/>
                <w:color w:val="auto"/>
                <w:sz w:val="24"/>
                <w:szCs w:val="24"/>
                <w:lang w:eastAsia="zh-CN"/>
              </w:rPr>
              <w:t>；</w:t>
            </w:r>
            <w:r>
              <w:rPr>
                <w:rFonts w:hint="eastAsia" w:ascii="宋体" w:hAnsi="宋体" w:eastAsia="宋体" w:cs="宋体"/>
                <w:color w:val="auto"/>
                <w:sz w:val="24"/>
                <w:szCs w:val="24"/>
              </w:rPr>
              <w:t>每</w:t>
            </w:r>
            <w:r>
              <w:rPr>
                <w:rFonts w:hint="eastAsia" w:ascii="宋体" w:hAnsi="宋体" w:eastAsia="宋体" w:cs="宋体"/>
                <w:color w:val="auto"/>
                <w:sz w:val="24"/>
                <w:szCs w:val="24"/>
                <w:lang w:val="en-US" w:eastAsia="zh-CN"/>
              </w:rPr>
              <w:t>提供一项</w:t>
            </w:r>
            <w:r>
              <w:rPr>
                <w:rFonts w:hint="eastAsia" w:cs="宋体"/>
                <w:color w:val="auto"/>
                <w:sz w:val="24"/>
                <w:szCs w:val="24"/>
                <w:lang w:val="en-US" w:eastAsia="zh-CN"/>
              </w:rPr>
              <w:t>满足</w:t>
            </w:r>
            <w:r>
              <w:rPr>
                <w:rFonts w:hint="eastAsia" w:ascii="宋体" w:hAnsi="宋体" w:eastAsia="宋体" w:cs="宋体"/>
                <w:color w:val="auto"/>
                <w:sz w:val="24"/>
                <w:szCs w:val="24"/>
                <w:lang w:val="en-US" w:eastAsia="zh-CN"/>
              </w:rPr>
              <w:t>项目需求内容理解方案的得</w:t>
            </w:r>
            <w:r>
              <w:rPr>
                <w:rFonts w:hint="eastAsia" w:cs="宋体"/>
                <w:color w:val="auto"/>
                <w:sz w:val="24"/>
                <w:szCs w:val="24"/>
                <w:lang w:val="en-US" w:eastAsia="zh-CN"/>
              </w:rPr>
              <w:t>0.5</w:t>
            </w:r>
            <w:r>
              <w:rPr>
                <w:rFonts w:hint="eastAsia" w:ascii="宋体" w:hAnsi="宋体" w:eastAsia="宋体" w:cs="宋体"/>
                <w:color w:val="auto"/>
                <w:sz w:val="24"/>
                <w:szCs w:val="24"/>
              </w:rPr>
              <w:t>分</w:t>
            </w:r>
            <w:r>
              <w:rPr>
                <w:rFonts w:hint="eastAsia" w:cs="宋体"/>
                <w:color w:val="auto"/>
                <w:sz w:val="24"/>
                <w:szCs w:val="24"/>
                <w:lang w:eastAsia="zh-CN"/>
              </w:rPr>
              <w:t>；</w:t>
            </w:r>
            <w:r>
              <w:rPr>
                <w:rFonts w:hint="eastAsia" w:ascii="宋体" w:hAnsi="宋体" w:eastAsia="宋体" w:cs="宋体"/>
                <w:color w:val="auto"/>
                <w:sz w:val="24"/>
                <w:szCs w:val="24"/>
              </w:rPr>
              <w:t>不提供或方案</w:t>
            </w:r>
            <w:r>
              <w:rPr>
                <w:rFonts w:hint="eastAsia" w:ascii="宋体" w:hAnsi="宋体" w:eastAsia="宋体" w:cs="宋体"/>
                <w:color w:val="auto"/>
                <w:sz w:val="24"/>
                <w:szCs w:val="24"/>
                <w:lang w:val="en-US" w:eastAsia="zh-CN"/>
              </w:rPr>
              <w:t>不满足项目需求的</w:t>
            </w:r>
            <w:r>
              <w:rPr>
                <w:rFonts w:hint="eastAsia" w:ascii="宋体" w:hAnsi="宋体" w:eastAsia="宋体" w:cs="宋体"/>
                <w:color w:val="auto"/>
                <w:sz w:val="24"/>
                <w:szCs w:val="24"/>
              </w:rPr>
              <w:t>不得分。</w:t>
            </w:r>
            <w:r>
              <w:rPr>
                <w:rFonts w:hint="eastAsia" w:ascii="宋体" w:hAnsi="宋体" w:eastAsia="宋体" w:cs="宋体"/>
                <w:color w:val="auto"/>
                <w:sz w:val="24"/>
                <w:szCs w:val="24"/>
                <w:lang w:val="en-US" w:eastAsia="zh-CN"/>
              </w:rPr>
              <w:t>最高得2</w:t>
            </w:r>
            <w:r>
              <w:rPr>
                <w:rFonts w:hint="eastAsia" w:ascii="宋体" w:hAnsi="宋体" w:eastAsia="宋体" w:cs="宋体"/>
                <w:color w:val="auto"/>
                <w:sz w:val="24"/>
                <w:szCs w:val="24"/>
              </w:rPr>
              <w:t xml:space="preserve">分；  </w:t>
            </w:r>
            <w:bookmarkEnd w:id="270"/>
            <w:r>
              <w:rPr>
                <w:rFonts w:hint="eastAsia" w:ascii="宋体" w:hAnsi="宋体" w:eastAsia="宋体" w:cs="宋体"/>
                <w:color w:val="auto"/>
                <w:sz w:val="24"/>
                <w:szCs w:val="24"/>
              </w:rPr>
              <w:t xml:space="preserve">                        </w:t>
            </w:r>
          </w:p>
        </w:tc>
        <w:tc>
          <w:tcPr>
            <w:tcW w:w="912" w:type="dxa"/>
            <w:tcBorders>
              <w:top w:val="single" w:color="000000" w:sz="4" w:space="0"/>
              <w:left w:val="single" w:color="000000" w:sz="4" w:space="0"/>
              <w:bottom w:val="single" w:color="000000" w:sz="4" w:space="0"/>
              <w:right w:val="single" w:color="000000" w:sz="4" w:space="0"/>
            </w:tcBorders>
            <w:vAlign w:val="center"/>
          </w:tcPr>
          <w:p w14:paraId="08768540">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r>
      <w:tr w14:paraId="51DD104E">
        <w:tblPrEx>
          <w:tblCellMar>
            <w:top w:w="0" w:type="dxa"/>
            <w:left w:w="108" w:type="dxa"/>
            <w:bottom w:w="0" w:type="dxa"/>
            <w:right w:w="108" w:type="dxa"/>
          </w:tblCellMar>
        </w:tblPrEx>
        <w:trPr>
          <w:trHeight w:val="154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4F7BE76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60" w:type="dxa"/>
            <w:tcBorders>
              <w:top w:val="single" w:color="000000" w:sz="4" w:space="0"/>
              <w:left w:val="single" w:color="000000" w:sz="4" w:space="0"/>
              <w:bottom w:val="single" w:color="000000" w:sz="4" w:space="0"/>
              <w:right w:val="single" w:color="000000" w:sz="4" w:space="0"/>
            </w:tcBorders>
            <w:vAlign w:val="top"/>
          </w:tcPr>
          <w:p w14:paraId="17C974E0">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产品功能性能配置要求</w:t>
            </w:r>
          </w:p>
        </w:tc>
        <w:tc>
          <w:tcPr>
            <w:tcW w:w="6786" w:type="dxa"/>
            <w:tcBorders>
              <w:top w:val="single" w:color="000000" w:sz="4" w:space="0"/>
              <w:left w:val="single" w:color="000000" w:sz="4" w:space="0"/>
              <w:bottom w:val="single" w:color="000000" w:sz="4" w:space="0"/>
              <w:right w:val="single" w:color="000000" w:sz="4" w:space="0"/>
            </w:tcBorders>
            <w:vAlign w:val="center"/>
          </w:tcPr>
          <w:p w14:paraId="26A8A723">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投标人所投产品完全满足“招标参数”要求的得满分18分；其中标注“▲”号的参数为重要功能参数，每有一项负偏离扣1分（须提供系统功能截图证明材料加盖投标人公章，否则不得分），总分13分，扣完为止；</w:t>
            </w:r>
            <w:r>
              <w:rPr>
                <w:rFonts w:hint="default" w:ascii="宋体" w:hAnsi="宋体" w:eastAsia="宋体" w:cs="宋体"/>
                <w:color w:val="auto"/>
                <w:sz w:val="24"/>
                <w:szCs w:val="24"/>
                <w:lang w:val="en-US" w:eastAsia="zh-CN"/>
              </w:rPr>
              <w:t>其中</w:t>
            </w:r>
            <w:r>
              <w:rPr>
                <w:rFonts w:hint="eastAsia" w:ascii="宋体" w:hAnsi="宋体" w:eastAsia="宋体" w:cs="宋体"/>
                <w:color w:val="auto"/>
                <w:sz w:val="24"/>
                <w:szCs w:val="24"/>
                <w:lang w:val="en-US" w:eastAsia="zh-CN"/>
              </w:rPr>
              <w:t>标注“</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”号的参数，如有一项负偏离扣0.01分（须提供加盖投标人红色公章的“技术参数响应对照表”为准，否则不得分），总分5分，扣完为止。</w:t>
            </w:r>
          </w:p>
          <w:p w14:paraId="01B2D98A">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项目参数、技术指标不得虚假响应，如经查实，将予以取消中标资格、并提交财政监管部门列入不良记录处理。</w:t>
            </w:r>
          </w:p>
        </w:tc>
        <w:tc>
          <w:tcPr>
            <w:tcW w:w="912" w:type="dxa"/>
            <w:tcBorders>
              <w:top w:val="single" w:color="000000" w:sz="4" w:space="0"/>
              <w:left w:val="single" w:color="000000" w:sz="4" w:space="0"/>
              <w:bottom w:val="single" w:color="000000" w:sz="4" w:space="0"/>
              <w:right w:val="single" w:color="000000" w:sz="4" w:space="0"/>
            </w:tcBorders>
            <w:vAlign w:val="center"/>
          </w:tcPr>
          <w:p w14:paraId="42B613E3">
            <w:pPr>
              <w:widowControl/>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r>
      <w:tr w14:paraId="00908936">
        <w:tblPrEx>
          <w:tblCellMar>
            <w:top w:w="0" w:type="dxa"/>
            <w:left w:w="108" w:type="dxa"/>
            <w:bottom w:w="0" w:type="dxa"/>
            <w:right w:w="108" w:type="dxa"/>
          </w:tblCellMar>
        </w:tblPrEx>
        <w:trPr>
          <w:trHeight w:val="1400" w:hRule="atLeast"/>
        </w:trPr>
        <w:tc>
          <w:tcPr>
            <w:tcW w:w="540" w:type="dxa"/>
            <w:vMerge w:val="restart"/>
            <w:tcBorders>
              <w:top w:val="single" w:color="000000" w:sz="4" w:space="0"/>
              <w:left w:val="single" w:color="000000" w:sz="4" w:space="0"/>
              <w:bottom w:val="single" w:color="000000" w:sz="4" w:space="0"/>
              <w:right w:val="single" w:color="000000" w:sz="4" w:space="0"/>
            </w:tcBorders>
            <w:vAlign w:val="center"/>
          </w:tcPr>
          <w:p w14:paraId="4349D918">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560B76EA">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总体设计方案</w:t>
            </w:r>
          </w:p>
        </w:tc>
        <w:tc>
          <w:tcPr>
            <w:tcW w:w="6786" w:type="dxa"/>
            <w:tcBorders>
              <w:top w:val="single" w:color="000000" w:sz="4" w:space="0"/>
              <w:left w:val="single" w:color="000000" w:sz="4" w:space="0"/>
              <w:bottom w:val="single" w:color="000000" w:sz="4" w:space="0"/>
              <w:right w:val="single" w:color="000000" w:sz="4" w:space="0"/>
            </w:tcBorders>
            <w:vAlign w:val="center"/>
          </w:tcPr>
          <w:p w14:paraId="2F73740A">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根据项目需求内容，投标人提供总体设计方案。方案须包含：总体架构、业务架构、数据架构、技术路线四项内容。方案需结构完整、层级结构清晰，须满足项目建设单位建设目标。每提供一项优于项目建设目标方案的得1分，每提供一项满足项目建设目标方案的得0.5分；不提供或方案不满足项目建设目标的不得分。最高得4分。                            </w:t>
            </w:r>
          </w:p>
        </w:tc>
        <w:tc>
          <w:tcPr>
            <w:tcW w:w="912" w:type="dxa"/>
            <w:tcBorders>
              <w:top w:val="single" w:color="000000" w:sz="4" w:space="0"/>
              <w:left w:val="single" w:color="000000" w:sz="4" w:space="0"/>
              <w:bottom w:val="single" w:color="000000" w:sz="4" w:space="0"/>
              <w:right w:val="single" w:color="000000" w:sz="4" w:space="0"/>
            </w:tcBorders>
            <w:vAlign w:val="center"/>
          </w:tcPr>
          <w:p w14:paraId="1A15593B">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w:t>
            </w:r>
          </w:p>
        </w:tc>
      </w:tr>
      <w:tr w14:paraId="3F86D764">
        <w:tblPrEx>
          <w:tblCellMar>
            <w:top w:w="0" w:type="dxa"/>
            <w:left w:w="108" w:type="dxa"/>
            <w:bottom w:w="0" w:type="dxa"/>
            <w:right w:w="108" w:type="dxa"/>
          </w:tblCellMar>
        </w:tblPrEx>
        <w:trPr>
          <w:trHeight w:val="2660"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6949E322">
            <w:pPr>
              <w:widowControl/>
              <w:spacing w:line="360" w:lineRule="auto"/>
              <w:jc w:val="left"/>
              <w:rPr>
                <w:rFonts w:hint="eastAsia" w:ascii="宋体" w:hAnsi="宋体" w:eastAsia="宋体" w:cs="宋体"/>
                <w:color w:val="auto"/>
                <w:sz w:val="24"/>
                <w:szCs w:val="24"/>
              </w:rPr>
            </w:pPr>
          </w:p>
        </w:tc>
        <w:tc>
          <w:tcPr>
            <w:tcW w:w="760" w:type="dxa"/>
            <w:vMerge w:val="continue"/>
            <w:tcBorders>
              <w:top w:val="single" w:color="000000" w:sz="4" w:space="0"/>
              <w:left w:val="single" w:color="000000" w:sz="4" w:space="0"/>
              <w:bottom w:val="single" w:color="000000" w:sz="4" w:space="0"/>
              <w:right w:val="single" w:color="000000" w:sz="4" w:space="0"/>
            </w:tcBorders>
            <w:vAlign w:val="center"/>
          </w:tcPr>
          <w:p w14:paraId="13BECE46">
            <w:pPr>
              <w:widowControl/>
              <w:spacing w:line="360" w:lineRule="auto"/>
              <w:jc w:val="left"/>
              <w:rPr>
                <w:rFonts w:hint="eastAsia" w:ascii="宋体" w:hAnsi="宋体" w:eastAsia="宋体" w:cs="宋体"/>
                <w:color w:val="auto"/>
                <w:sz w:val="24"/>
                <w:szCs w:val="24"/>
              </w:rPr>
            </w:pPr>
          </w:p>
        </w:tc>
        <w:tc>
          <w:tcPr>
            <w:tcW w:w="6786" w:type="dxa"/>
            <w:tcBorders>
              <w:top w:val="single" w:color="000000" w:sz="4" w:space="0"/>
              <w:left w:val="single" w:color="000000" w:sz="4" w:space="0"/>
              <w:bottom w:val="single" w:color="000000" w:sz="4" w:space="0"/>
              <w:right w:val="single" w:color="000000" w:sz="4" w:space="0"/>
            </w:tcBorders>
            <w:vAlign w:val="center"/>
          </w:tcPr>
          <w:p w14:paraId="682ED3E1">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根据项目实际建设需求，提供详细的项目实施方案。方案包含以下内容：项目施工进度计划、人员配备、质量管理体系、施工措施方案、项目验收交付方案五项内容。方案需结构完整、层级结构清晰，须满足项目建设单位建设目标。</w:t>
            </w:r>
          </w:p>
          <w:p w14:paraId="5E1DFBE3">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每提供一项优于项目实际建设需求方案的得1分，每提供一项满足项目实际建设需求方案的得0.5分；不提供或方案不满足项目实际建设需求的不得分。本项目最高得5分。                             </w:t>
            </w:r>
          </w:p>
        </w:tc>
        <w:tc>
          <w:tcPr>
            <w:tcW w:w="912" w:type="dxa"/>
            <w:tcBorders>
              <w:top w:val="single" w:color="000000" w:sz="4" w:space="0"/>
              <w:left w:val="single" w:color="000000" w:sz="4" w:space="0"/>
              <w:bottom w:val="single" w:color="000000" w:sz="4" w:space="0"/>
              <w:right w:val="single" w:color="000000" w:sz="4" w:space="0"/>
            </w:tcBorders>
            <w:vAlign w:val="center"/>
          </w:tcPr>
          <w:p w14:paraId="2599574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5</w:t>
            </w:r>
          </w:p>
        </w:tc>
      </w:tr>
      <w:tr w14:paraId="70164552">
        <w:tblPrEx>
          <w:tblCellMar>
            <w:top w:w="0" w:type="dxa"/>
            <w:left w:w="108" w:type="dxa"/>
            <w:bottom w:w="0" w:type="dxa"/>
            <w:right w:w="108" w:type="dxa"/>
          </w:tblCellMar>
        </w:tblPrEx>
        <w:trPr>
          <w:trHeight w:val="800" w:hRule="atLeast"/>
        </w:trPr>
        <w:tc>
          <w:tcPr>
            <w:tcW w:w="540" w:type="dxa"/>
            <w:vMerge w:val="restart"/>
            <w:tcBorders>
              <w:top w:val="single" w:color="000000" w:sz="4" w:space="0"/>
              <w:left w:val="single" w:color="000000" w:sz="4" w:space="0"/>
              <w:bottom w:val="single" w:color="000000" w:sz="4" w:space="0"/>
              <w:right w:val="single" w:color="000000" w:sz="4" w:space="0"/>
            </w:tcBorders>
            <w:vAlign w:val="center"/>
          </w:tcPr>
          <w:p w14:paraId="334970B8">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5</w:t>
            </w: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6CF5C78C">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培训方案</w:t>
            </w:r>
          </w:p>
        </w:tc>
        <w:tc>
          <w:tcPr>
            <w:tcW w:w="6786" w:type="dxa"/>
            <w:tcBorders>
              <w:top w:val="single" w:color="000000" w:sz="4" w:space="0"/>
              <w:left w:val="single" w:color="000000" w:sz="4" w:space="0"/>
              <w:bottom w:val="single" w:color="000000" w:sz="4" w:space="0"/>
              <w:right w:val="single" w:color="000000" w:sz="4" w:space="0"/>
            </w:tcBorders>
            <w:vAlign w:val="center"/>
          </w:tcPr>
          <w:p w14:paraId="152E10F7">
            <w:pPr>
              <w:widowControl/>
              <w:numPr>
                <w:ilvl w:val="0"/>
                <w:numId w:val="0"/>
              </w:numPr>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投标人根据项目需求内容，提供满足项目需求的培训方案。方案内容优于项目需求内容的得2分；方案内容满足项目需求内容的得1分；方案不满足项目需求内容或不提供不得分。本项最高得2分。</w:t>
            </w:r>
          </w:p>
        </w:tc>
        <w:tc>
          <w:tcPr>
            <w:tcW w:w="912" w:type="dxa"/>
            <w:vMerge w:val="restart"/>
            <w:tcBorders>
              <w:top w:val="single" w:color="000000" w:sz="4" w:space="0"/>
              <w:left w:val="single" w:color="000000" w:sz="4" w:space="0"/>
              <w:bottom w:val="single" w:color="000000" w:sz="4" w:space="0"/>
              <w:right w:val="single" w:color="000000" w:sz="4" w:space="0"/>
            </w:tcBorders>
            <w:vAlign w:val="center"/>
          </w:tcPr>
          <w:p w14:paraId="6DAA557E">
            <w:pPr>
              <w:widowControl/>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r>
      <w:tr w14:paraId="769CEEA5">
        <w:tblPrEx>
          <w:tblCellMar>
            <w:top w:w="0" w:type="dxa"/>
            <w:left w:w="108" w:type="dxa"/>
            <w:bottom w:w="0" w:type="dxa"/>
            <w:right w:w="108" w:type="dxa"/>
          </w:tblCellMar>
        </w:tblPrEx>
        <w:trPr>
          <w:trHeight w:val="820"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1D7BC1CF">
            <w:pPr>
              <w:widowControl/>
              <w:spacing w:line="360" w:lineRule="auto"/>
              <w:jc w:val="left"/>
              <w:rPr>
                <w:rFonts w:hint="eastAsia" w:ascii="宋体" w:hAnsi="宋体" w:eastAsia="宋体" w:cs="宋体"/>
                <w:color w:val="auto"/>
                <w:sz w:val="24"/>
                <w:szCs w:val="24"/>
              </w:rPr>
            </w:pPr>
          </w:p>
        </w:tc>
        <w:tc>
          <w:tcPr>
            <w:tcW w:w="760" w:type="dxa"/>
            <w:vMerge w:val="continue"/>
            <w:tcBorders>
              <w:top w:val="single" w:color="000000" w:sz="4" w:space="0"/>
              <w:left w:val="single" w:color="000000" w:sz="4" w:space="0"/>
              <w:bottom w:val="single" w:color="000000" w:sz="4" w:space="0"/>
              <w:right w:val="single" w:color="000000" w:sz="4" w:space="0"/>
            </w:tcBorders>
            <w:vAlign w:val="center"/>
          </w:tcPr>
          <w:p w14:paraId="406192B2">
            <w:pPr>
              <w:widowControl/>
              <w:spacing w:line="360" w:lineRule="auto"/>
              <w:jc w:val="left"/>
              <w:rPr>
                <w:rFonts w:hint="eastAsia" w:ascii="宋体" w:hAnsi="宋体" w:eastAsia="宋体" w:cs="宋体"/>
                <w:color w:val="auto"/>
                <w:sz w:val="24"/>
                <w:szCs w:val="24"/>
              </w:rPr>
            </w:pPr>
          </w:p>
        </w:tc>
        <w:tc>
          <w:tcPr>
            <w:tcW w:w="6786" w:type="dxa"/>
            <w:tcBorders>
              <w:top w:val="single" w:color="000000" w:sz="4" w:space="0"/>
              <w:left w:val="single" w:color="000000" w:sz="4" w:space="0"/>
              <w:bottom w:val="single" w:color="000000" w:sz="4" w:space="0"/>
              <w:right w:val="single" w:color="000000" w:sz="4" w:space="0"/>
            </w:tcBorders>
            <w:vAlign w:val="center"/>
          </w:tcPr>
          <w:p w14:paraId="16578EFE">
            <w:pPr>
              <w:widowControl/>
              <w:numPr>
                <w:ilvl w:val="0"/>
                <w:numId w:val="0"/>
              </w:numPr>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投标人基于系统建设各时间节点，配备专人进行培训，提供培训团队人员配备计划表的得1分。须提供团队人员配备计划表，否则不得分。</w:t>
            </w:r>
          </w:p>
        </w:tc>
        <w:tc>
          <w:tcPr>
            <w:tcW w:w="912" w:type="dxa"/>
            <w:vMerge w:val="continue"/>
            <w:tcBorders>
              <w:top w:val="single" w:color="000000" w:sz="4" w:space="0"/>
              <w:left w:val="single" w:color="000000" w:sz="4" w:space="0"/>
              <w:bottom w:val="single" w:color="000000" w:sz="4" w:space="0"/>
              <w:right w:val="single" w:color="000000" w:sz="4" w:space="0"/>
            </w:tcBorders>
            <w:vAlign w:val="center"/>
          </w:tcPr>
          <w:p w14:paraId="7934E7C3">
            <w:pPr>
              <w:widowControl/>
              <w:spacing w:line="360" w:lineRule="auto"/>
              <w:jc w:val="left"/>
              <w:rPr>
                <w:rFonts w:hint="eastAsia" w:ascii="宋体" w:hAnsi="宋体" w:eastAsia="宋体" w:cs="宋体"/>
                <w:color w:val="auto"/>
                <w:sz w:val="24"/>
                <w:szCs w:val="24"/>
              </w:rPr>
            </w:pPr>
          </w:p>
        </w:tc>
      </w:tr>
      <w:tr w14:paraId="1EEEA62F">
        <w:tblPrEx>
          <w:tblCellMar>
            <w:top w:w="0" w:type="dxa"/>
            <w:left w:w="108" w:type="dxa"/>
            <w:bottom w:w="0" w:type="dxa"/>
            <w:right w:w="108" w:type="dxa"/>
          </w:tblCellMar>
        </w:tblPrEx>
        <w:trPr>
          <w:trHeight w:val="120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7BB7EA83">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6</w:t>
            </w:r>
          </w:p>
        </w:tc>
        <w:tc>
          <w:tcPr>
            <w:tcW w:w="760" w:type="dxa"/>
            <w:tcBorders>
              <w:top w:val="single" w:color="000000" w:sz="4" w:space="0"/>
              <w:left w:val="single" w:color="000000" w:sz="4" w:space="0"/>
              <w:bottom w:val="single" w:color="000000" w:sz="4" w:space="0"/>
              <w:right w:val="single" w:color="000000" w:sz="4" w:space="0"/>
            </w:tcBorders>
            <w:vAlign w:val="center"/>
          </w:tcPr>
          <w:p w14:paraId="21E30F90">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安全方案</w:t>
            </w:r>
          </w:p>
        </w:tc>
        <w:tc>
          <w:tcPr>
            <w:tcW w:w="6786" w:type="dxa"/>
            <w:tcBorders>
              <w:top w:val="single" w:color="000000" w:sz="4" w:space="0"/>
              <w:left w:val="single" w:color="000000" w:sz="4" w:space="0"/>
              <w:bottom w:val="single" w:color="000000" w:sz="4" w:space="0"/>
              <w:right w:val="single" w:color="000000" w:sz="4" w:space="0"/>
            </w:tcBorders>
            <w:vAlign w:val="center"/>
          </w:tcPr>
          <w:p w14:paraId="1A7239A7">
            <w:pPr>
              <w:widowControl/>
              <w:numPr>
                <w:ilvl w:val="0"/>
                <w:numId w:val="0"/>
              </w:numPr>
              <w:spacing w:line="360" w:lineRule="auto"/>
              <w:jc w:val="left"/>
              <w:rPr>
                <w:rFonts w:hint="eastAsia" w:ascii="宋体" w:hAnsi="宋体" w:eastAsia="宋体" w:cs="宋体"/>
                <w:color w:val="auto"/>
                <w:sz w:val="24"/>
                <w:szCs w:val="24"/>
                <w:lang w:val="en-US" w:eastAsia="zh-CN"/>
              </w:rPr>
            </w:pPr>
          </w:p>
          <w:p w14:paraId="6FD711E4">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投标人根据项目需求内容，提供满足项目需求的系统的应用安全、隐私保护两项的措施和解决方案；</w:t>
            </w:r>
          </w:p>
          <w:p w14:paraId="424777AD">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每提供一项优于项目需求方案的得</w:t>
            </w:r>
            <w:r>
              <w:rPr>
                <w:rFonts w:hint="eastAsia" w:cs="宋体"/>
                <w:color w:val="auto"/>
                <w:sz w:val="24"/>
                <w:szCs w:val="24"/>
                <w:lang w:val="en-US" w:eastAsia="zh-CN"/>
              </w:rPr>
              <w:t>1.5</w:t>
            </w:r>
            <w:r>
              <w:rPr>
                <w:rFonts w:hint="eastAsia" w:ascii="宋体" w:hAnsi="宋体" w:eastAsia="宋体" w:cs="宋体"/>
                <w:color w:val="auto"/>
                <w:sz w:val="24"/>
                <w:szCs w:val="24"/>
                <w:lang w:val="en-US" w:eastAsia="zh-CN"/>
              </w:rPr>
              <w:t>分；每提供一项满足项目需求方案的得</w:t>
            </w:r>
            <w:r>
              <w:rPr>
                <w:rFonts w:hint="eastAsia" w:cs="宋体"/>
                <w:color w:val="auto"/>
                <w:sz w:val="24"/>
                <w:szCs w:val="24"/>
                <w:lang w:val="en-US" w:eastAsia="zh-CN"/>
              </w:rPr>
              <w:t>0.75</w:t>
            </w:r>
            <w:r>
              <w:rPr>
                <w:rFonts w:hint="eastAsia" w:ascii="宋体" w:hAnsi="宋体" w:eastAsia="宋体" w:cs="宋体"/>
                <w:color w:val="auto"/>
                <w:sz w:val="24"/>
                <w:szCs w:val="24"/>
                <w:lang w:val="en-US" w:eastAsia="zh-CN"/>
              </w:rPr>
              <w:t>分；不提供或方案不满足项目需求的不得分。最高得</w:t>
            </w:r>
            <w:r>
              <w:rPr>
                <w:rFonts w:hint="eastAsia" w:cs="宋体"/>
                <w:color w:val="auto"/>
                <w:sz w:val="24"/>
                <w:szCs w:val="24"/>
                <w:lang w:val="en-US" w:eastAsia="zh-CN"/>
              </w:rPr>
              <w:t>3</w:t>
            </w:r>
            <w:r>
              <w:rPr>
                <w:rFonts w:hint="eastAsia" w:ascii="宋体" w:hAnsi="宋体" w:eastAsia="宋体" w:cs="宋体"/>
                <w:color w:val="auto"/>
                <w:sz w:val="24"/>
                <w:szCs w:val="24"/>
                <w:lang w:val="en-US" w:eastAsia="zh-CN"/>
              </w:rPr>
              <w:t xml:space="preserve">分。   </w:t>
            </w:r>
          </w:p>
        </w:tc>
        <w:tc>
          <w:tcPr>
            <w:tcW w:w="912" w:type="dxa"/>
            <w:tcBorders>
              <w:top w:val="single" w:color="000000" w:sz="4" w:space="0"/>
              <w:left w:val="single" w:color="000000" w:sz="4" w:space="0"/>
              <w:bottom w:val="single" w:color="000000" w:sz="4" w:space="0"/>
              <w:right w:val="single" w:color="000000" w:sz="4" w:space="0"/>
            </w:tcBorders>
            <w:vAlign w:val="center"/>
          </w:tcPr>
          <w:p w14:paraId="4220B609">
            <w:pPr>
              <w:widowControl/>
              <w:spacing w:line="360" w:lineRule="auto"/>
              <w:jc w:val="left"/>
              <w:rPr>
                <w:rFonts w:hint="eastAsia" w:ascii="宋体" w:hAnsi="宋体" w:eastAsia="宋体" w:cs="宋体"/>
                <w:color w:val="auto"/>
                <w:sz w:val="24"/>
                <w:szCs w:val="24"/>
                <w:lang w:eastAsia="zh-CN"/>
              </w:rPr>
            </w:pPr>
            <w:r>
              <w:rPr>
                <w:rFonts w:hint="eastAsia" w:cs="宋体"/>
                <w:color w:val="auto"/>
                <w:sz w:val="24"/>
                <w:szCs w:val="24"/>
                <w:lang w:val="en-US" w:eastAsia="zh-CN"/>
              </w:rPr>
              <w:t>3</w:t>
            </w:r>
          </w:p>
        </w:tc>
      </w:tr>
      <w:tr w14:paraId="3B426409">
        <w:tblPrEx>
          <w:tblCellMar>
            <w:top w:w="0" w:type="dxa"/>
            <w:left w:w="108" w:type="dxa"/>
            <w:bottom w:w="0" w:type="dxa"/>
            <w:right w:w="108" w:type="dxa"/>
          </w:tblCellMar>
        </w:tblPrEx>
        <w:trPr>
          <w:trHeight w:val="54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6AD13DA2">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7</w:t>
            </w:r>
          </w:p>
        </w:tc>
        <w:tc>
          <w:tcPr>
            <w:tcW w:w="760" w:type="dxa"/>
            <w:tcBorders>
              <w:top w:val="single" w:color="000000" w:sz="4" w:space="0"/>
              <w:left w:val="single" w:color="000000" w:sz="4" w:space="0"/>
              <w:bottom w:val="nil"/>
              <w:right w:val="single" w:color="000000" w:sz="4" w:space="0"/>
            </w:tcBorders>
            <w:vAlign w:val="center"/>
          </w:tcPr>
          <w:p w14:paraId="5B18849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售后服务方案</w:t>
            </w:r>
          </w:p>
        </w:tc>
        <w:tc>
          <w:tcPr>
            <w:tcW w:w="6786" w:type="dxa"/>
            <w:tcBorders>
              <w:top w:val="single" w:color="000000" w:sz="4" w:space="0"/>
              <w:left w:val="single" w:color="000000" w:sz="4" w:space="0"/>
              <w:bottom w:val="single" w:color="000000" w:sz="4" w:space="0"/>
              <w:right w:val="single" w:color="000000" w:sz="4" w:space="0"/>
            </w:tcBorders>
            <w:vAlign w:val="center"/>
          </w:tcPr>
          <w:p w14:paraId="6CA6B524">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投标人根据项目需求内容，提供满足项目需求的售后服务体系方案。方案内容包括：售后服务目标和维护计划、售后服务内容及响应时间、现场服务支持能力方案、紧急故障处理预案四项内容；</w:t>
            </w:r>
          </w:p>
          <w:p w14:paraId="57F3A475">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每提供一项优于项目需求方案的得1分，每提供一项满足项目需求方案的得0.5分；不提供或方案不满足项目需求的不得分。最高得4分。                             </w:t>
            </w:r>
          </w:p>
        </w:tc>
        <w:tc>
          <w:tcPr>
            <w:tcW w:w="912" w:type="dxa"/>
            <w:tcBorders>
              <w:top w:val="single" w:color="000000" w:sz="4" w:space="0"/>
              <w:left w:val="single" w:color="000000" w:sz="4" w:space="0"/>
              <w:bottom w:val="nil"/>
              <w:right w:val="single" w:color="000000" w:sz="4" w:space="0"/>
            </w:tcBorders>
            <w:vAlign w:val="center"/>
          </w:tcPr>
          <w:p w14:paraId="42A159B6">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4</w:t>
            </w:r>
          </w:p>
        </w:tc>
      </w:tr>
      <w:tr w14:paraId="180AD508">
        <w:tblPrEx>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nil"/>
              <w:right w:val="single" w:color="000000" w:sz="4" w:space="0"/>
            </w:tcBorders>
            <w:vAlign w:val="center"/>
          </w:tcPr>
          <w:p w14:paraId="66EC2FAF">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8</w:t>
            </w:r>
          </w:p>
        </w:tc>
        <w:tc>
          <w:tcPr>
            <w:tcW w:w="760" w:type="dxa"/>
            <w:tcBorders>
              <w:top w:val="single" w:color="000000" w:sz="4" w:space="0"/>
              <w:left w:val="single" w:color="000000" w:sz="4" w:space="0"/>
              <w:bottom w:val="nil"/>
              <w:right w:val="single" w:color="000000" w:sz="4" w:space="0"/>
            </w:tcBorders>
            <w:vAlign w:val="center"/>
          </w:tcPr>
          <w:p w14:paraId="0B288E9B">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项目组成人员实力</w:t>
            </w:r>
          </w:p>
        </w:tc>
        <w:tc>
          <w:tcPr>
            <w:tcW w:w="6786" w:type="dxa"/>
            <w:tcBorders>
              <w:top w:val="single" w:color="000000" w:sz="4" w:space="0"/>
              <w:left w:val="single" w:color="000000" w:sz="4" w:space="0"/>
              <w:bottom w:val="single" w:color="000000" w:sz="4" w:space="0"/>
              <w:right w:val="single" w:color="000000" w:sz="4" w:space="0"/>
            </w:tcBorders>
            <w:vAlign w:val="center"/>
          </w:tcPr>
          <w:p w14:paraId="2B3F9CEF">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1、投标人拟投入本项目的项目负责人具有系统规划与管理师、系统架构设计师、通信工程师、注册信息安全工程师证书，每具有一项得1分，最高得4分。 </w:t>
            </w:r>
          </w:p>
          <w:p w14:paraId="5EE1EA90">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2、投标人拟投入本项目的技术负责人具有信息系统项目管理师证书、注册信息安全专业人员CISP证书、网络安全专业类高级工程师职称证书的。每提供一种证书得1分，满分3分，未提供不得分。</w:t>
            </w:r>
          </w:p>
          <w:p w14:paraId="52B7EC42">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管理团队（除项目负责人及技术负责人外）具备信息安全保障人员安全软件专业证书、信息安全保障人员安全运维专业证书、信息安全保障人员安全应急服务专业证书、系统分析师、网络工程师、软件设计师的，每提供一种得0.5 分，满分3分，未提供不得分。</w:t>
            </w:r>
          </w:p>
          <w:p w14:paraId="2C126374">
            <w:pPr>
              <w:widowControl/>
              <w:numPr>
                <w:ilvl w:val="0"/>
                <w:numId w:val="0"/>
              </w:num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备注：投标人须提供在本项目招标公告上网公示前（三个月中任一个月）投标人为其人员发放工资的证明或为其缴纳的近期社保证明材料，和相关证书原件彩色扫描件并加盖投标人公章，否则不得分。</w:t>
            </w:r>
          </w:p>
        </w:tc>
        <w:tc>
          <w:tcPr>
            <w:tcW w:w="912" w:type="dxa"/>
            <w:tcBorders>
              <w:top w:val="single" w:color="000000" w:sz="4" w:space="0"/>
              <w:left w:val="single" w:color="000000" w:sz="4" w:space="0"/>
              <w:bottom w:val="single" w:color="000000" w:sz="4" w:space="0"/>
              <w:right w:val="single" w:color="000000" w:sz="4" w:space="0"/>
            </w:tcBorders>
            <w:vAlign w:val="center"/>
          </w:tcPr>
          <w:p w14:paraId="766DDF35">
            <w:pPr>
              <w:widowControl/>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r>
      <w:tr w14:paraId="090FA0BB">
        <w:tblPrEx>
          <w:tblCellMar>
            <w:top w:w="0" w:type="dxa"/>
            <w:left w:w="108" w:type="dxa"/>
            <w:bottom w:w="0" w:type="dxa"/>
            <w:right w:w="108" w:type="dxa"/>
          </w:tblCellMar>
        </w:tblPrEx>
        <w:trPr>
          <w:trHeight w:val="804" w:hRule="atLeast"/>
        </w:trPr>
        <w:tc>
          <w:tcPr>
            <w:tcW w:w="540" w:type="dxa"/>
            <w:tcBorders>
              <w:top w:val="single" w:color="000000" w:sz="4" w:space="0"/>
              <w:left w:val="single" w:color="000000" w:sz="4" w:space="0"/>
              <w:bottom w:val="nil"/>
              <w:right w:val="single" w:color="000000" w:sz="4" w:space="0"/>
            </w:tcBorders>
            <w:vAlign w:val="center"/>
          </w:tcPr>
          <w:p w14:paraId="3BCD30B8">
            <w:pPr>
              <w:widowControl/>
              <w:spacing w:line="360" w:lineRule="auto"/>
              <w:jc w:val="left"/>
              <w:rPr>
                <w:rFonts w:hint="eastAsia" w:ascii="宋体" w:hAnsi="宋体" w:eastAsia="宋体" w:cs="宋体"/>
                <w:color w:val="auto"/>
                <w:sz w:val="24"/>
                <w:szCs w:val="24"/>
              </w:rPr>
            </w:pPr>
            <w:r>
              <w:rPr>
                <w:rFonts w:hint="default" w:ascii="宋体" w:hAnsi="宋体" w:eastAsia="宋体" w:cs="宋体"/>
                <w:color w:val="auto"/>
                <w:sz w:val="24"/>
                <w:szCs w:val="24"/>
              </w:rPr>
              <w:t>9</w:t>
            </w:r>
          </w:p>
        </w:tc>
        <w:tc>
          <w:tcPr>
            <w:tcW w:w="760" w:type="dxa"/>
            <w:tcBorders>
              <w:top w:val="single" w:color="000000" w:sz="4" w:space="0"/>
              <w:left w:val="single" w:color="000000" w:sz="4" w:space="0"/>
              <w:bottom w:val="nil"/>
              <w:right w:val="single" w:color="000000" w:sz="4" w:space="0"/>
            </w:tcBorders>
            <w:vAlign w:val="center"/>
          </w:tcPr>
          <w:p w14:paraId="0D079FA1">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视频演示</w:t>
            </w:r>
          </w:p>
        </w:tc>
        <w:tc>
          <w:tcPr>
            <w:tcW w:w="6786" w:type="dxa"/>
            <w:tcBorders>
              <w:top w:val="single" w:color="000000" w:sz="4" w:space="0"/>
              <w:left w:val="single" w:color="000000" w:sz="4" w:space="0"/>
              <w:bottom w:val="nil"/>
              <w:right w:val="nil"/>
            </w:tcBorders>
            <w:vAlign w:val="center"/>
          </w:tcPr>
          <w:p w14:paraId="47F8A57A">
            <w:pPr>
              <w:widowControl/>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投标人需按照招标文件参数需求内容打“★”部分</w:t>
            </w:r>
            <w:r>
              <w:rPr>
                <w:rFonts w:hint="default" w:ascii="宋体" w:hAnsi="宋体" w:eastAsia="宋体" w:cs="宋体"/>
                <w:color w:val="auto"/>
                <w:sz w:val="24"/>
                <w:szCs w:val="24"/>
              </w:rPr>
              <w:t>产品功能进行现场</w:t>
            </w:r>
            <w:r>
              <w:rPr>
                <w:rFonts w:hint="eastAsia" w:ascii="宋体" w:hAnsi="宋体" w:eastAsia="宋体" w:cs="宋体"/>
                <w:color w:val="auto"/>
                <w:sz w:val="24"/>
                <w:szCs w:val="24"/>
                <w:lang w:val="en-US" w:eastAsia="zh-CN"/>
              </w:rPr>
              <w:t>系统</w:t>
            </w:r>
            <w:r>
              <w:rPr>
                <w:rFonts w:hint="default" w:ascii="宋体" w:hAnsi="宋体" w:eastAsia="宋体" w:cs="宋体"/>
                <w:color w:val="auto"/>
                <w:sz w:val="24"/>
                <w:szCs w:val="24"/>
              </w:rPr>
              <w:t>演示</w:t>
            </w:r>
            <w:r>
              <w:rPr>
                <w:rFonts w:hint="eastAsia" w:ascii="宋体" w:hAnsi="宋体" w:eastAsia="宋体" w:cs="宋体"/>
                <w:color w:val="auto"/>
                <w:sz w:val="24"/>
                <w:szCs w:val="24"/>
              </w:rPr>
              <w:t>，</w:t>
            </w:r>
            <w:r>
              <w:rPr>
                <w:rFonts w:hint="eastAsia" w:ascii="宋体" w:hAnsi="宋体" w:cs="宋体"/>
                <w:i w:val="0"/>
                <w:color w:val="auto"/>
                <w:sz w:val="24"/>
                <w:szCs w:val="24"/>
                <w:highlight w:val="none"/>
                <w:u w:val="none"/>
                <w:lang w:val="en-US" w:eastAsia="zh-CN" w:bidi="ar"/>
              </w:rPr>
              <w:t>演示时间</w:t>
            </w:r>
            <w:r>
              <w:rPr>
                <w:rFonts w:hint="default" w:ascii="宋体" w:hAnsi="宋体" w:cs="宋体"/>
                <w:i w:val="0"/>
                <w:color w:val="auto"/>
                <w:sz w:val="24"/>
                <w:szCs w:val="24"/>
                <w:highlight w:val="none"/>
                <w:u w:val="none"/>
                <w:lang w:eastAsia="zh-CN" w:bidi="ar"/>
              </w:rPr>
              <w:t>为30</w:t>
            </w:r>
            <w:r>
              <w:rPr>
                <w:rFonts w:hint="eastAsia" w:ascii="宋体" w:hAnsi="宋体" w:cs="宋体"/>
                <w:i w:val="0"/>
                <w:color w:val="auto"/>
                <w:sz w:val="24"/>
                <w:szCs w:val="24"/>
                <w:highlight w:val="none"/>
                <w:u w:val="none"/>
                <w:lang w:val="en-US" w:eastAsia="zh-CN" w:bidi="ar"/>
              </w:rPr>
              <w:t>分钟。</w:t>
            </w:r>
            <w:r>
              <w:rPr>
                <w:rFonts w:hint="eastAsia" w:ascii="宋体" w:hAnsi="宋体" w:eastAsia="宋体" w:cs="宋体"/>
                <w:i w:val="0"/>
                <w:color w:val="auto"/>
                <w:sz w:val="24"/>
                <w:szCs w:val="24"/>
                <w:highlight w:val="none"/>
                <w:u w:val="none"/>
                <w:lang w:val="en-US" w:eastAsia="zh-CN" w:bidi="ar"/>
              </w:rPr>
              <w:t>评委根据产品演示的功能效果</w:t>
            </w:r>
            <w:r>
              <w:rPr>
                <w:rFonts w:hint="eastAsia" w:ascii="宋体" w:hAnsi="宋体" w:cs="宋体"/>
                <w:i w:val="0"/>
                <w:color w:val="auto"/>
                <w:sz w:val="24"/>
                <w:szCs w:val="24"/>
                <w:highlight w:val="none"/>
                <w:u w:val="none"/>
                <w:lang w:val="en-US" w:eastAsia="zh-CN" w:bidi="ar"/>
              </w:rPr>
              <w:t>、</w:t>
            </w:r>
            <w:r>
              <w:rPr>
                <w:rFonts w:hint="eastAsia" w:ascii="宋体" w:hAnsi="宋体" w:eastAsia="宋体" w:cs="宋体"/>
                <w:i w:val="0"/>
                <w:color w:val="auto"/>
                <w:sz w:val="24"/>
                <w:szCs w:val="24"/>
                <w:highlight w:val="none"/>
                <w:u w:val="none"/>
                <w:lang w:val="en-US" w:eastAsia="zh-CN" w:bidi="ar"/>
              </w:rPr>
              <w:t>性能等进行综合评分；</w:t>
            </w:r>
            <w:r>
              <w:rPr>
                <w:rFonts w:hint="default" w:ascii="宋体" w:hAnsi="宋体" w:eastAsia="宋体" w:cs="宋体"/>
                <w:color w:val="auto"/>
                <w:sz w:val="24"/>
                <w:szCs w:val="24"/>
              </w:rPr>
              <w:t>每满足一个得1.5分，满分21分。</w:t>
            </w:r>
            <w:r>
              <w:rPr>
                <w:rFonts w:hint="eastAsia" w:ascii="宋体" w:hAnsi="宋体" w:cs="宋体"/>
                <w:color w:val="auto"/>
                <w:sz w:val="24"/>
                <w:szCs w:val="24"/>
                <w:highlight w:val="none"/>
              </w:rPr>
              <w:t>若采用</w:t>
            </w:r>
            <w:r>
              <w:rPr>
                <w:rFonts w:ascii="宋体" w:hAnsi="宋体" w:cs="宋体"/>
                <w:color w:val="auto"/>
                <w:sz w:val="24"/>
                <w:szCs w:val="24"/>
                <w:highlight w:val="none"/>
              </w:rPr>
              <w:t>PPT</w:t>
            </w:r>
            <w:r>
              <w:rPr>
                <w:rFonts w:hint="eastAsia" w:ascii="宋体" w:hAnsi="宋体" w:cs="宋体"/>
                <w:color w:val="auto"/>
                <w:sz w:val="24"/>
                <w:szCs w:val="24"/>
                <w:highlight w:val="none"/>
              </w:rPr>
              <w:t>、</w:t>
            </w:r>
            <w:r>
              <w:rPr>
                <w:rFonts w:ascii="宋体" w:hAnsi="宋体" w:cs="宋体"/>
                <w:color w:val="auto"/>
                <w:sz w:val="24"/>
                <w:szCs w:val="24"/>
                <w:highlight w:val="none"/>
              </w:rPr>
              <w:t>Word</w:t>
            </w:r>
            <w:r>
              <w:rPr>
                <w:rFonts w:hint="eastAsia" w:ascii="宋体" w:hAnsi="宋体" w:cs="宋体"/>
                <w:color w:val="auto"/>
                <w:sz w:val="24"/>
                <w:szCs w:val="24"/>
                <w:highlight w:val="none"/>
              </w:rPr>
              <w:t>、视频</w:t>
            </w:r>
            <w:r>
              <w:rPr>
                <w:rFonts w:hint="eastAsia" w:ascii="宋体" w:hAnsi="宋体" w:cs="宋体"/>
                <w:color w:val="auto"/>
                <w:sz w:val="24"/>
                <w:szCs w:val="24"/>
                <w:highlight w:val="none"/>
                <w:lang w:val="en-US" w:eastAsia="zh-CN"/>
              </w:rPr>
              <w:t>方式</w:t>
            </w:r>
            <w:r>
              <w:rPr>
                <w:rFonts w:hint="eastAsia" w:ascii="宋体" w:hAnsi="宋体" w:cs="宋体"/>
                <w:color w:val="auto"/>
                <w:sz w:val="24"/>
                <w:szCs w:val="24"/>
                <w:highlight w:val="none"/>
              </w:rPr>
              <w:t>演示的，</w:t>
            </w:r>
            <w:r>
              <w:rPr>
                <w:rFonts w:hint="eastAsia" w:ascii="宋体" w:hAnsi="宋体" w:eastAsia="宋体" w:cs="宋体"/>
                <w:i w:val="0"/>
                <w:color w:val="auto"/>
                <w:sz w:val="24"/>
                <w:szCs w:val="24"/>
                <w:highlight w:val="none"/>
                <w:u w:val="none"/>
                <w:lang w:val="en-US" w:eastAsia="zh-CN" w:bidi="ar"/>
              </w:rPr>
              <w:t>评委综合评分后</w:t>
            </w:r>
            <w:r>
              <w:rPr>
                <w:rFonts w:hint="eastAsia" w:ascii="宋体" w:hAnsi="宋体" w:cs="宋体"/>
                <w:color w:val="auto"/>
                <w:sz w:val="24"/>
                <w:szCs w:val="24"/>
                <w:highlight w:val="none"/>
              </w:rPr>
              <w:t>按得分值的</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计算</w:t>
            </w:r>
            <w:r>
              <w:rPr>
                <w:rFonts w:hint="default" w:ascii="宋体" w:hAnsi="宋体" w:eastAsia="宋体" w:cs="宋体"/>
                <w:color w:val="auto"/>
                <w:sz w:val="24"/>
                <w:szCs w:val="24"/>
              </w:rPr>
              <w:t>响应程度进行打分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未演示的不得分。</w:t>
            </w:r>
          </w:p>
        </w:tc>
        <w:tc>
          <w:tcPr>
            <w:tcW w:w="912" w:type="dxa"/>
            <w:tcBorders>
              <w:top w:val="single" w:color="000000" w:sz="4" w:space="0"/>
              <w:left w:val="single" w:color="000000" w:sz="4" w:space="0"/>
              <w:bottom w:val="single" w:color="000000" w:sz="4" w:space="0"/>
              <w:right w:val="single" w:color="000000" w:sz="4" w:space="0"/>
            </w:tcBorders>
            <w:vAlign w:val="center"/>
          </w:tcPr>
          <w:p w14:paraId="11554044">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default" w:ascii="宋体" w:hAnsi="宋体" w:eastAsia="宋体" w:cs="宋体"/>
                <w:color w:val="auto"/>
                <w:sz w:val="24"/>
                <w:szCs w:val="24"/>
              </w:rPr>
              <w:t>1</w:t>
            </w:r>
          </w:p>
        </w:tc>
      </w:tr>
      <w:tr w14:paraId="7829C1C0">
        <w:tblPrEx>
          <w:tblCellMar>
            <w:top w:w="0" w:type="dxa"/>
            <w:left w:w="108" w:type="dxa"/>
            <w:bottom w:w="0" w:type="dxa"/>
            <w:right w:w="108" w:type="dxa"/>
          </w:tblCellMar>
        </w:tblPrEx>
        <w:trPr>
          <w:trHeight w:val="736" w:hRule="atLeast"/>
        </w:trPr>
        <w:tc>
          <w:tcPr>
            <w:tcW w:w="540" w:type="dxa"/>
            <w:tcBorders>
              <w:top w:val="single" w:color="auto" w:sz="4" w:space="0"/>
              <w:left w:val="single" w:color="000000" w:sz="4" w:space="0"/>
              <w:bottom w:val="single" w:color="000000" w:sz="4" w:space="0"/>
              <w:right w:val="single" w:color="000000" w:sz="4" w:space="0"/>
            </w:tcBorders>
            <w:vAlign w:val="center"/>
          </w:tcPr>
          <w:p w14:paraId="4506A31C">
            <w:pPr>
              <w:widowControl/>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p>
        </w:tc>
        <w:tc>
          <w:tcPr>
            <w:tcW w:w="760" w:type="dxa"/>
            <w:tcBorders>
              <w:top w:val="single" w:color="auto" w:sz="4" w:space="0"/>
              <w:left w:val="single" w:color="000000" w:sz="4" w:space="0"/>
              <w:bottom w:val="single" w:color="000000" w:sz="4" w:space="0"/>
              <w:right w:val="single" w:color="000000" w:sz="4" w:space="0"/>
            </w:tcBorders>
            <w:vAlign w:val="center"/>
          </w:tcPr>
          <w:p w14:paraId="0E9878AE">
            <w:pPr>
              <w:widowControl/>
              <w:spacing w:line="360" w:lineRule="auto"/>
              <w:jc w:val="lef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rPr>
              <w:t>研发能力</w:t>
            </w:r>
          </w:p>
        </w:tc>
        <w:tc>
          <w:tcPr>
            <w:tcW w:w="6786" w:type="dxa"/>
            <w:tcBorders>
              <w:top w:val="single" w:color="000000" w:sz="4" w:space="0"/>
              <w:left w:val="single" w:color="000000" w:sz="4" w:space="0"/>
              <w:bottom w:val="nil"/>
              <w:right w:val="single" w:color="000000" w:sz="4" w:space="0"/>
            </w:tcBorders>
            <w:vAlign w:val="center"/>
          </w:tcPr>
          <w:p w14:paraId="5252EFFF">
            <w:pPr>
              <w:widowControl/>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信息技术应用创新的背景下，要求投标人或投标人所投的软件产品制造商提供以下系统适配国产化服务器、操作系统、数据库、浏览器，满足国产化的信创要求,投标人提供经相关评测机构检测通过的测试报告，每满足一项得1分，最高得9分，不提供不得分。</w:t>
            </w:r>
          </w:p>
          <w:p w14:paraId="0030453B">
            <w:pPr>
              <w:widowControl/>
              <w:spacing w:line="360" w:lineRule="auto"/>
              <w:jc w:val="lef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1、集成平台；2、临床数据中心系统；3、电子病历系统</w:t>
            </w:r>
            <w:r>
              <w:rPr>
                <w:rFonts w:hint="default" w:ascii="宋体" w:hAnsi="宋体" w:eastAsia="宋体" w:cs="宋体"/>
                <w:color w:val="auto"/>
                <w:sz w:val="24"/>
                <w:szCs w:val="24"/>
                <w:lang w:eastAsia="zh-CN"/>
              </w:rPr>
              <w:t>；4、手麻管理；5、患者全息视图；6、管理数据中心；7、数据上报管理；8、门诊</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eastAsia="zh-CN"/>
              </w:rPr>
              <w:t>住院医生站；</w:t>
            </w:r>
            <w:r>
              <w:rPr>
                <w:rFonts w:hint="eastAsia" w:ascii="宋体" w:hAnsi="宋体" w:eastAsia="宋体" w:cs="宋体"/>
                <w:color w:val="auto"/>
                <w:sz w:val="24"/>
                <w:szCs w:val="24"/>
                <w:lang w:val="en-US" w:eastAsia="zh-CN"/>
              </w:rPr>
              <w:t>9</w:t>
            </w:r>
            <w:r>
              <w:rPr>
                <w:rFonts w:hint="default" w:ascii="宋体" w:hAnsi="宋体" w:eastAsia="宋体" w:cs="宋体"/>
                <w:color w:val="auto"/>
                <w:sz w:val="24"/>
                <w:szCs w:val="24"/>
                <w:lang w:eastAsia="zh-CN"/>
              </w:rPr>
              <w:t>、临床路径管理；</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注：提供相关测评报告原件彩色扫描件加盖投标人公章，否则不得分；提供的测试报告需在有效期内，提供一份测试报告同时包含多个系统测试结果或者提供多份测试报告均可。测算报告中需明确说明包含相关子系统建设内容，字段名称可不完全一致，但建设内容需一致，否则不得分。</w:t>
            </w:r>
          </w:p>
        </w:tc>
        <w:tc>
          <w:tcPr>
            <w:tcW w:w="912" w:type="dxa"/>
            <w:tcBorders>
              <w:top w:val="single" w:color="000000" w:sz="4" w:space="0"/>
              <w:left w:val="single" w:color="000000" w:sz="4" w:space="0"/>
              <w:bottom w:val="single" w:color="000000" w:sz="4" w:space="0"/>
              <w:right w:val="single" w:color="000000" w:sz="4" w:space="0"/>
            </w:tcBorders>
            <w:vAlign w:val="center"/>
          </w:tcPr>
          <w:p w14:paraId="044D97CC">
            <w:pPr>
              <w:widowControl/>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r>
      <w:tr w14:paraId="4349A3CC">
        <w:tblPrEx>
          <w:tblCellMar>
            <w:top w:w="0" w:type="dxa"/>
            <w:left w:w="108" w:type="dxa"/>
            <w:bottom w:w="0" w:type="dxa"/>
            <w:right w:w="108" w:type="dxa"/>
          </w:tblCellMar>
        </w:tblPrEx>
        <w:trPr>
          <w:trHeight w:val="2871" w:hRule="atLeast"/>
        </w:trPr>
        <w:tc>
          <w:tcPr>
            <w:tcW w:w="540" w:type="dxa"/>
            <w:tcBorders>
              <w:top w:val="single" w:color="000000" w:sz="4" w:space="0"/>
              <w:left w:val="single" w:color="000000" w:sz="4" w:space="0"/>
              <w:bottom w:val="nil"/>
              <w:right w:val="single" w:color="000000" w:sz="4" w:space="0"/>
            </w:tcBorders>
            <w:vAlign w:val="center"/>
          </w:tcPr>
          <w:p w14:paraId="1E3874ED">
            <w:pPr>
              <w:widowControl/>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p>
        </w:tc>
        <w:tc>
          <w:tcPr>
            <w:tcW w:w="760" w:type="dxa"/>
            <w:tcBorders>
              <w:top w:val="single" w:color="000000" w:sz="4" w:space="0"/>
              <w:left w:val="single" w:color="000000" w:sz="4" w:space="0"/>
              <w:bottom w:val="nil"/>
              <w:right w:val="single" w:color="000000" w:sz="4" w:space="0"/>
            </w:tcBorders>
            <w:vAlign w:val="center"/>
          </w:tcPr>
          <w:p w14:paraId="285FC09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履约能力</w:t>
            </w:r>
          </w:p>
        </w:tc>
        <w:tc>
          <w:tcPr>
            <w:tcW w:w="6786" w:type="dxa"/>
            <w:tcBorders>
              <w:top w:val="single" w:color="000000" w:sz="4" w:space="0"/>
              <w:left w:val="single" w:color="000000" w:sz="4" w:space="0"/>
              <w:bottom w:val="single" w:color="000000" w:sz="4" w:space="0"/>
              <w:right w:val="single" w:color="000000" w:sz="4" w:space="0"/>
            </w:tcBorders>
            <w:vAlign w:val="center"/>
          </w:tcPr>
          <w:p w14:paraId="3562E96B">
            <w:pPr>
              <w:widowControl/>
              <w:spacing w:line="360" w:lineRule="auto"/>
              <w:jc w:val="left"/>
              <w:textAlignment w:val="center"/>
              <w:rPr>
                <w:rFonts w:hint="eastAsia" w:ascii="宋体" w:hAnsi="宋体" w:eastAsia="宋体" w:cs="宋体"/>
                <w:color w:val="auto"/>
                <w:kern w:val="0"/>
                <w:sz w:val="24"/>
                <w:lang w:bidi="ar"/>
              </w:rPr>
            </w:pPr>
            <w:r>
              <w:rPr>
                <w:rFonts w:hint="eastAsia" w:cs="宋体"/>
                <w:color w:val="auto"/>
                <w:kern w:val="0"/>
                <w:sz w:val="24"/>
                <w:lang w:val="en-US" w:eastAsia="zh-CN" w:bidi="ar"/>
              </w:rPr>
              <w:t>1</w:t>
            </w:r>
            <w:r>
              <w:rPr>
                <w:rFonts w:hint="eastAsia" w:ascii="宋体" w:hAnsi="宋体" w:eastAsia="宋体" w:cs="宋体"/>
                <w:color w:val="auto"/>
                <w:kern w:val="0"/>
                <w:sz w:val="24"/>
                <w:lang w:bidi="ar"/>
              </w:rPr>
              <w:t>、投标人具有CCID信息系统服务交付能力等级证书一级的得</w:t>
            </w:r>
            <w:r>
              <w:rPr>
                <w:rFonts w:hint="eastAsia" w:cs="宋体"/>
                <w:color w:val="auto"/>
                <w:kern w:val="0"/>
                <w:sz w:val="24"/>
                <w:lang w:val="en-US" w:eastAsia="zh-CN" w:bidi="ar"/>
              </w:rPr>
              <w:t>3</w:t>
            </w:r>
            <w:r>
              <w:rPr>
                <w:rFonts w:hint="eastAsia" w:ascii="宋体" w:hAnsi="宋体" w:eastAsia="宋体" w:cs="宋体"/>
                <w:color w:val="auto"/>
                <w:kern w:val="0"/>
                <w:sz w:val="24"/>
                <w:lang w:bidi="ar"/>
              </w:rPr>
              <w:t>分，二级及以下的的1</w:t>
            </w:r>
            <w:r>
              <w:rPr>
                <w:rFonts w:hint="eastAsia" w:cs="宋体"/>
                <w:color w:val="auto"/>
                <w:kern w:val="0"/>
                <w:sz w:val="24"/>
                <w:lang w:val="en-US" w:eastAsia="zh-CN" w:bidi="ar"/>
              </w:rPr>
              <w:t>.5</w:t>
            </w:r>
            <w:r>
              <w:rPr>
                <w:rFonts w:hint="eastAsia" w:ascii="宋体" w:hAnsi="宋体" w:eastAsia="宋体" w:cs="宋体"/>
                <w:color w:val="auto"/>
                <w:kern w:val="0"/>
                <w:sz w:val="24"/>
                <w:lang w:bidi="ar"/>
              </w:rPr>
              <w:t>分，未提供不得分；</w:t>
            </w:r>
          </w:p>
          <w:p w14:paraId="57C2A8E0">
            <w:pPr>
              <w:widowControl/>
              <w:spacing w:line="360" w:lineRule="auto"/>
              <w:jc w:val="left"/>
              <w:textAlignment w:val="center"/>
              <w:rPr>
                <w:rFonts w:hint="default" w:ascii="宋体" w:hAnsi="宋体" w:eastAsia="宋体" w:cs="宋体"/>
                <w:lang w:val="en-US" w:eastAsia="zh-CN"/>
              </w:rPr>
            </w:pPr>
            <w:r>
              <w:rPr>
                <w:rFonts w:hint="eastAsia" w:cs="宋体"/>
                <w:lang w:val="en-US" w:eastAsia="zh-CN"/>
              </w:rPr>
              <w:t>2</w:t>
            </w:r>
            <w:r>
              <w:rPr>
                <w:rFonts w:hint="eastAsia" w:ascii="宋体" w:hAnsi="宋体" w:eastAsia="宋体" w:cs="宋体"/>
                <w:lang w:val="en-US" w:eastAsia="zh-CN"/>
              </w:rPr>
              <w:t>、投标人具有数据安全服务能力评定服务能力证书，达到数据安全建设二级的得2分，达到一级的得1分，未提供不得分；</w:t>
            </w:r>
          </w:p>
          <w:p w14:paraId="3C469B15">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备注：须提供相关证书原件彩色扫描件并加盖投标人公章，否则不得分。</w:t>
            </w:r>
          </w:p>
        </w:tc>
        <w:tc>
          <w:tcPr>
            <w:tcW w:w="912" w:type="dxa"/>
            <w:tcBorders>
              <w:top w:val="single" w:color="000000" w:sz="4" w:space="0"/>
              <w:left w:val="nil"/>
              <w:bottom w:val="nil"/>
              <w:right w:val="single" w:color="000000" w:sz="4" w:space="0"/>
            </w:tcBorders>
            <w:vAlign w:val="center"/>
          </w:tcPr>
          <w:p w14:paraId="59230D64">
            <w:pPr>
              <w:widowControl/>
              <w:spacing w:line="360" w:lineRule="auto"/>
              <w:jc w:val="left"/>
              <w:rPr>
                <w:rFonts w:hint="eastAsia" w:ascii="宋体" w:hAnsi="宋体" w:eastAsia="宋体" w:cs="宋体"/>
                <w:color w:val="auto"/>
                <w:sz w:val="24"/>
                <w:szCs w:val="24"/>
                <w:lang w:eastAsia="zh-CN"/>
              </w:rPr>
            </w:pPr>
            <w:r>
              <w:rPr>
                <w:rFonts w:hint="eastAsia" w:cs="宋体"/>
                <w:color w:val="auto"/>
                <w:sz w:val="24"/>
                <w:szCs w:val="24"/>
                <w:lang w:val="en-US" w:eastAsia="zh-CN"/>
              </w:rPr>
              <w:t>5</w:t>
            </w:r>
          </w:p>
        </w:tc>
      </w:tr>
      <w:tr w14:paraId="01EF8315">
        <w:tblPrEx>
          <w:tblCellMar>
            <w:top w:w="0" w:type="dxa"/>
            <w:left w:w="108" w:type="dxa"/>
            <w:bottom w:w="0" w:type="dxa"/>
            <w:right w:w="108" w:type="dxa"/>
          </w:tblCellMar>
        </w:tblPrEx>
        <w:trPr>
          <w:trHeight w:val="1832" w:hRule="atLeast"/>
        </w:trPr>
        <w:tc>
          <w:tcPr>
            <w:tcW w:w="540" w:type="dxa"/>
            <w:tcBorders>
              <w:top w:val="single" w:color="000000" w:sz="4" w:space="0"/>
              <w:left w:val="single" w:color="000000" w:sz="4" w:space="0"/>
              <w:bottom w:val="single" w:color="auto" w:sz="4" w:space="0"/>
              <w:right w:val="single" w:color="000000" w:sz="4" w:space="0"/>
            </w:tcBorders>
            <w:vAlign w:val="center"/>
          </w:tcPr>
          <w:p w14:paraId="60DA0C20">
            <w:pPr>
              <w:widowControl/>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760" w:type="dxa"/>
            <w:tcBorders>
              <w:top w:val="single" w:color="000000" w:sz="4" w:space="0"/>
              <w:left w:val="single" w:color="000000" w:sz="4" w:space="0"/>
              <w:bottom w:val="single" w:color="auto" w:sz="4" w:space="0"/>
              <w:right w:val="single" w:color="000000" w:sz="4" w:space="0"/>
            </w:tcBorders>
            <w:vAlign w:val="center"/>
          </w:tcPr>
          <w:p w14:paraId="04D06143">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相关案例</w:t>
            </w:r>
          </w:p>
        </w:tc>
        <w:tc>
          <w:tcPr>
            <w:tcW w:w="6786" w:type="dxa"/>
            <w:tcBorders>
              <w:top w:val="single" w:color="000000" w:sz="4" w:space="0"/>
              <w:left w:val="single" w:color="000000" w:sz="4" w:space="0"/>
              <w:bottom w:val="single" w:color="auto" w:sz="4" w:space="0"/>
              <w:right w:val="single" w:color="000000" w:sz="4" w:space="0"/>
            </w:tcBorders>
            <w:vAlign w:val="center"/>
          </w:tcPr>
          <w:p w14:paraId="57675F39">
            <w:pPr>
              <w:widowControl/>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投标人或投标人所投的软件产品制造商提供类似信息系统建设案例，并通过电子病历四级、互联互通四甲及以上等级评估，供应商每提供1个满足要求的类似项目业绩证明材料的，得2分，最高得6分。</w:t>
            </w:r>
          </w:p>
          <w:p w14:paraId="520BF46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备注：</w:t>
            </w:r>
            <w:r>
              <w:rPr>
                <w:rFonts w:hint="eastAsia" w:ascii="宋体" w:hAnsi="宋体" w:eastAsia="宋体" w:cs="宋体"/>
                <w:color w:val="auto"/>
                <w:sz w:val="24"/>
                <w:szCs w:val="24"/>
              </w:rPr>
              <w:t>案例证明</w:t>
            </w:r>
            <w:r>
              <w:rPr>
                <w:rFonts w:hint="eastAsia" w:ascii="宋体" w:hAnsi="宋体" w:eastAsia="宋体" w:cs="宋体"/>
                <w:color w:val="auto"/>
                <w:sz w:val="24"/>
                <w:szCs w:val="24"/>
                <w:lang w:val="en-US" w:eastAsia="zh-CN"/>
              </w:rPr>
              <w:t>须同时</w:t>
            </w:r>
            <w:r>
              <w:rPr>
                <w:rFonts w:hint="eastAsia" w:ascii="宋体" w:hAnsi="宋体" w:eastAsia="宋体" w:cs="宋体"/>
                <w:color w:val="auto"/>
                <w:sz w:val="24"/>
                <w:szCs w:val="24"/>
              </w:rPr>
              <w:t>提供合同、验收单</w:t>
            </w:r>
            <w:r>
              <w:rPr>
                <w:rFonts w:hint="default"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通过测评的相关证明材料</w:t>
            </w:r>
            <w:r>
              <w:rPr>
                <w:rFonts w:hint="default" w:ascii="宋体" w:hAnsi="宋体" w:eastAsia="宋体" w:cs="宋体"/>
                <w:color w:val="auto"/>
                <w:sz w:val="24"/>
                <w:szCs w:val="24"/>
                <w:shd w:val="clear" w:color="auto" w:fill="auto"/>
                <w:lang w:eastAsia="zh-CN"/>
              </w:rPr>
              <w:t>原件</w:t>
            </w:r>
            <w:r>
              <w:rPr>
                <w:rFonts w:hint="eastAsia" w:ascii="宋体" w:hAnsi="宋体" w:eastAsia="宋体" w:cs="宋体"/>
                <w:color w:val="auto"/>
                <w:sz w:val="24"/>
                <w:szCs w:val="24"/>
                <w:lang w:val="en-US" w:eastAsia="zh-CN"/>
              </w:rPr>
              <w:t>彩色</w:t>
            </w:r>
            <w:r>
              <w:rPr>
                <w:rFonts w:hint="eastAsia" w:ascii="宋体" w:hAnsi="宋体" w:eastAsia="宋体" w:cs="宋体"/>
                <w:color w:val="auto"/>
                <w:sz w:val="24"/>
                <w:szCs w:val="24"/>
              </w:rPr>
              <w:t>扫描件</w:t>
            </w:r>
            <w:r>
              <w:rPr>
                <w:rFonts w:hint="eastAsia" w:ascii="宋体" w:hAnsi="宋体" w:eastAsia="宋体" w:cs="宋体"/>
                <w:color w:val="auto"/>
                <w:sz w:val="24"/>
                <w:szCs w:val="24"/>
                <w:lang w:val="en-US" w:eastAsia="zh-CN"/>
              </w:rPr>
              <w:t>加盖投标人公章</w:t>
            </w:r>
            <w:r>
              <w:rPr>
                <w:rFonts w:hint="eastAsia" w:ascii="宋体" w:hAnsi="宋体" w:eastAsia="宋体" w:cs="宋体"/>
                <w:color w:val="auto"/>
                <w:sz w:val="24"/>
                <w:szCs w:val="24"/>
              </w:rPr>
              <w:t>，材料提供不全或未提供不得分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未验收项目可出具该相关</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单位证明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须加盖采购单位公章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tc>
        <w:tc>
          <w:tcPr>
            <w:tcW w:w="912" w:type="dxa"/>
            <w:tcBorders>
              <w:top w:val="single" w:color="000000" w:sz="4" w:space="0"/>
              <w:left w:val="single" w:color="000000" w:sz="4" w:space="0"/>
              <w:bottom w:val="single" w:color="auto" w:sz="4" w:space="0"/>
              <w:right w:val="single" w:color="000000" w:sz="4" w:space="0"/>
            </w:tcBorders>
            <w:vAlign w:val="center"/>
          </w:tcPr>
          <w:p w14:paraId="5FCF8DDF">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208CADBE">
        <w:tblPrEx>
          <w:tblCellMar>
            <w:top w:w="0" w:type="dxa"/>
            <w:left w:w="108" w:type="dxa"/>
            <w:bottom w:w="0" w:type="dxa"/>
            <w:right w:w="108" w:type="dxa"/>
          </w:tblCellMar>
        </w:tblPrEx>
        <w:trPr>
          <w:trHeight w:val="1100" w:hRule="atLeast"/>
        </w:trPr>
        <w:tc>
          <w:tcPr>
            <w:tcW w:w="8086" w:type="dxa"/>
            <w:gridSpan w:val="3"/>
            <w:tcBorders>
              <w:top w:val="single" w:color="auto" w:sz="4" w:space="0"/>
              <w:left w:val="single" w:color="auto" w:sz="4" w:space="0"/>
              <w:bottom w:val="single" w:color="auto" w:sz="4" w:space="0"/>
              <w:right w:val="single" w:color="auto" w:sz="4" w:space="0"/>
            </w:tcBorders>
            <w:vAlign w:val="center"/>
          </w:tcPr>
          <w:p w14:paraId="107AFE16">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总分</w:t>
            </w:r>
          </w:p>
        </w:tc>
        <w:tc>
          <w:tcPr>
            <w:tcW w:w="912" w:type="dxa"/>
            <w:tcBorders>
              <w:top w:val="single" w:color="auto" w:sz="4" w:space="0"/>
              <w:left w:val="single" w:color="auto" w:sz="4" w:space="0"/>
              <w:bottom w:val="single" w:color="auto" w:sz="4" w:space="0"/>
              <w:right w:val="single" w:color="auto" w:sz="4" w:space="0"/>
            </w:tcBorders>
            <w:vAlign w:val="center"/>
          </w:tcPr>
          <w:p w14:paraId="53E4BA47">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100</w:t>
            </w:r>
          </w:p>
        </w:tc>
      </w:tr>
    </w:tbl>
    <w:p w14:paraId="4BC8A132">
      <w:pPr>
        <w:snapToGrid w:val="0"/>
        <w:spacing w:line="520" w:lineRule="exact"/>
        <w:ind w:firstLine="440" w:firstLineChars="200"/>
        <w:rPr>
          <w:rFonts w:hint="eastAsia" w:hAnsi="宋体"/>
          <w:bCs/>
          <w:snapToGrid w:val="0"/>
          <w:color w:val="auto"/>
          <w:sz w:val="24"/>
        </w:rPr>
      </w:pPr>
      <w:r>
        <w:rPr>
          <w:rFonts w:hint="eastAsia" w:hAnsi="宋体"/>
          <w:bCs/>
          <w:snapToGrid w:val="0"/>
          <w:color w:val="auto"/>
          <w:szCs w:val="28"/>
        </w:rPr>
        <w:t>备注</w:t>
      </w:r>
      <w:r>
        <w:rPr>
          <w:rFonts w:hint="eastAsia" w:hAnsi="宋体"/>
          <w:bCs/>
          <w:snapToGrid w:val="0"/>
          <w:color w:val="auto"/>
          <w:sz w:val="24"/>
        </w:rPr>
        <w:t>：</w:t>
      </w:r>
    </w:p>
    <w:p w14:paraId="0F5ED29C">
      <w:pPr>
        <w:snapToGrid w:val="0"/>
        <w:spacing w:line="520" w:lineRule="exact"/>
        <w:ind w:firstLine="480" w:firstLineChars="200"/>
        <w:rPr>
          <w:rFonts w:hint="eastAsia" w:hAnsi="宋体"/>
          <w:bCs/>
          <w:snapToGrid w:val="0"/>
          <w:color w:val="auto"/>
          <w:sz w:val="24"/>
        </w:rPr>
      </w:pPr>
      <w:r>
        <w:rPr>
          <w:rFonts w:hint="eastAsia" w:hAnsi="宋体"/>
          <w:bCs/>
          <w:snapToGrid w:val="0"/>
          <w:color w:val="auto"/>
          <w:sz w:val="24"/>
        </w:rPr>
        <w:t>1、</w:t>
      </w:r>
      <w:r>
        <w:rPr>
          <w:rFonts w:hint="eastAsia" w:hAnsi="宋体"/>
          <w:b/>
          <w:bCs/>
          <w:snapToGrid w:val="0"/>
          <w:color w:val="auto"/>
          <w:szCs w:val="28"/>
        </w:rPr>
        <w:t>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r>
        <w:rPr>
          <w:rFonts w:hint="eastAsia" w:hAnsi="宋体"/>
          <w:bCs/>
          <w:snapToGrid w:val="0"/>
          <w:color w:val="auto"/>
          <w:sz w:val="24"/>
        </w:rPr>
        <w:t>。</w:t>
      </w:r>
    </w:p>
    <w:p w14:paraId="669D97B7">
      <w:pPr>
        <w:snapToGrid w:val="0"/>
        <w:spacing w:line="520" w:lineRule="exact"/>
        <w:ind w:firstLine="480" w:firstLineChars="200"/>
        <w:rPr>
          <w:rFonts w:hint="eastAsia" w:hAnsi="宋体"/>
          <w:bCs/>
          <w:snapToGrid w:val="0"/>
          <w:color w:val="auto"/>
          <w:sz w:val="24"/>
        </w:rPr>
      </w:pPr>
      <w:r>
        <w:rPr>
          <w:rFonts w:hint="eastAsia" w:hAnsi="宋体"/>
          <w:bCs/>
          <w:snapToGrid w:val="0"/>
          <w:color w:val="auto"/>
          <w:sz w:val="24"/>
        </w:rPr>
        <w:t>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1BB27B59">
      <w:pPr>
        <w:snapToGrid w:val="0"/>
        <w:spacing w:line="520" w:lineRule="exact"/>
        <w:ind w:firstLine="480" w:firstLineChars="200"/>
        <w:rPr>
          <w:rFonts w:hint="eastAsia" w:hAnsi="宋体"/>
          <w:bCs/>
          <w:snapToGrid w:val="0"/>
          <w:color w:val="auto"/>
          <w:sz w:val="24"/>
        </w:rPr>
      </w:pPr>
      <w:r>
        <w:rPr>
          <w:rFonts w:hint="eastAsia" w:hAnsi="宋体"/>
          <w:bCs/>
          <w:snapToGrid w:val="0"/>
          <w:color w:val="auto"/>
          <w:sz w:val="24"/>
        </w:rPr>
        <w:t>3、评分中涉及的证书、检测报告等应在有效期内，且在招标文件上网前取得；</w:t>
      </w:r>
    </w:p>
    <w:p w14:paraId="618940E6">
      <w:pPr>
        <w:widowControl/>
        <w:spacing w:line="360" w:lineRule="auto"/>
        <w:jc w:val="left"/>
        <w:rPr>
          <w:rFonts w:hint="eastAsia" w:ascii="宋体" w:hAnsi="宋体" w:eastAsia="宋体" w:cs="宋体"/>
          <w:color w:val="auto"/>
          <w:sz w:val="24"/>
          <w:szCs w:val="24"/>
        </w:rPr>
      </w:pPr>
    </w:p>
    <w:p w14:paraId="7C2F581C">
      <w:pPr>
        <w:rPr>
          <w:color w:val="auto"/>
        </w:rPr>
      </w:pPr>
    </w:p>
    <w:p w14:paraId="4954B9D6">
      <w:pPr>
        <w:rPr>
          <w:color w:val="auto"/>
        </w:rPr>
      </w:pPr>
    </w:p>
    <w:p w14:paraId="3FF5EB75">
      <w:pPr>
        <w:pStyle w:val="12"/>
        <w:rPr>
          <w:color w:val="auto"/>
        </w:rPr>
      </w:pPr>
    </w:p>
    <w:p w14:paraId="535E0222">
      <w:pPr>
        <w:rPr>
          <w:color w:val="auto"/>
        </w:rPr>
      </w:pPr>
    </w:p>
    <w:p w14:paraId="22D41AF8">
      <w:pPr>
        <w:pStyle w:val="12"/>
        <w:rPr>
          <w:color w:val="auto"/>
        </w:rPr>
      </w:pPr>
    </w:p>
    <w:p w14:paraId="0F69924C">
      <w:pPr>
        <w:rPr>
          <w:color w:val="auto"/>
        </w:rPr>
      </w:pPr>
    </w:p>
    <w:p w14:paraId="79037CFB">
      <w:pPr>
        <w:pStyle w:val="12"/>
        <w:rPr>
          <w:color w:val="auto"/>
        </w:rPr>
      </w:pPr>
    </w:p>
    <w:p w14:paraId="50D92D93">
      <w:pPr>
        <w:rPr>
          <w:color w:val="auto"/>
        </w:rPr>
      </w:pPr>
    </w:p>
    <w:p w14:paraId="63DF6835">
      <w:pPr>
        <w:pStyle w:val="12"/>
        <w:rPr>
          <w:color w:val="auto"/>
        </w:rPr>
      </w:pPr>
    </w:p>
    <w:p w14:paraId="4366937D">
      <w:pPr>
        <w:rPr>
          <w:color w:val="auto"/>
        </w:rPr>
      </w:pPr>
    </w:p>
    <w:p w14:paraId="1F11AC34">
      <w:pPr>
        <w:keepNext/>
        <w:jc w:val="center"/>
        <w:outlineLvl w:val="0"/>
        <w:rPr>
          <w:rFonts w:ascii="黑体" w:hAnsi="Times New Roman" w:eastAsia="黑体"/>
          <w:bCs/>
          <w:color w:val="auto"/>
          <w:sz w:val="44"/>
          <w:szCs w:val="28"/>
        </w:rPr>
      </w:pPr>
    </w:p>
    <w:p w14:paraId="07265188">
      <w:pPr>
        <w:keepNext/>
        <w:jc w:val="center"/>
        <w:outlineLvl w:val="0"/>
        <w:rPr>
          <w:rFonts w:ascii="黑体" w:hAnsi="Times New Roman" w:eastAsia="黑体"/>
          <w:bCs/>
          <w:color w:val="auto"/>
          <w:sz w:val="44"/>
          <w:szCs w:val="28"/>
        </w:rPr>
      </w:pPr>
    </w:p>
    <w:p w14:paraId="15DF03AF">
      <w:pPr>
        <w:keepNext/>
        <w:jc w:val="center"/>
        <w:outlineLvl w:val="0"/>
        <w:rPr>
          <w:rFonts w:ascii="黑体" w:hAnsi="Times New Roman" w:eastAsia="黑体"/>
          <w:bCs/>
          <w:color w:val="auto"/>
          <w:sz w:val="44"/>
          <w:szCs w:val="28"/>
        </w:rPr>
      </w:pPr>
      <w:r>
        <w:rPr>
          <w:rFonts w:hint="eastAsia" w:ascii="黑体" w:hAnsi="Times New Roman" w:eastAsia="黑体"/>
          <w:bCs/>
          <w:color w:val="auto"/>
          <w:sz w:val="44"/>
          <w:szCs w:val="28"/>
        </w:rPr>
        <w:t xml:space="preserve">第六章  投标文件格式 </w:t>
      </w:r>
    </w:p>
    <w:p w14:paraId="583A98D0">
      <w:pPr>
        <w:jc w:val="center"/>
        <w:rPr>
          <w:b/>
          <w:color w:val="auto"/>
          <w:sz w:val="72"/>
          <w:szCs w:val="21"/>
        </w:rPr>
      </w:pPr>
      <w:bookmarkStart w:id="261" w:name="_Hlt26671244"/>
      <w:bookmarkEnd w:id="261"/>
      <w:bookmarkStart w:id="262" w:name="_Hlt26955039"/>
      <w:bookmarkEnd w:id="262"/>
      <w:bookmarkStart w:id="263" w:name="_Toc120614282"/>
      <w:bookmarkStart w:id="264" w:name="_Toc26554094"/>
      <w:bookmarkStart w:id="265" w:name="_Toc49090576"/>
    </w:p>
    <w:p w14:paraId="6E24DF7B">
      <w:pPr>
        <w:jc w:val="center"/>
        <w:rPr>
          <w:b/>
          <w:color w:val="auto"/>
          <w:sz w:val="72"/>
          <w:szCs w:val="21"/>
        </w:rPr>
      </w:pPr>
      <w:r>
        <w:rPr>
          <w:rFonts w:hint="eastAsia"/>
          <w:b/>
          <w:color w:val="auto"/>
          <w:sz w:val="72"/>
          <w:szCs w:val="21"/>
        </w:rPr>
        <w:t>投  标  文  件</w:t>
      </w:r>
    </w:p>
    <w:p w14:paraId="3FDA7746">
      <w:pPr>
        <w:jc w:val="center"/>
        <w:rPr>
          <w:b/>
          <w:color w:val="auto"/>
          <w:sz w:val="72"/>
          <w:szCs w:val="21"/>
        </w:rPr>
      </w:pPr>
    </w:p>
    <w:p w14:paraId="1F50D676">
      <w:pPr>
        <w:jc w:val="center"/>
        <w:rPr>
          <w:b/>
          <w:color w:val="auto"/>
          <w:sz w:val="72"/>
          <w:szCs w:val="21"/>
        </w:rPr>
      </w:pPr>
    </w:p>
    <w:p w14:paraId="29B5F3CE">
      <w:pPr>
        <w:jc w:val="center"/>
        <w:rPr>
          <w:b/>
          <w:color w:val="auto"/>
          <w:sz w:val="36"/>
          <w:szCs w:val="21"/>
        </w:rPr>
      </w:pPr>
    </w:p>
    <w:p w14:paraId="796FC9D4">
      <w:pPr>
        <w:jc w:val="center"/>
        <w:rPr>
          <w:b/>
          <w:color w:val="auto"/>
          <w:sz w:val="36"/>
          <w:szCs w:val="21"/>
        </w:rPr>
      </w:pPr>
    </w:p>
    <w:p w14:paraId="50744239">
      <w:pPr>
        <w:spacing w:line="360" w:lineRule="auto"/>
        <w:jc w:val="center"/>
        <w:rPr>
          <w:b/>
          <w:color w:val="auto"/>
          <w:sz w:val="36"/>
          <w:szCs w:val="21"/>
        </w:rPr>
      </w:pPr>
    </w:p>
    <w:p w14:paraId="1763BFDD">
      <w:pPr>
        <w:spacing w:line="360" w:lineRule="auto"/>
        <w:ind w:firstLine="1084"/>
        <w:rPr>
          <w:b/>
          <w:color w:val="auto"/>
          <w:sz w:val="36"/>
          <w:szCs w:val="21"/>
        </w:rPr>
      </w:pPr>
      <w:r>
        <w:rPr>
          <w:rFonts w:hint="eastAsia"/>
          <w:b/>
          <w:color w:val="auto"/>
          <w:sz w:val="36"/>
          <w:szCs w:val="21"/>
        </w:rPr>
        <w:t>项 目 名 称：</w:t>
      </w:r>
    </w:p>
    <w:p w14:paraId="67191871">
      <w:pPr>
        <w:spacing w:line="360" w:lineRule="auto"/>
        <w:ind w:firstLine="1084"/>
        <w:rPr>
          <w:b/>
          <w:color w:val="auto"/>
          <w:sz w:val="36"/>
          <w:szCs w:val="21"/>
          <w:u w:val="single"/>
        </w:rPr>
      </w:pPr>
      <w:r>
        <w:rPr>
          <w:rFonts w:hint="eastAsia"/>
          <w:b/>
          <w:color w:val="auto"/>
          <w:sz w:val="36"/>
          <w:szCs w:val="21"/>
        </w:rPr>
        <w:t>项 目 编 号：</w:t>
      </w:r>
    </w:p>
    <w:p w14:paraId="0FA23327">
      <w:pPr>
        <w:spacing w:line="360" w:lineRule="auto"/>
        <w:ind w:firstLine="1084" w:firstLineChars="300"/>
        <w:rPr>
          <w:b/>
          <w:color w:val="auto"/>
          <w:sz w:val="36"/>
          <w:szCs w:val="21"/>
          <w:u w:val="single"/>
        </w:rPr>
      </w:pPr>
      <w:r>
        <w:rPr>
          <w:rFonts w:hint="eastAsia"/>
          <w:b/>
          <w:color w:val="auto"/>
          <w:sz w:val="36"/>
          <w:szCs w:val="21"/>
        </w:rPr>
        <w:t>投标人名称 ：</w:t>
      </w:r>
      <w:r>
        <w:rPr>
          <w:rFonts w:hint="eastAsia"/>
          <w:b/>
          <w:color w:val="auto"/>
          <w:sz w:val="36"/>
          <w:szCs w:val="21"/>
          <w:u w:val="single"/>
        </w:rPr>
        <w:t>（加盖CA电子公章）</w:t>
      </w:r>
    </w:p>
    <w:p w14:paraId="585650F0">
      <w:pPr>
        <w:spacing w:line="360" w:lineRule="auto"/>
        <w:ind w:firstLine="1084" w:firstLineChars="300"/>
        <w:rPr>
          <w:b/>
          <w:color w:val="auto"/>
          <w:sz w:val="36"/>
          <w:szCs w:val="21"/>
          <w:u w:val="single"/>
        </w:rPr>
      </w:pPr>
      <w:r>
        <w:rPr>
          <w:rFonts w:hint="eastAsia"/>
          <w:b/>
          <w:color w:val="auto"/>
          <w:sz w:val="36"/>
          <w:szCs w:val="21"/>
        </w:rPr>
        <w:t>日      期 ：</w:t>
      </w:r>
    </w:p>
    <w:p w14:paraId="4ABDD862">
      <w:pPr>
        <w:spacing w:line="360" w:lineRule="auto"/>
        <w:jc w:val="center"/>
        <w:rPr>
          <w:b/>
          <w:bCs/>
          <w:color w:val="auto"/>
          <w:sz w:val="32"/>
          <w:szCs w:val="32"/>
        </w:rPr>
      </w:pPr>
    </w:p>
    <w:p w14:paraId="63738E6F">
      <w:pPr>
        <w:spacing w:line="360" w:lineRule="auto"/>
        <w:jc w:val="center"/>
        <w:rPr>
          <w:b/>
          <w:bCs/>
          <w:color w:val="auto"/>
          <w:sz w:val="32"/>
          <w:szCs w:val="32"/>
        </w:rPr>
      </w:pPr>
    </w:p>
    <w:p w14:paraId="686D2E7D">
      <w:pPr>
        <w:spacing w:line="360" w:lineRule="auto"/>
        <w:jc w:val="center"/>
        <w:rPr>
          <w:b/>
          <w:bCs/>
          <w:color w:val="auto"/>
          <w:sz w:val="32"/>
          <w:szCs w:val="32"/>
        </w:rPr>
      </w:pPr>
    </w:p>
    <w:p w14:paraId="32605B0E">
      <w:pPr>
        <w:spacing w:line="360" w:lineRule="auto"/>
        <w:jc w:val="center"/>
        <w:rPr>
          <w:b/>
          <w:bCs/>
          <w:color w:val="auto"/>
          <w:sz w:val="32"/>
          <w:szCs w:val="32"/>
        </w:rPr>
      </w:pPr>
    </w:p>
    <w:p w14:paraId="5E64150A">
      <w:pPr>
        <w:spacing w:line="440" w:lineRule="exact"/>
        <w:jc w:val="center"/>
        <w:rPr>
          <w:b/>
          <w:bCs/>
          <w:color w:val="auto"/>
          <w:sz w:val="32"/>
          <w:szCs w:val="32"/>
        </w:rPr>
      </w:pPr>
      <w:r>
        <w:rPr>
          <w:rFonts w:hint="eastAsia"/>
          <w:b/>
          <w:bCs/>
          <w:color w:val="auto"/>
          <w:sz w:val="32"/>
          <w:szCs w:val="32"/>
        </w:rPr>
        <w:t>投标文件目录</w:t>
      </w:r>
    </w:p>
    <w:p w14:paraId="6573618A">
      <w:pPr>
        <w:spacing w:line="440" w:lineRule="exact"/>
        <w:jc w:val="center"/>
        <w:rPr>
          <w:b/>
          <w:bCs/>
          <w:color w:val="auto"/>
          <w:sz w:val="32"/>
          <w:szCs w:val="32"/>
        </w:rPr>
      </w:pPr>
    </w:p>
    <w:p w14:paraId="3ACEABE7">
      <w:pPr>
        <w:spacing w:line="440" w:lineRule="exact"/>
        <w:ind w:firstLine="480"/>
        <w:rPr>
          <w:i/>
          <w:color w:val="auto"/>
          <w:sz w:val="24"/>
          <w:szCs w:val="21"/>
          <w:u w:val="single"/>
        </w:rPr>
      </w:pPr>
      <w:r>
        <w:rPr>
          <w:rFonts w:hint="eastAsia"/>
          <w:i/>
          <w:color w:val="auto"/>
          <w:sz w:val="24"/>
          <w:szCs w:val="21"/>
          <w:u w:val="single"/>
        </w:rPr>
        <w:t>一、法人或者其他组织的营业执照等证明文件，自然人的身份证明</w:t>
      </w:r>
    </w:p>
    <w:p w14:paraId="4EA6DDC7">
      <w:pPr>
        <w:tabs>
          <w:tab w:val="left" w:pos="1331"/>
        </w:tabs>
        <w:ind w:firstLine="480"/>
        <w:rPr>
          <w:i/>
          <w:color w:val="auto"/>
          <w:sz w:val="24"/>
          <w:szCs w:val="24"/>
          <w:highlight w:val="red"/>
          <w:u w:val="single"/>
        </w:rPr>
      </w:pPr>
      <w:r>
        <w:rPr>
          <w:rFonts w:hint="eastAsia"/>
          <w:i/>
          <w:color w:val="auto"/>
          <w:sz w:val="24"/>
          <w:szCs w:val="24"/>
          <w:u w:val="single"/>
        </w:rPr>
        <w:t>二、上一年度的财务状况报表（至少提供资产负债表、利润表、现金流量表，</w:t>
      </w:r>
    </w:p>
    <w:p w14:paraId="043B438A">
      <w:pPr>
        <w:spacing w:line="440" w:lineRule="exact"/>
        <w:rPr>
          <w:i/>
          <w:color w:val="auto"/>
          <w:sz w:val="24"/>
          <w:szCs w:val="21"/>
          <w:u w:val="single"/>
        </w:rPr>
      </w:pPr>
      <w:r>
        <w:rPr>
          <w:rFonts w:hint="eastAsia"/>
          <w:i/>
          <w:color w:val="auto"/>
          <w:sz w:val="24"/>
          <w:szCs w:val="24"/>
          <w:u w:val="single"/>
        </w:rPr>
        <w:t>投标人成立不满一年无需提供）</w:t>
      </w:r>
    </w:p>
    <w:p w14:paraId="6E247D76">
      <w:pPr>
        <w:spacing w:line="440" w:lineRule="exact"/>
        <w:ind w:firstLine="480"/>
        <w:rPr>
          <w:i/>
          <w:color w:val="auto"/>
          <w:sz w:val="24"/>
          <w:szCs w:val="21"/>
          <w:u w:val="single"/>
        </w:rPr>
      </w:pPr>
      <w:r>
        <w:rPr>
          <w:rFonts w:hint="eastAsia"/>
          <w:i/>
          <w:color w:val="auto"/>
          <w:sz w:val="24"/>
          <w:szCs w:val="21"/>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760DD286">
      <w:pPr>
        <w:spacing w:line="440" w:lineRule="exact"/>
        <w:ind w:firstLine="480"/>
        <w:rPr>
          <w:i/>
          <w:color w:val="auto"/>
          <w:sz w:val="24"/>
          <w:szCs w:val="21"/>
          <w:u w:val="single"/>
        </w:rPr>
      </w:pPr>
      <w:r>
        <w:rPr>
          <w:rFonts w:hint="eastAsia"/>
          <w:i/>
          <w:color w:val="auto"/>
          <w:sz w:val="24"/>
          <w:szCs w:val="21"/>
          <w:u w:val="single"/>
        </w:rPr>
        <w:t>四、具备履行合同所必需的设备和专业技术能力的书面声明</w:t>
      </w:r>
    </w:p>
    <w:p w14:paraId="109E1D93">
      <w:pPr>
        <w:spacing w:line="440" w:lineRule="exact"/>
        <w:ind w:firstLine="480"/>
        <w:rPr>
          <w:i/>
          <w:color w:val="auto"/>
          <w:sz w:val="24"/>
          <w:szCs w:val="21"/>
          <w:u w:val="single"/>
        </w:rPr>
      </w:pPr>
      <w:r>
        <w:rPr>
          <w:rFonts w:hint="eastAsia"/>
          <w:i/>
          <w:color w:val="auto"/>
          <w:sz w:val="24"/>
          <w:szCs w:val="21"/>
          <w:u w:val="single"/>
        </w:rPr>
        <w:t>五、参加政府采购活动前 3 年内在经营活动中没有重大违法记录的书面声明</w:t>
      </w:r>
    </w:p>
    <w:p w14:paraId="57EE2DE0">
      <w:pPr>
        <w:spacing w:line="440" w:lineRule="exact"/>
        <w:ind w:firstLine="480"/>
        <w:rPr>
          <w:i/>
          <w:color w:val="auto"/>
          <w:sz w:val="24"/>
          <w:szCs w:val="21"/>
          <w:u w:val="single"/>
        </w:rPr>
      </w:pPr>
      <w:r>
        <w:rPr>
          <w:rFonts w:hint="eastAsia"/>
          <w:i/>
          <w:color w:val="auto"/>
          <w:sz w:val="24"/>
          <w:szCs w:val="21"/>
          <w:u w:val="single"/>
        </w:rPr>
        <w:t>六、单位负责人为同一人或者存在直接控股、服务关系的不同供应商，不得参加同一合同项下的政府采购活动</w:t>
      </w:r>
    </w:p>
    <w:p w14:paraId="17E3A519">
      <w:pPr>
        <w:spacing w:line="440" w:lineRule="exact"/>
        <w:ind w:firstLine="480"/>
        <w:rPr>
          <w:i/>
          <w:color w:val="auto"/>
          <w:sz w:val="24"/>
          <w:szCs w:val="21"/>
          <w:u w:val="single"/>
        </w:rPr>
      </w:pPr>
      <w:r>
        <w:rPr>
          <w:rFonts w:hint="eastAsia"/>
          <w:i/>
          <w:color w:val="auto"/>
          <w:sz w:val="24"/>
          <w:szCs w:val="21"/>
          <w:u w:val="single"/>
        </w:rPr>
        <w:t>七、法人授权书</w:t>
      </w:r>
    </w:p>
    <w:p w14:paraId="4138155F">
      <w:pPr>
        <w:spacing w:line="440" w:lineRule="exact"/>
        <w:ind w:firstLine="480"/>
        <w:rPr>
          <w:i/>
          <w:color w:val="auto"/>
          <w:sz w:val="24"/>
          <w:szCs w:val="21"/>
          <w:u w:val="single"/>
        </w:rPr>
      </w:pPr>
      <w:r>
        <w:rPr>
          <w:rFonts w:hint="eastAsia"/>
          <w:i/>
          <w:color w:val="auto"/>
          <w:sz w:val="24"/>
          <w:szCs w:val="21"/>
          <w:u w:val="single"/>
        </w:rPr>
        <w:t>八、投标函</w:t>
      </w:r>
    </w:p>
    <w:p w14:paraId="3A5B830F">
      <w:pPr>
        <w:spacing w:line="440" w:lineRule="exact"/>
        <w:ind w:firstLine="480"/>
        <w:rPr>
          <w:iCs/>
          <w:color w:val="auto"/>
          <w:sz w:val="24"/>
          <w:szCs w:val="21"/>
        </w:rPr>
      </w:pPr>
      <w:r>
        <w:rPr>
          <w:rFonts w:hint="eastAsia"/>
          <w:iCs/>
          <w:color w:val="auto"/>
          <w:sz w:val="24"/>
          <w:szCs w:val="21"/>
        </w:rPr>
        <w:t>九、小微企业声明函</w:t>
      </w:r>
    </w:p>
    <w:p w14:paraId="5792F102">
      <w:pPr>
        <w:spacing w:line="440" w:lineRule="exact"/>
        <w:ind w:firstLine="480"/>
        <w:rPr>
          <w:iCs/>
          <w:color w:val="auto"/>
          <w:sz w:val="24"/>
          <w:szCs w:val="21"/>
        </w:rPr>
      </w:pPr>
      <w:r>
        <w:rPr>
          <w:rFonts w:hint="eastAsia"/>
          <w:iCs/>
          <w:color w:val="auto"/>
          <w:sz w:val="24"/>
          <w:szCs w:val="21"/>
        </w:rPr>
        <w:t>十、残疾人福利性单位声明函</w:t>
      </w:r>
    </w:p>
    <w:p w14:paraId="6E6A6136">
      <w:pPr>
        <w:spacing w:line="440" w:lineRule="exact"/>
        <w:ind w:firstLine="480"/>
        <w:rPr>
          <w:iCs/>
          <w:color w:val="auto"/>
          <w:sz w:val="24"/>
          <w:szCs w:val="21"/>
        </w:rPr>
      </w:pPr>
      <w:r>
        <w:rPr>
          <w:rFonts w:hint="eastAsia"/>
          <w:iCs/>
          <w:color w:val="auto"/>
          <w:sz w:val="24"/>
          <w:szCs w:val="21"/>
        </w:rPr>
        <w:t>十一、联合体协议</w:t>
      </w:r>
    </w:p>
    <w:p w14:paraId="358D4750">
      <w:pPr>
        <w:spacing w:line="440" w:lineRule="exact"/>
        <w:ind w:firstLine="480"/>
        <w:rPr>
          <w:iCs/>
          <w:color w:val="auto"/>
          <w:sz w:val="24"/>
          <w:szCs w:val="21"/>
        </w:rPr>
      </w:pPr>
      <w:r>
        <w:rPr>
          <w:rFonts w:hint="eastAsia"/>
          <w:iCs/>
          <w:color w:val="auto"/>
          <w:sz w:val="24"/>
          <w:szCs w:val="21"/>
        </w:rPr>
        <w:t>十</w:t>
      </w:r>
      <w:r>
        <w:rPr>
          <w:rFonts w:hint="eastAsia"/>
          <w:iCs/>
          <w:color w:val="auto"/>
          <w:sz w:val="24"/>
          <w:szCs w:val="21"/>
          <w:lang w:val="en-US" w:eastAsia="zh-CN"/>
        </w:rPr>
        <w:t>二</w:t>
      </w:r>
      <w:r>
        <w:rPr>
          <w:rFonts w:hint="eastAsia"/>
          <w:iCs/>
          <w:color w:val="auto"/>
          <w:sz w:val="24"/>
          <w:szCs w:val="21"/>
        </w:rPr>
        <w:t>、技术要求响应及偏离表</w:t>
      </w:r>
    </w:p>
    <w:p w14:paraId="3995A2CE">
      <w:pPr>
        <w:spacing w:line="440" w:lineRule="exact"/>
        <w:ind w:firstLine="480"/>
        <w:rPr>
          <w:rFonts w:hint="eastAsia"/>
          <w:iCs/>
          <w:color w:val="auto"/>
          <w:sz w:val="24"/>
          <w:szCs w:val="21"/>
          <w:lang w:val="en-US" w:eastAsia="zh-CN"/>
        </w:rPr>
      </w:pPr>
      <w:r>
        <w:rPr>
          <w:rFonts w:hint="eastAsia"/>
          <w:iCs/>
          <w:color w:val="auto"/>
          <w:sz w:val="24"/>
          <w:szCs w:val="21"/>
        </w:rPr>
        <w:t>十</w:t>
      </w:r>
      <w:r>
        <w:rPr>
          <w:rFonts w:hint="eastAsia"/>
          <w:iCs/>
          <w:color w:val="auto"/>
          <w:sz w:val="24"/>
          <w:szCs w:val="21"/>
          <w:lang w:val="en-US" w:eastAsia="zh-CN"/>
        </w:rPr>
        <w:t>三</w:t>
      </w:r>
      <w:r>
        <w:rPr>
          <w:rFonts w:hint="eastAsia" w:ascii="宋体" w:hAnsi="宋体" w:eastAsia="宋体" w:cs="宋体"/>
          <w:i/>
          <w:color w:val="auto"/>
          <w:sz w:val="24"/>
          <w:szCs w:val="21"/>
          <w:u w:val="single"/>
          <w:lang w:val="en-US" w:eastAsia="zh-CN"/>
        </w:rPr>
        <w:t>、资格性审查表</w:t>
      </w:r>
    </w:p>
    <w:p w14:paraId="58F92571">
      <w:pPr>
        <w:spacing w:line="440" w:lineRule="exact"/>
        <w:ind w:firstLine="480"/>
        <w:rPr>
          <w:rFonts w:hint="eastAsia"/>
          <w:i/>
          <w:color w:val="auto"/>
          <w:sz w:val="24"/>
          <w:szCs w:val="21"/>
          <w:u w:val="single"/>
          <w:lang w:val="en-US" w:eastAsia="zh-CN"/>
        </w:rPr>
      </w:pPr>
      <w:r>
        <w:rPr>
          <w:rFonts w:hint="eastAsia"/>
          <w:i/>
          <w:color w:val="auto"/>
          <w:sz w:val="24"/>
          <w:szCs w:val="21"/>
          <w:u w:val="single"/>
        </w:rPr>
        <w:t>十</w:t>
      </w:r>
      <w:r>
        <w:rPr>
          <w:rFonts w:hint="eastAsia"/>
          <w:i/>
          <w:color w:val="auto"/>
          <w:sz w:val="24"/>
          <w:szCs w:val="21"/>
          <w:u w:val="single"/>
          <w:lang w:val="en-US" w:eastAsia="zh-CN"/>
        </w:rPr>
        <w:t>四</w:t>
      </w:r>
      <w:r>
        <w:rPr>
          <w:rFonts w:hint="eastAsia"/>
          <w:i/>
          <w:color w:val="auto"/>
          <w:sz w:val="24"/>
          <w:szCs w:val="21"/>
          <w:u w:val="single"/>
        </w:rPr>
        <w:t>、</w:t>
      </w:r>
      <w:r>
        <w:rPr>
          <w:rFonts w:hint="eastAsia"/>
          <w:i/>
          <w:color w:val="auto"/>
          <w:sz w:val="24"/>
          <w:szCs w:val="21"/>
          <w:u w:val="single"/>
          <w:lang w:val="en-US" w:eastAsia="zh-CN"/>
        </w:rPr>
        <w:t>符合性审查表</w:t>
      </w:r>
    </w:p>
    <w:p w14:paraId="3E5E0659">
      <w:pPr>
        <w:spacing w:line="440" w:lineRule="exact"/>
        <w:ind w:firstLine="480"/>
        <w:rPr>
          <w:i/>
          <w:color w:val="auto"/>
          <w:sz w:val="24"/>
          <w:szCs w:val="21"/>
          <w:u w:val="single"/>
        </w:rPr>
      </w:pPr>
      <w:r>
        <w:rPr>
          <w:rFonts w:hint="eastAsia"/>
          <w:i/>
          <w:color w:val="auto"/>
          <w:sz w:val="24"/>
          <w:szCs w:val="21"/>
          <w:u w:val="single"/>
          <w:lang w:val="en-US" w:eastAsia="zh-CN"/>
        </w:rPr>
        <w:t>十五、</w:t>
      </w:r>
      <w:r>
        <w:rPr>
          <w:rFonts w:hint="eastAsia"/>
          <w:i/>
          <w:color w:val="auto"/>
          <w:sz w:val="24"/>
          <w:szCs w:val="21"/>
          <w:u w:val="single"/>
        </w:rPr>
        <w:t>开标一览表</w:t>
      </w:r>
    </w:p>
    <w:p w14:paraId="23FD5B25">
      <w:pPr>
        <w:spacing w:line="440" w:lineRule="exact"/>
        <w:ind w:firstLine="480"/>
        <w:rPr>
          <w:rFonts w:hint="eastAsia"/>
          <w:i/>
          <w:color w:val="auto"/>
          <w:sz w:val="24"/>
          <w:szCs w:val="21"/>
          <w:u w:val="single"/>
          <w:lang w:val="en-US" w:eastAsia="zh-CN"/>
        </w:rPr>
      </w:pPr>
      <w:r>
        <w:rPr>
          <w:rFonts w:hint="eastAsia"/>
          <w:i/>
          <w:color w:val="auto"/>
          <w:sz w:val="24"/>
          <w:szCs w:val="21"/>
          <w:u w:val="single"/>
        </w:rPr>
        <w:t>十</w:t>
      </w:r>
      <w:r>
        <w:rPr>
          <w:rFonts w:hint="eastAsia"/>
          <w:i/>
          <w:color w:val="auto"/>
          <w:sz w:val="24"/>
          <w:szCs w:val="21"/>
          <w:u w:val="single"/>
          <w:lang w:val="en-US" w:eastAsia="zh-CN"/>
        </w:rPr>
        <w:t>六</w:t>
      </w:r>
      <w:r>
        <w:rPr>
          <w:rFonts w:hint="eastAsia"/>
          <w:i/>
          <w:color w:val="auto"/>
          <w:sz w:val="24"/>
          <w:szCs w:val="21"/>
          <w:u w:val="single"/>
        </w:rPr>
        <w:t>、</w:t>
      </w:r>
      <w:r>
        <w:rPr>
          <w:rFonts w:hint="eastAsia"/>
          <w:i/>
          <w:color w:val="auto"/>
          <w:sz w:val="24"/>
          <w:szCs w:val="21"/>
          <w:u w:val="single"/>
          <w:lang w:val="en-US" w:eastAsia="zh-CN"/>
        </w:rPr>
        <w:t>投标人须提供项目需求中的相关承诺函</w:t>
      </w:r>
    </w:p>
    <w:p w14:paraId="52D4CA0E">
      <w:pPr>
        <w:spacing w:line="440" w:lineRule="exact"/>
        <w:ind w:firstLine="480"/>
        <w:rPr>
          <w:iCs/>
          <w:color w:val="auto"/>
          <w:sz w:val="24"/>
          <w:szCs w:val="21"/>
        </w:rPr>
      </w:pPr>
      <w:r>
        <w:rPr>
          <w:rFonts w:hint="eastAsia"/>
          <w:iCs/>
          <w:color w:val="auto"/>
          <w:sz w:val="24"/>
          <w:szCs w:val="21"/>
        </w:rPr>
        <w:t>十</w:t>
      </w:r>
      <w:r>
        <w:rPr>
          <w:rFonts w:hint="eastAsia"/>
          <w:iCs/>
          <w:color w:val="auto"/>
          <w:sz w:val="24"/>
          <w:szCs w:val="21"/>
          <w:lang w:val="en-US" w:eastAsia="zh-CN"/>
        </w:rPr>
        <w:t>七</w:t>
      </w:r>
      <w:r>
        <w:rPr>
          <w:rFonts w:hint="eastAsia"/>
          <w:iCs/>
          <w:color w:val="auto"/>
          <w:sz w:val="24"/>
          <w:szCs w:val="21"/>
        </w:rPr>
        <w:t>、技术方案、服务承诺、培训承诺等</w:t>
      </w:r>
    </w:p>
    <w:p w14:paraId="473A02F7">
      <w:pPr>
        <w:spacing w:line="440" w:lineRule="exact"/>
        <w:ind w:firstLine="480"/>
        <w:rPr>
          <w:rFonts w:hint="eastAsia"/>
          <w:i/>
          <w:color w:val="auto"/>
          <w:sz w:val="24"/>
          <w:szCs w:val="21"/>
          <w:u w:val="single"/>
          <w:lang w:val="en-US" w:eastAsia="zh-CN"/>
        </w:rPr>
      </w:pPr>
      <w:r>
        <w:rPr>
          <w:rFonts w:hint="eastAsia"/>
          <w:i/>
          <w:color w:val="auto"/>
          <w:sz w:val="24"/>
          <w:szCs w:val="21"/>
          <w:u w:val="single"/>
          <w:lang w:val="en-US" w:eastAsia="zh-CN"/>
        </w:rPr>
        <w:t>十八、盐城市政府采购事前信用承诺书</w:t>
      </w:r>
    </w:p>
    <w:p w14:paraId="3E67F979">
      <w:pPr>
        <w:spacing w:line="440" w:lineRule="exact"/>
        <w:ind w:firstLine="480"/>
        <w:rPr>
          <w:color w:val="auto"/>
          <w:sz w:val="24"/>
          <w:szCs w:val="21"/>
        </w:rPr>
      </w:pPr>
    </w:p>
    <w:p w14:paraId="2BE516E4">
      <w:pPr>
        <w:spacing w:line="440" w:lineRule="exact"/>
        <w:ind w:firstLine="480"/>
        <w:rPr>
          <w:color w:val="auto"/>
          <w:sz w:val="24"/>
          <w:szCs w:val="21"/>
        </w:rPr>
      </w:pPr>
    </w:p>
    <w:p w14:paraId="39C4A9A6">
      <w:pPr>
        <w:spacing w:line="440" w:lineRule="exact"/>
        <w:ind w:firstLine="480"/>
        <w:rPr>
          <w:color w:val="auto"/>
          <w:sz w:val="24"/>
          <w:szCs w:val="21"/>
        </w:rPr>
      </w:pPr>
    </w:p>
    <w:p w14:paraId="25FF518C">
      <w:pPr>
        <w:spacing w:line="440" w:lineRule="exact"/>
        <w:ind w:firstLine="480"/>
        <w:rPr>
          <w:color w:val="auto"/>
          <w:sz w:val="24"/>
          <w:szCs w:val="21"/>
        </w:rPr>
      </w:pPr>
    </w:p>
    <w:p w14:paraId="4B30373F">
      <w:pPr>
        <w:spacing w:line="440" w:lineRule="exact"/>
        <w:ind w:firstLine="480"/>
        <w:rPr>
          <w:color w:val="auto"/>
          <w:sz w:val="24"/>
          <w:szCs w:val="21"/>
        </w:rPr>
      </w:pPr>
    </w:p>
    <w:p w14:paraId="795F4FEC">
      <w:pPr>
        <w:spacing w:line="440" w:lineRule="exact"/>
        <w:ind w:firstLine="480"/>
        <w:rPr>
          <w:color w:val="auto"/>
          <w:sz w:val="24"/>
          <w:szCs w:val="21"/>
        </w:rPr>
      </w:pPr>
    </w:p>
    <w:p w14:paraId="7911B574">
      <w:pPr>
        <w:rPr>
          <w:rFonts w:ascii="黑体" w:hAnsi="黑体" w:eastAsia="黑体"/>
          <w:i/>
          <w:color w:val="auto"/>
          <w:sz w:val="32"/>
          <w:szCs w:val="32"/>
          <w:u w:val="single"/>
        </w:rPr>
      </w:pPr>
      <w:r>
        <w:rPr>
          <w:rFonts w:hint="eastAsia" w:ascii="黑体" w:hAnsi="黑体" w:eastAsia="黑体"/>
          <w:i/>
          <w:color w:val="auto"/>
          <w:sz w:val="32"/>
          <w:szCs w:val="32"/>
          <w:u w:val="single"/>
        </w:rPr>
        <w:t>一、法人或者其他组织的营业执照等证明文件，自然人的身份证明</w:t>
      </w:r>
    </w:p>
    <w:p w14:paraId="698FC64D">
      <w:pPr>
        <w:spacing w:line="440" w:lineRule="exact"/>
        <w:ind w:firstLine="480"/>
        <w:rPr>
          <w:color w:val="auto"/>
          <w:sz w:val="24"/>
          <w:szCs w:val="21"/>
        </w:rPr>
      </w:pPr>
    </w:p>
    <w:p w14:paraId="7F703015">
      <w:pPr>
        <w:pStyle w:val="9"/>
        <w:spacing w:beforeAutospacing="0" w:afterAutospacing="0"/>
        <w:jc w:val="both"/>
        <w:rPr>
          <w:rFonts w:eastAsia="黑体"/>
          <w:color w:val="auto"/>
          <w:highlight w:val="red"/>
        </w:rPr>
      </w:pPr>
      <w:r>
        <w:rPr>
          <w:rFonts w:hint="eastAsia" w:ascii="黑体" w:hAnsi="宋体" w:eastAsia="黑体" w:cs="黑体"/>
          <w:i/>
          <w:color w:val="auto"/>
          <w:sz w:val="32"/>
          <w:szCs w:val="32"/>
          <w:u w:val="single"/>
        </w:rPr>
        <w:t>二、上一年度的财务状况报表</w:t>
      </w:r>
    </w:p>
    <w:p w14:paraId="1B16EA13">
      <w:pPr>
        <w:pStyle w:val="9"/>
        <w:spacing w:beforeAutospacing="0" w:afterAutospacing="0" w:line="0" w:lineRule="atLeast"/>
        <w:ind w:firstLine="480"/>
        <w:jc w:val="both"/>
        <w:rPr>
          <w:color w:val="auto"/>
        </w:rPr>
      </w:pPr>
      <w:r>
        <w:rPr>
          <w:rFonts w:hint="eastAsia" w:ascii="宋体" w:hAnsi="宋体" w:cs="宋体"/>
          <w:color w:val="auto"/>
        </w:rPr>
        <w:t>投标人成立不满一年不需提供</w:t>
      </w:r>
    </w:p>
    <w:p w14:paraId="4EA32E33">
      <w:pPr>
        <w:rPr>
          <w:rFonts w:ascii="黑体" w:hAnsi="黑体" w:eastAsia="黑体"/>
          <w:i/>
          <w:color w:val="auto"/>
          <w:sz w:val="32"/>
          <w:szCs w:val="32"/>
          <w:u w:val="single"/>
        </w:rPr>
      </w:pPr>
    </w:p>
    <w:p w14:paraId="610F913D">
      <w:pPr>
        <w:rPr>
          <w:rFonts w:ascii="黑体" w:hAnsi="黑体" w:eastAsia="黑体"/>
          <w:i/>
          <w:color w:val="auto"/>
          <w:sz w:val="32"/>
          <w:szCs w:val="32"/>
          <w:u w:val="single"/>
        </w:rPr>
      </w:pPr>
      <w:r>
        <w:rPr>
          <w:rFonts w:hint="eastAsia" w:ascii="黑体" w:hAnsi="黑体" w:eastAsia="黑体"/>
          <w:i/>
          <w:color w:val="auto"/>
          <w:sz w:val="32"/>
          <w:szCs w:val="32"/>
          <w:u w:val="single"/>
        </w:rPr>
        <w:t>三、依法缴纳税收和社会保障资金的相关材料</w:t>
      </w:r>
    </w:p>
    <w:p w14:paraId="53063532">
      <w:pPr>
        <w:ind w:firstLine="480"/>
        <w:rPr>
          <w:bCs/>
          <w:color w:val="auto"/>
          <w:sz w:val="24"/>
          <w:szCs w:val="21"/>
        </w:rPr>
      </w:pPr>
      <w:r>
        <w:rPr>
          <w:rFonts w:hint="eastAsia"/>
          <w:bCs/>
          <w:color w:val="auto"/>
          <w:sz w:val="24"/>
          <w:szCs w:val="21"/>
        </w:rPr>
        <w:t>提供提交投标文件截止时间前一年内至少一个月依法缴纳税收及缴纳社会保障资金的证明材料。投标人依法享受缓缴、免缴税收、社会保障资金的提供证明材料。</w:t>
      </w:r>
    </w:p>
    <w:p w14:paraId="5A84A94C">
      <w:pPr>
        <w:rPr>
          <w:rFonts w:ascii="黑体" w:hAnsi="黑体" w:eastAsia="黑体"/>
          <w:i/>
          <w:color w:val="auto"/>
          <w:sz w:val="32"/>
          <w:szCs w:val="32"/>
          <w:u w:val="single"/>
        </w:rPr>
      </w:pPr>
    </w:p>
    <w:p w14:paraId="24996D99">
      <w:pPr>
        <w:rPr>
          <w:rFonts w:ascii="黑体" w:hAnsi="黑体" w:eastAsia="黑体"/>
          <w:i/>
          <w:color w:val="auto"/>
          <w:sz w:val="32"/>
          <w:szCs w:val="32"/>
          <w:u w:val="single"/>
        </w:rPr>
      </w:pPr>
      <w:r>
        <w:rPr>
          <w:rFonts w:hint="eastAsia" w:ascii="黑体" w:hAnsi="黑体" w:eastAsia="黑体"/>
          <w:i/>
          <w:color w:val="auto"/>
          <w:sz w:val="32"/>
          <w:szCs w:val="32"/>
          <w:u w:val="single"/>
        </w:rPr>
        <w:t>四、具备履行合同所必需的设备和专业技术能力的书面声明</w:t>
      </w:r>
    </w:p>
    <w:p w14:paraId="1B3C97BD">
      <w:pPr>
        <w:spacing w:line="460" w:lineRule="exact"/>
        <w:ind w:firstLine="492"/>
        <w:rPr>
          <w:bCs/>
          <w:color w:val="auto"/>
          <w:sz w:val="24"/>
          <w:szCs w:val="21"/>
        </w:rPr>
      </w:pPr>
      <w:r>
        <w:rPr>
          <w:rFonts w:hint="eastAsia"/>
          <w:bCs/>
          <w:color w:val="auto"/>
          <w:sz w:val="24"/>
          <w:szCs w:val="21"/>
        </w:rPr>
        <w:t>我单位郑重声明：我单位具备履行本项采购合同所必需的设备和专业技术能力，为履行本项采购合同我公司具备如下主要设备和主要专业技术能力：</w:t>
      </w:r>
    </w:p>
    <w:p w14:paraId="7A43DCFF">
      <w:pPr>
        <w:spacing w:line="460" w:lineRule="exact"/>
        <w:ind w:firstLine="492"/>
        <w:rPr>
          <w:bCs/>
          <w:color w:val="auto"/>
          <w:sz w:val="24"/>
          <w:szCs w:val="21"/>
        </w:rPr>
      </w:pPr>
      <w:r>
        <w:rPr>
          <w:rFonts w:hint="eastAsia"/>
          <w:bCs/>
          <w:color w:val="auto"/>
          <w:sz w:val="24"/>
          <w:szCs w:val="21"/>
        </w:rPr>
        <w:t>主要设备有：</w:t>
      </w:r>
      <w:r>
        <w:rPr>
          <w:rFonts w:hint="eastAsia"/>
          <w:bCs/>
          <w:color w:val="auto"/>
          <w:sz w:val="24"/>
          <w:szCs w:val="21"/>
          <w:u w:val="single"/>
        </w:rPr>
        <w:t xml:space="preserve">  </w:t>
      </w:r>
      <w:r>
        <w:rPr>
          <w:rFonts w:hint="eastAsia"/>
          <w:bCs/>
          <w:color w:val="auto"/>
          <w:sz w:val="24"/>
          <w:szCs w:val="21"/>
        </w:rPr>
        <w:t>。</w:t>
      </w:r>
    </w:p>
    <w:p w14:paraId="5DA3E72E">
      <w:pPr>
        <w:spacing w:line="460" w:lineRule="exact"/>
        <w:ind w:firstLine="492"/>
        <w:rPr>
          <w:bCs/>
          <w:color w:val="auto"/>
          <w:sz w:val="24"/>
          <w:szCs w:val="21"/>
        </w:rPr>
      </w:pPr>
      <w:r>
        <w:rPr>
          <w:rFonts w:hint="eastAsia"/>
          <w:bCs/>
          <w:color w:val="auto"/>
          <w:sz w:val="24"/>
          <w:szCs w:val="21"/>
        </w:rPr>
        <w:t>主要专业技术能力有：</w:t>
      </w:r>
      <w:r>
        <w:rPr>
          <w:rFonts w:hint="eastAsia"/>
          <w:bCs/>
          <w:color w:val="auto"/>
          <w:sz w:val="24"/>
          <w:szCs w:val="21"/>
          <w:u w:val="single"/>
        </w:rPr>
        <w:t xml:space="preserve">   </w:t>
      </w:r>
      <w:r>
        <w:rPr>
          <w:rFonts w:hint="eastAsia"/>
          <w:bCs/>
          <w:color w:val="auto"/>
          <w:sz w:val="24"/>
          <w:szCs w:val="21"/>
        </w:rPr>
        <w:t>。</w:t>
      </w:r>
    </w:p>
    <w:p w14:paraId="2FA104A0">
      <w:pPr>
        <w:spacing w:line="460" w:lineRule="exact"/>
        <w:rPr>
          <w:bCs/>
          <w:color w:val="auto"/>
          <w:sz w:val="24"/>
          <w:szCs w:val="21"/>
        </w:rPr>
      </w:pPr>
      <w:r>
        <w:rPr>
          <w:rFonts w:hint="eastAsia"/>
          <w:bCs/>
          <w:color w:val="auto"/>
          <w:sz w:val="24"/>
          <w:szCs w:val="21"/>
        </w:rPr>
        <w:t xml:space="preserve">                                     </w:t>
      </w:r>
    </w:p>
    <w:p w14:paraId="3E763BBC">
      <w:pPr>
        <w:rPr>
          <w:rFonts w:ascii="Times New Roman" w:hAnsi="Times New Roman"/>
          <w:color w:val="auto"/>
          <w:szCs w:val="21"/>
        </w:rPr>
      </w:pPr>
    </w:p>
    <w:p w14:paraId="3C619A7A">
      <w:pPr>
        <w:rPr>
          <w:rFonts w:ascii="黑体" w:hAnsi="黑体" w:eastAsia="黑体"/>
          <w:i/>
          <w:color w:val="auto"/>
          <w:sz w:val="32"/>
          <w:szCs w:val="32"/>
          <w:u w:val="single"/>
        </w:rPr>
      </w:pPr>
      <w:r>
        <w:rPr>
          <w:rFonts w:hint="eastAsia" w:ascii="黑体" w:hAnsi="黑体" w:eastAsia="黑体"/>
          <w:i/>
          <w:color w:val="auto"/>
          <w:sz w:val="32"/>
          <w:szCs w:val="32"/>
          <w:u w:val="single"/>
        </w:rPr>
        <w:t>五、参加政府采购活动前 3 年内在经营活动中没有重大违法记录的书面声明</w:t>
      </w:r>
    </w:p>
    <w:p w14:paraId="0FD0150D">
      <w:pPr>
        <w:spacing w:line="460" w:lineRule="exact"/>
        <w:rPr>
          <w:b/>
          <w:bCs/>
          <w:color w:val="auto"/>
          <w:sz w:val="44"/>
          <w:szCs w:val="44"/>
        </w:rPr>
      </w:pPr>
      <w:r>
        <w:rPr>
          <w:rFonts w:hint="eastAsia"/>
          <w:b/>
          <w:bCs/>
          <w:color w:val="auto"/>
          <w:sz w:val="44"/>
          <w:szCs w:val="44"/>
        </w:rPr>
        <w:t xml:space="preserve">                 声  明</w:t>
      </w:r>
    </w:p>
    <w:p w14:paraId="5AEC8F01">
      <w:pPr>
        <w:spacing w:line="460" w:lineRule="exact"/>
        <w:rPr>
          <w:bCs/>
          <w:color w:val="auto"/>
          <w:sz w:val="24"/>
          <w:szCs w:val="21"/>
        </w:rPr>
      </w:pPr>
      <w:r>
        <w:rPr>
          <w:rFonts w:hint="eastAsia"/>
          <w:b/>
          <w:bCs/>
          <w:color w:val="auto"/>
          <w:sz w:val="24"/>
          <w:szCs w:val="21"/>
        </w:rPr>
        <w:t xml:space="preserve">    </w:t>
      </w:r>
      <w:r>
        <w:rPr>
          <w:rFonts w:hint="eastAsia"/>
          <w:bCs/>
          <w:color w:val="auto"/>
          <w:sz w:val="24"/>
          <w:szCs w:val="21"/>
        </w:rPr>
        <w:t>我单位郑重声明：参加本次政府采购活动前 3 年内，我单位在经营活动中没有因违法经营受到刑事处罚或者责令停产停业、吊销许可证或者执照、较大数额罚款等行政处罚。</w:t>
      </w:r>
    </w:p>
    <w:p w14:paraId="7B35B177">
      <w:pPr>
        <w:rPr>
          <w:rFonts w:ascii="黑体" w:hAnsi="黑体" w:eastAsia="黑体"/>
          <w:i/>
          <w:color w:val="auto"/>
          <w:sz w:val="32"/>
          <w:szCs w:val="32"/>
          <w:u w:val="single"/>
        </w:rPr>
      </w:pPr>
    </w:p>
    <w:p w14:paraId="6DDF64B4">
      <w:pPr>
        <w:rPr>
          <w:rFonts w:ascii="黑体" w:hAnsi="黑体" w:eastAsia="黑体"/>
          <w:i/>
          <w:color w:val="auto"/>
          <w:sz w:val="32"/>
          <w:szCs w:val="32"/>
          <w:u w:val="single"/>
        </w:rPr>
      </w:pPr>
      <w:r>
        <w:rPr>
          <w:rFonts w:hint="eastAsia" w:ascii="黑体" w:hAnsi="黑体" w:eastAsia="黑体"/>
          <w:i/>
          <w:color w:val="auto"/>
          <w:sz w:val="32"/>
          <w:szCs w:val="32"/>
          <w:u w:val="single"/>
        </w:rPr>
        <w:t>六、单位负责人为同一人或者存在直接控股、服务关系的不同供应商，不得参加同一合同项下的政府采购活动</w:t>
      </w:r>
    </w:p>
    <w:p w14:paraId="3AB16EC1">
      <w:pPr>
        <w:spacing w:line="460" w:lineRule="exact"/>
        <w:rPr>
          <w:bCs/>
          <w:color w:val="auto"/>
          <w:sz w:val="24"/>
          <w:szCs w:val="21"/>
        </w:rPr>
      </w:pPr>
      <w:r>
        <w:rPr>
          <w:rFonts w:hint="eastAsia"/>
          <w:color w:val="auto"/>
          <w:sz w:val="24"/>
          <w:szCs w:val="21"/>
        </w:rPr>
        <w:t xml:space="preserve">  </w:t>
      </w:r>
      <w:bookmarkEnd w:id="263"/>
      <w:bookmarkEnd w:id="264"/>
      <w:bookmarkEnd w:id="265"/>
    </w:p>
    <w:p w14:paraId="165546CC">
      <w:pPr>
        <w:spacing w:line="460" w:lineRule="exact"/>
        <w:rPr>
          <w:bCs/>
          <w:color w:val="auto"/>
          <w:sz w:val="24"/>
          <w:szCs w:val="21"/>
        </w:rPr>
      </w:pPr>
      <w:bookmarkStart w:id="266" w:name="_Toc120614284"/>
    </w:p>
    <w:p w14:paraId="365362B6">
      <w:pPr>
        <w:jc w:val="center"/>
        <w:rPr>
          <w:rFonts w:ascii="黑体" w:hAnsi="黑体" w:eastAsia="黑体"/>
          <w:i/>
          <w:color w:val="auto"/>
          <w:sz w:val="32"/>
          <w:szCs w:val="32"/>
          <w:u w:val="single"/>
        </w:rPr>
      </w:pPr>
    </w:p>
    <w:p w14:paraId="2D520A7A">
      <w:pPr>
        <w:jc w:val="center"/>
        <w:rPr>
          <w:rFonts w:ascii="黑体" w:hAnsi="黑体" w:eastAsia="黑体"/>
          <w:i/>
          <w:color w:val="auto"/>
          <w:sz w:val="32"/>
          <w:szCs w:val="32"/>
          <w:u w:val="single"/>
        </w:rPr>
      </w:pPr>
    </w:p>
    <w:p w14:paraId="15527D1D">
      <w:pPr>
        <w:jc w:val="center"/>
        <w:rPr>
          <w:rFonts w:ascii="黑体" w:hAnsi="黑体" w:eastAsia="黑体"/>
          <w:i/>
          <w:color w:val="auto"/>
          <w:sz w:val="32"/>
          <w:szCs w:val="32"/>
          <w:u w:val="single"/>
        </w:rPr>
      </w:pPr>
    </w:p>
    <w:p w14:paraId="63801DCA">
      <w:pPr>
        <w:jc w:val="center"/>
        <w:rPr>
          <w:rFonts w:ascii="黑体" w:hAnsi="黑体" w:eastAsia="黑体"/>
          <w:i/>
          <w:color w:val="auto"/>
          <w:sz w:val="32"/>
          <w:szCs w:val="32"/>
          <w:u w:val="single"/>
        </w:rPr>
      </w:pPr>
    </w:p>
    <w:p w14:paraId="79C2354D">
      <w:pPr>
        <w:jc w:val="center"/>
        <w:rPr>
          <w:rFonts w:ascii="黑体" w:hAnsi="黑体" w:eastAsia="黑体"/>
          <w:i/>
          <w:color w:val="auto"/>
          <w:sz w:val="32"/>
          <w:szCs w:val="32"/>
          <w:u w:val="single"/>
        </w:rPr>
      </w:pPr>
    </w:p>
    <w:p w14:paraId="25490CFE">
      <w:pPr>
        <w:jc w:val="center"/>
        <w:rPr>
          <w:rFonts w:ascii="黑体" w:hAnsi="黑体" w:eastAsia="黑体"/>
          <w:i/>
          <w:color w:val="auto"/>
          <w:sz w:val="32"/>
          <w:szCs w:val="32"/>
          <w:u w:val="single"/>
        </w:rPr>
      </w:pPr>
    </w:p>
    <w:p w14:paraId="6BA87AD0">
      <w:pPr>
        <w:jc w:val="center"/>
        <w:rPr>
          <w:rFonts w:ascii="黑体" w:hAnsi="黑体" w:eastAsia="黑体"/>
          <w:i/>
          <w:color w:val="auto"/>
          <w:sz w:val="32"/>
          <w:szCs w:val="32"/>
          <w:u w:val="single"/>
        </w:rPr>
      </w:pPr>
    </w:p>
    <w:p w14:paraId="294BE17B">
      <w:pPr>
        <w:jc w:val="center"/>
        <w:rPr>
          <w:rFonts w:ascii="黑体" w:hAnsi="黑体" w:eastAsia="黑体"/>
          <w:i/>
          <w:color w:val="auto"/>
          <w:sz w:val="32"/>
          <w:szCs w:val="32"/>
          <w:u w:val="single"/>
        </w:rPr>
      </w:pPr>
      <w:r>
        <w:rPr>
          <w:rFonts w:hint="eastAsia" w:ascii="黑体" w:hAnsi="黑体" w:eastAsia="黑体"/>
          <w:i/>
          <w:color w:val="auto"/>
          <w:sz w:val="32"/>
          <w:szCs w:val="32"/>
          <w:u w:val="single"/>
        </w:rPr>
        <w:t>七、法人授权书</w:t>
      </w:r>
    </w:p>
    <w:p w14:paraId="73968309">
      <w:pPr>
        <w:tabs>
          <w:tab w:val="left" w:pos="360"/>
        </w:tabs>
        <w:ind w:firstLine="480"/>
        <w:rPr>
          <w:rFonts w:ascii="Times New Roman" w:hAnsi="Times New Roman"/>
          <w:color w:val="auto"/>
          <w:sz w:val="24"/>
          <w:szCs w:val="24"/>
        </w:rPr>
      </w:pPr>
      <w:r>
        <w:rPr>
          <w:rFonts w:hint="eastAsia" w:ascii="Times New Roman" w:hAnsi="Times New Roman"/>
          <w:color w:val="auto"/>
          <w:sz w:val="24"/>
          <w:szCs w:val="24"/>
        </w:rPr>
        <w:t>本授权书声明：____________（投标人名称）授权________________（被授权人的姓名）为我方就JSZC-</w:t>
      </w:r>
      <w:r>
        <w:rPr>
          <w:rFonts w:hint="eastAsia" w:ascii="Times New Roman" w:hAnsi="Times New Roman"/>
          <w:color w:val="auto"/>
          <w:sz w:val="24"/>
          <w:szCs w:val="24"/>
          <w:u w:val="single"/>
        </w:rPr>
        <w:t xml:space="preserve">        </w:t>
      </w:r>
      <w:r>
        <w:rPr>
          <w:rFonts w:hint="eastAsia" w:ascii="Times New Roman" w:hAnsi="Times New Roman"/>
          <w:color w:val="auto"/>
          <w:sz w:val="24"/>
          <w:szCs w:val="24"/>
        </w:rPr>
        <w:t>号项目采购活动的合法代理人，以本单位名义全权处理一切与该项目采购有关的事务。</w:t>
      </w:r>
    </w:p>
    <w:p w14:paraId="15B44E51">
      <w:pPr>
        <w:tabs>
          <w:tab w:val="left" w:pos="360"/>
        </w:tabs>
        <w:ind w:firstLine="480"/>
        <w:rPr>
          <w:rFonts w:ascii="Times New Roman" w:hAnsi="Times New Roman"/>
          <w:color w:val="auto"/>
          <w:sz w:val="24"/>
          <w:szCs w:val="24"/>
        </w:rPr>
      </w:pPr>
      <w:r>
        <w:rPr>
          <w:rFonts w:hint="eastAsia" w:ascii="Times New Roman" w:hAnsi="Times New Roman"/>
          <w:color w:val="auto"/>
          <w:sz w:val="24"/>
          <w:szCs w:val="24"/>
        </w:rPr>
        <w:t>本授权书于______年____月____日起生效，特此声明。</w:t>
      </w:r>
    </w:p>
    <w:p w14:paraId="554BEF33">
      <w:pPr>
        <w:tabs>
          <w:tab w:val="left" w:pos="360"/>
        </w:tabs>
        <w:rPr>
          <w:rFonts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p>
    <w:p w14:paraId="29FF9EFD">
      <w:pPr>
        <w:tabs>
          <w:tab w:val="left" w:pos="360"/>
        </w:tabs>
        <w:rPr>
          <w:rFonts w:ascii="Times New Roman" w:hAnsi="Times New Roman"/>
          <w:color w:val="auto"/>
          <w:sz w:val="24"/>
          <w:szCs w:val="24"/>
          <w:u w:val="single"/>
        </w:rPr>
      </w:pPr>
      <w:r>
        <w:rPr>
          <w:rFonts w:hint="eastAsia" w:ascii="Times New Roman" w:hAnsi="Times New Roman"/>
          <w:color w:val="auto"/>
          <w:sz w:val="24"/>
          <w:szCs w:val="24"/>
        </w:rPr>
        <w:t xml:space="preserve">          被授权人联系电话：（手机）</w:t>
      </w:r>
      <w:r>
        <w:rPr>
          <w:rFonts w:hint="eastAsia" w:ascii="Times New Roman" w:hAnsi="Times New Roman"/>
          <w:color w:val="auto"/>
          <w:sz w:val="24"/>
          <w:szCs w:val="24"/>
          <w:u w:val="single"/>
        </w:rPr>
        <w:t xml:space="preserve">                          </w:t>
      </w:r>
    </w:p>
    <w:p w14:paraId="1BA1DBF6">
      <w:pPr>
        <w:tabs>
          <w:tab w:val="left" w:pos="360"/>
        </w:tabs>
        <w:ind w:firstLine="1200"/>
        <w:rPr>
          <w:rFonts w:ascii="Times New Roman" w:hAnsi="Times New Roman"/>
          <w:color w:val="auto"/>
          <w:sz w:val="24"/>
          <w:szCs w:val="24"/>
        </w:rPr>
      </w:pPr>
      <w:r>
        <w:rPr>
          <w:rFonts w:hint="eastAsia" w:ascii="Times New Roman" w:hAnsi="Times New Roman"/>
          <w:color w:val="auto"/>
          <w:sz w:val="24"/>
          <w:szCs w:val="24"/>
        </w:rPr>
        <w:t>授权单位名称：</w:t>
      </w:r>
      <w:r>
        <w:rPr>
          <w:rFonts w:hint="eastAsia" w:ascii="Times New Roman" w:hAnsi="Times New Roman"/>
          <w:color w:val="auto"/>
          <w:sz w:val="24"/>
          <w:szCs w:val="24"/>
          <w:u w:val="single"/>
        </w:rPr>
        <w:t>（加盖CA电子公章）</w:t>
      </w:r>
    </w:p>
    <w:p w14:paraId="7911712E">
      <w:pPr>
        <w:tabs>
          <w:tab w:val="left" w:pos="360"/>
        </w:tabs>
        <w:ind w:firstLine="480"/>
        <w:rPr>
          <w:rFonts w:ascii="Times New Roman" w:hAnsi="Times New Roman"/>
          <w:color w:val="auto"/>
          <w:sz w:val="24"/>
          <w:szCs w:val="24"/>
          <w:u w:val="single"/>
        </w:rPr>
      </w:pPr>
      <w:r>
        <w:rPr>
          <w:rFonts w:hint="eastAsia" w:ascii="Times New Roman" w:hAnsi="Times New Roman"/>
          <w:color w:val="auto"/>
          <w:sz w:val="24"/>
          <w:szCs w:val="24"/>
        </w:rPr>
        <w:t xml:space="preserve">      单位地址：</w:t>
      </w:r>
      <w:r>
        <w:rPr>
          <w:rFonts w:hint="eastAsia" w:ascii="Times New Roman" w:hAnsi="Times New Roman"/>
          <w:color w:val="auto"/>
          <w:sz w:val="24"/>
          <w:szCs w:val="24"/>
          <w:u w:val="single"/>
        </w:rPr>
        <w:t xml:space="preserve">                                         </w:t>
      </w:r>
    </w:p>
    <w:p w14:paraId="784503AB">
      <w:pPr>
        <w:tabs>
          <w:tab w:val="left" w:pos="360"/>
        </w:tabs>
        <w:ind w:firstLine="480"/>
        <w:rPr>
          <w:rFonts w:ascii="Times New Roman" w:hAnsi="Times New Roman"/>
          <w:color w:val="auto"/>
          <w:sz w:val="24"/>
          <w:szCs w:val="24"/>
        </w:rPr>
      </w:pPr>
      <w:r>
        <w:rPr>
          <w:rFonts w:hint="eastAsia" w:ascii="Times New Roman" w:hAnsi="Times New Roman"/>
          <w:color w:val="auto"/>
          <w:sz w:val="24"/>
          <w:szCs w:val="24"/>
        </w:rPr>
        <w:t xml:space="preserve">      日期：</w:t>
      </w:r>
      <w:bookmarkStart w:id="267" w:name="_Hlt26671380"/>
      <w:bookmarkEnd w:id="267"/>
      <w:bookmarkStart w:id="268" w:name="_Hlt26955070"/>
      <w:bookmarkEnd w:id="268"/>
      <w:bookmarkStart w:id="269" w:name="_格式3__银行出具的资信证明"/>
      <w:bookmarkEnd w:id="269"/>
      <w:r>
        <w:rPr>
          <w:rFonts w:hint="eastAsia" w:ascii="Times New Roman" w:hAnsi="Times New Roman"/>
          <w:color w:val="auto"/>
          <w:sz w:val="24"/>
          <w:szCs w:val="24"/>
          <w:u w:val="single"/>
        </w:rPr>
        <w:t xml:space="preserve">                                         </w:t>
      </w:r>
    </w:p>
    <w:p w14:paraId="000E8D78">
      <w:pPr>
        <w:ind w:firstLine="420"/>
        <w:rPr>
          <w:rFonts w:ascii="Times New Roman" w:hAnsi="Times New Roman"/>
          <w:i/>
          <w:color w:val="auto"/>
          <w:sz w:val="24"/>
          <w:szCs w:val="24"/>
          <w:u w:val="single"/>
        </w:rPr>
      </w:pPr>
    </w:p>
    <w:p w14:paraId="7FDBBD03">
      <w:pPr>
        <w:rPr>
          <w:rFonts w:ascii="Times New Roman" w:hAnsi="Times New Roman"/>
          <w:color w:val="auto"/>
          <w:szCs w:val="21"/>
        </w:rPr>
      </w:pPr>
    </w:p>
    <w:p w14:paraId="647C1A17">
      <w:pPr>
        <w:spacing w:line="460" w:lineRule="exact"/>
        <w:rPr>
          <w:bCs/>
          <w:color w:val="auto"/>
          <w:sz w:val="24"/>
          <w:szCs w:val="21"/>
        </w:rPr>
      </w:pPr>
    </w:p>
    <w:p w14:paraId="23C7125B">
      <w:pPr>
        <w:keepNext/>
        <w:keepLines/>
        <w:spacing w:before="260" w:after="260" w:line="416" w:lineRule="auto"/>
        <w:ind w:firstLine="3390"/>
        <w:outlineLvl w:val="1"/>
        <w:rPr>
          <w:rFonts w:ascii="黑体" w:hAnsi="黑体" w:eastAsia="黑体" w:cs="Arial"/>
          <w:b/>
          <w:i/>
          <w:color w:val="auto"/>
          <w:sz w:val="32"/>
          <w:szCs w:val="32"/>
          <w:u w:val="single"/>
        </w:rPr>
      </w:pPr>
    </w:p>
    <w:p w14:paraId="6D5314CD">
      <w:pPr>
        <w:pStyle w:val="12"/>
        <w:ind w:left="440" w:firstLine="643"/>
        <w:rPr>
          <w:rFonts w:ascii="黑体" w:hAnsi="黑体" w:eastAsia="黑体" w:cs="Arial"/>
          <w:b/>
          <w:i/>
          <w:color w:val="auto"/>
          <w:sz w:val="32"/>
          <w:szCs w:val="32"/>
          <w:u w:val="single"/>
        </w:rPr>
      </w:pPr>
    </w:p>
    <w:p w14:paraId="592A88B8">
      <w:pPr>
        <w:rPr>
          <w:rFonts w:ascii="黑体" w:hAnsi="黑体" w:eastAsia="黑体" w:cs="Arial"/>
          <w:b/>
          <w:i/>
          <w:color w:val="auto"/>
          <w:sz w:val="32"/>
          <w:szCs w:val="32"/>
          <w:u w:val="single"/>
        </w:rPr>
      </w:pPr>
    </w:p>
    <w:p w14:paraId="31B17E5C">
      <w:pPr>
        <w:pStyle w:val="12"/>
        <w:ind w:left="440" w:firstLine="440"/>
        <w:rPr>
          <w:color w:val="auto"/>
        </w:rPr>
      </w:pPr>
    </w:p>
    <w:p w14:paraId="78310492">
      <w:pPr>
        <w:keepNext/>
        <w:keepLines/>
        <w:spacing w:before="260" w:after="260" w:line="416" w:lineRule="auto"/>
        <w:ind w:firstLine="3390"/>
        <w:outlineLvl w:val="1"/>
        <w:rPr>
          <w:rFonts w:ascii="黑体" w:hAnsi="黑体" w:eastAsia="黑体" w:cs="Arial"/>
          <w:b/>
          <w:i/>
          <w:color w:val="auto"/>
          <w:sz w:val="32"/>
          <w:szCs w:val="32"/>
          <w:u w:val="single"/>
        </w:rPr>
      </w:pPr>
    </w:p>
    <w:p w14:paraId="5CED8501">
      <w:pPr>
        <w:keepNext/>
        <w:keepLines/>
        <w:spacing w:before="260" w:after="260" w:line="416" w:lineRule="auto"/>
        <w:outlineLvl w:val="1"/>
        <w:rPr>
          <w:rFonts w:ascii="黑体" w:hAnsi="黑体" w:eastAsia="黑体" w:cs="Arial"/>
          <w:b/>
          <w:i/>
          <w:color w:val="auto"/>
          <w:sz w:val="32"/>
          <w:szCs w:val="32"/>
          <w:u w:val="single"/>
        </w:rPr>
      </w:pPr>
    </w:p>
    <w:p w14:paraId="40D9C940">
      <w:pPr>
        <w:pStyle w:val="12"/>
        <w:ind w:left="440" w:firstLine="643"/>
        <w:rPr>
          <w:rFonts w:ascii="黑体" w:hAnsi="黑体" w:eastAsia="黑体" w:cs="Arial"/>
          <w:b/>
          <w:i/>
          <w:color w:val="auto"/>
          <w:sz w:val="32"/>
          <w:szCs w:val="32"/>
          <w:u w:val="single"/>
        </w:rPr>
      </w:pPr>
    </w:p>
    <w:p w14:paraId="27C143FD">
      <w:pPr>
        <w:rPr>
          <w:rFonts w:ascii="黑体" w:hAnsi="黑体" w:eastAsia="黑体" w:cs="Arial"/>
          <w:b/>
          <w:i/>
          <w:color w:val="auto"/>
          <w:sz w:val="32"/>
          <w:szCs w:val="32"/>
          <w:u w:val="single"/>
        </w:rPr>
      </w:pPr>
    </w:p>
    <w:p w14:paraId="261BCD63">
      <w:pPr>
        <w:pStyle w:val="12"/>
        <w:ind w:left="440" w:firstLine="643"/>
        <w:rPr>
          <w:rFonts w:ascii="黑体" w:hAnsi="黑体" w:eastAsia="黑体" w:cs="Arial"/>
          <w:b/>
          <w:i/>
          <w:color w:val="auto"/>
          <w:sz w:val="32"/>
          <w:szCs w:val="32"/>
          <w:u w:val="single"/>
        </w:rPr>
      </w:pPr>
    </w:p>
    <w:p w14:paraId="3523EAEC">
      <w:pPr>
        <w:rPr>
          <w:rFonts w:ascii="黑体" w:hAnsi="黑体" w:eastAsia="黑体" w:cs="Arial"/>
          <w:b/>
          <w:i/>
          <w:color w:val="auto"/>
          <w:sz w:val="32"/>
          <w:szCs w:val="32"/>
          <w:u w:val="single"/>
        </w:rPr>
      </w:pPr>
    </w:p>
    <w:p w14:paraId="530ACC96">
      <w:pPr>
        <w:pStyle w:val="4"/>
      </w:pPr>
    </w:p>
    <w:p w14:paraId="3E0F647F">
      <w:pPr>
        <w:rPr>
          <w:rFonts w:ascii="黑体" w:hAnsi="黑体" w:eastAsia="黑体" w:cs="Arial"/>
          <w:b/>
          <w:i/>
          <w:color w:val="auto"/>
          <w:sz w:val="32"/>
          <w:szCs w:val="32"/>
          <w:u w:val="single"/>
        </w:rPr>
      </w:pPr>
    </w:p>
    <w:p w14:paraId="409FF56C">
      <w:pPr>
        <w:pStyle w:val="12"/>
        <w:ind w:left="440" w:firstLine="440"/>
        <w:rPr>
          <w:color w:val="auto"/>
        </w:rPr>
      </w:pPr>
    </w:p>
    <w:p w14:paraId="1474111D">
      <w:pPr>
        <w:keepNext/>
        <w:keepLines/>
        <w:spacing w:before="260" w:after="260" w:line="416" w:lineRule="auto"/>
        <w:jc w:val="center"/>
        <w:outlineLvl w:val="1"/>
        <w:rPr>
          <w:rFonts w:ascii="黑体" w:hAnsi="黑体" w:eastAsia="黑体"/>
          <w:b/>
          <w:i/>
          <w:color w:val="auto"/>
          <w:sz w:val="32"/>
          <w:szCs w:val="32"/>
          <w:u w:val="single"/>
        </w:rPr>
      </w:pPr>
      <w:r>
        <w:rPr>
          <w:rFonts w:hint="eastAsia" w:ascii="黑体" w:hAnsi="黑体" w:eastAsia="黑体" w:cs="Arial"/>
          <w:b/>
          <w:i/>
          <w:color w:val="auto"/>
          <w:sz w:val="32"/>
          <w:szCs w:val="32"/>
          <w:u w:val="single"/>
        </w:rPr>
        <w:t>八、</w:t>
      </w:r>
      <w:r>
        <w:rPr>
          <w:rFonts w:hint="eastAsia" w:ascii="黑体" w:hAnsi="黑体" w:eastAsia="黑体"/>
          <w:b/>
          <w:i/>
          <w:color w:val="auto"/>
          <w:sz w:val="32"/>
          <w:szCs w:val="32"/>
          <w:u w:val="single"/>
        </w:rPr>
        <w:t>投标函</w:t>
      </w:r>
    </w:p>
    <w:p w14:paraId="07AF833B">
      <w:pPr>
        <w:spacing w:line="420" w:lineRule="exact"/>
        <w:rPr>
          <w:color w:val="auto"/>
          <w:sz w:val="24"/>
          <w:szCs w:val="21"/>
        </w:rPr>
      </w:pPr>
      <w:r>
        <w:rPr>
          <w:rFonts w:hint="eastAsia"/>
          <w:color w:val="auto"/>
          <w:sz w:val="24"/>
          <w:szCs w:val="21"/>
        </w:rPr>
        <w:t>致：射阳县中医院</w:t>
      </w:r>
    </w:p>
    <w:p w14:paraId="0793299A">
      <w:pPr>
        <w:spacing w:line="420" w:lineRule="exact"/>
        <w:ind w:firstLine="480"/>
        <w:rPr>
          <w:color w:val="auto"/>
          <w:sz w:val="24"/>
          <w:szCs w:val="21"/>
        </w:rPr>
      </w:pPr>
      <w:r>
        <w:rPr>
          <w:rFonts w:hint="eastAsia"/>
          <w:color w:val="auto"/>
          <w:sz w:val="24"/>
          <w:szCs w:val="21"/>
        </w:rPr>
        <w:t>根据贵方的JSZC-</w:t>
      </w:r>
      <w:r>
        <w:rPr>
          <w:color w:val="auto"/>
          <w:sz w:val="24"/>
          <w:szCs w:val="21"/>
        </w:rPr>
        <w:t>***</w:t>
      </w:r>
      <w:r>
        <w:rPr>
          <w:rFonts w:hint="eastAsia"/>
          <w:b/>
          <w:color w:val="auto"/>
          <w:sz w:val="36"/>
          <w:szCs w:val="24"/>
          <w:u w:val="single"/>
        </w:rPr>
        <w:t xml:space="preserve">            </w:t>
      </w:r>
      <w:r>
        <w:rPr>
          <w:rFonts w:hint="eastAsia"/>
          <w:color w:val="auto"/>
          <w:sz w:val="24"/>
          <w:szCs w:val="21"/>
        </w:rPr>
        <w:t>号招标文件，正式授权下述签字人_________________(姓名)代表我方______________（投标人的名称），全权处理本次项目投标的有关事宜。</w:t>
      </w:r>
    </w:p>
    <w:p w14:paraId="4CD55AB9">
      <w:pPr>
        <w:spacing w:line="420" w:lineRule="exact"/>
        <w:ind w:firstLine="480"/>
        <w:rPr>
          <w:color w:val="auto"/>
          <w:sz w:val="24"/>
          <w:szCs w:val="21"/>
        </w:rPr>
      </w:pPr>
      <w:r>
        <w:rPr>
          <w:rFonts w:hint="eastAsia"/>
          <w:color w:val="auto"/>
          <w:sz w:val="24"/>
          <w:szCs w:val="21"/>
        </w:rPr>
        <w:t>据此函，__________签字人兹宣布同意如下：</w:t>
      </w:r>
    </w:p>
    <w:p w14:paraId="5E4F1304">
      <w:pPr>
        <w:spacing w:line="420" w:lineRule="exact"/>
        <w:ind w:firstLine="480"/>
        <w:rPr>
          <w:color w:val="auto"/>
          <w:sz w:val="24"/>
          <w:szCs w:val="21"/>
        </w:rPr>
      </w:pPr>
      <w:r>
        <w:rPr>
          <w:rFonts w:hint="eastAsia"/>
          <w:color w:val="auto"/>
          <w:sz w:val="24"/>
          <w:szCs w:val="21"/>
        </w:rPr>
        <w:t>1.按招标文件规定的各项要求，向买方提供所需货物（包含与货物相关的服务）。</w:t>
      </w:r>
    </w:p>
    <w:p w14:paraId="72E13E82">
      <w:pPr>
        <w:spacing w:line="420" w:lineRule="exact"/>
        <w:ind w:firstLine="480"/>
        <w:rPr>
          <w:color w:val="auto"/>
          <w:sz w:val="24"/>
          <w:szCs w:val="21"/>
        </w:rPr>
      </w:pPr>
      <w:r>
        <w:rPr>
          <w:rFonts w:hint="eastAsia"/>
          <w:color w:val="auto"/>
          <w:sz w:val="24"/>
          <w:szCs w:val="21"/>
        </w:rPr>
        <w:t>2.我们完全理解贵方不一定将合同授予最低报价的投标人。</w:t>
      </w:r>
    </w:p>
    <w:p w14:paraId="2B8AC33E">
      <w:pPr>
        <w:spacing w:line="420" w:lineRule="exact"/>
        <w:ind w:firstLine="480"/>
        <w:rPr>
          <w:color w:val="auto"/>
          <w:sz w:val="24"/>
          <w:szCs w:val="21"/>
        </w:rPr>
      </w:pPr>
      <w:r>
        <w:rPr>
          <w:rFonts w:hint="eastAsia"/>
          <w:color w:val="auto"/>
          <w:sz w:val="24"/>
          <w:szCs w:val="21"/>
        </w:rPr>
        <w:t>3.我们已详细审核全部招标文件及其有效补充文件，我们知道必须放弃提出含糊不清或误解问题的权利。</w:t>
      </w:r>
    </w:p>
    <w:p w14:paraId="4F9EDCC2">
      <w:pPr>
        <w:spacing w:line="420" w:lineRule="exact"/>
        <w:ind w:firstLine="480"/>
        <w:rPr>
          <w:color w:val="auto"/>
          <w:sz w:val="24"/>
          <w:szCs w:val="21"/>
        </w:rPr>
      </w:pPr>
      <w:r>
        <w:rPr>
          <w:rFonts w:hint="eastAsia"/>
          <w:color w:val="auto"/>
          <w:sz w:val="24"/>
          <w:szCs w:val="21"/>
        </w:rPr>
        <w:t>4.我们同意从规定的开标日期起遵循本投标文件，并在规定的投标有效期期满之前均具有约束力。</w:t>
      </w:r>
    </w:p>
    <w:p w14:paraId="2F1D6454">
      <w:pPr>
        <w:spacing w:line="420" w:lineRule="exact"/>
        <w:ind w:firstLine="480"/>
        <w:rPr>
          <w:color w:val="auto"/>
          <w:sz w:val="24"/>
          <w:szCs w:val="21"/>
        </w:rPr>
      </w:pPr>
      <w:r>
        <w:rPr>
          <w:color w:val="auto"/>
          <w:sz w:val="24"/>
          <w:szCs w:val="21"/>
        </w:rPr>
        <w:t>5</w:t>
      </w:r>
      <w:r>
        <w:rPr>
          <w:rFonts w:hint="eastAsia"/>
          <w:color w:val="auto"/>
          <w:sz w:val="24"/>
          <w:szCs w:val="21"/>
        </w:rPr>
        <w:t>.同意向贵方提供贵方可能另外要求的与投标有关的任何证据或资料，并保证我方已提供和将要提供的文件是真实的、准确的。</w:t>
      </w:r>
    </w:p>
    <w:p w14:paraId="2A2939DA">
      <w:pPr>
        <w:spacing w:line="420" w:lineRule="exact"/>
        <w:ind w:firstLine="480"/>
        <w:rPr>
          <w:color w:val="auto"/>
          <w:sz w:val="24"/>
          <w:szCs w:val="21"/>
        </w:rPr>
      </w:pPr>
      <w:r>
        <w:rPr>
          <w:color w:val="auto"/>
          <w:sz w:val="24"/>
          <w:szCs w:val="21"/>
        </w:rPr>
        <w:t>6</w:t>
      </w:r>
      <w:r>
        <w:rPr>
          <w:rFonts w:hint="eastAsia"/>
          <w:color w:val="auto"/>
          <w:sz w:val="24"/>
          <w:szCs w:val="21"/>
        </w:rPr>
        <w:t>.一旦我方中标,我方将根据招标文件的规定，严格履行合同的责任和义务,并保证在招标文件规定的时间完成项目，交付买方验收、使用。</w:t>
      </w:r>
    </w:p>
    <w:p w14:paraId="22463C1B">
      <w:pPr>
        <w:spacing w:line="420" w:lineRule="exact"/>
        <w:ind w:left="425"/>
        <w:rPr>
          <w:color w:val="auto"/>
          <w:sz w:val="24"/>
          <w:szCs w:val="21"/>
        </w:rPr>
      </w:pPr>
      <w:r>
        <w:rPr>
          <w:color w:val="auto"/>
          <w:sz w:val="24"/>
          <w:szCs w:val="21"/>
        </w:rPr>
        <w:t>7</w:t>
      </w:r>
      <w:r>
        <w:rPr>
          <w:rFonts w:hint="eastAsia"/>
          <w:color w:val="auto"/>
          <w:sz w:val="24"/>
          <w:szCs w:val="21"/>
        </w:rPr>
        <w:t>.与本投标有关的正式通讯地址为：</w:t>
      </w:r>
    </w:p>
    <w:p w14:paraId="6B1EC79B">
      <w:pPr>
        <w:spacing w:line="420" w:lineRule="exact"/>
        <w:ind w:left="420" w:firstLine="480"/>
        <w:rPr>
          <w:color w:val="auto"/>
          <w:sz w:val="24"/>
          <w:szCs w:val="21"/>
        </w:rPr>
      </w:pPr>
      <w:r>
        <w:rPr>
          <w:rFonts w:hint="eastAsia"/>
          <w:color w:val="auto"/>
          <w:sz w:val="24"/>
          <w:szCs w:val="21"/>
        </w:rPr>
        <w:t>地          址：</w:t>
      </w:r>
    </w:p>
    <w:p w14:paraId="1087C419">
      <w:pPr>
        <w:spacing w:line="420" w:lineRule="exact"/>
        <w:ind w:left="420" w:firstLine="480"/>
        <w:rPr>
          <w:color w:val="auto"/>
          <w:sz w:val="24"/>
          <w:szCs w:val="21"/>
        </w:rPr>
      </w:pPr>
      <w:r>
        <w:rPr>
          <w:rFonts w:hint="eastAsia"/>
          <w:color w:val="auto"/>
          <w:sz w:val="24"/>
          <w:szCs w:val="21"/>
        </w:rPr>
        <w:t>邮          编：</w:t>
      </w:r>
    </w:p>
    <w:p w14:paraId="0AEBD825">
      <w:pPr>
        <w:spacing w:line="420" w:lineRule="exact"/>
        <w:ind w:left="420" w:firstLine="480"/>
        <w:rPr>
          <w:color w:val="auto"/>
          <w:sz w:val="24"/>
          <w:szCs w:val="21"/>
        </w:rPr>
      </w:pPr>
      <w:r>
        <w:rPr>
          <w:rFonts w:hint="eastAsia"/>
          <w:color w:val="auto"/>
          <w:sz w:val="24"/>
          <w:szCs w:val="21"/>
        </w:rPr>
        <w:t>电          话：</w:t>
      </w:r>
    </w:p>
    <w:p w14:paraId="63D54B17">
      <w:pPr>
        <w:spacing w:line="420" w:lineRule="exact"/>
        <w:ind w:left="420" w:firstLine="480"/>
        <w:rPr>
          <w:color w:val="auto"/>
          <w:sz w:val="24"/>
          <w:szCs w:val="21"/>
        </w:rPr>
      </w:pPr>
      <w:r>
        <w:rPr>
          <w:rFonts w:hint="eastAsia"/>
          <w:color w:val="auto"/>
          <w:sz w:val="24"/>
          <w:szCs w:val="21"/>
        </w:rPr>
        <w:t>传          真：</w:t>
      </w:r>
    </w:p>
    <w:p w14:paraId="77CC5018">
      <w:pPr>
        <w:spacing w:line="420" w:lineRule="exact"/>
        <w:ind w:left="420" w:firstLine="480"/>
        <w:rPr>
          <w:color w:val="auto"/>
          <w:sz w:val="24"/>
          <w:szCs w:val="21"/>
        </w:rPr>
      </w:pPr>
      <w:r>
        <w:rPr>
          <w:rFonts w:hint="eastAsia"/>
          <w:color w:val="auto"/>
          <w:sz w:val="24"/>
          <w:szCs w:val="21"/>
        </w:rPr>
        <w:t>投标人开户行：</w:t>
      </w:r>
    </w:p>
    <w:p w14:paraId="4482DAFF">
      <w:pPr>
        <w:spacing w:line="420" w:lineRule="exact"/>
        <w:ind w:left="420" w:firstLine="480"/>
        <w:rPr>
          <w:color w:val="auto"/>
          <w:sz w:val="24"/>
          <w:szCs w:val="21"/>
        </w:rPr>
      </w:pPr>
      <w:r>
        <w:rPr>
          <w:rFonts w:hint="eastAsia"/>
          <w:color w:val="auto"/>
          <w:sz w:val="24"/>
          <w:szCs w:val="21"/>
        </w:rPr>
        <w:t xml:space="preserve">账          号： </w:t>
      </w:r>
    </w:p>
    <w:p w14:paraId="78A7D70C">
      <w:pPr>
        <w:spacing w:line="420" w:lineRule="exact"/>
        <w:ind w:left="420" w:firstLine="480"/>
        <w:rPr>
          <w:color w:val="auto"/>
          <w:sz w:val="24"/>
          <w:szCs w:val="21"/>
        </w:rPr>
      </w:pPr>
      <w:r>
        <w:rPr>
          <w:rFonts w:hint="eastAsia"/>
          <w:color w:val="auto"/>
          <w:sz w:val="24"/>
          <w:szCs w:val="21"/>
        </w:rPr>
        <w:t>日           期：________年____月____日</w:t>
      </w:r>
    </w:p>
    <w:p w14:paraId="107A7513">
      <w:pPr>
        <w:spacing w:line="560" w:lineRule="exact"/>
        <w:ind w:firstLine="240"/>
        <w:jc w:val="center"/>
        <w:rPr>
          <w:bCs/>
          <w:color w:val="auto"/>
          <w:sz w:val="24"/>
          <w:szCs w:val="21"/>
        </w:rPr>
      </w:pPr>
    </w:p>
    <w:p w14:paraId="13BEED93">
      <w:pPr>
        <w:spacing w:line="560" w:lineRule="exact"/>
        <w:ind w:firstLine="240"/>
        <w:jc w:val="center"/>
        <w:rPr>
          <w:bCs/>
          <w:color w:val="auto"/>
          <w:sz w:val="24"/>
          <w:szCs w:val="21"/>
        </w:rPr>
      </w:pPr>
    </w:p>
    <w:p w14:paraId="4284F551">
      <w:pPr>
        <w:spacing w:line="560" w:lineRule="exact"/>
        <w:ind w:firstLine="240"/>
        <w:jc w:val="center"/>
        <w:rPr>
          <w:bCs/>
          <w:color w:val="auto"/>
          <w:sz w:val="24"/>
          <w:szCs w:val="21"/>
        </w:rPr>
      </w:pPr>
    </w:p>
    <w:p w14:paraId="58C92563">
      <w:pPr>
        <w:pStyle w:val="4"/>
      </w:pPr>
    </w:p>
    <w:p w14:paraId="73D85B85">
      <w:pPr>
        <w:spacing w:line="560" w:lineRule="exact"/>
        <w:ind w:firstLine="321"/>
        <w:jc w:val="both"/>
        <w:rPr>
          <w:rFonts w:ascii="黑体" w:hAnsi="黑体" w:eastAsia="黑体"/>
          <w:b/>
          <w:color w:val="auto"/>
          <w:sz w:val="32"/>
          <w:szCs w:val="32"/>
        </w:rPr>
      </w:pPr>
    </w:p>
    <w:p w14:paraId="4979E453">
      <w:pPr>
        <w:pStyle w:val="9"/>
        <w:spacing w:beforeAutospacing="0" w:afterAutospacing="0" w:line="0" w:lineRule="atLeast"/>
        <w:jc w:val="center"/>
        <w:rPr>
          <w:color w:val="auto"/>
        </w:rPr>
      </w:pPr>
      <w:r>
        <w:rPr>
          <w:rFonts w:hint="eastAsia" w:hAnsi="宋体"/>
          <w:b/>
          <w:bCs/>
          <w:color w:val="auto"/>
          <w:sz w:val="32"/>
          <w:szCs w:val="32"/>
        </w:rPr>
        <w:t>九、</w:t>
      </w:r>
      <w:r>
        <w:rPr>
          <w:rFonts w:hint="eastAsia" w:ascii="黑体" w:hAnsi="宋体" w:eastAsia="黑体" w:cs="黑体"/>
          <w:b/>
          <w:color w:val="auto"/>
          <w:sz w:val="32"/>
          <w:szCs w:val="32"/>
        </w:rPr>
        <w:t>小微企业声明函（服务）</w:t>
      </w:r>
    </w:p>
    <w:p w14:paraId="594A1884">
      <w:pPr>
        <w:widowControl/>
        <w:spacing w:line="460" w:lineRule="exact"/>
        <w:ind w:firstLine="420"/>
        <w:rPr>
          <w:color w:val="auto"/>
          <w:sz w:val="24"/>
          <w:szCs w:val="24"/>
        </w:rPr>
      </w:pPr>
      <w:r>
        <w:rPr>
          <w:rFonts w:hint="eastAsia"/>
          <w:color w:val="auto"/>
          <w:sz w:val="24"/>
          <w:szCs w:val="24"/>
        </w:rPr>
        <w:t>本公司（联合体）郑重声明，根据《政府采购促进中小企业发展管理办法》（财库﹝2020﹞46 号）的规定，本公司（联合体）参加</w:t>
      </w:r>
      <w:r>
        <w:rPr>
          <w:rFonts w:hint="eastAsia"/>
          <w:i/>
          <w:color w:val="auto"/>
          <w:sz w:val="24"/>
          <w:szCs w:val="24"/>
          <w:u w:val="single"/>
        </w:rPr>
        <w:t>（单位名称）</w:t>
      </w:r>
      <w:r>
        <w:rPr>
          <w:rFonts w:hint="eastAsia"/>
          <w:color w:val="auto"/>
          <w:sz w:val="24"/>
          <w:szCs w:val="24"/>
        </w:rPr>
        <w:t>的</w:t>
      </w:r>
      <w:r>
        <w:rPr>
          <w:rFonts w:hint="eastAsia"/>
          <w:i/>
          <w:color w:val="auto"/>
          <w:sz w:val="24"/>
          <w:szCs w:val="24"/>
          <w:u w:val="single"/>
        </w:rPr>
        <w:t>（项目名称）</w:t>
      </w:r>
      <w:r>
        <w:rPr>
          <w:rFonts w:hint="eastAsia"/>
          <w:color w:val="auto"/>
          <w:sz w:val="24"/>
          <w:szCs w:val="24"/>
        </w:rPr>
        <w:t>采购活动，服务全部由符合政策要求的</w:t>
      </w:r>
      <w:r>
        <w:rPr>
          <w:rFonts w:hint="eastAsia" w:cs="Times New Roman"/>
          <w:color w:val="auto"/>
          <w:sz w:val="24"/>
          <w:szCs w:val="24"/>
        </w:rPr>
        <w:t>小微</w:t>
      </w:r>
      <w:r>
        <w:rPr>
          <w:rFonts w:hint="eastAsia"/>
          <w:color w:val="auto"/>
          <w:sz w:val="24"/>
          <w:szCs w:val="24"/>
        </w:rPr>
        <w:t>企业承接。相关企业（含联合体中的</w:t>
      </w:r>
      <w:r>
        <w:rPr>
          <w:rFonts w:hint="eastAsia" w:cs="Times New Roman"/>
          <w:color w:val="auto"/>
          <w:sz w:val="24"/>
          <w:szCs w:val="24"/>
        </w:rPr>
        <w:t>小微</w:t>
      </w:r>
      <w:r>
        <w:rPr>
          <w:rFonts w:hint="eastAsia"/>
          <w:color w:val="auto"/>
          <w:sz w:val="24"/>
          <w:szCs w:val="24"/>
        </w:rPr>
        <w:t>企业、签订分包意向协议的</w:t>
      </w:r>
      <w:r>
        <w:rPr>
          <w:rFonts w:hint="eastAsia" w:cs="Times New Roman"/>
          <w:color w:val="auto"/>
          <w:sz w:val="24"/>
          <w:szCs w:val="24"/>
        </w:rPr>
        <w:t>小微</w:t>
      </w:r>
      <w:r>
        <w:rPr>
          <w:rFonts w:hint="eastAsia"/>
          <w:color w:val="auto"/>
          <w:sz w:val="24"/>
          <w:szCs w:val="24"/>
        </w:rPr>
        <w:t>企业）的具体情况如下：</w:t>
      </w:r>
    </w:p>
    <w:p w14:paraId="4304EFE7">
      <w:pPr>
        <w:widowControl/>
        <w:spacing w:line="460" w:lineRule="exact"/>
        <w:ind w:firstLine="420"/>
        <w:rPr>
          <w:color w:val="auto"/>
          <w:sz w:val="24"/>
          <w:szCs w:val="24"/>
        </w:rPr>
      </w:pPr>
      <w:r>
        <w:rPr>
          <w:rFonts w:hint="eastAsia"/>
          <w:color w:val="auto"/>
          <w:sz w:val="24"/>
          <w:szCs w:val="24"/>
        </w:rPr>
        <w:t xml:space="preserve">1. </w:t>
      </w:r>
      <w:r>
        <w:rPr>
          <w:rFonts w:hint="eastAsia"/>
          <w:i/>
          <w:color w:val="auto"/>
          <w:sz w:val="24"/>
          <w:szCs w:val="24"/>
          <w:u w:val="single"/>
        </w:rPr>
        <w:t xml:space="preserve">（标的名称） </w:t>
      </w:r>
      <w:r>
        <w:rPr>
          <w:rFonts w:hint="eastAsia"/>
          <w:color w:val="auto"/>
          <w:sz w:val="24"/>
          <w:szCs w:val="24"/>
        </w:rPr>
        <w:t>，属于</w:t>
      </w:r>
      <w:r>
        <w:rPr>
          <w:rFonts w:hint="eastAsia"/>
          <w:i/>
          <w:color w:val="auto"/>
          <w:sz w:val="24"/>
          <w:szCs w:val="24"/>
          <w:u w:val="single"/>
        </w:rPr>
        <w:t>（采购文件中明确的所属行业）</w:t>
      </w:r>
      <w:r>
        <w:rPr>
          <w:rFonts w:hint="eastAsia"/>
          <w:color w:val="auto"/>
          <w:sz w:val="24"/>
          <w:szCs w:val="24"/>
        </w:rPr>
        <w:t>；承接企业为</w:t>
      </w:r>
      <w:r>
        <w:rPr>
          <w:rFonts w:hint="eastAsia"/>
          <w:i/>
          <w:color w:val="auto"/>
          <w:sz w:val="24"/>
          <w:szCs w:val="24"/>
          <w:u w:val="single"/>
        </w:rPr>
        <w:t>（企业名称）</w:t>
      </w:r>
      <w:r>
        <w:rPr>
          <w:rFonts w:hint="eastAsia"/>
          <w:color w:val="auto"/>
          <w:sz w:val="24"/>
          <w:szCs w:val="24"/>
        </w:rPr>
        <w:t>，从业人员人，营业收入为</w:t>
      </w:r>
      <w:r>
        <w:rPr>
          <w:rFonts w:hint="eastAsia"/>
          <w:color w:val="auto"/>
          <w:sz w:val="24"/>
          <w:szCs w:val="24"/>
          <w:u w:val="single"/>
        </w:rPr>
        <w:t xml:space="preserve">         </w:t>
      </w:r>
      <w:r>
        <w:rPr>
          <w:rFonts w:hint="eastAsia"/>
          <w:color w:val="auto"/>
          <w:sz w:val="24"/>
          <w:szCs w:val="24"/>
        </w:rPr>
        <w:t>万元，资产总额为</w:t>
      </w:r>
      <w:r>
        <w:rPr>
          <w:rFonts w:hint="eastAsia"/>
          <w:color w:val="auto"/>
          <w:sz w:val="24"/>
          <w:szCs w:val="24"/>
          <w:u w:val="single"/>
        </w:rPr>
        <w:t xml:space="preserve">        </w:t>
      </w:r>
      <w:r>
        <w:rPr>
          <w:rFonts w:hint="eastAsia"/>
          <w:color w:val="auto"/>
          <w:sz w:val="24"/>
          <w:szCs w:val="24"/>
        </w:rPr>
        <w:t>万元，属于</w:t>
      </w:r>
      <w:r>
        <w:rPr>
          <w:rFonts w:hint="eastAsia"/>
          <w:i/>
          <w:color w:val="auto"/>
          <w:sz w:val="24"/>
          <w:szCs w:val="24"/>
          <w:u w:val="single"/>
        </w:rPr>
        <w:t>（小型企业、微型企业）</w:t>
      </w:r>
      <w:r>
        <w:rPr>
          <w:rFonts w:hint="eastAsia"/>
          <w:color w:val="auto"/>
          <w:sz w:val="24"/>
          <w:szCs w:val="24"/>
        </w:rPr>
        <w:t xml:space="preserve">； </w:t>
      </w:r>
    </w:p>
    <w:p w14:paraId="7D712BEF">
      <w:pPr>
        <w:widowControl/>
        <w:spacing w:line="460" w:lineRule="exact"/>
        <w:ind w:firstLine="420"/>
        <w:rPr>
          <w:color w:val="auto"/>
          <w:sz w:val="24"/>
          <w:szCs w:val="24"/>
        </w:rPr>
      </w:pPr>
      <w:r>
        <w:rPr>
          <w:rFonts w:hint="eastAsia"/>
          <w:color w:val="auto"/>
          <w:sz w:val="24"/>
          <w:szCs w:val="24"/>
        </w:rPr>
        <w:t>2.</w:t>
      </w:r>
      <w:r>
        <w:rPr>
          <w:rFonts w:hint="eastAsia"/>
          <w:color w:val="auto"/>
          <w:sz w:val="24"/>
          <w:szCs w:val="24"/>
          <w:u w:val="single"/>
        </w:rPr>
        <w:t xml:space="preserve"> </w:t>
      </w:r>
      <w:r>
        <w:rPr>
          <w:rFonts w:hint="eastAsia"/>
          <w:i/>
          <w:color w:val="auto"/>
          <w:sz w:val="24"/>
          <w:szCs w:val="24"/>
          <w:u w:val="single"/>
        </w:rPr>
        <w:t>（标的名称）</w:t>
      </w:r>
      <w:r>
        <w:rPr>
          <w:rFonts w:hint="eastAsia"/>
          <w:i/>
          <w:color w:val="auto"/>
          <w:sz w:val="24"/>
          <w:szCs w:val="24"/>
        </w:rPr>
        <w:t xml:space="preserve"> </w:t>
      </w:r>
      <w:r>
        <w:rPr>
          <w:rFonts w:hint="eastAsia"/>
          <w:color w:val="auto"/>
          <w:sz w:val="24"/>
          <w:szCs w:val="24"/>
        </w:rPr>
        <w:t>，属于</w:t>
      </w:r>
      <w:r>
        <w:rPr>
          <w:rFonts w:hint="eastAsia"/>
          <w:i/>
          <w:color w:val="auto"/>
          <w:sz w:val="24"/>
          <w:szCs w:val="24"/>
          <w:u w:val="single"/>
        </w:rPr>
        <w:t>（采购文件中明确的所属行业）</w:t>
      </w:r>
      <w:r>
        <w:rPr>
          <w:rFonts w:hint="eastAsia"/>
          <w:color w:val="auto"/>
          <w:sz w:val="24"/>
          <w:szCs w:val="24"/>
        </w:rPr>
        <w:t>；承接企业为</w:t>
      </w:r>
      <w:r>
        <w:rPr>
          <w:rFonts w:hint="eastAsia"/>
          <w:i/>
          <w:color w:val="auto"/>
          <w:sz w:val="24"/>
          <w:szCs w:val="24"/>
          <w:u w:val="single"/>
        </w:rPr>
        <w:t>（企业名称）</w:t>
      </w:r>
      <w:r>
        <w:rPr>
          <w:rFonts w:hint="eastAsia"/>
          <w:color w:val="auto"/>
          <w:sz w:val="24"/>
          <w:szCs w:val="24"/>
        </w:rPr>
        <w:t xml:space="preserve">，从业人员人，营业收入为 </w:t>
      </w:r>
      <w:r>
        <w:rPr>
          <w:rFonts w:hint="eastAsia"/>
          <w:color w:val="auto"/>
          <w:sz w:val="24"/>
          <w:szCs w:val="24"/>
          <w:u w:val="single"/>
        </w:rPr>
        <w:t xml:space="preserve">       </w:t>
      </w:r>
      <w:r>
        <w:rPr>
          <w:rFonts w:hint="eastAsia"/>
          <w:color w:val="auto"/>
          <w:sz w:val="24"/>
          <w:szCs w:val="24"/>
        </w:rPr>
        <w:t>万元</w:t>
      </w:r>
      <w:r>
        <w:rPr>
          <w:rStyle w:val="16"/>
          <w:rFonts w:hint="eastAsia"/>
          <w:color w:val="auto"/>
          <w:sz w:val="24"/>
          <w:szCs w:val="24"/>
        </w:rPr>
        <w:footnoteReference w:id="0"/>
      </w:r>
      <w:r>
        <w:rPr>
          <w:rFonts w:hint="eastAsia"/>
          <w:color w:val="auto"/>
          <w:sz w:val="24"/>
          <w:szCs w:val="24"/>
        </w:rPr>
        <w:t>，资产总额为</w:t>
      </w:r>
      <w:r>
        <w:rPr>
          <w:rFonts w:hint="eastAsia"/>
          <w:color w:val="auto"/>
          <w:sz w:val="24"/>
          <w:szCs w:val="24"/>
          <w:u w:val="single"/>
        </w:rPr>
        <w:t xml:space="preserve">     </w:t>
      </w:r>
      <w:r>
        <w:rPr>
          <w:rFonts w:hint="eastAsia"/>
          <w:color w:val="auto"/>
          <w:sz w:val="24"/>
          <w:szCs w:val="24"/>
        </w:rPr>
        <w:t>万元，属于</w:t>
      </w:r>
      <w:r>
        <w:rPr>
          <w:rFonts w:hint="eastAsia"/>
          <w:i/>
          <w:color w:val="auto"/>
          <w:sz w:val="24"/>
          <w:szCs w:val="24"/>
          <w:u w:val="single"/>
        </w:rPr>
        <w:t>（小型企业、微型企业）</w:t>
      </w:r>
      <w:r>
        <w:rPr>
          <w:rFonts w:hint="eastAsia"/>
          <w:color w:val="auto"/>
          <w:sz w:val="24"/>
          <w:szCs w:val="24"/>
        </w:rPr>
        <w:t xml:space="preserve">； </w:t>
      </w:r>
    </w:p>
    <w:p w14:paraId="57299751">
      <w:pPr>
        <w:widowControl/>
        <w:spacing w:line="460" w:lineRule="exact"/>
        <w:ind w:firstLine="420"/>
        <w:rPr>
          <w:color w:val="auto"/>
          <w:sz w:val="24"/>
          <w:szCs w:val="24"/>
        </w:rPr>
      </w:pPr>
      <w:r>
        <w:rPr>
          <w:rFonts w:hint="eastAsia"/>
          <w:color w:val="auto"/>
          <w:sz w:val="24"/>
          <w:szCs w:val="24"/>
        </w:rPr>
        <w:t>……</w:t>
      </w:r>
    </w:p>
    <w:p w14:paraId="66D8A1B8">
      <w:pPr>
        <w:widowControl/>
        <w:spacing w:line="460" w:lineRule="exact"/>
        <w:ind w:firstLine="420"/>
        <w:rPr>
          <w:color w:val="auto"/>
          <w:sz w:val="24"/>
          <w:szCs w:val="24"/>
        </w:rPr>
      </w:pPr>
      <w:r>
        <w:rPr>
          <w:rFonts w:hint="eastAsia"/>
          <w:color w:val="auto"/>
          <w:sz w:val="24"/>
          <w:szCs w:val="24"/>
        </w:rPr>
        <w:t>以上企业，不属于大企业的分支机构，不存在控股股东为大企业的情形，也不存在与大企业的负责人为同一人的情形。</w:t>
      </w:r>
    </w:p>
    <w:p w14:paraId="307E153D">
      <w:pPr>
        <w:widowControl/>
        <w:spacing w:line="460" w:lineRule="exact"/>
        <w:ind w:firstLine="420"/>
        <w:rPr>
          <w:color w:val="auto"/>
          <w:sz w:val="24"/>
          <w:szCs w:val="24"/>
        </w:rPr>
      </w:pPr>
      <w:r>
        <w:rPr>
          <w:rFonts w:hint="eastAsia"/>
          <w:color w:val="auto"/>
          <w:sz w:val="24"/>
          <w:szCs w:val="24"/>
        </w:rPr>
        <w:t xml:space="preserve">本企业对上述声明内容的真实性负责。如有虚假，将依法承担相应责任。 </w:t>
      </w:r>
    </w:p>
    <w:p w14:paraId="7C15F64A">
      <w:pPr>
        <w:pStyle w:val="11"/>
        <w:spacing w:after="0" w:line="460" w:lineRule="exact"/>
        <w:ind w:firstLine="220"/>
        <w:rPr>
          <w:color w:val="auto"/>
          <w:szCs w:val="24"/>
        </w:rPr>
      </w:pPr>
    </w:p>
    <w:p w14:paraId="407A0819">
      <w:pPr>
        <w:widowControl/>
        <w:spacing w:line="460" w:lineRule="exact"/>
        <w:ind w:firstLine="3570"/>
        <w:rPr>
          <w:color w:val="auto"/>
          <w:sz w:val="24"/>
          <w:szCs w:val="24"/>
        </w:rPr>
      </w:pPr>
    </w:p>
    <w:p w14:paraId="483940C3">
      <w:pPr>
        <w:pStyle w:val="9"/>
        <w:spacing w:beforeAutospacing="0" w:afterAutospacing="0" w:line="460" w:lineRule="exact"/>
        <w:ind w:right="180" w:firstLine="360"/>
        <w:jc w:val="right"/>
        <w:rPr>
          <w:color w:val="auto"/>
          <w:szCs w:val="24"/>
        </w:rPr>
      </w:pPr>
      <w:r>
        <w:rPr>
          <w:rFonts w:hint="eastAsia" w:ascii="宋体" w:hAnsi="宋体" w:cs="宋体"/>
          <w:color w:val="auto"/>
          <w:szCs w:val="24"/>
        </w:rPr>
        <w:t>企业名称（加盖CA电子公章）：</w:t>
      </w:r>
    </w:p>
    <w:p w14:paraId="57276372">
      <w:pPr>
        <w:pStyle w:val="9"/>
        <w:spacing w:beforeAutospacing="0" w:afterAutospacing="0" w:line="460" w:lineRule="exact"/>
        <w:ind w:right="480" w:firstLine="5400"/>
        <w:jc w:val="both"/>
        <w:rPr>
          <w:color w:val="auto"/>
          <w:szCs w:val="24"/>
        </w:rPr>
      </w:pPr>
      <w:r>
        <w:rPr>
          <w:rFonts w:hint="eastAsia" w:ascii="宋体" w:hAnsi="宋体" w:cs="宋体"/>
          <w:color w:val="auto"/>
          <w:szCs w:val="24"/>
        </w:rPr>
        <w:t>日  期：</w:t>
      </w:r>
    </w:p>
    <w:p w14:paraId="13ED06F6">
      <w:pPr>
        <w:pStyle w:val="9"/>
        <w:spacing w:beforeAutospacing="0" w:afterAutospacing="0" w:line="460" w:lineRule="exact"/>
        <w:ind w:firstLine="240"/>
        <w:jc w:val="both"/>
        <w:rPr>
          <w:color w:val="auto"/>
          <w:szCs w:val="24"/>
        </w:rPr>
      </w:pPr>
      <w:r>
        <w:rPr>
          <w:color w:val="auto"/>
          <w:szCs w:val="24"/>
        </w:rPr>
        <w:t> </w:t>
      </w:r>
    </w:p>
    <w:p w14:paraId="4B9AFD69">
      <w:pPr>
        <w:pStyle w:val="9"/>
        <w:spacing w:beforeAutospacing="0" w:afterAutospacing="0" w:line="460" w:lineRule="exact"/>
        <w:ind w:firstLine="480"/>
        <w:jc w:val="both"/>
        <w:rPr>
          <w:color w:val="auto"/>
          <w:szCs w:val="24"/>
        </w:rPr>
      </w:pPr>
      <w:r>
        <w:rPr>
          <w:rFonts w:hint="eastAsia" w:ascii="宋体" w:hAnsi="宋体" w:cs="宋体"/>
          <w:color w:val="auto"/>
          <w:szCs w:val="24"/>
        </w:rPr>
        <w:t>备注1：从业人员、营业收入、资产总额填报上一年度数据，无上一年度数据的新成立企业可不填报。</w:t>
      </w:r>
    </w:p>
    <w:p w14:paraId="3F8F1137">
      <w:pPr>
        <w:pStyle w:val="9"/>
        <w:spacing w:beforeAutospacing="0" w:afterAutospacing="0" w:line="460" w:lineRule="exact"/>
        <w:ind w:firstLine="480"/>
        <w:jc w:val="both"/>
        <w:rPr>
          <w:color w:val="auto"/>
          <w:szCs w:val="24"/>
        </w:rPr>
      </w:pPr>
      <w:r>
        <w:rPr>
          <w:rFonts w:hint="eastAsia" w:ascii="宋体" w:hAnsi="宋体" w:cs="宋体"/>
          <w:color w:val="auto"/>
          <w:szCs w:val="24"/>
        </w:rPr>
        <w:t>备注2：供应商如不提供此声明函，价格将不做相应扣除。</w:t>
      </w:r>
    </w:p>
    <w:p w14:paraId="06D94603">
      <w:pPr>
        <w:spacing w:line="460" w:lineRule="exact"/>
        <w:jc w:val="center"/>
        <w:rPr>
          <w:rFonts w:ascii="黑体" w:hAnsi="黑体" w:eastAsia="黑体"/>
          <w:b/>
          <w:color w:val="auto"/>
          <w:sz w:val="32"/>
          <w:szCs w:val="32"/>
        </w:rPr>
      </w:pPr>
    </w:p>
    <w:p w14:paraId="0678FEF9">
      <w:pPr>
        <w:spacing w:line="460" w:lineRule="exact"/>
        <w:jc w:val="center"/>
        <w:rPr>
          <w:rFonts w:ascii="黑体" w:hAnsi="黑体" w:eastAsia="黑体"/>
          <w:b/>
          <w:color w:val="auto"/>
          <w:sz w:val="32"/>
          <w:szCs w:val="32"/>
        </w:rPr>
      </w:pPr>
    </w:p>
    <w:p w14:paraId="12C62498">
      <w:pPr>
        <w:spacing w:line="460" w:lineRule="exact"/>
        <w:jc w:val="center"/>
        <w:rPr>
          <w:rFonts w:ascii="黑体" w:hAnsi="黑体" w:eastAsia="黑体"/>
          <w:b/>
          <w:color w:val="auto"/>
          <w:sz w:val="32"/>
          <w:szCs w:val="32"/>
        </w:rPr>
      </w:pPr>
    </w:p>
    <w:p w14:paraId="51D719E7">
      <w:pPr>
        <w:spacing w:line="460" w:lineRule="exact"/>
        <w:jc w:val="center"/>
        <w:rPr>
          <w:rFonts w:ascii="黑体" w:hAnsi="黑体" w:eastAsia="黑体"/>
          <w:b/>
          <w:color w:val="auto"/>
          <w:sz w:val="32"/>
          <w:szCs w:val="32"/>
        </w:rPr>
      </w:pPr>
    </w:p>
    <w:p w14:paraId="0A8031ED">
      <w:pPr>
        <w:spacing w:line="460" w:lineRule="exact"/>
        <w:jc w:val="center"/>
        <w:rPr>
          <w:rFonts w:ascii="黑体" w:hAnsi="黑体" w:eastAsia="黑体"/>
          <w:b/>
          <w:color w:val="auto"/>
          <w:sz w:val="32"/>
          <w:szCs w:val="32"/>
        </w:rPr>
      </w:pPr>
    </w:p>
    <w:p w14:paraId="6537A5DD">
      <w:pPr>
        <w:spacing w:line="460" w:lineRule="exact"/>
        <w:rPr>
          <w:rFonts w:ascii="黑体" w:hAnsi="黑体" w:eastAsia="黑体"/>
          <w:b/>
          <w:color w:val="auto"/>
          <w:sz w:val="32"/>
          <w:szCs w:val="32"/>
        </w:rPr>
      </w:pPr>
    </w:p>
    <w:p w14:paraId="27E29B6F">
      <w:pPr>
        <w:spacing w:line="460" w:lineRule="exact"/>
        <w:jc w:val="center"/>
        <w:rPr>
          <w:rFonts w:ascii="黑体" w:hAnsi="黑体" w:eastAsia="黑体"/>
          <w:b/>
          <w:color w:val="auto"/>
          <w:sz w:val="32"/>
          <w:szCs w:val="32"/>
        </w:rPr>
      </w:pPr>
      <w:r>
        <w:rPr>
          <w:rFonts w:hint="eastAsia" w:ascii="黑体" w:hAnsi="黑体" w:eastAsia="黑体"/>
          <w:b/>
          <w:color w:val="auto"/>
          <w:sz w:val="32"/>
          <w:szCs w:val="32"/>
        </w:rPr>
        <w:t>十、残疾人福利性单位声明函</w:t>
      </w:r>
    </w:p>
    <w:p w14:paraId="1CE84CE7">
      <w:pPr>
        <w:pStyle w:val="9"/>
        <w:spacing w:beforeAutospacing="0" w:afterAutospacing="0" w:line="460" w:lineRule="exact"/>
        <w:ind w:firstLine="480"/>
        <w:jc w:val="both"/>
        <w:rPr>
          <w:color w:val="auto"/>
        </w:rPr>
      </w:pPr>
      <w:r>
        <w:rPr>
          <w:rFonts w:hint="eastAsia" w:ascii="宋体" w:hAnsi="宋体" w:cs="宋体"/>
          <w:color w:val="auto"/>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u w:val="single"/>
        </w:rPr>
        <w:t xml:space="preserve">       </w:t>
      </w:r>
      <w:r>
        <w:rPr>
          <w:rFonts w:hint="eastAsia" w:ascii="宋体" w:hAnsi="宋体" w:cs="宋体"/>
          <w:color w:val="auto"/>
        </w:rPr>
        <w:t>项目采购活动由本单位提供服务。</w:t>
      </w:r>
    </w:p>
    <w:p w14:paraId="2C7E6A93">
      <w:pPr>
        <w:pStyle w:val="9"/>
        <w:spacing w:beforeAutospacing="0" w:afterAutospacing="0" w:line="460" w:lineRule="exact"/>
        <w:ind w:firstLine="480"/>
        <w:jc w:val="both"/>
        <w:rPr>
          <w:color w:val="auto"/>
        </w:rPr>
      </w:pPr>
      <w:r>
        <w:rPr>
          <w:rFonts w:hint="eastAsia" w:ascii="宋体" w:hAnsi="宋体" w:cs="宋体"/>
          <w:color w:val="auto"/>
        </w:rPr>
        <w:t>本单位对上述声明的真实性负责。如有虚假，将依法承担相应责任。</w:t>
      </w:r>
    </w:p>
    <w:p w14:paraId="57F5584E">
      <w:pPr>
        <w:pStyle w:val="9"/>
        <w:spacing w:beforeAutospacing="0" w:afterAutospacing="0" w:line="460" w:lineRule="exact"/>
        <w:ind w:firstLine="480"/>
        <w:jc w:val="both"/>
        <w:rPr>
          <w:color w:val="auto"/>
        </w:rPr>
      </w:pPr>
      <w:r>
        <w:rPr>
          <w:color w:val="auto"/>
        </w:rPr>
        <w:t> </w:t>
      </w:r>
    </w:p>
    <w:p w14:paraId="6681689A">
      <w:pPr>
        <w:pStyle w:val="9"/>
        <w:spacing w:beforeAutospacing="0" w:afterAutospacing="0" w:line="460" w:lineRule="exact"/>
        <w:ind w:firstLine="480"/>
        <w:jc w:val="both"/>
        <w:rPr>
          <w:color w:val="auto"/>
        </w:rPr>
      </w:pPr>
      <w:r>
        <w:rPr>
          <w:rFonts w:hint="eastAsia" w:ascii="宋体" w:hAnsi="宋体" w:cs="宋体"/>
          <w:color w:val="auto"/>
        </w:rPr>
        <w:t>（备注：1、供应商如不提供此声明函，价格将不做相应扣除。2、中标人为残疾人福利单位的，此声明函将随中标结果同时公告，接受社会监督）</w:t>
      </w:r>
    </w:p>
    <w:p w14:paraId="3D9F9626">
      <w:pPr>
        <w:pStyle w:val="9"/>
        <w:spacing w:beforeAutospacing="0" w:afterAutospacing="0" w:line="460" w:lineRule="exact"/>
        <w:ind w:firstLine="624"/>
        <w:jc w:val="both"/>
        <w:rPr>
          <w:color w:val="auto"/>
        </w:rPr>
      </w:pPr>
      <w:r>
        <w:rPr>
          <w:color w:val="auto"/>
        </w:rPr>
        <w:t> </w:t>
      </w:r>
    </w:p>
    <w:p w14:paraId="268A912D">
      <w:pPr>
        <w:pStyle w:val="9"/>
        <w:tabs>
          <w:tab w:val="left" w:pos="4864"/>
        </w:tabs>
        <w:spacing w:beforeAutospacing="0" w:afterAutospacing="0" w:line="460" w:lineRule="exact"/>
        <w:ind w:right="1560" w:firstLine="624"/>
        <w:jc w:val="center"/>
        <w:rPr>
          <w:color w:val="auto"/>
        </w:rPr>
      </w:pPr>
      <w:r>
        <w:rPr>
          <w:rFonts w:ascii="仿宋_GB2312" w:eastAsia="仿宋_GB2312" w:cs="仿宋_GB2312"/>
          <w:color w:val="auto"/>
          <w:sz w:val="30"/>
          <w:szCs w:val="30"/>
        </w:rPr>
        <w:t xml:space="preserve">             </w:t>
      </w:r>
      <w:r>
        <w:rPr>
          <w:rFonts w:hint="eastAsia" w:ascii="宋体" w:hAnsi="宋体" w:cs="宋体"/>
          <w:color w:val="auto"/>
        </w:rPr>
        <w:t>          供应商全称（加盖CA电子公章）：</w:t>
      </w:r>
    </w:p>
    <w:p w14:paraId="2ABFB0C9">
      <w:pPr>
        <w:pStyle w:val="9"/>
        <w:tabs>
          <w:tab w:val="left" w:pos="4864"/>
        </w:tabs>
        <w:spacing w:beforeAutospacing="0" w:afterAutospacing="0" w:line="460" w:lineRule="exact"/>
        <w:ind w:right="1560" w:firstLine="480"/>
        <w:jc w:val="center"/>
        <w:rPr>
          <w:color w:val="auto"/>
        </w:rPr>
      </w:pPr>
      <w:r>
        <w:rPr>
          <w:rFonts w:hint="eastAsia" w:ascii="宋体" w:hAnsi="宋体" w:cs="宋体"/>
          <w:color w:val="auto"/>
        </w:rPr>
        <w:t>        日  期：</w:t>
      </w:r>
    </w:p>
    <w:p w14:paraId="63DB9C27">
      <w:pPr>
        <w:spacing w:line="460" w:lineRule="exact"/>
        <w:jc w:val="center"/>
        <w:rPr>
          <w:rFonts w:ascii="黑体" w:hAnsi="黑体" w:eastAsia="黑体"/>
          <w:b/>
          <w:color w:val="auto"/>
          <w:sz w:val="32"/>
          <w:szCs w:val="32"/>
        </w:rPr>
      </w:pPr>
    </w:p>
    <w:p w14:paraId="13B64476">
      <w:pPr>
        <w:spacing w:line="460" w:lineRule="exact"/>
        <w:jc w:val="center"/>
        <w:rPr>
          <w:rFonts w:ascii="黑体" w:hAnsi="黑体" w:eastAsia="黑体"/>
          <w:b/>
          <w:color w:val="auto"/>
          <w:sz w:val="32"/>
          <w:szCs w:val="32"/>
        </w:rPr>
      </w:pPr>
    </w:p>
    <w:p w14:paraId="0E88F19B">
      <w:pPr>
        <w:spacing w:line="560" w:lineRule="exact"/>
        <w:jc w:val="center"/>
        <w:rPr>
          <w:rFonts w:ascii="黑体" w:hAnsi="黑体" w:eastAsia="黑体"/>
          <w:b/>
          <w:color w:val="auto"/>
          <w:sz w:val="32"/>
          <w:szCs w:val="32"/>
        </w:rPr>
      </w:pPr>
    </w:p>
    <w:p w14:paraId="33A5A65A">
      <w:pPr>
        <w:spacing w:line="560" w:lineRule="exact"/>
        <w:jc w:val="center"/>
        <w:rPr>
          <w:rFonts w:ascii="黑体" w:hAnsi="黑体" w:eastAsia="黑体"/>
          <w:b/>
          <w:color w:val="auto"/>
          <w:sz w:val="32"/>
          <w:szCs w:val="32"/>
        </w:rPr>
      </w:pPr>
    </w:p>
    <w:p w14:paraId="03D38923">
      <w:pPr>
        <w:spacing w:line="560" w:lineRule="exact"/>
        <w:jc w:val="center"/>
        <w:rPr>
          <w:rFonts w:ascii="黑体" w:hAnsi="黑体" w:eastAsia="黑体"/>
          <w:b/>
          <w:color w:val="auto"/>
          <w:sz w:val="32"/>
          <w:szCs w:val="32"/>
        </w:rPr>
      </w:pPr>
    </w:p>
    <w:p w14:paraId="26884200">
      <w:pPr>
        <w:spacing w:line="560" w:lineRule="exact"/>
        <w:jc w:val="center"/>
        <w:rPr>
          <w:rFonts w:ascii="黑体" w:hAnsi="黑体" w:eastAsia="黑体"/>
          <w:b/>
          <w:color w:val="auto"/>
          <w:sz w:val="32"/>
          <w:szCs w:val="32"/>
        </w:rPr>
      </w:pPr>
    </w:p>
    <w:p w14:paraId="7B6A6AF6">
      <w:pPr>
        <w:spacing w:line="560" w:lineRule="exact"/>
        <w:jc w:val="center"/>
        <w:rPr>
          <w:rFonts w:ascii="黑体" w:hAnsi="黑体" w:eastAsia="黑体"/>
          <w:b/>
          <w:color w:val="auto"/>
          <w:sz w:val="32"/>
          <w:szCs w:val="32"/>
        </w:rPr>
      </w:pPr>
    </w:p>
    <w:p w14:paraId="4767973B">
      <w:pPr>
        <w:spacing w:line="560" w:lineRule="exact"/>
        <w:jc w:val="center"/>
        <w:rPr>
          <w:rFonts w:ascii="黑体" w:hAnsi="黑体" w:eastAsia="黑体"/>
          <w:b/>
          <w:color w:val="auto"/>
          <w:sz w:val="32"/>
          <w:szCs w:val="32"/>
        </w:rPr>
      </w:pPr>
    </w:p>
    <w:p w14:paraId="5868A41D">
      <w:pPr>
        <w:pStyle w:val="4"/>
        <w:rPr>
          <w:rFonts w:ascii="黑体" w:hAnsi="黑体" w:eastAsia="黑体"/>
          <w:b/>
          <w:color w:val="auto"/>
          <w:sz w:val="32"/>
          <w:szCs w:val="32"/>
        </w:rPr>
      </w:pPr>
    </w:p>
    <w:p w14:paraId="164E50B1">
      <w:pPr>
        <w:rPr>
          <w:rFonts w:ascii="黑体" w:hAnsi="黑体" w:eastAsia="黑体"/>
          <w:b/>
          <w:color w:val="auto"/>
          <w:sz w:val="32"/>
          <w:szCs w:val="32"/>
        </w:rPr>
      </w:pPr>
    </w:p>
    <w:p w14:paraId="14DCA96D">
      <w:pPr>
        <w:pStyle w:val="4"/>
        <w:rPr>
          <w:rFonts w:ascii="黑体" w:hAnsi="黑体" w:eastAsia="黑体"/>
          <w:b/>
          <w:color w:val="auto"/>
          <w:sz w:val="32"/>
          <w:szCs w:val="32"/>
        </w:rPr>
      </w:pPr>
    </w:p>
    <w:bookmarkEnd w:id="266"/>
    <w:p w14:paraId="024B1D4A">
      <w:pPr>
        <w:spacing w:line="560" w:lineRule="exact"/>
        <w:jc w:val="center"/>
        <w:rPr>
          <w:rFonts w:ascii="黑体" w:hAnsi="黑体" w:eastAsia="黑体"/>
          <w:b/>
          <w:color w:val="auto"/>
          <w:sz w:val="32"/>
          <w:szCs w:val="32"/>
        </w:rPr>
      </w:pPr>
    </w:p>
    <w:p w14:paraId="014F29BD">
      <w:pPr>
        <w:pStyle w:val="4"/>
      </w:pPr>
    </w:p>
    <w:p w14:paraId="0FAD046B">
      <w:pPr>
        <w:pStyle w:val="9"/>
        <w:spacing w:beforeAutospacing="0" w:afterAutospacing="0" w:line="0" w:lineRule="atLeast"/>
        <w:jc w:val="center"/>
        <w:rPr>
          <w:color w:val="auto"/>
        </w:rPr>
      </w:pPr>
      <w:r>
        <w:rPr>
          <w:rFonts w:hint="eastAsia" w:ascii="黑体" w:hAnsi="宋体" w:eastAsia="黑体" w:cs="黑体"/>
          <w:b/>
          <w:color w:val="auto"/>
          <w:sz w:val="32"/>
          <w:szCs w:val="32"/>
        </w:rPr>
        <w:t>十一、联合体协议（参考格式）</w:t>
      </w:r>
    </w:p>
    <w:p w14:paraId="65EA04E6">
      <w:pPr>
        <w:pStyle w:val="9"/>
        <w:spacing w:beforeAutospacing="0" w:afterAutospacing="0" w:line="460" w:lineRule="exact"/>
        <w:jc w:val="both"/>
        <w:rPr>
          <w:color w:val="auto"/>
        </w:rPr>
      </w:pPr>
      <w:r>
        <w:rPr>
          <w:rFonts w:hint="eastAsia" w:ascii="宋体" w:hAnsi="宋体" w:cs="宋体"/>
          <w:color w:val="auto"/>
        </w:rPr>
        <w:t>（联合体中各供应商全称）在此达成以下协议：</w:t>
      </w:r>
    </w:p>
    <w:p w14:paraId="71270822">
      <w:pPr>
        <w:pStyle w:val="9"/>
        <w:spacing w:beforeAutospacing="0" w:afterAutospacing="0" w:line="460" w:lineRule="exact"/>
        <w:ind w:firstLine="645"/>
        <w:jc w:val="both"/>
        <w:rPr>
          <w:color w:val="auto"/>
        </w:rPr>
      </w:pPr>
      <w:r>
        <w:rPr>
          <w:rFonts w:hint="eastAsia" w:ascii="宋体" w:hAnsi="宋体" w:cs="宋体"/>
          <w:color w:val="auto"/>
        </w:rPr>
        <w:t>1、我们</w:t>
      </w:r>
      <w:r>
        <w:rPr>
          <w:rFonts w:hint="eastAsia" w:ascii="宋体" w:hAnsi="宋体" w:cs="宋体"/>
          <w:color w:val="auto"/>
          <w:u w:val="single"/>
        </w:rPr>
        <w:t xml:space="preserve"> （供应商1），（供应商2） ，……</w:t>
      </w:r>
      <w:r>
        <w:rPr>
          <w:rFonts w:hint="eastAsia" w:ascii="宋体" w:hAnsi="宋体" w:cs="宋体"/>
          <w:color w:val="auto"/>
        </w:rPr>
        <w:t>自愿组成联合体，参加盐城市政府采购中心组织的采购编号为</w:t>
      </w:r>
      <w:r>
        <w:rPr>
          <w:rFonts w:hint="eastAsia" w:ascii="宋体" w:hAnsi="宋体" w:cs="宋体"/>
          <w:color w:val="auto"/>
          <w:u w:val="single"/>
        </w:rPr>
        <w:t>（编号全称），（项目全称）</w:t>
      </w:r>
      <w:r>
        <w:rPr>
          <w:rFonts w:hint="eastAsia" w:ascii="宋体" w:hAnsi="宋体" w:cs="宋体"/>
          <w:color w:val="auto"/>
        </w:rPr>
        <w:t>项目的政府采购活动，我联合体指定</w:t>
      </w:r>
      <w:r>
        <w:rPr>
          <w:rFonts w:hint="eastAsia" w:ascii="宋体" w:hAnsi="宋体" w:cs="宋体"/>
          <w:color w:val="auto"/>
          <w:u w:val="single"/>
        </w:rPr>
        <w:t>（供应商*）</w:t>
      </w:r>
      <w:r>
        <w:rPr>
          <w:rFonts w:hint="eastAsia" w:ascii="宋体" w:hAnsi="宋体" w:cs="宋体"/>
          <w:color w:val="auto"/>
        </w:rPr>
        <w:t>为牵头单位（牵头单位必须为联合体成员）。</w:t>
      </w:r>
    </w:p>
    <w:p w14:paraId="20389DFD">
      <w:pPr>
        <w:pStyle w:val="9"/>
        <w:spacing w:beforeAutospacing="0" w:afterAutospacing="0" w:line="460" w:lineRule="exact"/>
        <w:ind w:firstLine="645"/>
        <w:jc w:val="both"/>
        <w:rPr>
          <w:color w:val="auto"/>
        </w:rPr>
      </w:pPr>
      <w:r>
        <w:rPr>
          <w:rFonts w:hint="eastAsia" w:ascii="宋体" w:hAnsi="宋体" w:cs="宋体"/>
          <w:color w:val="auto"/>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BFCC0EA">
      <w:pPr>
        <w:pStyle w:val="9"/>
        <w:spacing w:beforeAutospacing="0" w:afterAutospacing="0" w:line="460" w:lineRule="exact"/>
        <w:ind w:firstLine="645"/>
        <w:jc w:val="both"/>
        <w:rPr>
          <w:color w:val="auto"/>
        </w:rPr>
      </w:pPr>
      <w:r>
        <w:rPr>
          <w:rFonts w:hint="eastAsia" w:ascii="宋体" w:hAnsi="宋体" w:cs="宋体"/>
          <w:color w:val="auto"/>
        </w:rPr>
        <w:t>3、其中</w:t>
      </w:r>
      <w:r>
        <w:rPr>
          <w:rFonts w:hint="eastAsia" w:ascii="宋体" w:hAnsi="宋体" w:cs="宋体"/>
          <w:color w:val="auto"/>
          <w:u w:val="single"/>
        </w:rPr>
        <w:t xml:space="preserve">      </w:t>
      </w:r>
      <w:r>
        <w:rPr>
          <w:rFonts w:hint="eastAsia" w:ascii="宋体" w:hAnsi="宋体" w:cs="宋体"/>
          <w:color w:val="auto"/>
        </w:rPr>
        <w:t>（小型、微型企业/残疾人福利性单位/监狱企业全称）为</w:t>
      </w:r>
      <w:r>
        <w:rPr>
          <w:rFonts w:hint="eastAsia" w:ascii="宋体" w:hAnsi="宋体" w:cs="宋体"/>
          <w:color w:val="auto"/>
          <w:u w:val="single"/>
        </w:rPr>
        <w:t xml:space="preserve">    </w:t>
      </w:r>
      <w:r>
        <w:rPr>
          <w:rFonts w:hint="eastAsia" w:ascii="宋体" w:hAnsi="宋体" w:cs="宋体"/>
          <w:color w:val="auto"/>
        </w:rPr>
        <w:t>（小型、微型企业/残疾人福利性单位/监狱企业）企业，且我们约定该公司/单位所承担的合同金额将占本项目合同总金额的</w:t>
      </w:r>
      <w:r>
        <w:rPr>
          <w:rFonts w:hint="eastAsia" w:ascii="宋体" w:hAnsi="宋体" w:cs="宋体"/>
          <w:color w:val="auto"/>
          <w:u w:val="single"/>
        </w:rPr>
        <w:t xml:space="preserve">  </w:t>
      </w:r>
      <w:r>
        <w:rPr>
          <w:rFonts w:hint="eastAsia" w:ascii="宋体" w:hAnsi="宋体" w:cs="宋体"/>
          <w:color w:val="auto"/>
        </w:rPr>
        <w:t>%。</w:t>
      </w:r>
    </w:p>
    <w:p w14:paraId="23C357C8">
      <w:pPr>
        <w:pStyle w:val="9"/>
        <w:spacing w:beforeAutospacing="0" w:afterAutospacing="0" w:line="460" w:lineRule="exact"/>
        <w:ind w:firstLine="645"/>
        <w:jc w:val="both"/>
        <w:rPr>
          <w:color w:val="auto"/>
        </w:rPr>
      </w:pPr>
      <w:r>
        <w:rPr>
          <w:rFonts w:hint="eastAsia" w:ascii="宋体" w:hAnsi="宋体" w:cs="宋体"/>
          <w:color w:val="auto"/>
        </w:rPr>
        <w:t>4、由牵头单位全权负责和甲方项目对接、项目实施、项目运维等相关业务往来，所有项目资金与牵头单位结算。</w:t>
      </w:r>
      <w:r>
        <w:rPr>
          <w:color w:val="auto"/>
        </w:rPr>
        <w:t> </w:t>
      </w:r>
    </w:p>
    <w:p w14:paraId="13E623B6">
      <w:pPr>
        <w:pStyle w:val="9"/>
        <w:spacing w:beforeAutospacing="0" w:afterAutospacing="0" w:line="460" w:lineRule="exact"/>
        <w:ind w:firstLine="645"/>
        <w:jc w:val="both"/>
        <w:rPr>
          <w:rFonts w:ascii="宋体" w:hAnsi="宋体" w:cs="宋体"/>
          <w:color w:val="auto"/>
        </w:rPr>
      </w:pPr>
    </w:p>
    <w:p w14:paraId="5C5BA520">
      <w:pPr>
        <w:pStyle w:val="9"/>
        <w:spacing w:beforeAutospacing="0" w:afterAutospacing="0" w:line="460" w:lineRule="exact"/>
        <w:ind w:firstLine="645"/>
        <w:jc w:val="both"/>
        <w:rPr>
          <w:color w:val="auto"/>
        </w:rPr>
      </w:pPr>
      <w:r>
        <w:rPr>
          <w:rFonts w:hint="eastAsia" w:ascii="宋体" w:hAnsi="宋体" w:cs="宋体"/>
          <w:color w:val="auto"/>
        </w:rPr>
        <w:t>备注：本招标文件中要求加盖CA电子签章的地方，仅需加盖牵头单位的CA电子签章。</w:t>
      </w:r>
    </w:p>
    <w:p w14:paraId="2F6A7DF7">
      <w:pPr>
        <w:pStyle w:val="9"/>
        <w:spacing w:beforeAutospacing="0" w:afterAutospacing="0" w:line="460" w:lineRule="exact"/>
        <w:ind w:firstLine="645"/>
        <w:jc w:val="both"/>
        <w:rPr>
          <w:color w:val="auto"/>
        </w:rPr>
      </w:pPr>
      <w:r>
        <w:rPr>
          <w:rFonts w:hint="eastAsia" w:ascii="宋体" w:hAnsi="宋体" w:cs="宋体"/>
          <w:color w:val="auto"/>
        </w:rPr>
        <w:t>                               </w:t>
      </w:r>
    </w:p>
    <w:p w14:paraId="12BAE241">
      <w:pPr>
        <w:pStyle w:val="9"/>
        <w:spacing w:beforeAutospacing="0" w:afterAutospacing="0" w:line="460" w:lineRule="exact"/>
        <w:ind w:firstLine="645"/>
        <w:jc w:val="right"/>
        <w:rPr>
          <w:color w:val="auto"/>
        </w:rPr>
      </w:pPr>
      <w:r>
        <w:rPr>
          <w:rFonts w:hint="eastAsia" w:ascii="宋体" w:hAnsi="宋体" w:cs="宋体"/>
          <w:color w:val="auto"/>
        </w:rPr>
        <w:t xml:space="preserve">联合体中各供应商全称（公章）：     </w:t>
      </w:r>
    </w:p>
    <w:p w14:paraId="7CC90FAB">
      <w:pPr>
        <w:pStyle w:val="9"/>
        <w:spacing w:beforeAutospacing="0" w:afterAutospacing="0" w:line="460" w:lineRule="exact"/>
        <w:ind w:firstLine="645"/>
        <w:jc w:val="both"/>
        <w:rPr>
          <w:color w:val="auto"/>
        </w:rPr>
      </w:pPr>
      <w:r>
        <w:rPr>
          <w:rFonts w:hint="eastAsia" w:ascii="宋体" w:hAnsi="宋体" w:cs="宋体"/>
          <w:color w:val="auto"/>
        </w:rPr>
        <w:t xml:space="preserve">                                                                  </w:t>
      </w:r>
      <w:r>
        <w:rPr>
          <w:rFonts w:ascii="宋体" w:hAnsi="宋体" w:cs="宋体"/>
          <w:color w:val="auto"/>
        </w:rPr>
        <w:t xml:space="preserve">       </w:t>
      </w:r>
      <w:r>
        <w:rPr>
          <w:rFonts w:hint="eastAsia" w:ascii="宋体" w:hAnsi="宋体" w:cs="宋体"/>
          <w:color w:val="auto"/>
        </w:rPr>
        <w:t xml:space="preserve">  日期：</w:t>
      </w:r>
    </w:p>
    <w:p w14:paraId="6BD140EC">
      <w:pPr>
        <w:pStyle w:val="9"/>
        <w:spacing w:beforeAutospacing="0" w:afterAutospacing="0"/>
        <w:jc w:val="center"/>
        <w:rPr>
          <w:rFonts w:ascii="黑体" w:hAnsi="宋体" w:eastAsia="黑体" w:cs="黑体"/>
          <w:b/>
          <w:color w:val="auto"/>
          <w:sz w:val="32"/>
          <w:szCs w:val="32"/>
        </w:rPr>
      </w:pPr>
    </w:p>
    <w:p w14:paraId="1EBDAD85">
      <w:pPr>
        <w:pStyle w:val="9"/>
        <w:spacing w:beforeAutospacing="0" w:afterAutospacing="0"/>
        <w:jc w:val="center"/>
        <w:rPr>
          <w:rFonts w:ascii="黑体" w:hAnsi="宋体" w:eastAsia="黑体" w:cs="黑体"/>
          <w:b/>
          <w:color w:val="auto"/>
          <w:sz w:val="32"/>
          <w:szCs w:val="32"/>
        </w:rPr>
      </w:pPr>
    </w:p>
    <w:p w14:paraId="301D4585">
      <w:pPr>
        <w:pStyle w:val="9"/>
        <w:spacing w:beforeAutospacing="0" w:afterAutospacing="0"/>
        <w:jc w:val="center"/>
        <w:rPr>
          <w:rFonts w:ascii="黑体" w:hAnsi="宋体" w:eastAsia="黑体" w:cs="黑体"/>
          <w:b/>
          <w:color w:val="auto"/>
          <w:sz w:val="32"/>
          <w:szCs w:val="32"/>
        </w:rPr>
      </w:pPr>
    </w:p>
    <w:p w14:paraId="28867E23">
      <w:pPr>
        <w:pStyle w:val="9"/>
        <w:spacing w:beforeAutospacing="0" w:afterAutospacing="0"/>
        <w:jc w:val="center"/>
        <w:rPr>
          <w:rFonts w:ascii="黑体" w:hAnsi="宋体" w:eastAsia="黑体" w:cs="黑体"/>
          <w:b/>
          <w:color w:val="auto"/>
          <w:sz w:val="32"/>
          <w:szCs w:val="32"/>
        </w:rPr>
      </w:pPr>
    </w:p>
    <w:p w14:paraId="3AE09130">
      <w:pPr>
        <w:pStyle w:val="9"/>
        <w:spacing w:beforeAutospacing="0" w:afterAutospacing="0"/>
        <w:jc w:val="center"/>
        <w:rPr>
          <w:rFonts w:ascii="黑体" w:hAnsi="宋体" w:eastAsia="黑体" w:cs="黑体"/>
          <w:b/>
          <w:color w:val="auto"/>
          <w:sz w:val="32"/>
          <w:szCs w:val="32"/>
        </w:rPr>
      </w:pPr>
    </w:p>
    <w:p w14:paraId="515C650E">
      <w:pPr>
        <w:pStyle w:val="9"/>
        <w:spacing w:beforeAutospacing="0" w:afterAutospacing="0"/>
        <w:jc w:val="center"/>
        <w:rPr>
          <w:rFonts w:ascii="黑体" w:hAnsi="宋体" w:eastAsia="黑体" w:cs="黑体"/>
          <w:b/>
          <w:color w:val="auto"/>
          <w:sz w:val="32"/>
          <w:szCs w:val="32"/>
        </w:rPr>
      </w:pPr>
    </w:p>
    <w:p w14:paraId="6CEB42F9">
      <w:pPr>
        <w:pStyle w:val="9"/>
        <w:spacing w:beforeAutospacing="0" w:afterAutospacing="0"/>
        <w:jc w:val="center"/>
        <w:rPr>
          <w:color w:val="auto"/>
        </w:rPr>
      </w:pPr>
      <w:r>
        <w:rPr>
          <w:color w:val="auto"/>
        </w:rPr>
        <w:t> </w:t>
      </w:r>
    </w:p>
    <w:p w14:paraId="3680C92E">
      <w:pPr>
        <w:pStyle w:val="9"/>
        <w:numPr>
          <w:ilvl w:val="0"/>
          <w:numId w:val="0"/>
        </w:numPr>
        <w:spacing w:beforeAutospacing="0" w:afterAutospacing="0"/>
        <w:ind w:left="3080" w:leftChars="0"/>
        <w:jc w:val="both"/>
        <w:rPr>
          <w:rFonts w:ascii="黑体" w:hAnsi="宋体" w:eastAsia="黑体" w:cs="黑体"/>
          <w:b/>
          <w:color w:val="auto"/>
          <w:sz w:val="32"/>
          <w:szCs w:val="32"/>
        </w:rPr>
      </w:pPr>
      <w:r>
        <w:rPr>
          <w:rFonts w:hint="eastAsia" w:ascii="黑体" w:hAnsi="宋体" w:eastAsia="黑体" w:cs="黑体"/>
          <w:b/>
          <w:color w:val="auto"/>
          <w:sz w:val="32"/>
          <w:szCs w:val="32"/>
          <w:lang w:val="en-US" w:eastAsia="zh-CN"/>
        </w:rPr>
        <w:t>十二、</w:t>
      </w:r>
      <w:r>
        <w:rPr>
          <w:rFonts w:hint="eastAsia" w:ascii="黑体" w:hAnsi="宋体" w:eastAsia="黑体" w:cs="黑体"/>
          <w:b/>
          <w:color w:val="auto"/>
          <w:sz w:val="32"/>
          <w:szCs w:val="32"/>
        </w:rPr>
        <w:t>技术要求响应及偏离表</w:t>
      </w:r>
    </w:p>
    <w:p w14:paraId="25606467">
      <w:pPr>
        <w:pStyle w:val="9"/>
        <w:spacing w:beforeAutospacing="0" w:afterAutospacing="0"/>
        <w:jc w:val="both"/>
        <w:rPr>
          <w:rFonts w:ascii="黑体" w:hAnsi="宋体" w:eastAsia="黑体" w:cs="黑体"/>
          <w:b/>
          <w:color w:val="auto"/>
          <w:sz w:val="32"/>
          <w:szCs w:val="32"/>
        </w:rPr>
      </w:pPr>
    </w:p>
    <w:p w14:paraId="5AED5DE1">
      <w:pPr>
        <w:pStyle w:val="9"/>
        <w:spacing w:beforeAutospacing="0" w:afterAutospacing="0"/>
        <w:jc w:val="both"/>
        <w:rPr>
          <w:rFonts w:ascii="黑体" w:hAnsi="宋体" w:eastAsia="黑体" w:cs="黑体"/>
          <w:b/>
          <w:color w:val="auto"/>
          <w:sz w:val="32"/>
          <w:szCs w:val="32"/>
        </w:rPr>
      </w:pPr>
    </w:p>
    <w:tbl>
      <w:tblPr>
        <w:tblStyle w:val="13"/>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08934B65">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A178">
            <w:pPr>
              <w:pStyle w:val="9"/>
              <w:spacing w:beforeAutospacing="0" w:afterAutospacing="0"/>
              <w:jc w:val="center"/>
              <w:rPr>
                <w:color w:val="auto"/>
              </w:rPr>
            </w:pPr>
            <w:r>
              <w:rPr>
                <w:rFonts w:hint="eastAsia" w:ascii="宋体" w:hAnsi="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DCE6">
            <w:pPr>
              <w:pStyle w:val="9"/>
              <w:spacing w:beforeAutospacing="0" w:afterAutospacing="0"/>
              <w:jc w:val="center"/>
              <w:rPr>
                <w:color w:val="auto"/>
              </w:rPr>
            </w:pPr>
            <w:r>
              <w:rPr>
                <w:rFonts w:hint="eastAsia" w:ascii="宋体" w:hAnsi="宋体" w:cs="宋体"/>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F98C">
            <w:pPr>
              <w:pStyle w:val="9"/>
              <w:spacing w:beforeAutospacing="0" w:afterAutospacing="0"/>
              <w:jc w:val="center"/>
              <w:rPr>
                <w:color w:val="auto"/>
              </w:rPr>
            </w:pPr>
            <w:r>
              <w:rPr>
                <w:rFonts w:hint="eastAsia" w:ascii="宋体" w:hAnsi="宋体" w:cs="宋体"/>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DC65">
            <w:pPr>
              <w:pStyle w:val="9"/>
              <w:spacing w:beforeAutospacing="0" w:afterAutospacing="0"/>
              <w:jc w:val="center"/>
              <w:rPr>
                <w:color w:val="auto"/>
              </w:rPr>
            </w:pPr>
            <w:r>
              <w:rPr>
                <w:rFonts w:hint="eastAsia" w:ascii="宋体" w:hAnsi="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A1A1">
            <w:pPr>
              <w:pStyle w:val="9"/>
              <w:spacing w:beforeAutospacing="0" w:afterAutospacing="0"/>
              <w:jc w:val="center"/>
              <w:rPr>
                <w:color w:val="auto"/>
              </w:rPr>
            </w:pPr>
            <w:r>
              <w:rPr>
                <w:rFonts w:hint="eastAsia" w:ascii="宋体" w:hAnsi="宋体" w:cs="宋体"/>
                <w:color w:val="auto"/>
              </w:rPr>
              <w:t>证明</w:t>
            </w:r>
          </w:p>
          <w:p w14:paraId="2A41DE29">
            <w:pPr>
              <w:pStyle w:val="9"/>
              <w:spacing w:beforeAutospacing="0" w:afterAutospacing="0"/>
              <w:jc w:val="center"/>
              <w:rPr>
                <w:color w:val="auto"/>
              </w:rPr>
            </w:pPr>
            <w:r>
              <w:rPr>
                <w:rFonts w:hint="eastAsia" w:ascii="宋体" w:hAnsi="宋体" w:cs="宋体"/>
                <w:color w:val="auto"/>
              </w:rPr>
              <w:t>材料</w:t>
            </w:r>
          </w:p>
        </w:tc>
      </w:tr>
      <w:tr w14:paraId="013301E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E097">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DAF1D">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ACCD">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EAFF">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58DF">
            <w:pPr>
              <w:pStyle w:val="9"/>
              <w:spacing w:beforeAutospacing="0" w:afterAutospacing="0"/>
              <w:jc w:val="center"/>
              <w:rPr>
                <w:color w:val="auto"/>
              </w:rPr>
            </w:pPr>
            <w:r>
              <w:rPr>
                <w:color w:val="auto"/>
              </w:rPr>
              <w:t> </w:t>
            </w:r>
          </w:p>
        </w:tc>
      </w:tr>
      <w:tr w14:paraId="0B2D087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A1AA">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BE923">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07CC">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70AE">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1CFE">
            <w:pPr>
              <w:pStyle w:val="9"/>
              <w:spacing w:beforeAutospacing="0" w:afterAutospacing="0"/>
              <w:jc w:val="center"/>
              <w:rPr>
                <w:color w:val="auto"/>
              </w:rPr>
            </w:pPr>
            <w:r>
              <w:rPr>
                <w:color w:val="auto"/>
              </w:rPr>
              <w:t> </w:t>
            </w:r>
          </w:p>
        </w:tc>
      </w:tr>
      <w:tr w14:paraId="0558AC4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8BFA">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BF69">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9552">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50FF">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9064B">
            <w:pPr>
              <w:pStyle w:val="9"/>
              <w:spacing w:beforeAutospacing="0" w:afterAutospacing="0"/>
              <w:jc w:val="center"/>
              <w:rPr>
                <w:color w:val="auto"/>
              </w:rPr>
            </w:pPr>
            <w:r>
              <w:rPr>
                <w:color w:val="auto"/>
              </w:rPr>
              <w:t> </w:t>
            </w:r>
          </w:p>
        </w:tc>
      </w:tr>
      <w:tr w14:paraId="797EDD9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93D5">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1679">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A845">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B84FE">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6F12">
            <w:pPr>
              <w:pStyle w:val="9"/>
              <w:spacing w:beforeAutospacing="0" w:afterAutospacing="0"/>
              <w:jc w:val="center"/>
              <w:rPr>
                <w:color w:val="auto"/>
              </w:rPr>
            </w:pPr>
            <w:r>
              <w:rPr>
                <w:color w:val="auto"/>
              </w:rPr>
              <w:t> </w:t>
            </w:r>
          </w:p>
        </w:tc>
      </w:tr>
      <w:tr w14:paraId="7968677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B254">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3F50">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7731">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77E9">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88152">
            <w:pPr>
              <w:pStyle w:val="9"/>
              <w:spacing w:beforeAutospacing="0" w:afterAutospacing="0"/>
              <w:jc w:val="center"/>
              <w:rPr>
                <w:color w:val="auto"/>
              </w:rPr>
            </w:pPr>
            <w:r>
              <w:rPr>
                <w:color w:val="auto"/>
              </w:rPr>
              <w:t> </w:t>
            </w:r>
          </w:p>
        </w:tc>
      </w:tr>
      <w:tr w14:paraId="2C7CD79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5138">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D8CE">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A116">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0B8E">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943C">
            <w:pPr>
              <w:pStyle w:val="9"/>
              <w:spacing w:beforeAutospacing="0" w:afterAutospacing="0"/>
              <w:jc w:val="center"/>
              <w:rPr>
                <w:color w:val="auto"/>
              </w:rPr>
            </w:pPr>
            <w:r>
              <w:rPr>
                <w:color w:val="auto"/>
              </w:rPr>
              <w:t> </w:t>
            </w:r>
          </w:p>
        </w:tc>
      </w:tr>
      <w:tr w14:paraId="5B62452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617C">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D8B0">
            <w:pPr>
              <w:pStyle w:val="9"/>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16ED">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12F9">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458D">
            <w:pPr>
              <w:pStyle w:val="9"/>
              <w:spacing w:beforeAutospacing="0" w:afterAutospacing="0"/>
              <w:jc w:val="center"/>
              <w:rPr>
                <w:color w:val="auto"/>
              </w:rPr>
            </w:pPr>
            <w:r>
              <w:rPr>
                <w:color w:val="auto"/>
              </w:rPr>
              <w:t> </w:t>
            </w:r>
          </w:p>
        </w:tc>
      </w:tr>
      <w:tr w14:paraId="715B32D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9158">
            <w:pPr>
              <w:pStyle w:val="9"/>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D879">
            <w:pPr>
              <w:pStyle w:val="9"/>
              <w:spacing w:beforeAutospacing="0" w:afterAutospacing="0"/>
              <w:jc w:val="center"/>
              <w:rPr>
                <w:color w:val="auto"/>
              </w:rPr>
            </w:pPr>
            <w:r>
              <w:rPr>
                <w:rFonts w:hint="eastAsia" w:ascii="宋体" w:hAnsi="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3569">
            <w:pPr>
              <w:pStyle w:val="9"/>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B0DA">
            <w:pPr>
              <w:pStyle w:val="9"/>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7CCD">
            <w:pPr>
              <w:pStyle w:val="9"/>
              <w:spacing w:beforeAutospacing="0" w:afterAutospacing="0"/>
              <w:jc w:val="center"/>
              <w:rPr>
                <w:color w:val="auto"/>
              </w:rPr>
            </w:pPr>
            <w:r>
              <w:rPr>
                <w:color w:val="auto"/>
              </w:rPr>
              <w:t> </w:t>
            </w:r>
          </w:p>
        </w:tc>
      </w:tr>
    </w:tbl>
    <w:p w14:paraId="287CFD8C">
      <w:pPr>
        <w:pStyle w:val="9"/>
        <w:spacing w:beforeAutospacing="0" w:afterAutospacing="0"/>
        <w:ind w:firstLine="480"/>
        <w:jc w:val="both"/>
        <w:rPr>
          <w:color w:val="auto"/>
        </w:rPr>
      </w:pPr>
      <w:r>
        <w:rPr>
          <w:rFonts w:hint="eastAsia" w:ascii="宋体" w:hAnsi="宋体" w:cs="宋体"/>
          <w:color w:val="auto"/>
        </w:rPr>
        <w:t>注： 行数不够，可自行添加。</w:t>
      </w:r>
    </w:p>
    <w:p w14:paraId="5C6906BC">
      <w:pPr>
        <w:pStyle w:val="9"/>
        <w:spacing w:beforeAutospacing="0" w:afterAutospacing="0"/>
        <w:jc w:val="center"/>
        <w:rPr>
          <w:color w:val="auto"/>
        </w:rPr>
      </w:pPr>
      <w:r>
        <w:rPr>
          <w:color w:val="auto"/>
        </w:rPr>
        <w:t> </w:t>
      </w:r>
    </w:p>
    <w:p w14:paraId="306C5AB0">
      <w:pPr>
        <w:pStyle w:val="9"/>
        <w:spacing w:beforeAutospacing="0" w:afterAutospacing="0"/>
        <w:jc w:val="center"/>
        <w:rPr>
          <w:color w:val="auto"/>
        </w:rPr>
      </w:pPr>
      <w:r>
        <w:rPr>
          <w:color w:val="auto"/>
        </w:rPr>
        <w:t> </w:t>
      </w:r>
    </w:p>
    <w:p w14:paraId="33B34AD0">
      <w:pPr>
        <w:pStyle w:val="9"/>
        <w:spacing w:beforeAutospacing="0" w:afterAutospacing="0"/>
        <w:jc w:val="center"/>
        <w:rPr>
          <w:color w:val="auto"/>
        </w:rPr>
      </w:pPr>
      <w:r>
        <w:rPr>
          <w:color w:val="auto"/>
        </w:rPr>
        <w:t> </w:t>
      </w:r>
    </w:p>
    <w:p w14:paraId="6F2FC270">
      <w:pPr>
        <w:pStyle w:val="9"/>
        <w:spacing w:beforeAutospacing="0" w:afterAutospacing="0"/>
        <w:jc w:val="center"/>
        <w:rPr>
          <w:color w:val="auto"/>
        </w:rPr>
      </w:pPr>
      <w:r>
        <w:rPr>
          <w:color w:val="auto"/>
        </w:rPr>
        <w:t> </w:t>
      </w:r>
    </w:p>
    <w:p w14:paraId="4B19492D">
      <w:pPr>
        <w:pStyle w:val="9"/>
        <w:spacing w:beforeAutospacing="0" w:afterAutospacing="0"/>
        <w:jc w:val="both"/>
        <w:rPr>
          <w:color w:val="auto"/>
        </w:rPr>
      </w:pPr>
      <w:r>
        <w:rPr>
          <w:color w:val="auto"/>
        </w:rPr>
        <w:t> </w:t>
      </w:r>
    </w:p>
    <w:p w14:paraId="1A35E4A5">
      <w:pPr>
        <w:pStyle w:val="9"/>
        <w:spacing w:beforeAutospacing="0" w:afterAutospacing="0"/>
        <w:jc w:val="both"/>
        <w:rPr>
          <w:color w:val="auto"/>
        </w:rPr>
      </w:pPr>
      <w:r>
        <w:rPr>
          <w:color w:val="auto"/>
        </w:rPr>
        <w:t> </w:t>
      </w:r>
    </w:p>
    <w:p w14:paraId="26DAC55E">
      <w:pPr>
        <w:pStyle w:val="9"/>
        <w:spacing w:beforeAutospacing="0" w:afterAutospacing="0"/>
        <w:jc w:val="both"/>
        <w:rPr>
          <w:color w:val="auto"/>
        </w:rPr>
      </w:pPr>
      <w:r>
        <w:rPr>
          <w:color w:val="auto"/>
        </w:rPr>
        <w:t> </w:t>
      </w:r>
    </w:p>
    <w:p w14:paraId="62C2F770">
      <w:pPr>
        <w:pStyle w:val="9"/>
        <w:spacing w:beforeAutospacing="0" w:afterAutospacing="0"/>
        <w:jc w:val="both"/>
        <w:rPr>
          <w:color w:val="auto"/>
        </w:rPr>
      </w:pPr>
      <w:r>
        <w:rPr>
          <w:color w:val="auto"/>
        </w:rPr>
        <w:t> </w:t>
      </w:r>
    </w:p>
    <w:p w14:paraId="3C06E2F4">
      <w:pPr>
        <w:pStyle w:val="9"/>
        <w:spacing w:beforeAutospacing="0" w:afterAutospacing="0"/>
        <w:jc w:val="both"/>
        <w:rPr>
          <w:color w:val="auto"/>
        </w:rPr>
      </w:pPr>
    </w:p>
    <w:p w14:paraId="2AD22B2B">
      <w:pPr>
        <w:pStyle w:val="9"/>
        <w:spacing w:beforeAutospacing="0" w:afterAutospacing="0"/>
        <w:jc w:val="both"/>
        <w:rPr>
          <w:color w:val="auto"/>
        </w:rPr>
      </w:pPr>
    </w:p>
    <w:p w14:paraId="36382713">
      <w:pPr>
        <w:pStyle w:val="9"/>
        <w:spacing w:beforeAutospacing="0" w:afterAutospacing="0"/>
        <w:jc w:val="both"/>
        <w:rPr>
          <w:color w:val="auto"/>
        </w:rPr>
      </w:pPr>
    </w:p>
    <w:p w14:paraId="7E4B9766">
      <w:pPr>
        <w:pStyle w:val="9"/>
        <w:spacing w:beforeAutospacing="0" w:afterAutospacing="0"/>
        <w:jc w:val="both"/>
        <w:rPr>
          <w:color w:val="auto"/>
        </w:rPr>
      </w:pPr>
    </w:p>
    <w:p w14:paraId="520888E6">
      <w:pPr>
        <w:pStyle w:val="9"/>
        <w:spacing w:beforeAutospacing="0" w:afterAutospacing="0"/>
        <w:jc w:val="both"/>
        <w:rPr>
          <w:color w:val="auto"/>
        </w:rPr>
      </w:pPr>
    </w:p>
    <w:p w14:paraId="45F94BF2">
      <w:pPr>
        <w:pStyle w:val="9"/>
        <w:spacing w:beforeAutospacing="0" w:afterAutospacing="0"/>
        <w:jc w:val="both"/>
        <w:rPr>
          <w:color w:val="auto"/>
        </w:rPr>
      </w:pPr>
    </w:p>
    <w:p w14:paraId="1010F366">
      <w:pPr>
        <w:pStyle w:val="9"/>
        <w:spacing w:beforeAutospacing="0" w:afterAutospacing="0"/>
        <w:jc w:val="both"/>
        <w:rPr>
          <w:color w:val="auto"/>
        </w:rPr>
      </w:pPr>
    </w:p>
    <w:p w14:paraId="56C1AF92">
      <w:pPr>
        <w:pStyle w:val="9"/>
        <w:spacing w:beforeAutospacing="0" w:afterAutospacing="0"/>
        <w:jc w:val="both"/>
        <w:rPr>
          <w:color w:val="auto"/>
        </w:rPr>
      </w:pPr>
    </w:p>
    <w:p w14:paraId="0D4CA80C">
      <w:pPr>
        <w:pStyle w:val="9"/>
        <w:spacing w:beforeAutospacing="0" w:afterAutospacing="0"/>
        <w:jc w:val="both"/>
        <w:rPr>
          <w:color w:val="auto"/>
        </w:rPr>
      </w:pPr>
    </w:p>
    <w:p w14:paraId="32D529AB">
      <w:pPr>
        <w:pStyle w:val="9"/>
        <w:spacing w:beforeAutospacing="0" w:afterAutospacing="0"/>
        <w:jc w:val="both"/>
        <w:rPr>
          <w:color w:val="auto"/>
        </w:rPr>
      </w:pPr>
    </w:p>
    <w:p w14:paraId="179620F7">
      <w:pPr>
        <w:pStyle w:val="9"/>
        <w:spacing w:beforeAutospacing="0" w:afterAutospacing="0"/>
        <w:jc w:val="both"/>
        <w:rPr>
          <w:color w:val="auto"/>
        </w:rPr>
      </w:pPr>
    </w:p>
    <w:p w14:paraId="395B17D1">
      <w:pPr>
        <w:pStyle w:val="9"/>
        <w:spacing w:beforeAutospacing="0" w:afterAutospacing="0"/>
        <w:jc w:val="center"/>
        <w:rPr>
          <w:rFonts w:ascii="黑体" w:hAnsi="宋体" w:eastAsia="黑体" w:cs="黑体"/>
          <w:b/>
          <w:color w:val="auto"/>
          <w:sz w:val="32"/>
          <w:szCs w:val="32"/>
        </w:rPr>
      </w:pPr>
    </w:p>
    <w:p w14:paraId="06C918EC">
      <w:pPr>
        <w:jc w:val="center"/>
        <w:outlineLvl w:val="1"/>
        <w:rPr>
          <w:rFonts w:ascii="黑体" w:hAnsi="宋体" w:eastAsia="黑体" w:cs="黑体"/>
          <w:b/>
          <w:color w:val="000000"/>
          <w:sz w:val="32"/>
          <w:szCs w:val="32"/>
        </w:rPr>
      </w:pPr>
      <w:r>
        <w:rPr>
          <w:rFonts w:hint="eastAsia" w:ascii="黑体" w:hAnsi="宋体" w:eastAsia="黑体" w:cs="黑体"/>
          <w:b/>
          <w:color w:val="000000"/>
          <w:sz w:val="32"/>
          <w:szCs w:val="32"/>
        </w:rPr>
        <w:t>十</w:t>
      </w:r>
      <w:r>
        <w:rPr>
          <w:rFonts w:hint="eastAsia" w:ascii="黑体" w:eastAsia="黑体" w:cs="黑体"/>
          <w:b/>
          <w:color w:val="000000"/>
          <w:sz w:val="32"/>
          <w:szCs w:val="32"/>
          <w:lang w:val="en-US" w:eastAsia="zh-CN"/>
        </w:rPr>
        <w:t>三</w:t>
      </w:r>
      <w:r>
        <w:rPr>
          <w:rFonts w:hint="eastAsia" w:ascii="黑体" w:hAnsi="宋体" w:eastAsia="黑体" w:cs="黑体"/>
          <w:b/>
          <w:color w:val="000000"/>
          <w:sz w:val="32"/>
          <w:szCs w:val="32"/>
        </w:rPr>
        <w:t>、资格性审查响应对照表</w:t>
      </w:r>
    </w:p>
    <w:tbl>
      <w:tblPr>
        <w:tblStyle w:val="1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6071"/>
        <w:gridCol w:w="1660"/>
        <w:gridCol w:w="1181"/>
      </w:tblGrid>
      <w:tr w14:paraId="1B72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405D6B9">
            <w:pPr>
              <w:spacing w:line="240" w:lineRule="atLeast"/>
              <w:jc w:val="center"/>
              <w:rPr>
                <w:rFonts w:ascii="幼圆" w:eastAsia="幼圆"/>
                <w:b/>
              </w:rPr>
            </w:pPr>
            <w:r>
              <w:rPr>
                <w:rFonts w:hint="eastAsia" w:ascii="幼圆" w:eastAsia="幼圆"/>
                <w:b/>
              </w:rPr>
              <w:t>序号</w:t>
            </w:r>
          </w:p>
        </w:tc>
        <w:tc>
          <w:tcPr>
            <w:tcW w:w="6071" w:type="dxa"/>
            <w:vAlign w:val="center"/>
          </w:tcPr>
          <w:p w14:paraId="3D7636C8">
            <w:pPr>
              <w:spacing w:line="240" w:lineRule="atLeast"/>
              <w:jc w:val="center"/>
              <w:rPr>
                <w:rFonts w:ascii="幼圆" w:eastAsia="幼圆"/>
                <w:b/>
              </w:rPr>
            </w:pPr>
            <w:r>
              <w:rPr>
                <w:rFonts w:hint="eastAsia" w:ascii="幼圆" w:eastAsia="幼圆"/>
                <w:b/>
              </w:rPr>
              <w:t>资格性审查响应内容</w:t>
            </w:r>
          </w:p>
        </w:tc>
        <w:tc>
          <w:tcPr>
            <w:tcW w:w="1660" w:type="dxa"/>
            <w:vAlign w:val="center"/>
          </w:tcPr>
          <w:p w14:paraId="35C157F3">
            <w:pPr>
              <w:spacing w:line="240" w:lineRule="atLeast"/>
              <w:jc w:val="center"/>
              <w:rPr>
                <w:rFonts w:ascii="幼圆" w:eastAsia="幼圆"/>
                <w:b/>
              </w:rPr>
            </w:pPr>
            <w:r>
              <w:rPr>
                <w:rFonts w:hint="eastAsia" w:ascii="幼圆" w:eastAsia="幼圆"/>
                <w:b/>
              </w:rPr>
              <w:t>是否响应</w:t>
            </w:r>
          </w:p>
          <w:p w14:paraId="52AE2745">
            <w:pPr>
              <w:spacing w:line="240" w:lineRule="atLeast"/>
              <w:jc w:val="center"/>
              <w:rPr>
                <w:rFonts w:ascii="幼圆" w:eastAsia="幼圆"/>
                <w:b/>
              </w:rPr>
            </w:pPr>
            <w:r>
              <w:rPr>
                <w:rFonts w:hint="eastAsia" w:ascii="幼圆" w:eastAsia="幼圆"/>
                <w:b/>
              </w:rPr>
              <w:t>（填是或者否）</w:t>
            </w:r>
          </w:p>
        </w:tc>
        <w:tc>
          <w:tcPr>
            <w:tcW w:w="1181" w:type="dxa"/>
            <w:vAlign w:val="center"/>
          </w:tcPr>
          <w:p w14:paraId="60D0C272">
            <w:pPr>
              <w:spacing w:line="240" w:lineRule="atLeast"/>
              <w:jc w:val="center"/>
              <w:rPr>
                <w:rFonts w:hint="eastAsia" w:ascii="幼圆" w:eastAsia="宋体"/>
                <w:b/>
                <w:lang w:eastAsia="zh-CN"/>
              </w:rPr>
            </w:pPr>
            <w:r>
              <w:rPr>
                <w:rFonts w:hint="eastAsia" w:ascii="幼圆"/>
                <w:b/>
                <w:lang w:val="en-US" w:eastAsia="zh-CN"/>
              </w:rPr>
              <w:t>备注</w:t>
            </w:r>
          </w:p>
        </w:tc>
      </w:tr>
      <w:tr w14:paraId="78BD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20F6D91">
            <w:pPr>
              <w:spacing w:line="480" w:lineRule="exact"/>
              <w:rPr>
                <w:rFonts w:hint="eastAsia" w:hAnsi="宋体"/>
                <w:iCs/>
                <w:szCs w:val="21"/>
              </w:rPr>
            </w:pPr>
            <w:r>
              <w:rPr>
                <w:rFonts w:hint="eastAsia" w:hAnsi="宋体"/>
                <w:iCs/>
                <w:szCs w:val="21"/>
              </w:rPr>
              <w:t>1</w:t>
            </w:r>
          </w:p>
        </w:tc>
        <w:tc>
          <w:tcPr>
            <w:tcW w:w="6071" w:type="dxa"/>
            <w:vAlign w:val="center"/>
          </w:tcPr>
          <w:p w14:paraId="585A502E">
            <w:pPr>
              <w:spacing w:line="480" w:lineRule="exact"/>
              <w:rPr>
                <w:rFonts w:hint="eastAsia" w:hAnsi="宋体"/>
                <w:iCs/>
                <w:szCs w:val="21"/>
              </w:rPr>
            </w:pPr>
            <w:r>
              <w:rPr>
                <w:rFonts w:hint="eastAsia" w:hAnsi="宋体"/>
                <w:iCs/>
                <w:szCs w:val="21"/>
              </w:rPr>
              <w:t>提供营业执照</w:t>
            </w:r>
            <w:r>
              <w:rPr>
                <w:rFonts w:hint="eastAsia" w:hAnsi="宋体" w:cs="宋体"/>
                <w:iCs/>
                <w:sz w:val="24"/>
              </w:rPr>
              <w:t>（如是联合体，均须提供）</w:t>
            </w:r>
          </w:p>
        </w:tc>
        <w:tc>
          <w:tcPr>
            <w:tcW w:w="1660" w:type="dxa"/>
            <w:vAlign w:val="center"/>
          </w:tcPr>
          <w:p w14:paraId="3608E45B">
            <w:pPr>
              <w:spacing w:line="480" w:lineRule="exact"/>
              <w:rPr>
                <w:rFonts w:hAnsi="宋体"/>
                <w:iCs/>
                <w:szCs w:val="21"/>
              </w:rPr>
            </w:pPr>
          </w:p>
        </w:tc>
        <w:tc>
          <w:tcPr>
            <w:tcW w:w="1181" w:type="dxa"/>
            <w:vAlign w:val="center"/>
          </w:tcPr>
          <w:p w14:paraId="40BBF9AA">
            <w:pPr>
              <w:spacing w:line="480" w:lineRule="exact"/>
              <w:rPr>
                <w:rFonts w:hAnsi="宋体"/>
                <w:iCs/>
                <w:szCs w:val="21"/>
              </w:rPr>
            </w:pPr>
          </w:p>
        </w:tc>
      </w:tr>
      <w:tr w14:paraId="766A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C03059B">
            <w:pPr>
              <w:spacing w:line="480" w:lineRule="exact"/>
              <w:rPr>
                <w:rFonts w:hint="eastAsia" w:hAnsi="宋体"/>
                <w:iCs/>
                <w:szCs w:val="21"/>
              </w:rPr>
            </w:pPr>
            <w:r>
              <w:rPr>
                <w:rFonts w:hint="eastAsia" w:hAnsi="宋体"/>
                <w:iCs/>
                <w:szCs w:val="21"/>
              </w:rPr>
              <w:t>2</w:t>
            </w:r>
          </w:p>
        </w:tc>
        <w:tc>
          <w:tcPr>
            <w:tcW w:w="6071" w:type="dxa"/>
            <w:vAlign w:val="center"/>
          </w:tcPr>
          <w:p w14:paraId="6F7C52FC">
            <w:pPr>
              <w:spacing w:line="480" w:lineRule="exact"/>
              <w:rPr>
                <w:rFonts w:hint="eastAsia" w:hAnsi="宋体"/>
                <w:iCs/>
                <w:szCs w:val="21"/>
              </w:rPr>
            </w:pPr>
            <w:r>
              <w:rPr>
                <w:rFonts w:hint="eastAsia" w:hAnsi="宋体"/>
                <w:iCs/>
                <w:szCs w:val="21"/>
              </w:rPr>
              <w:t>年度财务状况报告或本年度近期月度财务报表</w:t>
            </w:r>
            <w:r>
              <w:rPr>
                <w:rFonts w:hint="eastAsia" w:hAnsi="宋体" w:cs="宋体"/>
                <w:iCs/>
                <w:sz w:val="24"/>
              </w:rPr>
              <w:t>（如是联合体，均须提供）</w:t>
            </w:r>
          </w:p>
        </w:tc>
        <w:tc>
          <w:tcPr>
            <w:tcW w:w="1660" w:type="dxa"/>
            <w:vAlign w:val="center"/>
          </w:tcPr>
          <w:p w14:paraId="0D24A62B">
            <w:pPr>
              <w:spacing w:line="480" w:lineRule="exact"/>
              <w:rPr>
                <w:rFonts w:hAnsi="宋体"/>
                <w:iCs/>
                <w:szCs w:val="21"/>
              </w:rPr>
            </w:pPr>
          </w:p>
        </w:tc>
        <w:tc>
          <w:tcPr>
            <w:tcW w:w="1181" w:type="dxa"/>
            <w:vAlign w:val="center"/>
          </w:tcPr>
          <w:p w14:paraId="47D82106">
            <w:pPr>
              <w:spacing w:line="480" w:lineRule="exact"/>
              <w:rPr>
                <w:rFonts w:hAnsi="宋体"/>
                <w:iCs/>
                <w:szCs w:val="21"/>
              </w:rPr>
            </w:pPr>
          </w:p>
        </w:tc>
      </w:tr>
      <w:tr w14:paraId="3CF4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9828AA4">
            <w:pPr>
              <w:spacing w:line="480" w:lineRule="exact"/>
              <w:rPr>
                <w:rFonts w:hint="eastAsia" w:hAnsi="宋体"/>
                <w:iCs/>
                <w:szCs w:val="21"/>
              </w:rPr>
            </w:pPr>
            <w:r>
              <w:rPr>
                <w:rFonts w:hint="eastAsia" w:hAnsi="宋体"/>
                <w:iCs/>
                <w:szCs w:val="21"/>
              </w:rPr>
              <w:t>3</w:t>
            </w:r>
          </w:p>
        </w:tc>
        <w:tc>
          <w:tcPr>
            <w:tcW w:w="6071" w:type="dxa"/>
            <w:vAlign w:val="center"/>
          </w:tcPr>
          <w:p w14:paraId="3DD6C0C8">
            <w:pPr>
              <w:spacing w:line="480" w:lineRule="exact"/>
              <w:rPr>
                <w:rFonts w:hint="eastAsia" w:hAnsi="宋体"/>
                <w:iCs/>
                <w:szCs w:val="21"/>
              </w:rPr>
            </w:pPr>
            <w:r>
              <w:rPr>
                <w:rFonts w:hint="eastAsia" w:hAnsi="宋体"/>
                <w:iCs/>
                <w:szCs w:val="21"/>
              </w:rPr>
              <w:t>依法缴纳税收和社会保障资金的相关材料</w:t>
            </w:r>
            <w:r>
              <w:rPr>
                <w:rFonts w:hint="eastAsia" w:hAnsi="宋体" w:cs="宋体"/>
                <w:iCs/>
                <w:sz w:val="24"/>
              </w:rPr>
              <w:t>（如是联合体，均须提供）</w:t>
            </w:r>
          </w:p>
        </w:tc>
        <w:tc>
          <w:tcPr>
            <w:tcW w:w="1660" w:type="dxa"/>
            <w:vAlign w:val="center"/>
          </w:tcPr>
          <w:p w14:paraId="5EE611EB">
            <w:pPr>
              <w:spacing w:line="480" w:lineRule="exact"/>
              <w:rPr>
                <w:rFonts w:hAnsi="宋体"/>
                <w:iCs/>
                <w:szCs w:val="21"/>
              </w:rPr>
            </w:pPr>
          </w:p>
        </w:tc>
        <w:tc>
          <w:tcPr>
            <w:tcW w:w="1181" w:type="dxa"/>
            <w:vAlign w:val="center"/>
          </w:tcPr>
          <w:p w14:paraId="330013BB">
            <w:pPr>
              <w:spacing w:line="480" w:lineRule="exact"/>
              <w:rPr>
                <w:rFonts w:hAnsi="宋体"/>
                <w:iCs/>
                <w:szCs w:val="21"/>
              </w:rPr>
            </w:pPr>
          </w:p>
        </w:tc>
      </w:tr>
      <w:tr w14:paraId="48C6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3F66ACDE">
            <w:pPr>
              <w:spacing w:line="480" w:lineRule="exact"/>
              <w:rPr>
                <w:rFonts w:hint="eastAsia" w:hAnsi="宋体"/>
                <w:iCs/>
                <w:szCs w:val="21"/>
              </w:rPr>
            </w:pPr>
            <w:r>
              <w:rPr>
                <w:rFonts w:hint="eastAsia" w:hAnsi="宋体"/>
                <w:iCs/>
                <w:szCs w:val="21"/>
              </w:rPr>
              <w:t>4</w:t>
            </w:r>
          </w:p>
        </w:tc>
        <w:tc>
          <w:tcPr>
            <w:tcW w:w="6071" w:type="dxa"/>
            <w:vAlign w:val="center"/>
          </w:tcPr>
          <w:p w14:paraId="752E6729">
            <w:pPr>
              <w:spacing w:line="480" w:lineRule="exact"/>
              <w:rPr>
                <w:rFonts w:hint="eastAsia" w:hAnsi="宋体"/>
                <w:iCs/>
                <w:szCs w:val="21"/>
              </w:rPr>
            </w:pPr>
            <w:r>
              <w:rPr>
                <w:rFonts w:hint="eastAsia" w:hAnsi="宋体"/>
                <w:iCs/>
                <w:szCs w:val="21"/>
              </w:rPr>
              <w:t>具备履行合同所必</w:t>
            </w:r>
            <w:r>
              <w:rPr>
                <w:rFonts w:hint="eastAsia" w:hAnsi="宋体"/>
                <w:iCs/>
                <w:szCs w:val="21"/>
                <w:lang w:val="en-US" w:eastAsia="zh-CN"/>
              </w:rPr>
              <w:t>须</w:t>
            </w:r>
            <w:r>
              <w:rPr>
                <w:rFonts w:hint="eastAsia" w:hAnsi="宋体"/>
                <w:iCs/>
                <w:szCs w:val="21"/>
              </w:rPr>
              <w:t>的设备和专业技术能力的书面声明；</w:t>
            </w:r>
          </w:p>
        </w:tc>
        <w:tc>
          <w:tcPr>
            <w:tcW w:w="1660" w:type="dxa"/>
            <w:vAlign w:val="center"/>
          </w:tcPr>
          <w:p w14:paraId="0F08934D">
            <w:pPr>
              <w:spacing w:line="480" w:lineRule="exact"/>
              <w:rPr>
                <w:rFonts w:hAnsi="宋体"/>
                <w:iCs/>
                <w:szCs w:val="21"/>
              </w:rPr>
            </w:pPr>
          </w:p>
        </w:tc>
        <w:tc>
          <w:tcPr>
            <w:tcW w:w="1181" w:type="dxa"/>
            <w:vAlign w:val="center"/>
          </w:tcPr>
          <w:p w14:paraId="42267874">
            <w:pPr>
              <w:spacing w:line="480" w:lineRule="exact"/>
              <w:rPr>
                <w:rFonts w:hAnsi="宋体"/>
                <w:iCs/>
                <w:szCs w:val="21"/>
              </w:rPr>
            </w:pPr>
          </w:p>
        </w:tc>
      </w:tr>
      <w:tr w14:paraId="6031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2CF827EA">
            <w:pPr>
              <w:spacing w:line="480" w:lineRule="exact"/>
              <w:rPr>
                <w:rFonts w:hint="eastAsia" w:hAnsi="宋体"/>
                <w:iCs/>
                <w:szCs w:val="21"/>
              </w:rPr>
            </w:pPr>
            <w:r>
              <w:rPr>
                <w:rFonts w:hint="eastAsia" w:hAnsi="宋体"/>
                <w:iCs/>
                <w:szCs w:val="21"/>
              </w:rPr>
              <w:t>5</w:t>
            </w:r>
          </w:p>
        </w:tc>
        <w:tc>
          <w:tcPr>
            <w:tcW w:w="6071" w:type="dxa"/>
            <w:vAlign w:val="center"/>
          </w:tcPr>
          <w:p w14:paraId="20E12F9D">
            <w:pPr>
              <w:spacing w:line="480" w:lineRule="exact"/>
              <w:rPr>
                <w:rFonts w:hint="eastAsia" w:hAnsi="宋体"/>
                <w:iCs/>
                <w:szCs w:val="21"/>
              </w:rPr>
            </w:pPr>
            <w:r>
              <w:rPr>
                <w:rFonts w:hint="eastAsia" w:hAnsi="宋体"/>
                <w:iCs/>
                <w:szCs w:val="21"/>
              </w:rPr>
              <w:t>参加政府采购活动前3年内在经营活动中没有重大违法记录的书面声明。</w:t>
            </w:r>
          </w:p>
        </w:tc>
        <w:tc>
          <w:tcPr>
            <w:tcW w:w="1660" w:type="dxa"/>
            <w:vAlign w:val="center"/>
          </w:tcPr>
          <w:p w14:paraId="14CFD9E7">
            <w:pPr>
              <w:spacing w:line="480" w:lineRule="exact"/>
              <w:rPr>
                <w:rFonts w:hAnsi="宋体"/>
                <w:iCs/>
                <w:szCs w:val="21"/>
              </w:rPr>
            </w:pPr>
          </w:p>
        </w:tc>
        <w:tc>
          <w:tcPr>
            <w:tcW w:w="1181" w:type="dxa"/>
            <w:vAlign w:val="center"/>
          </w:tcPr>
          <w:p w14:paraId="74D215CA">
            <w:pPr>
              <w:spacing w:line="480" w:lineRule="exact"/>
              <w:rPr>
                <w:rFonts w:hAnsi="宋体"/>
                <w:iCs/>
                <w:szCs w:val="21"/>
              </w:rPr>
            </w:pPr>
          </w:p>
        </w:tc>
      </w:tr>
      <w:tr w14:paraId="4B9A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3DB6838E">
            <w:pPr>
              <w:spacing w:line="480" w:lineRule="exact"/>
              <w:rPr>
                <w:rFonts w:hint="eastAsia" w:hAnsi="宋体"/>
                <w:iCs/>
                <w:szCs w:val="21"/>
              </w:rPr>
            </w:pPr>
            <w:r>
              <w:rPr>
                <w:rFonts w:hint="eastAsia" w:hAnsi="宋体"/>
                <w:iCs/>
                <w:szCs w:val="21"/>
              </w:rPr>
              <w:t>6</w:t>
            </w:r>
          </w:p>
        </w:tc>
        <w:tc>
          <w:tcPr>
            <w:tcW w:w="6071" w:type="dxa"/>
            <w:vAlign w:val="center"/>
          </w:tcPr>
          <w:p w14:paraId="4C05ABA7">
            <w:pPr>
              <w:spacing w:line="480" w:lineRule="exact"/>
              <w:rPr>
                <w:rFonts w:hint="eastAsia" w:hAnsi="宋体"/>
                <w:iCs/>
                <w:szCs w:val="21"/>
              </w:rPr>
            </w:pPr>
            <w:r>
              <w:rPr>
                <w:rFonts w:hint="eastAsia" w:hAnsi="宋体"/>
                <w:iCs/>
                <w:szCs w:val="21"/>
              </w:rPr>
              <w:t>投标人必须为未被列入“信用中国”网站(www.creditchina.gov.cn)、中国政府采购网(www.ccgp.gov.cn)、信用江苏（www.jscredit.gov.cn）、渠道信用记录失信被执行人、重大税收违法案件当事人名单、政府采购严重违法失信行为记录名单。</w:t>
            </w:r>
          </w:p>
        </w:tc>
        <w:tc>
          <w:tcPr>
            <w:tcW w:w="1660" w:type="dxa"/>
            <w:vAlign w:val="center"/>
          </w:tcPr>
          <w:p w14:paraId="68C073BF">
            <w:pPr>
              <w:spacing w:line="480" w:lineRule="exact"/>
              <w:rPr>
                <w:rFonts w:hAnsi="宋体"/>
                <w:iCs/>
                <w:szCs w:val="21"/>
              </w:rPr>
            </w:pPr>
          </w:p>
        </w:tc>
        <w:tc>
          <w:tcPr>
            <w:tcW w:w="1181" w:type="dxa"/>
            <w:vAlign w:val="center"/>
          </w:tcPr>
          <w:p w14:paraId="5AFEFEEB">
            <w:pPr>
              <w:spacing w:line="480" w:lineRule="exact"/>
              <w:rPr>
                <w:rFonts w:hAnsi="宋体"/>
                <w:iCs/>
                <w:szCs w:val="21"/>
              </w:rPr>
            </w:pPr>
          </w:p>
        </w:tc>
      </w:tr>
      <w:tr w14:paraId="0E74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60F34A54">
            <w:pPr>
              <w:spacing w:line="480" w:lineRule="exact"/>
              <w:rPr>
                <w:rFonts w:hint="eastAsia" w:hAnsi="宋体"/>
                <w:iCs/>
                <w:szCs w:val="21"/>
              </w:rPr>
            </w:pPr>
            <w:r>
              <w:rPr>
                <w:rFonts w:hint="eastAsia" w:hAnsi="宋体"/>
                <w:iCs/>
                <w:szCs w:val="21"/>
              </w:rPr>
              <w:t>7</w:t>
            </w:r>
          </w:p>
        </w:tc>
        <w:tc>
          <w:tcPr>
            <w:tcW w:w="6071" w:type="dxa"/>
            <w:vAlign w:val="center"/>
          </w:tcPr>
          <w:p w14:paraId="022885D3">
            <w:pPr>
              <w:spacing w:line="480" w:lineRule="exact"/>
              <w:rPr>
                <w:rFonts w:hint="default" w:hAnsi="宋体" w:eastAsia="宋体"/>
                <w:iCs/>
                <w:szCs w:val="21"/>
                <w:lang w:val="en-US" w:eastAsia="zh-CN"/>
              </w:rPr>
            </w:pPr>
            <w:r>
              <w:rPr>
                <w:rFonts w:hint="eastAsia" w:hAnsi="宋体"/>
                <w:iCs/>
                <w:szCs w:val="21"/>
                <w:lang w:val="en-US" w:eastAsia="zh-CN"/>
              </w:rPr>
              <w:t>投标授权委托人社保证明材料</w:t>
            </w:r>
          </w:p>
        </w:tc>
        <w:tc>
          <w:tcPr>
            <w:tcW w:w="1660" w:type="dxa"/>
            <w:vAlign w:val="center"/>
          </w:tcPr>
          <w:p w14:paraId="66146C89">
            <w:pPr>
              <w:spacing w:line="480" w:lineRule="exact"/>
              <w:rPr>
                <w:rFonts w:hAnsi="宋体"/>
                <w:iCs/>
                <w:szCs w:val="21"/>
              </w:rPr>
            </w:pPr>
          </w:p>
        </w:tc>
        <w:tc>
          <w:tcPr>
            <w:tcW w:w="1181" w:type="dxa"/>
            <w:vAlign w:val="center"/>
          </w:tcPr>
          <w:p w14:paraId="53D64CDE">
            <w:pPr>
              <w:spacing w:line="480" w:lineRule="exact"/>
              <w:rPr>
                <w:rFonts w:hAnsi="宋体"/>
                <w:iCs/>
                <w:szCs w:val="21"/>
              </w:rPr>
            </w:pPr>
          </w:p>
        </w:tc>
      </w:tr>
      <w:tr w14:paraId="0CDB7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2B70B9D9">
            <w:pPr>
              <w:spacing w:line="480" w:lineRule="exact"/>
              <w:rPr>
                <w:rFonts w:hint="eastAsia" w:hAnsi="宋体"/>
                <w:iCs/>
                <w:szCs w:val="21"/>
              </w:rPr>
            </w:pPr>
            <w:r>
              <w:rPr>
                <w:rFonts w:hint="eastAsia" w:hAnsi="宋体"/>
                <w:iCs/>
                <w:szCs w:val="21"/>
              </w:rPr>
              <w:t>8</w:t>
            </w:r>
          </w:p>
        </w:tc>
        <w:tc>
          <w:tcPr>
            <w:tcW w:w="6071" w:type="dxa"/>
            <w:vAlign w:val="center"/>
          </w:tcPr>
          <w:p w14:paraId="3FAABD74">
            <w:pPr>
              <w:spacing w:line="480" w:lineRule="exact"/>
              <w:rPr>
                <w:rFonts w:hint="eastAsia" w:hAnsi="宋体"/>
                <w:iCs/>
                <w:szCs w:val="21"/>
              </w:rPr>
            </w:pPr>
            <w:r>
              <w:rPr>
                <w:rFonts w:hint="eastAsia" w:hAnsi="宋体"/>
                <w:iCs/>
                <w:szCs w:val="21"/>
              </w:rPr>
              <w:t>联合体协议书（如有）</w:t>
            </w:r>
          </w:p>
        </w:tc>
        <w:tc>
          <w:tcPr>
            <w:tcW w:w="1660" w:type="dxa"/>
            <w:vAlign w:val="center"/>
          </w:tcPr>
          <w:p w14:paraId="5C91B601">
            <w:pPr>
              <w:spacing w:line="480" w:lineRule="exact"/>
              <w:rPr>
                <w:rFonts w:hAnsi="宋体"/>
                <w:iCs/>
                <w:szCs w:val="21"/>
              </w:rPr>
            </w:pPr>
          </w:p>
        </w:tc>
        <w:tc>
          <w:tcPr>
            <w:tcW w:w="1181" w:type="dxa"/>
            <w:vAlign w:val="center"/>
          </w:tcPr>
          <w:p w14:paraId="6DAF1C53">
            <w:pPr>
              <w:spacing w:line="480" w:lineRule="exact"/>
              <w:rPr>
                <w:rFonts w:hAnsi="宋体"/>
                <w:iCs/>
                <w:szCs w:val="21"/>
              </w:rPr>
            </w:pPr>
          </w:p>
        </w:tc>
      </w:tr>
    </w:tbl>
    <w:p w14:paraId="0BD21DA2">
      <w:pPr>
        <w:spacing w:line="480" w:lineRule="exact"/>
        <w:rPr>
          <w:rFonts w:hAnsi="宋体"/>
          <w:iCs/>
          <w:szCs w:val="21"/>
          <w:lang w:val="zh-CN"/>
        </w:rPr>
      </w:pPr>
    </w:p>
    <w:p w14:paraId="652D74A1">
      <w:pPr>
        <w:ind w:firstLine="210"/>
        <w:rPr>
          <w:rFonts w:cs="宋体"/>
          <w:szCs w:val="28"/>
          <w:lang w:val="zh-CN"/>
        </w:rPr>
      </w:pPr>
      <w:r>
        <w:rPr>
          <w:rFonts w:hint="eastAsia" w:cs="宋体"/>
          <w:color w:val="FF0000"/>
          <w:szCs w:val="28"/>
          <w:lang w:val="zh-CN"/>
        </w:rPr>
        <w:t>注：本表须明确填写并按招标文件要求提供材料，否则资格性检查无法通过。</w:t>
      </w:r>
    </w:p>
    <w:p w14:paraId="7B98BFED">
      <w:pPr>
        <w:spacing w:line="360" w:lineRule="auto"/>
        <w:ind w:firstLine="3045"/>
        <w:rPr>
          <w:rFonts w:hAnsi="宋体"/>
          <w:bCs/>
          <w:szCs w:val="28"/>
        </w:rPr>
      </w:pPr>
    </w:p>
    <w:p w14:paraId="6C5DEDEB">
      <w:pPr>
        <w:pStyle w:val="9"/>
        <w:tabs>
          <w:tab w:val="left" w:pos="4864"/>
        </w:tabs>
        <w:spacing w:beforeAutospacing="0" w:afterAutospacing="0" w:line="0" w:lineRule="atLeast"/>
        <w:ind w:right="1560" w:firstLine="624"/>
        <w:jc w:val="center"/>
      </w:pPr>
      <w:r>
        <w:rPr>
          <w:rFonts w:hint="eastAsia" w:ascii="宋体" w:hAnsi="宋体" w:eastAsia="宋体" w:cs="宋体"/>
          <w:color w:val="000000"/>
        </w:rPr>
        <w:t>供应商全称（加盖CA电子公章）：</w:t>
      </w:r>
    </w:p>
    <w:p w14:paraId="739218A1">
      <w:pPr>
        <w:pStyle w:val="9"/>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753F84F3">
      <w:pPr>
        <w:jc w:val="center"/>
        <w:outlineLvl w:val="1"/>
        <w:rPr>
          <w:rFonts w:hint="eastAsia" w:ascii="黑体" w:hAnsi="宋体" w:eastAsia="黑体" w:cs="黑体"/>
          <w:b/>
          <w:color w:val="000000"/>
          <w:sz w:val="32"/>
          <w:szCs w:val="32"/>
        </w:rPr>
      </w:pPr>
    </w:p>
    <w:p w14:paraId="4213DA47">
      <w:pPr>
        <w:jc w:val="center"/>
        <w:outlineLvl w:val="1"/>
        <w:rPr>
          <w:rFonts w:hint="eastAsia" w:ascii="黑体" w:hAnsi="宋体" w:eastAsia="黑体" w:cs="黑体"/>
          <w:b/>
          <w:color w:val="000000"/>
          <w:sz w:val="32"/>
          <w:szCs w:val="32"/>
        </w:rPr>
      </w:pPr>
    </w:p>
    <w:p w14:paraId="4D900D37">
      <w:pPr>
        <w:jc w:val="center"/>
        <w:outlineLvl w:val="1"/>
        <w:rPr>
          <w:rFonts w:hint="eastAsia" w:ascii="黑体" w:hAnsi="宋体" w:eastAsia="黑体" w:cs="黑体"/>
          <w:b/>
          <w:color w:val="000000"/>
          <w:sz w:val="32"/>
          <w:szCs w:val="32"/>
        </w:rPr>
      </w:pPr>
    </w:p>
    <w:p w14:paraId="10AB1427">
      <w:pPr>
        <w:jc w:val="center"/>
        <w:outlineLvl w:val="1"/>
        <w:rPr>
          <w:rFonts w:hint="eastAsia" w:ascii="黑体" w:hAnsi="宋体" w:eastAsia="黑体" w:cs="黑体"/>
          <w:b/>
          <w:color w:val="000000"/>
          <w:sz w:val="32"/>
          <w:szCs w:val="32"/>
        </w:rPr>
      </w:pPr>
    </w:p>
    <w:p w14:paraId="7134213B">
      <w:pPr>
        <w:jc w:val="center"/>
        <w:outlineLvl w:val="1"/>
        <w:rPr>
          <w:rFonts w:hint="eastAsia" w:ascii="黑体" w:hAnsi="宋体" w:eastAsia="黑体" w:cs="黑体"/>
          <w:b/>
          <w:color w:val="000000"/>
          <w:sz w:val="32"/>
          <w:szCs w:val="32"/>
        </w:rPr>
      </w:pPr>
    </w:p>
    <w:p w14:paraId="295532E9">
      <w:pPr>
        <w:jc w:val="center"/>
        <w:outlineLvl w:val="1"/>
        <w:rPr>
          <w:rFonts w:ascii="黑体" w:hAnsi="宋体" w:eastAsia="黑体" w:cs="黑体"/>
          <w:b/>
          <w:color w:val="000000"/>
          <w:sz w:val="32"/>
          <w:szCs w:val="32"/>
        </w:rPr>
      </w:pPr>
      <w:r>
        <w:rPr>
          <w:rFonts w:hint="eastAsia" w:ascii="黑体" w:hAnsi="宋体" w:eastAsia="黑体" w:cs="黑体"/>
          <w:b/>
          <w:color w:val="000000"/>
          <w:sz w:val="32"/>
          <w:szCs w:val="32"/>
        </w:rPr>
        <w:t>十</w:t>
      </w:r>
      <w:r>
        <w:rPr>
          <w:rFonts w:hint="eastAsia" w:ascii="黑体" w:eastAsia="黑体" w:cs="黑体"/>
          <w:b/>
          <w:color w:val="000000"/>
          <w:sz w:val="32"/>
          <w:szCs w:val="32"/>
          <w:lang w:val="en-US" w:eastAsia="zh-CN"/>
        </w:rPr>
        <w:t>四</w:t>
      </w:r>
      <w:r>
        <w:rPr>
          <w:rFonts w:hint="eastAsia" w:ascii="黑体" w:hAnsi="宋体" w:eastAsia="黑体" w:cs="黑体"/>
          <w:b/>
          <w:color w:val="000000"/>
          <w:sz w:val="32"/>
          <w:szCs w:val="32"/>
        </w:rPr>
        <w:t>、符合性检查响应对照表</w:t>
      </w:r>
    </w:p>
    <w:tbl>
      <w:tblPr>
        <w:tblStyle w:val="1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3837"/>
        <w:gridCol w:w="3290"/>
        <w:gridCol w:w="1785"/>
      </w:tblGrid>
      <w:tr w14:paraId="64A7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04ABB2E">
            <w:pPr>
              <w:spacing w:line="240" w:lineRule="atLeast"/>
              <w:jc w:val="center"/>
              <w:rPr>
                <w:rFonts w:ascii="幼圆" w:eastAsia="幼圆"/>
                <w:b/>
              </w:rPr>
            </w:pPr>
            <w:r>
              <w:rPr>
                <w:rFonts w:hint="eastAsia" w:ascii="幼圆" w:eastAsia="幼圆"/>
                <w:b/>
              </w:rPr>
              <w:t>序号</w:t>
            </w:r>
          </w:p>
        </w:tc>
        <w:tc>
          <w:tcPr>
            <w:tcW w:w="3837" w:type="dxa"/>
            <w:vAlign w:val="center"/>
          </w:tcPr>
          <w:p w14:paraId="3999438C">
            <w:pPr>
              <w:spacing w:line="240" w:lineRule="atLeast"/>
              <w:jc w:val="center"/>
              <w:rPr>
                <w:rFonts w:ascii="幼圆" w:eastAsia="幼圆"/>
                <w:b/>
              </w:rPr>
            </w:pPr>
            <w:r>
              <w:rPr>
                <w:rFonts w:hint="eastAsia" w:ascii="幼圆" w:eastAsia="幼圆"/>
                <w:b/>
              </w:rPr>
              <w:t>符合性检查响应内容</w:t>
            </w:r>
          </w:p>
        </w:tc>
        <w:tc>
          <w:tcPr>
            <w:tcW w:w="3290" w:type="dxa"/>
            <w:vAlign w:val="center"/>
          </w:tcPr>
          <w:p w14:paraId="1ECF00FC">
            <w:pPr>
              <w:spacing w:line="240" w:lineRule="atLeast"/>
              <w:jc w:val="center"/>
              <w:rPr>
                <w:rFonts w:ascii="幼圆" w:eastAsia="幼圆"/>
                <w:b/>
              </w:rPr>
            </w:pPr>
            <w:r>
              <w:rPr>
                <w:rFonts w:hint="eastAsia" w:ascii="幼圆" w:eastAsia="幼圆"/>
                <w:b/>
              </w:rPr>
              <w:t>是否响应</w:t>
            </w:r>
          </w:p>
          <w:p w14:paraId="4B3B09CC">
            <w:pPr>
              <w:spacing w:line="240" w:lineRule="atLeast"/>
              <w:jc w:val="center"/>
              <w:rPr>
                <w:rFonts w:ascii="幼圆" w:eastAsia="幼圆"/>
                <w:b/>
              </w:rPr>
            </w:pPr>
            <w:r>
              <w:rPr>
                <w:rFonts w:hint="eastAsia" w:ascii="幼圆" w:eastAsia="幼圆"/>
                <w:b/>
              </w:rPr>
              <w:t>（填是或者否）</w:t>
            </w:r>
          </w:p>
        </w:tc>
        <w:tc>
          <w:tcPr>
            <w:tcW w:w="1785" w:type="dxa"/>
            <w:vAlign w:val="center"/>
          </w:tcPr>
          <w:p w14:paraId="390CE4CC">
            <w:pPr>
              <w:spacing w:line="240" w:lineRule="atLeast"/>
              <w:jc w:val="center"/>
              <w:rPr>
                <w:rFonts w:hint="eastAsia" w:ascii="幼圆" w:eastAsia="宋体"/>
                <w:b/>
                <w:lang w:eastAsia="zh-CN"/>
              </w:rPr>
            </w:pPr>
            <w:r>
              <w:rPr>
                <w:rFonts w:hint="eastAsia" w:ascii="幼圆"/>
                <w:b/>
                <w:lang w:val="en-US" w:eastAsia="zh-CN"/>
              </w:rPr>
              <w:t>备注</w:t>
            </w:r>
          </w:p>
        </w:tc>
      </w:tr>
      <w:tr w14:paraId="46B85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2C3CD51">
            <w:pPr>
              <w:rPr>
                <w:rFonts w:hint="default" w:ascii="宋体" w:hAnsi="宋体" w:eastAsia="宋体" w:cs="宋体"/>
                <w:iCs/>
                <w:sz w:val="24"/>
                <w:szCs w:val="22"/>
                <w:lang w:val="en-US" w:eastAsia="zh-CN"/>
              </w:rPr>
            </w:pPr>
            <w:r>
              <w:rPr>
                <w:rFonts w:hint="eastAsia" w:ascii="宋体" w:hAnsi="宋体" w:eastAsia="宋体" w:cs="宋体"/>
                <w:iCs/>
                <w:sz w:val="24"/>
                <w:szCs w:val="22"/>
                <w:lang w:val="en-US" w:eastAsia="zh-CN"/>
              </w:rPr>
              <w:t>1</w:t>
            </w:r>
          </w:p>
        </w:tc>
        <w:tc>
          <w:tcPr>
            <w:tcW w:w="3837" w:type="dxa"/>
            <w:vAlign w:val="center"/>
          </w:tcPr>
          <w:p w14:paraId="26F515AF">
            <w:pPr>
              <w:rPr>
                <w:rFonts w:hint="eastAsia" w:ascii="宋体" w:hAnsi="宋体" w:eastAsia="宋体" w:cs="宋体"/>
                <w:iCs/>
                <w:sz w:val="24"/>
                <w:szCs w:val="22"/>
                <w:lang w:val="en-US" w:eastAsia="zh-CN"/>
              </w:rPr>
            </w:pPr>
            <w:r>
              <w:rPr>
                <w:rFonts w:hint="eastAsia" w:ascii="宋体" w:hAnsi="宋体" w:eastAsia="宋体" w:cs="宋体"/>
                <w:iCs/>
                <w:sz w:val="24"/>
                <w:szCs w:val="22"/>
                <w:lang w:val="en-US" w:eastAsia="zh-CN"/>
              </w:rPr>
              <w:t>项目建设需求</w:t>
            </w:r>
          </w:p>
        </w:tc>
        <w:tc>
          <w:tcPr>
            <w:tcW w:w="3290" w:type="dxa"/>
            <w:vAlign w:val="center"/>
          </w:tcPr>
          <w:p w14:paraId="21A74EC7">
            <w:pPr>
              <w:rPr>
                <w:rFonts w:hAnsi="宋体"/>
                <w:b/>
              </w:rPr>
            </w:pPr>
          </w:p>
        </w:tc>
        <w:tc>
          <w:tcPr>
            <w:tcW w:w="1785" w:type="dxa"/>
            <w:vAlign w:val="center"/>
          </w:tcPr>
          <w:p w14:paraId="7E1579E1">
            <w:pPr>
              <w:rPr>
                <w:rFonts w:hAnsi="宋体"/>
                <w:b/>
              </w:rPr>
            </w:pPr>
          </w:p>
        </w:tc>
      </w:tr>
      <w:tr w14:paraId="4182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0E7727D">
            <w:pPr>
              <w:rPr>
                <w:rFonts w:hint="eastAsia" w:ascii="宋体" w:hAnsi="宋体" w:eastAsia="宋体" w:cs="宋体"/>
                <w:iCs/>
                <w:sz w:val="24"/>
                <w:szCs w:val="22"/>
                <w:lang w:val="en-US" w:eastAsia="zh-CN"/>
              </w:rPr>
            </w:pPr>
            <w:r>
              <w:rPr>
                <w:rFonts w:hint="eastAsia" w:ascii="宋体" w:hAnsi="宋体" w:eastAsia="宋体" w:cs="宋体"/>
                <w:iCs/>
                <w:sz w:val="24"/>
                <w:szCs w:val="22"/>
                <w:lang w:val="en-US" w:eastAsia="zh-CN"/>
              </w:rPr>
              <w:t>2</w:t>
            </w:r>
          </w:p>
        </w:tc>
        <w:tc>
          <w:tcPr>
            <w:tcW w:w="3837" w:type="dxa"/>
            <w:vAlign w:val="center"/>
          </w:tcPr>
          <w:p w14:paraId="69F9A6A5">
            <w:pPr>
              <w:rPr>
                <w:rFonts w:hint="default" w:ascii="宋体" w:hAnsi="宋体" w:eastAsia="宋体" w:cs="宋体"/>
                <w:iCs/>
                <w:sz w:val="24"/>
                <w:szCs w:val="22"/>
                <w:lang w:val="en-US" w:eastAsia="zh-CN"/>
              </w:rPr>
            </w:pPr>
            <w:r>
              <w:rPr>
                <w:rFonts w:hint="eastAsia" w:ascii="宋体" w:hAnsi="宋体" w:eastAsia="宋体" w:cs="宋体"/>
                <w:iCs/>
                <w:sz w:val="24"/>
                <w:szCs w:val="22"/>
                <w:lang w:val="en-US" w:eastAsia="zh-CN"/>
              </w:rPr>
              <w:t>建设目标</w:t>
            </w:r>
          </w:p>
        </w:tc>
        <w:tc>
          <w:tcPr>
            <w:tcW w:w="3290" w:type="dxa"/>
            <w:vAlign w:val="center"/>
          </w:tcPr>
          <w:p w14:paraId="1D1D8AF9">
            <w:pPr>
              <w:rPr>
                <w:rFonts w:hAnsi="宋体"/>
                <w:b/>
              </w:rPr>
            </w:pPr>
          </w:p>
        </w:tc>
        <w:tc>
          <w:tcPr>
            <w:tcW w:w="1785" w:type="dxa"/>
            <w:vAlign w:val="center"/>
          </w:tcPr>
          <w:p w14:paraId="2964956C">
            <w:pPr>
              <w:rPr>
                <w:rFonts w:hAnsi="宋体"/>
                <w:b/>
              </w:rPr>
            </w:pPr>
          </w:p>
        </w:tc>
      </w:tr>
      <w:tr w14:paraId="518DA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E15BA74">
            <w:pPr>
              <w:rPr>
                <w:rFonts w:hint="eastAsia" w:hAnsi="宋体" w:eastAsia="宋体"/>
                <w:iCs/>
                <w:sz w:val="24"/>
                <w:szCs w:val="22"/>
                <w:lang w:val="en-US" w:eastAsia="zh-CN"/>
              </w:rPr>
            </w:pPr>
            <w:r>
              <w:rPr>
                <w:rFonts w:hint="eastAsia"/>
                <w:iCs/>
                <w:sz w:val="24"/>
                <w:szCs w:val="22"/>
                <w:lang w:val="en-US" w:eastAsia="zh-CN"/>
              </w:rPr>
              <w:t>3</w:t>
            </w:r>
          </w:p>
        </w:tc>
        <w:tc>
          <w:tcPr>
            <w:tcW w:w="3837" w:type="dxa"/>
            <w:vAlign w:val="center"/>
          </w:tcPr>
          <w:p w14:paraId="443243D3">
            <w:pPr>
              <w:rPr>
                <w:rFonts w:hint="default" w:hAnsi="宋体" w:eastAsia="宋体"/>
                <w:iCs/>
                <w:sz w:val="24"/>
                <w:szCs w:val="22"/>
                <w:lang w:val="en-US" w:eastAsia="zh-CN"/>
              </w:rPr>
            </w:pPr>
            <w:r>
              <w:rPr>
                <w:rFonts w:hint="eastAsia"/>
                <w:iCs/>
                <w:sz w:val="24"/>
                <w:szCs w:val="22"/>
                <w:lang w:val="en-US" w:eastAsia="zh-CN"/>
              </w:rPr>
              <w:t>招标清单</w:t>
            </w:r>
          </w:p>
        </w:tc>
        <w:tc>
          <w:tcPr>
            <w:tcW w:w="3290" w:type="dxa"/>
            <w:vAlign w:val="center"/>
          </w:tcPr>
          <w:p w14:paraId="39EF1FF5">
            <w:pPr>
              <w:rPr>
                <w:rFonts w:hAnsi="宋体"/>
              </w:rPr>
            </w:pPr>
          </w:p>
        </w:tc>
        <w:tc>
          <w:tcPr>
            <w:tcW w:w="1785" w:type="dxa"/>
            <w:vAlign w:val="center"/>
          </w:tcPr>
          <w:p w14:paraId="7A6953E4">
            <w:pPr>
              <w:rPr>
                <w:rFonts w:hAnsi="宋体"/>
              </w:rPr>
            </w:pPr>
          </w:p>
        </w:tc>
      </w:tr>
      <w:tr w14:paraId="088D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D17EF35">
            <w:pPr>
              <w:rPr>
                <w:rFonts w:hint="eastAsia" w:hAnsi="宋体" w:eastAsia="宋体"/>
                <w:iCs/>
                <w:sz w:val="24"/>
                <w:szCs w:val="22"/>
                <w:lang w:eastAsia="zh-CN"/>
              </w:rPr>
            </w:pPr>
            <w:r>
              <w:rPr>
                <w:rFonts w:hint="eastAsia"/>
                <w:iCs/>
                <w:sz w:val="24"/>
                <w:szCs w:val="22"/>
                <w:lang w:val="en-US" w:eastAsia="zh-CN"/>
              </w:rPr>
              <w:t>4</w:t>
            </w:r>
          </w:p>
        </w:tc>
        <w:tc>
          <w:tcPr>
            <w:tcW w:w="3837" w:type="dxa"/>
            <w:vAlign w:val="center"/>
          </w:tcPr>
          <w:p w14:paraId="315CA79C">
            <w:pPr>
              <w:rPr>
                <w:rFonts w:hAnsi="宋体"/>
                <w:iCs/>
                <w:sz w:val="24"/>
                <w:szCs w:val="22"/>
              </w:rPr>
            </w:pPr>
            <w:r>
              <w:rPr>
                <w:rFonts w:hint="eastAsia" w:hAnsi="宋体"/>
                <w:iCs/>
                <w:sz w:val="24"/>
                <w:szCs w:val="22"/>
              </w:rPr>
              <w:t xml:space="preserve">合同履行期限 </w:t>
            </w:r>
          </w:p>
        </w:tc>
        <w:tc>
          <w:tcPr>
            <w:tcW w:w="3290" w:type="dxa"/>
            <w:vAlign w:val="center"/>
          </w:tcPr>
          <w:p w14:paraId="6760D07F">
            <w:pPr>
              <w:rPr>
                <w:rFonts w:hAnsi="宋体"/>
              </w:rPr>
            </w:pPr>
          </w:p>
        </w:tc>
        <w:tc>
          <w:tcPr>
            <w:tcW w:w="1785" w:type="dxa"/>
            <w:vAlign w:val="center"/>
          </w:tcPr>
          <w:p w14:paraId="4CF21EC3">
            <w:pPr>
              <w:rPr>
                <w:rFonts w:hAnsi="宋体"/>
              </w:rPr>
            </w:pPr>
          </w:p>
        </w:tc>
      </w:tr>
      <w:tr w14:paraId="4BA1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B8145B9">
            <w:pPr>
              <w:rPr>
                <w:rFonts w:hint="eastAsia" w:hAnsi="宋体" w:eastAsia="宋体"/>
                <w:iCs/>
                <w:sz w:val="24"/>
                <w:szCs w:val="22"/>
                <w:lang w:val="en-US" w:eastAsia="zh-CN"/>
              </w:rPr>
            </w:pPr>
            <w:r>
              <w:rPr>
                <w:rFonts w:hint="eastAsia"/>
                <w:iCs/>
                <w:sz w:val="24"/>
                <w:szCs w:val="22"/>
                <w:lang w:val="en-US" w:eastAsia="zh-CN"/>
              </w:rPr>
              <w:t>5</w:t>
            </w:r>
          </w:p>
        </w:tc>
        <w:tc>
          <w:tcPr>
            <w:tcW w:w="3837" w:type="dxa"/>
            <w:vAlign w:val="center"/>
          </w:tcPr>
          <w:p w14:paraId="6072F04C">
            <w:pPr>
              <w:rPr>
                <w:rFonts w:hint="eastAsia" w:hAnsi="宋体"/>
                <w:iCs/>
                <w:sz w:val="24"/>
                <w:szCs w:val="22"/>
                <w:lang w:val="en-US" w:eastAsia="zh-CN"/>
              </w:rPr>
            </w:pPr>
            <w:r>
              <w:rPr>
                <w:rFonts w:hint="eastAsia" w:hAnsi="宋体"/>
                <w:iCs/>
                <w:sz w:val="24"/>
                <w:szCs w:val="22"/>
              </w:rPr>
              <w:t>项目服务</w:t>
            </w:r>
            <w:r>
              <w:rPr>
                <w:rFonts w:hint="eastAsia" w:hAnsi="宋体"/>
                <w:iCs/>
                <w:sz w:val="24"/>
                <w:szCs w:val="22"/>
                <w:lang w:val="en-US" w:eastAsia="zh-CN"/>
              </w:rPr>
              <w:t>要求</w:t>
            </w:r>
            <w:r>
              <w:rPr>
                <w:rFonts w:hint="eastAsia" w:hAnsi="宋体"/>
                <w:iCs/>
                <w:sz w:val="24"/>
                <w:szCs w:val="22"/>
              </w:rPr>
              <w:t>响应</w:t>
            </w:r>
            <w:r>
              <w:rPr>
                <w:rFonts w:hint="eastAsia" w:hAnsi="宋体"/>
                <w:iCs/>
                <w:sz w:val="24"/>
              </w:rPr>
              <w:t>（详见附件1）</w:t>
            </w:r>
          </w:p>
        </w:tc>
        <w:tc>
          <w:tcPr>
            <w:tcW w:w="3290" w:type="dxa"/>
            <w:vAlign w:val="center"/>
          </w:tcPr>
          <w:p w14:paraId="407C9E41">
            <w:pPr>
              <w:rPr>
                <w:rFonts w:hAnsi="宋体"/>
                <w:iCs/>
                <w:sz w:val="24"/>
                <w:szCs w:val="22"/>
              </w:rPr>
            </w:pPr>
          </w:p>
        </w:tc>
        <w:tc>
          <w:tcPr>
            <w:tcW w:w="1785" w:type="dxa"/>
            <w:vAlign w:val="center"/>
          </w:tcPr>
          <w:p w14:paraId="4077476C">
            <w:pPr>
              <w:rPr>
                <w:rFonts w:hAnsi="宋体"/>
                <w:iCs/>
                <w:sz w:val="24"/>
                <w:szCs w:val="22"/>
              </w:rPr>
            </w:pPr>
          </w:p>
        </w:tc>
      </w:tr>
      <w:tr w14:paraId="7160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236D4C2">
            <w:pPr>
              <w:rPr>
                <w:rFonts w:hint="eastAsia" w:hAnsi="宋体" w:eastAsia="宋体"/>
                <w:iCs/>
                <w:sz w:val="24"/>
                <w:szCs w:val="22"/>
                <w:lang w:eastAsia="zh-CN"/>
              </w:rPr>
            </w:pPr>
            <w:r>
              <w:rPr>
                <w:rFonts w:hint="eastAsia"/>
                <w:iCs/>
                <w:sz w:val="24"/>
                <w:szCs w:val="22"/>
                <w:lang w:val="en-US" w:eastAsia="zh-CN"/>
              </w:rPr>
              <w:t>6</w:t>
            </w:r>
          </w:p>
        </w:tc>
        <w:tc>
          <w:tcPr>
            <w:tcW w:w="3837" w:type="dxa"/>
            <w:vAlign w:val="center"/>
          </w:tcPr>
          <w:p w14:paraId="63E90D51">
            <w:pPr>
              <w:rPr>
                <w:rFonts w:hint="default" w:hAnsi="宋体" w:eastAsia="宋体"/>
                <w:iCs/>
                <w:sz w:val="24"/>
                <w:szCs w:val="22"/>
                <w:lang w:val="en-US" w:eastAsia="zh-CN"/>
              </w:rPr>
            </w:pPr>
            <w:r>
              <w:rPr>
                <w:rFonts w:hint="eastAsia" w:hAnsi="宋体"/>
                <w:iCs/>
                <w:sz w:val="24"/>
                <w:szCs w:val="22"/>
                <w:lang w:val="en-US" w:eastAsia="zh-CN"/>
              </w:rPr>
              <w:t>投标人须提供项目需求中的相关承诺函，否则为无效投标人。</w:t>
            </w:r>
          </w:p>
        </w:tc>
        <w:tc>
          <w:tcPr>
            <w:tcW w:w="3290" w:type="dxa"/>
            <w:vAlign w:val="center"/>
          </w:tcPr>
          <w:p w14:paraId="0A8378D6">
            <w:pPr>
              <w:rPr>
                <w:rFonts w:hAnsi="宋体"/>
                <w:iCs/>
                <w:sz w:val="24"/>
                <w:szCs w:val="22"/>
              </w:rPr>
            </w:pPr>
          </w:p>
        </w:tc>
        <w:tc>
          <w:tcPr>
            <w:tcW w:w="1785" w:type="dxa"/>
            <w:vAlign w:val="center"/>
          </w:tcPr>
          <w:p w14:paraId="686AC2BA">
            <w:pPr>
              <w:rPr>
                <w:rFonts w:hAnsi="宋体"/>
                <w:iCs/>
                <w:sz w:val="24"/>
                <w:szCs w:val="22"/>
              </w:rPr>
            </w:pPr>
          </w:p>
        </w:tc>
      </w:tr>
      <w:tr w14:paraId="65C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33E14566">
            <w:pPr>
              <w:rPr>
                <w:rFonts w:hAnsi="宋体"/>
              </w:rPr>
            </w:pPr>
          </w:p>
        </w:tc>
        <w:tc>
          <w:tcPr>
            <w:tcW w:w="3837" w:type="dxa"/>
            <w:vAlign w:val="center"/>
          </w:tcPr>
          <w:p w14:paraId="7D9D1E50">
            <w:pPr>
              <w:spacing w:line="590" w:lineRule="atLeast"/>
              <w:rPr>
                <w:rFonts w:hAnsi="宋体"/>
                <w:iCs/>
                <w:sz w:val="24"/>
              </w:rPr>
            </w:pPr>
          </w:p>
        </w:tc>
        <w:tc>
          <w:tcPr>
            <w:tcW w:w="3290" w:type="dxa"/>
            <w:vAlign w:val="center"/>
          </w:tcPr>
          <w:p w14:paraId="7C34CA85">
            <w:pPr>
              <w:rPr>
                <w:rFonts w:hAnsi="宋体"/>
              </w:rPr>
            </w:pPr>
          </w:p>
        </w:tc>
        <w:tc>
          <w:tcPr>
            <w:tcW w:w="1785" w:type="dxa"/>
            <w:vAlign w:val="center"/>
          </w:tcPr>
          <w:p w14:paraId="1DECDA25">
            <w:pPr>
              <w:rPr>
                <w:rFonts w:hAnsi="宋体"/>
              </w:rPr>
            </w:pPr>
          </w:p>
        </w:tc>
      </w:tr>
      <w:tr w14:paraId="3B61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vAlign w:val="center"/>
          </w:tcPr>
          <w:p w14:paraId="5D6E334B">
            <w:pPr>
              <w:rPr>
                <w:rFonts w:hAnsi="宋体"/>
              </w:rPr>
            </w:pPr>
          </w:p>
        </w:tc>
        <w:tc>
          <w:tcPr>
            <w:tcW w:w="3837" w:type="dxa"/>
            <w:vAlign w:val="center"/>
          </w:tcPr>
          <w:p w14:paraId="06B7D1DD">
            <w:pPr>
              <w:spacing w:line="590" w:lineRule="atLeast"/>
              <w:rPr>
                <w:rFonts w:hAnsi="宋体"/>
                <w:iCs/>
                <w:sz w:val="24"/>
              </w:rPr>
            </w:pPr>
          </w:p>
        </w:tc>
        <w:tc>
          <w:tcPr>
            <w:tcW w:w="3290" w:type="dxa"/>
            <w:vAlign w:val="center"/>
          </w:tcPr>
          <w:p w14:paraId="356EB62D">
            <w:pPr>
              <w:rPr>
                <w:rFonts w:hAnsi="宋体"/>
              </w:rPr>
            </w:pPr>
          </w:p>
        </w:tc>
        <w:tc>
          <w:tcPr>
            <w:tcW w:w="1785" w:type="dxa"/>
            <w:vAlign w:val="center"/>
          </w:tcPr>
          <w:p w14:paraId="4AF6D33D">
            <w:pPr>
              <w:rPr>
                <w:rFonts w:hAnsi="宋体"/>
              </w:rPr>
            </w:pPr>
          </w:p>
        </w:tc>
      </w:tr>
      <w:tr w14:paraId="1BEE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6" w:hRule="atLeast"/>
        </w:trPr>
        <w:tc>
          <w:tcPr>
            <w:tcW w:w="646" w:type="dxa"/>
            <w:vAlign w:val="center"/>
          </w:tcPr>
          <w:p w14:paraId="205BA4C2">
            <w:pPr>
              <w:rPr>
                <w:rFonts w:hAnsi="宋体"/>
              </w:rPr>
            </w:pPr>
          </w:p>
        </w:tc>
        <w:tc>
          <w:tcPr>
            <w:tcW w:w="3837" w:type="dxa"/>
            <w:vAlign w:val="center"/>
          </w:tcPr>
          <w:p w14:paraId="536C21F2">
            <w:pPr>
              <w:spacing w:line="590" w:lineRule="atLeast"/>
              <w:rPr>
                <w:rFonts w:hAnsi="宋体"/>
                <w:iCs/>
                <w:sz w:val="24"/>
              </w:rPr>
            </w:pPr>
          </w:p>
        </w:tc>
        <w:tc>
          <w:tcPr>
            <w:tcW w:w="3290" w:type="dxa"/>
            <w:vAlign w:val="center"/>
          </w:tcPr>
          <w:p w14:paraId="199E783D">
            <w:pPr>
              <w:rPr>
                <w:rFonts w:hAnsi="宋体"/>
              </w:rPr>
            </w:pPr>
          </w:p>
        </w:tc>
        <w:tc>
          <w:tcPr>
            <w:tcW w:w="1785" w:type="dxa"/>
            <w:vAlign w:val="center"/>
          </w:tcPr>
          <w:p w14:paraId="6CC7C811">
            <w:pPr>
              <w:rPr>
                <w:rFonts w:hAnsi="宋体"/>
              </w:rPr>
            </w:pPr>
          </w:p>
        </w:tc>
      </w:tr>
      <w:tr w14:paraId="1A88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609E4160">
            <w:pPr>
              <w:rPr>
                <w:rFonts w:hAnsi="宋体"/>
              </w:rPr>
            </w:pPr>
          </w:p>
        </w:tc>
        <w:tc>
          <w:tcPr>
            <w:tcW w:w="3837" w:type="dxa"/>
            <w:vAlign w:val="center"/>
          </w:tcPr>
          <w:p w14:paraId="7EC338C3">
            <w:pPr>
              <w:spacing w:line="590" w:lineRule="atLeast"/>
              <w:rPr>
                <w:rFonts w:hAnsi="宋体"/>
                <w:iCs/>
                <w:sz w:val="24"/>
              </w:rPr>
            </w:pPr>
          </w:p>
        </w:tc>
        <w:tc>
          <w:tcPr>
            <w:tcW w:w="3290" w:type="dxa"/>
            <w:vAlign w:val="center"/>
          </w:tcPr>
          <w:p w14:paraId="7892DEC6">
            <w:pPr>
              <w:rPr>
                <w:rFonts w:hAnsi="宋体"/>
              </w:rPr>
            </w:pPr>
          </w:p>
        </w:tc>
        <w:tc>
          <w:tcPr>
            <w:tcW w:w="1785" w:type="dxa"/>
            <w:vAlign w:val="center"/>
          </w:tcPr>
          <w:p w14:paraId="63E17045">
            <w:pPr>
              <w:rPr>
                <w:rFonts w:hAnsi="宋体"/>
              </w:rPr>
            </w:pPr>
          </w:p>
        </w:tc>
      </w:tr>
    </w:tbl>
    <w:p w14:paraId="5932CEAD">
      <w:pPr>
        <w:ind w:firstLine="210"/>
        <w:rPr>
          <w:rFonts w:cs="宋体"/>
          <w:szCs w:val="28"/>
          <w:lang w:val="zh-CN"/>
        </w:rPr>
      </w:pPr>
    </w:p>
    <w:p w14:paraId="363D9478">
      <w:pPr>
        <w:ind w:firstLine="210"/>
        <w:rPr>
          <w:rFonts w:cs="宋体"/>
          <w:color w:val="FF0000"/>
          <w:szCs w:val="28"/>
          <w:lang w:val="zh-CN"/>
        </w:rPr>
      </w:pPr>
      <w:r>
        <w:rPr>
          <w:rFonts w:hint="eastAsia" w:cs="宋体"/>
          <w:color w:val="FF0000"/>
          <w:szCs w:val="28"/>
          <w:lang w:val="zh-CN"/>
        </w:rPr>
        <w:t>注：本表须明确填写并按招标文件要求提供材料，否则符合性检查无法通过。</w:t>
      </w:r>
    </w:p>
    <w:p w14:paraId="70F9E6E5">
      <w:pPr>
        <w:ind w:firstLine="210"/>
        <w:rPr>
          <w:rFonts w:cs="宋体"/>
          <w:szCs w:val="28"/>
          <w:lang w:val="zh-CN"/>
        </w:rPr>
      </w:pPr>
    </w:p>
    <w:p w14:paraId="1A746D89">
      <w:pPr>
        <w:ind w:firstLine="210"/>
        <w:rPr>
          <w:rFonts w:cs="宋体"/>
          <w:szCs w:val="28"/>
          <w:lang w:val="zh-CN"/>
        </w:rPr>
      </w:pPr>
    </w:p>
    <w:p w14:paraId="2A5B1B01">
      <w:pPr>
        <w:pStyle w:val="9"/>
        <w:tabs>
          <w:tab w:val="left" w:pos="4864"/>
        </w:tabs>
        <w:spacing w:beforeAutospacing="0" w:afterAutospacing="0" w:line="0" w:lineRule="atLeast"/>
        <w:ind w:right="1560" w:firstLine="624"/>
        <w:jc w:val="center"/>
      </w:pPr>
      <w:r>
        <w:rPr>
          <w:rFonts w:hint="eastAsia" w:ascii="宋体" w:hAnsi="宋体" w:eastAsia="宋体" w:cs="宋体"/>
          <w:color w:val="000000"/>
        </w:rPr>
        <w:t>供应商全称（加盖CA电子公章）：</w:t>
      </w:r>
    </w:p>
    <w:p w14:paraId="1E2C353C">
      <w:pPr>
        <w:pStyle w:val="9"/>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117C4C3B">
      <w:pPr>
        <w:ind w:left="420"/>
        <w:jc w:val="center"/>
        <w:outlineLvl w:val="1"/>
        <w:rPr>
          <w:rFonts w:ascii="宋体" w:hAnsi="宋体"/>
          <w:b/>
          <w:sz w:val="32"/>
          <w:szCs w:val="32"/>
        </w:rPr>
      </w:pPr>
    </w:p>
    <w:p w14:paraId="3DF1E0E3">
      <w:pPr>
        <w:pStyle w:val="2"/>
        <w:spacing w:line="360" w:lineRule="auto"/>
        <w:jc w:val="left"/>
        <w:rPr>
          <w:rFonts w:hint="eastAsia" w:hAnsi="宋体" w:eastAsia="宋体"/>
          <w:b/>
          <w:bCs/>
          <w:sz w:val="32"/>
          <w:szCs w:val="32"/>
        </w:rPr>
      </w:pPr>
    </w:p>
    <w:p w14:paraId="0C8AE94A">
      <w:pPr>
        <w:pStyle w:val="2"/>
        <w:spacing w:line="360" w:lineRule="auto"/>
        <w:jc w:val="left"/>
        <w:rPr>
          <w:rFonts w:hAnsi="宋体" w:eastAsia="宋体"/>
          <w:b/>
          <w:bCs/>
          <w:sz w:val="32"/>
          <w:szCs w:val="32"/>
        </w:rPr>
      </w:pPr>
      <w:r>
        <w:rPr>
          <w:rFonts w:hint="eastAsia" w:hAnsi="宋体" w:eastAsia="宋体"/>
          <w:b/>
          <w:bCs/>
          <w:sz w:val="32"/>
          <w:szCs w:val="32"/>
        </w:rPr>
        <w:t>附件1、            实质性响应内容</w:t>
      </w:r>
    </w:p>
    <w:p w14:paraId="50F65C67">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一、项目建设需求</w:t>
      </w:r>
    </w:p>
    <w:p w14:paraId="308D792E">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1、项目背景</w:t>
      </w:r>
    </w:p>
    <w:p w14:paraId="71DBA46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射阳县中医院创建于 1959 年，复建于 1979 年，经过数十年的发展，现已 建成为一所集医疗、教学、科研、急救、康复、保健为一体的国家“二级甲等”中医医院。目前正在创建三级中医医院。</w:t>
      </w:r>
    </w:p>
    <w:p w14:paraId="416FC0B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多年来，医院坚持视社会公益为己任，把人民健康利益放在首位。以群众健康的乐园、员工发展的平台、社会文明的窗口和幸福生活的源泉为愿景，向下扎根，向上攀登，努力建成特色鲜明、区域知名的高水平医院。</w:t>
      </w:r>
    </w:p>
    <w:p w14:paraId="196EE8E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射阳县中医院的发展离不开信息化建设，在当今的互联网时代，大力发展信息化建设已经成为医院各级干部职工的共识。</w:t>
      </w:r>
    </w:p>
    <w:p w14:paraId="4745AF4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借助医院的信息化建设，能够快速实现射阳县中医院内部流程优化</w:t>
      </w:r>
      <w:r>
        <w:rPr>
          <w:rFonts w:hint="eastAsia" w:ascii="宋体" w:hAnsi="宋体" w:eastAsia="宋体" w:cs="宋体"/>
          <w:b w:val="0"/>
          <w:bCs w:val="0"/>
          <w:color w:val="auto"/>
          <w:sz w:val="24"/>
          <w:szCs w:val="24"/>
          <w:lang w:val="en-US" w:eastAsia="zh-CN" w:bidi="ar-SA"/>
        </w:rPr>
        <w:t>、</w:t>
      </w:r>
      <w:r>
        <w:rPr>
          <w:rFonts w:hint="eastAsia" w:cs="Times New Roman"/>
          <w:color w:val="auto"/>
          <w:sz w:val="24"/>
          <w:szCs w:val="24"/>
          <w:lang w:val="en-US" w:eastAsia="zh-CN"/>
        </w:rPr>
        <w:t>外部互联网+医疗，助力医院医疗业务快速发展，提升射阳县中医院地区综合影响力。针对区域医共体、分级诊疗、医院精细化管理、患者服务等各个方面进行统筹兼顾，均衡发展，能够使得医院面向未来，合理布局，能够提升医院的区域示范效应，促进医院长足进步。同时，信息化的建设需要体现医院发展的整体要求，配合医院的发展步伐，适应医院各项业务的需求，为一线临床和管理部门服务。因此，医院以创建三级中医医院为主要目标，以《三级中医医院评审标准实施细则（2020 年修改版）》为建设标准，借助电子病历系统、互联互通、智慧医院契机，全面提升医院的整体信息化。通过本项目的建设，按照 “以评促建”的核心思想，在满足评级的基础上，能够不断提升医院的临床信息化服务及管理能力，让医院的整体信息化基础框架能够支撑未来 3~5 年的信息化发展要求。</w:t>
      </w:r>
    </w:p>
    <w:p w14:paraId="73E693F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 年经国务院同意，国家卫生健康委、国家发展改革委、财政部、人力资源社会保障部、国家医保局、国家药监局联合印发《深化医药卫生体制改革</w:t>
      </w:r>
    </w:p>
    <w:p w14:paraId="58C36A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 年下半年重点工作任务》（以下简称《任务》），明确了 2023 年下半年</w:t>
      </w:r>
    </w:p>
    <w:p w14:paraId="6A28875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深化医改的重点任务和工作安排。下半年医改工作主要包括六个方面 20 条具体任务。其中，国家中医药管理局分工负责工作涉及促进优质医疗资源扩容和区域均衡布局、深化以公益性为导向的公立医院改革、促进多层次医疗保障有序衔接等方面。</w:t>
      </w:r>
    </w:p>
    <w:p w14:paraId="63B9037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《任务》要求，国家中医药局、国家发展改革委、教育部、财政部、国家 卫生健康委、国家药监局、中央军委后勤保障部卫生局等按职责分工负责促进 中医药传承创新发展。加快国家中医药传承创新中心、国家中医疫病防治基地、中医特色重点医院、中西医协同“旗舰”医院建设，推进国家中医药综合改革 示范区建设。加强中医医院康复科和老年医学科建设，依托现有资源，建设一 批中医康复中心。加强中医药特色人才培养，面向基层医疗卫生机构医师和乡 村医生开展中医药知识技能培训。推进古代经典名方制剂研发，加快关键信息 考证发布及新药审批。</w:t>
      </w:r>
    </w:p>
    <w:p w14:paraId="1FB9CB6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提出，国家卫生健康委、国家发展改革委、教育部、财政部、人力资源社会保障部、国家中医药局、国家疾控局、中央军委后勤保障部卫生局和各省、自治区、直辖市人民政府等按职责分工负责推进国家医学中心和国家区域医疗中心设置建设。统筹布局综合类、专科类、中医类的国家医学中心建设项目，开展国家区域医疗中心建设成效评价，推动建立与国家区域医疗中心相适应的管理体制和运行机制。</w:t>
      </w:r>
    </w:p>
    <w:p w14:paraId="6739441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《任务》要求，国家医保局、国家卫生健康委、财政部、国家中医药局、国家疾控局等按职责分工负责推动各省（自治区、直辖市）开展 2023 年度医疗服务价格调整评估，符合条件的在总量范围内及时调整价格，优先将技术劳务</w:t>
      </w:r>
    </w:p>
    <w:p w14:paraId="5794A6E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价值为主的治疗类、手术类和部分中医医疗服务项目纳入调整范围。</w:t>
      </w:r>
    </w:p>
    <w:p w14:paraId="616532D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任务》提出，国家医保局、财政部、国家卫生健康委、国家中医药局、国家疾控局等按职责分工负责深化多元复合式医保支付方式改革。推进长期、慢性病住院医疗服务按床日付费工作，探索实施中医优势病种按病种付费。</w:t>
      </w:r>
    </w:p>
    <w:p w14:paraId="485999A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为贯彻国家医改政策，实施健康江苏战略，江苏省密集推出了一系列医药 卫生体制改革方案，包括《江苏省“互联网+医疗健康”便民惠民活动的通知》</w:t>
      </w:r>
    </w:p>
    <w:p w14:paraId="268BBC8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（苏卫规划[2018]39 号）、《江苏省关于加快推进紧密型医共体建设试点工作的通知》（苏卫医政〔2018〕54 号）、关于进一步加强互联网医院建设完善互</w:t>
      </w:r>
    </w:p>
    <w:p w14:paraId="7ED9AF0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联网医疗服务的通知（苏卫规划〔2023〕29 号）等文件，进一步深化了全省医药卫生体制改革。</w:t>
      </w:r>
    </w:p>
    <w:p w14:paraId="12CFBA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卫生健康相关负责领导曾在全省医院信息化建设推进会上对全省医院信息化建设形势和现状进行了分析，指出医院信息化建设经过多年发展，信息系统正逐步趋于全面、趋于合理、趋于人性、趋于高效，并在向集成化、协同化、区域型、整合型方向发展。国家和省关于推进“互联网+”行动、促进和规范健康医疗大数据应用发展、推开公立医院综合改革等政策文件，对医院信息化都提出了更高要求，医院信息化建设面临重大机遇和挑战。全省要进一步强化统筹、强化领导、强化标准、强化应用、强化服务、强化安全，扎实推进江苏省医院信息化建设；解决好信息化发展理念、组织领导、资金投入等问题；选择好信息化发展策略，突出建设重点，提倡联合开发，相互借鉴提高，勇于弯道超车。要把握好标准化、人性化、集成化、智能化、安全化等建设目标，抓好整体规划、需求导向、技术支撑、流程重组、互联互通、务实应用等关键环节。对于医院信息化建设当前任务，指出要认真做好几项落实，一是落实好电子病历全面建设和改造升级任务，二是落实好院内信息集成平台和数据中心建设任务，三是落实好医共体和分级诊疗制度信息化支撑任务，四是落实好与区域健康信息平台互联互通任务，五是落实好各级医疗服务综合监管平台建设任务，六是落实好基本医保异地就医结算信息系统接入运行任务，七是落实好医院信息化建设水平监测评价和督查任务。</w:t>
      </w:r>
    </w:p>
    <w:p w14:paraId="768A6D8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2022 年 12 月 5 日，国家中医药管理局印发《“十四五”中医药信息化发展规划》指出，要促进中医药信息化体系化、集约化、精细化发展，持续推动中医药业务与信息技术深度融合，以数字化、网络化、智能化促进行业转型升级，为推进中医药现代化、推动中医药事业和产业高质量发展提供有力的技术</w:t>
      </w:r>
    </w:p>
    <w:p w14:paraId="21D7209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支撑。提出，要开展夯实中医药信息化发展基础、深化数字便民惠民服务、加 强中医药数据资源治理、推进中医药数据资源创新应用等 4 个方面的主要任务。</w:t>
      </w:r>
    </w:p>
    <w:p w14:paraId="1C06833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 年 03 月，国家中医药管理局根据《中医药信息化发展“十三五”规划》(国中医药规财发〔2016〕36 号)要求，为进一步推进和规范中医医院信息化建设，提高中医医院信息化水平，印发了关于征求《中医医院信息化建设基</w:t>
      </w:r>
    </w:p>
    <w:p w14:paraId="6935B24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本规范（修订）（征求意见稿）》和《中医医院信息系统基本功能规范（修订）</w:t>
      </w:r>
    </w:p>
    <w:p w14:paraId="56F8EBDF">
      <w:pPr>
        <w:spacing w:line="360" w:lineRule="auto"/>
        <w:rPr>
          <w:rFonts w:hint="eastAsia" w:cs="Times New Roman"/>
          <w:color w:val="auto"/>
          <w:sz w:val="24"/>
          <w:szCs w:val="24"/>
          <w:lang w:val="en-US" w:eastAsia="zh-CN"/>
        </w:rPr>
      </w:pPr>
      <w:r>
        <w:rPr>
          <w:rFonts w:hint="eastAsia" w:cs="Times New Roman"/>
          <w:color w:val="auto"/>
          <w:sz w:val="24"/>
          <w:szCs w:val="24"/>
          <w:lang w:val="en-US" w:eastAsia="zh-CN"/>
        </w:rPr>
        <w:t>（征求意见稿）》意见的函(以下简称《征求意见函》）。相较于 2011 版《中医医院信息化建设基本规范》，《中医医院信息化建设基本规范（修订）（征求意见稿）》扩展了规范体系分类，融合了相关新标准、新规范，重点突出了中医药特色等。与 2011 版《中医医院信息系统基本功能规范》相比，《中医医院信息系统基本功能规范（修订）（征求意见稿）》细化大类，新增中医治未病管理分系统、慢病管理分系统等 23 个系统，强化了信息安全及医院信息平台基础功能等。</w:t>
      </w:r>
    </w:p>
    <w:p w14:paraId="2D9BA6A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其中，《中医院信息化建设基本规范（2019 年修订征求意见稿）》第五十 三条指出中医医院应依据相关信息技术规范和标准，对信息系统开展标准符合 性测试和应用评价，检验和评价中医医院信息系统对相关标准的执行落实情况 及互联互通标准化成熟度水平，推动标准广泛应用，促进互联互通和信息共享。</w:t>
      </w:r>
    </w:p>
    <w:p w14:paraId="33C5220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中医医院应实现院内各诊疗环节信息互联互通，三级医院应达到医院信息互联互通标准化成熟度测评四级水平，二级医院应达到医院信息互联互通标准化成熟度测评三级水平。</w:t>
      </w:r>
    </w:p>
    <w:p w14:paraId="262ECA7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中医医院应按照《电子病历系统功能应用水平分级评价方法及标准（试 行）》开展电子病历信息化建设评价，持续提高中医电子病历信息化整体水平。三级中医医院应达到电子病历应用水平分级评价四级以上，即医院内实现全院 信息共享，并具备医疗决策支持功能。二级中医医院应要达到分级评价三级以 上，即实现医院内不同部门间数据交换。</w:t>
      </w:r>
    </w:p>
    <w:p w14:paraId="6569858E">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2、总体建设需求</w:t>
      </w:r>
    </w:p>
    <w:p w14:paraId="767C9F1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（1）满足三级中医医院评审要求</w:t>
      </w:r>
    </w:p>
    <w:p w14:paraId="4A248B5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本次医院信息化建设项目将以《三级中医医院评审标准》（2022 年版）、《三级中医医院评审标准实施细则（2023 年版）》、《中医院信息化建设基本规范（2019 年版）》、《中医院信息系统基本功能规范（2019 年修订征求意见稿）》、《电子病历系统功能应用水平分级评价方法及标准（试行）（2018年版）》以及《国家医疗健康信息医院信息互联互通标准化成熟度测评方案（2021 年版）》的要求和规范为建设标准。医院信息化建设完成后，医院能够满足三级中医医院评审标准，能协助医院通过三级中医医院评审。</w:t>
      </w:r>
    </w:p>
    <w:p w14:paraId="4622187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（2）满足医院一体化管理</w:t>
      </w:r>
    </w:p>
    <w:p w14:paraId="1C26DF7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以支撑智慧医院建设的战略目标达成为原则，依托大数据、物联网、5G 等新型信息技术，在临床诊疗、患者服务、科学管理、医教研支撑、区域医疗协同等几个维度全面提升信息化支撑和服务能力，综合能力达到电子病历 4 级、</w:t>
      </w:r>
    </w:p>
    <w:p w14:paraId="15125D5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互联互通成熟度四级甲等、智慧医院 3 级水平、三级中医医院，统筹区域医共体信息化建设。</w:t>
      </w:r>
    </w:p>
    <w:p w14:paraId="6FDF79B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（3）提升医院整体服务、运营和管理水平</w:t>
      </w:r>
    </w:p>
    <w:p w14:paraId="4B7C1B5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医院信息化建设要求统筹规划，分三阶段建设。目前重点以“一体化建设”为主，优先推进，探索经验，逐步推进医院信息化建设。本项目满足深化医药  卫生体制改革的要求，根据对医院信息化建设情况的需求分析，结合医疗行业  信息化的发展，遵循互联互通、电子病历应用水平标准及《全国医院信息化标</w:t>
      </w:r>
    </w:p>
    <w:p w14:paraId="4052151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准与规范》、《中医院信息化建设基本规范（2019 年修订征求意见稿）》的要求，确定医院信息化建设总体目标为：</w:t>
      </w:r>
    </w:p>
    <w:p w14:paraId="1D655B7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架构体系：高兼容、可扩展，可持续满足不断发展的服务需求；</w:t>
      </w:r>
    </w:p>
    <w:p w14:paraId="0C6FBCB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服务体系：信息互通、系统完善，可便捷提供不同对象的服务需求；</w:t>
      </w:r>
    </w:p>
    <w:p w14:paraId="108AAB9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技术体系：技术先进、智能简约，可为普通人群广泛推广应用；</w:t>
      </w:r>
    </w:p>
    <w:p w14:paraId="17E0E0B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规范体系：标准闭环、支持互通，与国际国内标准高度融合。</w:t>
      </w:r>
    </w:p>
    <w:p w14:paraId="4AF2557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IT  架构：以信息集成平台为依托，进一步推进互联网、物联网广泛应用，</w:t>
      </w:r>
    </w:p>
    <w:p w14:paraId="73C537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全面开展临床辅助决策支持，实现患者诊疗信息的共享及医护管信息利用的便利性。</w:t>
      </w:r>
    </w:p>
    <w:p w14:paraId="785131F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服务：以五级国家电子病历应用等级评审标准为参照，结合国家医院互联互通四级甲等的测评要求以及三级中医医院评审标准，全面提升医院信息化建设水平，重点提升临床效率、临床质量和医疗安全，夯实临床科研和管理数据的基础。</w:t>
      </w:r>
    </w:p>
    <w:p w14:paraId="35B6CE0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精细化管理：以公立医院考核指标和内控指标为切入点，完善医院运营管 理基础系统；建立全面的分类绩效指标体系，促进重点学科和核心病种的发展，扩大学科的学术影响力和社会影响力，实现医院精细化管理。</w:t>
      </w:r>
    </w:p>
    <w:p w14:paraId="6757C20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科研教学：以核心病种科研为重心,支持大样本、多中心的临床单病种科研,实现对临床药物试验、转化医学研究的信息化支撑，加强科研管理，强调数据资产保护、利用和科研协作。</w:t>
      </w:r>
    </w:p>
    <w:p w14:paraId="38D148A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应用技术创新：通过探索尝试互联网、云计算、大数据分析等领先的 IT 技术，为医院提供移动信息化、数据化的基础设施，实现医疗服务和患者建卡管理模式的创新，打造以患者为中心的移动智能就医平台。</w:t>
      </w:r>
    </w:p>
    <w:p w14:paraId="4D6CA8EB">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3、互联互通评级需求</w:t>
      </w:r>
    </w:p>
    <w:p w14:paraId="08E9420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顶层设计从平台建设角度考虑，平台搭建完成后，优先满足医院互联互通四甲的要求。信息共享与互联互通是医院信息化建设的核心诉求，以标准化信息为基础，实现数据、信息、资源的全面共享和管理。选用国际医疗行业通用的、行业领先的专业集成平台，项目具体应涵盖以下内容：</w:t>
      </w:r>
    </w:p>
    <w:p w14:paraId="7661AE8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（1）医疗数据交互必须遵循支持 HL7、DICOM 等国际医学数据标准，符合国家卫计委、省、市各级医院信息标准要求；</w:t>
      </w:r>
    </w:p>
    <w:p w14:paraId="5FC88C5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（2）支持多业务系统集成，可跨系统的获取病人基本信息、诊疗记录、电子病历信息、检验、检查报告信息，并调阅影像结果；</w:t>
      </w:r>
    </w:p>
    <w:p w14:paraId="7725325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（3）建立患者主索引（EMPI）管理，保障医院就诊介质及患者医疗信息可相互共享；</w:t>
      </w:r>
    </w:p>
    <w:p w14:paraId="117EA15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（4）建设医院主数据信息库（MDM），包括门诊诊疗基本数据集标准、住院诊疗基本数据集标准、个人信息基本数据集标准、健康档案基本架构与数据标准等 50 余项。此外，目前通用的还有其他的国际编码、国标码、区域编码等，应当通过医院信息平台的建设和先进技术的采用，建立全院统一的标准字典库，促进这些数据标准在院内的统一应用，为今后实现不同医疗机构、不同业务系统间的信息交换信息标准和规范基础；</w:t>
      </w:r>
    </w:p>
    <w:p w14:paraId="32FD046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（5）建立统一的医疗价格服务中心，支持医疗服务(而不仅仅是价表项目)价格根据医院等级、执行过程不同的自动价格项目及价格的计算；</w:t>
      </w:r>
    </w:p>
    <w:p w14:paraId="74D4CE0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（6）建立统一支付中心，支持多账户、多院区、多渠道、多类型管理，其医疗服务统一由支付中心处理；</w:t>
      </w:r>
    </w:p>
    <w:p w14:paraId="5FA1657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7）建立统一临床数据中心、运营数据中心及应用系统：临床数据集中存储，标准存储，通过临床数据中心建设临床科研平台；通过临床数据中心建设临床随访平台，实现临床专科医疗全过程追踪；构建医院运营管理数据中心，实现运营管理数据的深度挖掘、分析与直观展现，支撑医院科学决策，为医院领导管理决策提供有力依据；</w:t>
      </w:r>
    </w:p>
    <w:p w14:paraId="556B90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（8）建设“商业智能 BI”系统，提升医院临床数据分析、运营决策支持水 平；建立统一的标准接入体系，建设统一的平台服务接口发布及管理工作模式，提供规范化的平台协作支持方法。为保障医院平台集成信息系统的稳定，以及满足医院未来新上信息系统接入平台的方便性，需要建立基于 SOA 架构的信息交换平台，医院所有信息系统都需要通过信息交换平台进行协作，建立和发布核心业务交互规则库；</w:t>
      </w:r>
    </w:p>
    <w:p w14:paraId="12F85E6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（9）建立统一的信息安全管理机制和硬件支撑体系，保障医院内部信息安全；信息共享和系统集成应可灵活配置，便于未来与医院外部其它数据进行交互。满足未来医疗信息与区域、医保等共享和交换的需求。</w:t>
      </w:r>
    </w:p>
    <w:p w14:paraId="0E3312FC">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4、电子病历评级要求</w:t>
      </w:r>
    </w:p>
    <w:p w14:paraId="0908837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通过医院信息化建设，实现对医院现有的各个相互独立信息系统资源进行整合，构建统一标准的数据中心；统一的基于 HL7 的数据集、共享服务和共享 文档标准，以及统一界面的门户平台。医院信息化建设过程中，通过对医院业 务流程、系统接口、功能优化进行全面升华、改造，并结合电子病历评级标准，既可以从信息化建设的细节方面促进医院的整体信息化水平,又可以通过标准评价来间接验证医院的信息化建设成果真正意义达到 4 级水平，并初步达到 5 级水平。</w:t>
      </w:r>
    </w:p>
    <w:p w14:paraId="651AF8F9">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二、建设目标</w:t>
      </w:r>
    </w:p>
    <w:p w14:paraId="1005B9EE">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1、总体目标</w:t>
      </w:r>
    </w:p>
    <w:p w14:paraId="24B30A8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以支撑医院“一体化管理”的战略目标达成为原则，依托大数据、物联网、 5G 等新型信息技术，在临床诊疗、患者服务、科学管理、医教研支撑、区域医 疗协同等几个维度全面提升信息化支撑和服务能力，综合能力达到电子病历 4 级、互联互通成熟度四级甲等、三级中医医院，信息化建设水平在同级医院达到省内前列。</w:t>
      </w:r>
    </w:p>
    <w:p w14:paraId="6607C5A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要求统筹规划，分阶段建设。目前重点以“一体化建设”为主，优先推进，探索经验，逐步推进医院信息化建设。本项目满足深化医药卫生体制改革的要求，根据对医院信息化建设情况的需求分析，结合医疗行业信息化的发展，遵循互联互通、电子病历应用水平标准及《全国医院信息化标准与规范》、《中医院信息化建设基本规范（2019 年修订征求意见稿）》的要求，确定医院信息化建设总体目标为：</w:t>
      </w:r>
    </w:p>
    <w:p w14:paraId="1C5CB3C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（1）架构体系：高兼容、可扩展，可持续满足不断发展的服务需求；</w:t>
      </w:r>
    </w:p>
    <w:p w14:paraId="2EE6E7A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（2）服务体系：信息互通、系统完善，可便捷提供不同对象的服务需求；</w:t>
      </w:r>
    </w:p>
    <w:p w14:paraId="6696FE1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（3）技术体系：技术先进、智能简约，可为普通人群广泛推广应用；</w:t>
      </w:r>
    </w:p>
    <w:p w14:paraId="1A1E012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（4）规范体系：标准闭环、支持互通，与国际国内标准高度融合。</w:t>
      </w:r>
    </w:p>
    <w:p w14:paraId="57761276">
      <w:pPr>
        <w:spacing w:line="360" w:lineRule="auto"/>
        <w:ind w:firstLine="482"/>
        <w:rPr>
          <w:rFonts w:hint="eastAsia" w:cs="Times New Roman"/>
          <w:color w:val="auto"/>
          <w:sz w:val="24"/>
          <w:szCs w:val="24"/>
          <w:lang w:val="en-US" w:eastAsia="zh-CN"/>
        </w:rPr>
      </w:pPr>
    </w:p>
    <w:p w14:paraId="07A3A14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IT 架构：以信息集成平台为依托，进一步推进互联网、物联网广泛应用，全面开展临床辅助决策支持，实现患者诊疗信息的共享及医护管信息利用的便利性。</w:t>
      </w:r>
    </w:p>
    <w:p w14:paraId="7B93F03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服务：以国家电子病历应用等级评审标准为参照，结合国家医院互联互通四级甲等的测评要求以及三级中医医院评审标准，全面提升医院信息化建设水平，重点提升临床效率、临床质量和医疗安全，夯实临床科研和管理数据的基础。</w:t>
      </w:r>
    </w:p>
    <w:p w14:paraId="52CB1B7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精细化管理：以公立医院考核指标和内控指标为切入点，完善医院运营管</w:t>
      </w:r>
    </w:p>
    <w:p w14:paraId="1ED2F2C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理基础系统；建立全面的分类绩效指标体系，促进重点学科和核心病种的发展，扩大学科的学术影响力和社会影响力，实现医院精细化管理。</w:t>
      </w:r>
    </w:p>
    <w:p w14:paraId="5F805C6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科研教学：以核心病种科研为重心,支持大样本、多中心的临床单病种科研,实现对临床药物试验、转化医学研究的信息化支撑，加强科研管理，强调数据资产保护、利用和科研协作。</w:t>
      </w:r>
    </w:p>
    <w:p w14:paraId="7669912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应用技术创新：通过探索尝试互联网、云计算、大数据分析等领先的 IT 技术，为医院提供移动信息化、数据化的基础设施，实现医疗服务和患者建卡管理模式的创新，打造以患者为中心的移动智能就医平台。</w:t>
      </w:r>
    </w:p>
    <w:p w14:paraId="7F5993C7">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2、建设成效</w:t>
      </w:r>
    </w:p>
    <w:p w14:paraId="55DAE58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围绕“一切以病人为中心”，以建立“三级中医医院”为核心，依托“云 计算”、基于“大数据”、应用“物联网”、利用“人工智能，”实现“智慧 医疗、以人为本”为长远目标，根据医院建设发展战略要求，研究国内外先进 建设经验，结合射阳县中医院管理思想和自身特色，做好顶层设计、整体规划、合理布局、分布实施、阶段跟踪，打好硬件和网络基础等工作之后，医院项目 建成之后会达到的成效。</w:t>
      </w:r>
    </w:p>
    <w:p w14:paraId="56F30C3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（1）在医院形象及宣传方面</w:t>
      </w:r>
    </w:p>
    <w:p w14:paraId="0AB3C9F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宣传：充分依托移动互联平台，实现医院对患者的精准消息推送、服务导流等应用。形象：依托医院重点专科优势，开展全市疾病防治结合的新体系，与盐城市区域卫生信息平台对接，利用大数据技术分析区域内相关重点疾病等患者群体，为此类患者群体开展精准推送、服务导流，充分发挥医院的综合服务能力。</w:t>
      </w:r>
    </w:p>
    <w:p w14:paraId="5DD404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（2）在通过评审方面</w:t>
      </w:r>
    </w:p>
    <w:p w14:paraId="3B59744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三级中医医院评审：本次医院信息化建设项目将以《三级中医医院评审标准》（2022 年版）、《三级中医医院评审标准实施细则（2023 年版）》、</w:t>
      </w:r>
    </w:p>
    <w:p w14:paraId="1CE0546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《中医院信息化建设基本规范（2019 年版）》、《中医院信息系统基本功能规范（2019 年修订征求意见稿）》、《电子病历系统功能应用水平分级评价方法</w:t>
      </w:r>
    </w:p>
    <w:p w14:paraId="4AD5AB1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及标准（试行）（2018 年版）》以及《国家医疗健康信息医院信息互联互通标准化成熟度测评方案（2021 年版）》的要求和规范为建设标准。医院信息化建设完成后，医院能够满足三级中医医院评审标准，能协助医院通过三级中医医院评审。</w:t>
      </w:r>
    </w:p>
    <w:p w14:paraId="4ECF2B6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互联互通评级：医院信息化顶层设计从平台建设角度考虑，平台搭建完成后，优先满足医院互联互通四甲的要求。信息共享与互联互通是医院信息化建设的核心诉求，以标准化信息为基础，实现数据、信息、资源的全面共享和管理，达到医院互联互通评级四级甲等。</w:t>
      </w:r>
    </w:p>
    <w:p w14:paraId="2EBDC05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电子病历评级：通过医院信息化项目的建设，实现对医院现有的各个相互独立信息系统资源进行整合，构建统一标准的数据中心；统一的基于 HL7 的数据集、共享服务和共享文档标准，以及统一界面的门户平台。信息平台建设过程中，通过对医院业务流程、系统接口、功能优化进行全面升华、改造，并结合电子病历评级标准，既可以从信息化建设的细节方面促进医院的整体信息化水平，又可以通过标准评价来间接验证医院的信息化建设成果真正意义达到 4级水平，可扩展达到 5 级水平。</w:t>
      </w:r>
    </w:p>
    <w:p w14:paraId="6E3321B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智慧医院评级：通过进一步进行信息系统的持续完善和建设，开展互联网医院建设，基于数据中心和业务规则知识库管理实现患者服务智能化应用，为患者提供全流程的个性化智慧服务，患者就诊更加便利，最终智慧服务水平可扩展达到达到 3 级水平。</w:t>
      </w:r>
    </w:p>
    <w:p w14:paraId="40F18BD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区域医共体信息化建设：依据 2020 年国家卫健委《县域医共体信息化建设指南（征求意见稿）》要求，遵循“统一标准、集中共享；总体规划、分步实施；充分利旧、面向服务；适度超前、开放协作；支撑医改、惠及民生；保障安全、注重隐私”的六大原则进行建设，与射阳县区域卫生信息平台、“医网通”中心平台建设无缝对接，满足建设共享中药房等中医方面的建设需求。</w:t>
      </w:r>
    </w:p>
    <w:p w14:paraId="09430FE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（3）在应用效果方面</w:t>
      </w:r>
    </w:p>
    <w:p w14:paraId="319DDD1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医院：从服务范围、服务效能、学科水平、人才梯队四个方面，助力射阳</w:t>
      </w:r>
    </w:p>
    <w:p w14:paraId="1E3133E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县中医院在全市乃至全省的医疗品牌打造。管理者：医院管理高效、有序、可控。</w:t>
      </w:r>
    </w:p>
    <w:p w14:paraId="35807AD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医护人员：使用便捷、高效；支撑科研和临床。</w:t>
      </w:r>
    </w:p>
    <w:p w14:paraId="5F74580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患者：就诊体验满意，就诊效率满意，就诊效果满意。</w:t>
      </w:r>
    </w:p>
    <w:p w14:paraId="2E6D35BB">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三、建设依据</w:t>
      </w:r>
    </w:p>
    <w:p w14:paraId="396E76AE">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1、政策文件</w:t>
      </w:r>
    </w:p>
    <w:p w14:paraId="74CD62D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《中共中央国务院关于深化医药卫生体制改革的意见》，2009 年 3 月 17 日实施；</w:t>
      </w:r>
    </w:p>
    <w:p w14:paraId="63097B7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《中共中央关于全面深化改革若干重大问题的决定》，2013 年 11 月 15 日实施；</w:t>
      </w:r>
    </w:p>
    <w:p w14:paraId="120539C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《国务院办公厅关于城市公立医院综合改革试点的指导意见》，国办发〔2015〕38 号；</w:t>
      </w:r>
    </w:p>
    <w:p w14:paraId="2DF88EB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《国务院办公厅关于推进分级诊疗制度建设的指导意见》，国办发</w:t>
      </w:r>
    </w:p>
    <w:p w14:paraId="23423F6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〔2015〕70 号；</w:t>
      </w:r>
    </w:p>
    <w:p w14:paraId="2DB7AE8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《国务院办公厅关于促进“互联网+医疗健康”发展的意见》，国办发</w:t>
      </w:r>
    </w:p>
    <w:p w14:paraId="150BBE2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〔2018〕26 号；</w:t>
      </w:r>
    </w:p>
    <w:p w14:paraId="3232E30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《国务院办公厅关于促进和规范健康医疗大数据应用发展的指导意见》，国办发〔2016〕47 号；</w:t>
      </w:r>
    </w:p>
    <w:p w14:paraId="1FE1019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《国家卫生计生委关于印发“十三五”全国人口健康信息化发展规划的通知》，国卫规划发〔2017〕6 号；</w:t>
      </w:r>
    </w:p>
    <w:p w14:paraId="62024A3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《江苏省“十三五”卫生与健康暨现代医疗卫生体系建设规划的通知》，苏政办发〔2016〕164 号；</w:t>
      </w:r>
    </w:p>
    <w:p w14:paraId="08D9B93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《江苏省“互联网+医疗健康”便民惠民活动的通知》，苏卫规划 [2018]39 号；</w:t>
      </w:r>
    </w:p>
    <w:p w14:paraId="28EE432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《关于加快推进紧密型医共体建设试点工作的通知》， 苏卫医政</w:t>
      </w:r>
    </w:p>
    <w:p w14:paraId="3F7461E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〔2018〕54 号）；</w:t>
      </w:r>
    </w:p>
    <w:p w14:paraId="2A97E94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《江苏省“互联网+护理服务”试点工作实施方案》的通知（苏卫医政</w:t>
      </w:r>
    </w:p>
    <w:p w14:paraId="1272800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〔2019〕25 号）；</w:t>
      </w:r>
    </w:p>
    <w:p w14:paraId="1865627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《江苏省互联网医疗服务审批程序》的通知（苏卫医政〔2019〕26号）；</w:t>
      </w:r>
    </w:p>
    <w:p w14:paraId="5C675EC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《国务院办公厅关于印发“十四五”中医药发展规划的通知》（国办发〔2022〕5 号）；</w:t>
      </w:r>
    </w:p>
    <w:p w14:paraId="41AD0F2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《国家中医药管理局办公室关于印发国家三级公立中医医院绩效考核操作手册（2022 版）的通知》 （国中医药办医政发〔2022〕1 号）；</w:t>
      </w:r>
    </w:p>
    <w:p w14:paraId="559CE86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《国家卫生健康委办公厅关于印发国家二级公立医院绩效考核操作手册（2022 版）的通知》（国卫办医函〔2022〕165 号）；</w:t>
      </w:r>
    </w:p>
    <w:p w14:paraId="1DD79C7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《关于印发江苏省改善就医感受提升患者体验主题活动实施方案</w:t>
      </w:r>
    </w:p>
    <w:p w14:paraId="1015CC9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（2023-2025）年的通知》，苏卫医政〔2023〕24 号；</w:t>
      </w:r>
    </w:p>
    <w:p w14:paraId="5FBCBE5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《关于做好专家门诊检查检验结果回报后继续就诊有关工作的通知》，苏卫办医政〔2023〕27 号；</w:t>
      </w:r>
    </w:p>
    <w:p w14:paraId="42A6833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《关于印发《江苏省全面提升医疗质量行动实施方案（2023-2025）年的通知》》，苏卫医政〔2023〕38 号；</w:t>
      </w:r>
    </w:p>
    <w:p w14:paraId="7F5BF0C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《关于进一步优化超声检查服务的通知》，苏卫医政便函〔2023〕39号；</w:t>
      </w:r>
    </w:p>
    <w:p w14:paraId="6614BA2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《国家卫生健康委办公厅关于印发门(急)诊诊疗信息页质量管理规定</w:t>
      </w:r>
    </w:p>
    <w:p w14:paraId="3E11983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（试行）的通知》，国卫办医政发【2024】16 号；</w:t>
      </w:r>
    </w:p>
    <w:p w14:paraId="59E5834D">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2、业务及管理规范</w:t>
      </w:r>
    </w:p>
    <w:p w14:paraId="39A28D8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《国家卫生健康委办公厅关于印发门（急）诊诊疗信息页质量管理规定（试行）的通知》国卫办医政发【2024】16 号；</w:t>
      </w:r>
    </w:p>
    <w:p w14:paraId="1F39337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《关于开展结构化中医门（急）诊电子病历升级改造试点工作的通知 》苏中医医政〔2021〕20 号；</w:t>
      </w:r>
    </w:p>
    <w:p w14:paraId="2DA5035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《三级中医医院评审标准》（2022 年版）；</w:t>
      </w:r>
    </w:p>
    <w:p w14:paraId="139F849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《三级中医医院评审标准实施细则（2023 年版）》；</w:t>
      </w:r>
    </w:p>
    <w:p w14:paraId="747B970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《江苏省三级综合医院评审标准实施细则(2020 版)》，2020 年；</w:t>
      </w:r>
    </w:p>
    <w:p w14:paraId="3C0B5F4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《中医院信息化建设基本规范（2019 年版）》；</w:t>
      </w:r>
    </w:p>
    <w:p w14:paraId="037A12A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《中医院信息系统基本功能规范（2019 年修订征求意见稿）》；</w:t>
      </w:r>
    </w:p>
    <w:p w14:paraId="3101033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《关于印发进一步改善医疗服务行动计划（2018—2020 年）考核指标的通知》，国卫办医函〔2018〕894 号；</w:t>
      </w:r>
    </w:p>
    <w:p w14:paraId="0D653DD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《关于印发医院智慧服务分级评估标准体系（试行）的通知》，国卫办医函〔2019〕236 号；</w:t>
      </w:r>
    </w:p>
    <w:p w14:paraId="1FD5F88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《医院信息平台应用功能指引》，国卫办规划函[2016]1110 号；</w:t>
      </w:r>
    </w:p>
    <w:p w14:paraId="3EC8828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《医院信息化建设应用技术指引（2017 版）》；国卫办规划函〔2017〕 1232 号；</w:t>
      </w:r>
    </w:p>
    <w:p w14:paraId="4C97FA8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《关于印发全国医院信息化建设标准与规范（试行）的通知》，国卫办规划发〔2018〕4 号；</w:t>
      </w:r>
    </w:p>
    <w:p w14:paraId="51853E1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《江苏省“互联网+护理服务”信息系统基本功能规范（试行）》，</w:t>
      </w:r>
    </w:p>
    <w:p w14:paraId="06D183CE">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（苏卫办医政〔2019〕27 号；</w:t>
      </w:r>
    </w:p>
    <w:p w14:paraId="2DDD460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《电子病历系统功能应用水平分级评价方法及标准（试行）（2018 年版）》</w:t>
      </w:r>
    </w:p>
    <w:p w14:paraId="0EDA49C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《国家医疗健康信息医院信息互联互通标准化成熟度测评方案（2021年版）》</w:t>
      </w:r>
    </w:p>
    <w:p w14:paraId="3BE2319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《关于推进我省卫生健康系统信创工作的通知（苏卫规划〔2023〕17号）》</w:t>
      </w:r>
    </w:p>
    <w:p w14:paraId="05204217">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3、卫生信息标准规范</w:t>
      </w:r>
    </w:p>
    <w:p w14:paraId="02964C2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《医院信息系统功能规范》，卫办发［2002］116 号；</w:t>
      </w:r>
    </w:p>
    <w:p w14:paraId="3639743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《电子病历系统功能规范（试行）》，卫医政发〔2010〕114 号；</w:t>
      </w:r>
    </w:p>
    <w:p w14:paraId="56176E6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《电子病历基本架构与数据标准（征求意见稿）》，卫办综函〔2009〕 688 号；</w:t>
      </w:r>
    </w:p>
    <w:p w14:paraId="703177F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《电子病历基本数据集第 1 部分：病例概要》等 20 项卫生行业标准的通告，国卫通〔2014〕5 号；</w:t>
      </w:r>
    </w:p>
    <w:p w14:paraId="5002A50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关于发布《电子病历共享文档规范 第 1 部分：病历概要》等 57 项卫生行业标准的通告，国卫通〔2016〕12 号；</w:t>
      </w:r>
    </w:p>
    <w:p w14:paraId="22592F8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《电子病历系统应用水平分级评价标准 2018 年版（试行）》，国卫办医函〔2018〕1079 号；</w:t>
      </w:r>
    </w:p>
    <w:p w14:paraId="31B4DAF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《基于电子病历的医院信息平台建设技术解决方案》，卫办发〔2009〕 130 号；</w:t>
      </w:r>
    </w:p>
    <w:p w14:paraId="13DA47B1">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《国家医疗健康信息医院信息互联互通标准化成熟度测评方案（2021年版）》，2021 年 3 月；</w:t>
      </w:r>
    </w:p>
    <w:p w14:paraId="619444B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《医院智慧服务分级评估标准体系（试行）的通知》，国卫办医函</w:t>
      </w:r>
    </w:p>
    <w:p w14:paraId="37388B0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〔2019〕236 号；</w:t>
      </w:r>
    </w:p>
    <w:p w14:paraId="4A905BE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《远程医疗信息系统建设技术指南的通知》，国卫办规划发〔2014〕 69 号；</w:t>
      </w:r>
    </w:p>
    <w:p w14:paraId="502E0DC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《卫生系统电子认证服务体系建设工作的通知》，卫办综发〔2010〕 74 号；</w:t>
      </w:r>
    </w:p>
    <w:p w14:paraId="4565A44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《卫生行业信息安全等级保护工作的指导意见》, 卫办发〔2011〕85</w:t>
      </w:r>
    </w:p>
    <w:p w14:paraId="4D0EA9C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号;</w:t>
      </w:r>
    </w:p>
    <w:p w14:paraId="100443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参考国际标准：HL7、DICOM、IHE、CDA、XDS、ICD10 等。</w:t>
      </w:r>
    </w:p>
    <w:p w14:paraId="27EC6FC3">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4、信息技术标准</w:t>
      </w:r>
    </w:p>
    <w:p w14:paraId="2A72D91F">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《中华人民共和国计算机信息系统安全保护条例》，中华人民共和国国务院令第 147 号发布；</w:t>
      </w:r>
    </w:p>
    <w:p w14:paraId="0B0A62B5">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《计算机信息系统安全等级保护操作系统技术要求》，GAT 388-2002；</w:t>
      </w:r>
    </w:p>
    <w:p w14:paraId="2AFDFD6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《计算机软件产品开发文件编制指南》，GB/T 8567-1988；</w:t>
      </w:r>
    </w:p>
    <w:p w14:paraId="496EBE7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《质量管理和质量保证标准 第三部分：GB/T 19001-ISO 9001 在软件开发、供应和维护中的使用指南》，GB/T 19000.3-1994；</w:t>
      </w:r>
    </w:p>
    <w:p w14:paraId="7F63594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《电子信息系统机房设计规范》，GB 50174-2008；</w:t>
      </w:r>
    </w:p>
    <w:p w14:paraId="4EF086F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《临床检验结果共享系统互操作行规范》，电子病历委员技术工作组， 2007 年 12 月；</w:t>
      </w:r>
    </w:p>
    <w:p w14:paraId="1C7728C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《江苏省人口健康信息平台共享数据》，2018 年发布实施；</w:t>
      </w:r>
    </w:p>
    <w:p w14:paraId="388C48B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国家卫健委关于印发《健康档案基本架构与数据标准》， 卫办发</w:t>
      </w:r>
    </w:p>
    <w:p w14:paraId="1D2D94A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〔2009〕46 号；</w:t>
      </w:r>
    </w:p>
    <w:p w14:paraId="4AFE646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国家卫健委关于印发《健康档案基本数据集编制规范》；</w:t>
      </w:r>
    </w:p>
    <w:p w14:paraId="195B32D3">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国家卫健委 《电子病历基本架构与数据标准（征求意见稿）》，2009</w:t>
      </w:r>
    </w:p>
    <w:p w14:paraId="686171F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年 5 月分布；</w:t>
      </w:r>
    </w:p>
    <w:p w14:paraId="7089D14A">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《三级综合医院医疗质量管理与控制指标（2011 年版）》，卫办医政函〔2011〕54 号；</w:t>
      </w:r>
    </w:p>
    <w:p w14:paraId="0760CD3B">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《加强三级公立医院绩效考核工作的意见》，国办发〔2019〕4 号；</w:t>
      </w:r>
    </w:p>
    <w:p w14:paraId="32F7AA59">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《关于推进医疗服务综合监管系统建设工作的通知》，（苏卫医政</w:t>
      </w:r>
    </w:p>
    <w:p w14:paraId="1F7CD0D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〔2016〕64 号）；</w:t>
      </w:r>
    </w:p>
    <w:p w14:paraId="1BC49CED">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关于印发《江苏省医疗服务综合监管系统分级部署实施方案》的通知，苏卫办医政〔2019〕33 号。</w:t>
      </w:r>
    </w:p>
    <w:p w14:paraId="2AF53676">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《数据管理能力成熟度评估模型》GB/T36073-2018</w:t>
      </w:r>
    </w:p>
    <w:p w14:paraId="50BD65AB">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四、招标清单</w:t>
      </w:r>
    </w:p>
    <w:p w14:paraId="03CD483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项目建设包含三级中医医院评审、电子病历 4 级并可扩展 5 级测评、互联互通四级甲等、初步达到智慧医院三级水平、医共体（不限于卫健委平台及“医网通”对接）咨询服务、系统设计、开发、实施、运行维护以及相应的软件系统供货、安装调试、系统集成、运行维护、项目验收以及技术培训等。</w:t>
      </w:r>
    </w:p>
    <w:p w14:paraId="42A2593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项目建设过程中所需接口及为落实国家、省、市、县政策要求改造费用等（3 年内），应全部包含在投标人的总价中，医院后续不承担额外的系统接口费用，按照信创（承诺免费进行适配升级）、等保要求建设。</w:t>
      </w:r>
    </w:p>
    <w:p w14:paraId="173A7E8C">
      <w:pPr>
        <w:pStyle w:val="4"/>
        <w:spacing w:before="4"/>
        <w:ind w:left="0"/>
        <w:rPr>
          <w:b/>
          <w:i/>
          <w:iCs/>
          <w:color w:val="auto"/>
          <w:sz w:val="6"/>
        </w:rPr>
      </w:pPr>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6153"/>
        <w:gridCol w:w="456"/>
        <w:gridCol w:w="458"/>
      </w:tblGrid>
      <w:tr w14:paraId="6B04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456" w:type="dxa"/>
          </w:tcPr>
          <w:p w14:paraId="7A120F82">
            <w:pPr>
              <w:pStyle w:val="25"/>
              <w:ind w:left="107"/>
              <w:rPr>
                <w:b/>
                <w:i w:val="0"/>
                <w:iCs w:val="0"/>
                <w:color w:val="auto"/>
                <w:sz w:val="24"/>
              </w:rPr>
            </w:pPr>
            <w:r>
              <w:rPr>
                <w:b/>
                <w:i w:val="0"/>
                <w:iCs w:val="0"/>
                <w:color w:val="auto"/>
                <w:w w:val="99"/>
                <w:sz w:val="24"/>
              </w:rPr>
              <w:t>序</w:t>
            </w:r>
          </w:p>
          <w:p w14:paraId="27A02248">
            <w:pPr>
              <w:pStyle w:val="25"/>
              <w:spacing w:before="4" w:line="289" w:lineRule="exact"/>
              <w:ind w:left="107"/>
              <w:rPr>
                <w:b/>
                <w:i w:val="0"/>
                <w:iCs w:val="0"/>
                <w:color w:val="auto"/>
                <w:sz w:val="24"/>
              </w:rPr>
            </w:pPr>
            <w:r>
              <w:rPr>
                <w:b/>
                <w:i w:val="0"/>
                <w:iCs w:val="0"/>
                <w:color w:val="auto"/>
                <w:w w:val="99"/>
                <w:sz w:val="24"/>
              </w:rPr>
              <w:t>号</w:t>
            </w:r>
          </w:p>
        </w:tc>
        <w:tc>
          <w:tcPr>
            <w:tcW w:w="1001" w:type="dxa"/>
          </w:tcPr>
          <w:p w14:paraId="14CB249E">
            <w:pPr>
              <w:pStyle w:val="25"/>
              <w:ind w:left="123" w:right="119"/>
              <w:jc w:val="center"/>
              <w:rPr>
                <w:b/>
                <w:i w:val="0"/>
                <w:iCs w:val="0"/>
                <w:color w:val="auto"/>
                <w:sz w:val="24"/>
              </w:rPr>
            </w:pPr>
            <w:r>
              <w:rPr>
                <w:b/>
                <w:i w:val="0"/>
                <w:iCs w:val="0"/>
                <w:color w:val="auto"/>
                <w:spacing w:val="-2"/>
                <w:sz w:val="24"/>
              </w:rPr>
              <w:t>系统</w:t>
            </w:r>
            <w:r>
              <w:rPr>
                <w:b/>
                <w:i w:val="0"/>
                <w:iCs w:val="0"/>
                <w:color w:val="auto"/>
                <w:spacing w:val="-10"/>
                <w:sz w:val="24"/>
              </w:rPr>
              <w:t>名</w:t>
            </w:r>
          </w:p>
          <w:p w14:paraId="5303E76B">
            <w:pPr>
              <w:pStyle w:val="25"/>
              <w:spacing w:before="4" w:line="289" w:lineRule="exact"/>
              <w:ind w:left="6"/>
              <w:jc w:val="center"/>
              <w:rPr>
                <w:b/>
                <w:i w:val="0"/>
                <w:iCs w:val="0"/>
                <w:color w:val="auto"/>
                <w:sz w:val="24"/>
              </w:rPr>
            </w:pPr>
            <w:r>
              <w:rPr>
                <w:b/>
                <w:i w:val="0"/>
                <w:iCs w:val="0"/>
                <w:color w:val="auto"/>
                <w:w w:val="99"/>
                <w:sz w:val="24"/>
              </w:rPr>
              <w:t>称</w:t>
            </w:r>
          </w:p>
        </w:tc>
        <w:tc>
          <w:tcPr>
            <w:tcW w:w="6153" w:type="dxa"/>
          </w:tcPr>
          <w:p w14:paraId="2D00F1BD">
            <w:pPr>
              <w:pStyle w:val="25"/>
              <w:spacing w:before="155"/>
              <w:ind w:left="1999" w:right="1994"/>
              <w:jc w:val="center"/>
              <w:rPr>
                <w:b/>
                <w:i w:val="0"/>
                <w:iCs w:val="0"/>
                <w:color w:val="auto"/>
                <w:sz w:val="24"/>
              </w:rPr>
            </w:pPr>
            <w:r>
              <w:rPr>
                <w:b/>
                <w:i w:val="0"/>
                <w:iCs w:val="0"/>
                <w:color w:val="auto"/>
                <w:spacing w:val="-4"/>
                <w:sz w:val="24"/>
              </w:rPr>
              <w:t>所含模块</w:t>
            </w:r>
          </w:p>
        </w:tc>
        <w:tc>
          <w:tcPr>
            <w:tcW w:w="456" w:type="dxa"/>
          </w:tcPr>
          <w:p w14:paraId="16C525F1">
            <w:pPr>
              <w:pStyle w:val="25"/>
              <w:ind w:left="107"/>
              <w:rPr>
                <w:b/>
                <w:i w:val="0"/>
                <w:iCs w:val="0"/>
                <w:color w:val="auto"/>
                <w:sz w:val="24"/>
              </w:rPr>
            </w:pPr>
            <w:r>
              <w:rPr>
                <w:b/>
                <w:i w:val="0"/>
                <w:iCs w:val="0"/>
                <w:color w:val="auto"/>
                <w:w w:val="99"/>
                <w:sz w:val="24"/>
              </w:rPr>
              <w:t>单</w:t>
            </w:r>
          </w:p>
          <w:p w14:paraId="38075C8A">
            <w:pPr>
              <w:pStyle w:val="25"/>
              <w:spacing w:before="4" w:line="289" w:lineRule="exact"/>
              <w:ind w:left="107"/>
              <w:rPr>
                <w:b/>
                <w:i w:val="0"/>
                <w:iCs w:val="0"/>
                <w:color w:val="auto"/>
                <w:sz w:val="24"/>
              </w:rPr>
            </w:pPr>
            <w:r>
              <w:rPr>
                <w:b/>
                <w:i w:val="0"/>
                <w:iCs w:val="0"/>
                <w:color w:val="auto"/>
                <w:w w:val="99"/>
                <w:sz w:val="24"/>
              </w:rPr>
              <w:t>位</w:t>
            </w:r>
          </w:p>
        </w:tc>
        <w:tc>
          <w:tcPr>
            <w:tcW w:w="458" w:type="dxa"/>
          </w:tcPr>
          <w:p w14:paraId="49875331">
            <w:pPr>
              <w:pStyle w:val="25"/>
              <w:ind w:left="107"/>
              <w:rPr>
                <w:b/>
                <w:i w:val="0"/>
                <w:iCs w:val="0"/>
                <w:color w:val="auto"/>
                <w:sz w:val="24"/>
              </w:rPr>
            </w:pPr>
            <w:r>
              <w:rPr>
                <w:b/>
                <w:i w:val="0"/>
                <w:iCs w:val="0"/>
                <w:color w:val="auto"/>
                <w:w w:val="99"/>
                <w:sz w:val="24"/>
              </w:rPr>
              <w:t>数</w:t>
            </w:r>
          </w:p>
          <w:p w14:paraId="14F5BB37">
            <w:pPr>
              <w:pStyle w:val="25"/>
              <w:spacing w:before="4" w:line="289" w:lineRule="exact"/>
              <w:ind w:left="107"/>
              <w:rPr>
                <w:b/>
                <w:i w:val="0"/>
                <w:iCs w:val="0"/>
                <w:color w:val="auto"/>
                <w:sz w:val="24"/>
              </w:rPr>
            </w:pPr>
            <w:r>
              <w:rPr>
                <w:b/>
                <w:i w:val="0"/>
                <w:iCs w:val="0"/>
                <w:color w:val="auto"/>
                <w:w w:val="99"/>
                <w:sz w:val="24"/>
              </w:rPr>
              <w:t>量</w:t>
            </w:r>
          </w:p>
        </w:tc>
      </w:tr>
      <w:tr w14:paraId="69842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restart"/>
          </w:tcPr>
          <w:p w14:paraId="68190DF5">
            <w:pPr>
              <w:pStyle w:val="25"/>
              <w:rPr>
                <w:b/>
                <w:i w:val="0"/>
                <w:iCs w:val="0"/>
                <w:color w:val="auto"/>
                <w:sz w:val="18"/>
              </w:rPr>
            </w:pPr>
          </w:p>
          <w:p w14:paraId="657A27BA">
            <w:pPr>
              <w:pStyle w:val="25"/>
              <w:rPr>
                <w:b/>
                <w:i w:val="0"/>
                <w:iCs w:val="0"/>
                <w:color w:val="auto"/>
                <w:sz w:val="18"/>
              </w:rPr>
            </w:pPr>
          </w:p>
          <w:p w14:paraId="39D477E5">
            <w:pPr>
              <w:pStyle w:val="25"/>
              <w:rPr>
                <w:b/>
                <w:i w:val="0"/>
                <w:iCs w:val="0"/>
                <w:color w:val="auto"/>
                <w:sz w:val="18"/>
              </w:rPr>
            </w:pPr>
          </w:p>
          <w:p w14:paraId="27E1AF2B">
            <w:pPr>
              <w:pStyle w:val="25"/>
              <w:rPr>
                <w:b/>
                <w:i w:val="0"/>
                <w:iCs w:val="0"/>
                <w:color w:val="auto"/>
                <w:sz w:val="18"/>
              </w:rPr>
            </w:pPr>
          </w:p>
          <w:p w14:paraId="2E391522">
            <w:pPr>
              <w:pStyle w:val="25"/>
              <w:spacing w:before="138"/>
              <w:ind w:left="8"/>
              <w:jc w:val="center"/>
              <w:rPr>
                <w:i w:val="0"/>
                <w:iCs w:val="0"/>
                <w:color w:val="auto"/>
                <w:sz w:val="18"/>
              </w:rPr>
            </w:pPr>
            <w:r>
              <w:rPr>
                <w:i w:val="0"/>
                <w:iCs w:val="0"/>
                <w:color w:val="auto"/>
                <w:sz w:val="18"/>
              </w:rPr>
              <w:t>1</w:t>
            </w:r>
          </w:p>
        </w:tc>
        <w:tc>
          <w:tcPr>
            <w:tcW w:w="1001" w:type="dxa"/>
            <w:vMerge w:val="restart"/>
          </w:tcPr>
          <w:p w14:paraId="3A5DBB57">
            <w:pPr>
              <w:pStyle w:val="25"/>
              <w:rPr>
                <w:b/>
                <w:i w:val="0"/>
                <w:iCs w:val="0"/>
                <w:color w:val="auto"/>
                <w:sz w:val="18"/>
              </w:rPr>
            </w:pPr>
          </w:p>
          <w:p w14:paraId="74F8BDF1">
            <w:pPr>
              <w:pStyle w:val="25"/>
              <w:rPr>
                <w:b/>
                <w:i w:val="0"/>
                <w:iCs w:val="0"/>
                <w:color w:val="auto"/>
                <w:sz w:val="18"/>
              </w:rPr>
            </w:pPr>
          </w:p>
          <w:p w14:paraId="138242C9">
            <w:pPr>
              <w:pStyle w:val="25"/>
              <w:rPr>
                <w:b/>
                <w:i w:val="0"/>
                <w:iCs w:val="0"/>
                <w:color w:val="auto"/>
                <w:sz w:val="18"/>
              </w:rPr>
            </w:pPr>
          </w:p>
          <w:p w14:paraId="6D985DB9">
            <w:pPr>
              <w:pStyle w:val="25"/>
              <w:spacing w:before="8"/>
              <w:rPr>
                <w:b/>
                <w:i w:val="0"/>
                <w:iCs w:val="0"/>
                <w:color w:val="auto"/>
                <w:sz w:val="19"/>
              </w:rPr>
            </w:pPr>
          </w:p>
          <w:p w14:paraId="6124B86C">
            <w:pPr>
              <w:pStyle w:val="25"/>
              <w:spacing w:line="244" w:lineRule="auto"/>
              <w:ind w:left="318" w:right="130" w:hanging="180"/>
              <w:rPr>
                <w:i w:val="0"/>
                <w:iCs w:val="0"/>
                <w:color w:val="auto"/>
                <w:sz w:val="18"/>
              </w:rPr>
            </w:pPr>
            <w:r>
              <w:rPr>
                <w:i w:val="0"/>
                <w:iCs w:val="0"/>
                <w:color w:val="auto"/>
                <w:spacing w:val="-4"/>
                <w:sz w:val="18"/>
              </w:rPr>
              <w:t>医院集成</w:t>
            </w:r>
            <w:r>
              <w:rPr>
                <w:i w:val="0"/>
                <w:iCs w:val="0"/>
                <w:color w:val="auto"/>
                <w:spacing w:val="-6"/>
                <w:sz w:val="18"/>
              </w:rPr>
              <w:t>平台</w:t>
            </w:r>
          </w:p>
        </w:tc>
        <w:tc>
          <w:tcPr>
            <w:tcW w:w="6153" w:type="dxa"/>
          </w:tcPr>
          <w:p w14:paraId="42946A9C">
            <w:pPr>
              <w:pStyle w:val="25"/>
              <w:spacing w:before="26"/>
              <w:ind w:left="2220" w:firstLine="180" w:firstLineChars="100"/>
              <w:jc w:val="both"/>
              <w:rPr>
                <w:i w:val="0"/>
                <w:iCs w:val="0"/>
                <w:color w:val="auto"/>
                <w:sz w:val="18"/>
              </w:rPr>
            </w:pPr>
            <w:r>
              <w:rPr>
                <w:i w:val="0"/>
                <w:iCs w:val="0"/>
                <w:color w:val="auto"/>
                <w:sz w:val="18"/>
              </w:rPr>
              <w:t>平台集成服务</w:t>
            </w:r>
          </w:p>
        </w:tc>
        <w:tc>
          <w:tcPr>
            <w:tcW w:w="456" w:type="dxa"/>
          </w:tcPr>
          <w:p w14:paraId="36572C93">
            <w:pPr>
              <w:pStyle w:val="25"/>
              <w:spacing w:line="267" w:lineRule="exact"/>
              <w:ind w:right="8"/>
              <w:jc w:val="center"/>
              <w:rPr>
                <w:i w:val="0"/>
                <w:iCs w:val="0"/>
                <w:color w:val="auto"/>
              </w:rPr>
            </w:pPr>
            <w:r>
              <w:rPr>
                <w:i w:val="0"/>
                <w:iCs w:val="0"/>
                <w:color w:val="auto"/>
              </w:rPr>
              <w:t>项</w:t>
            </w:r>
          </w:p>
        </w:tc>
        <w:tc>
          <w:tcPr>
            <w:tcW w:w="458" w:type="dxa"/>
          </w:tcPr>
          <w:p w14:paraId="7FCC1C82">
            <w:pPr>
              <w:pStyle w:val="25"/>
              <w:spacing w:line="267" w:lineRule="exact"/>
              <w:ind w:right="98"/>
              <w:jc w:val="right"/>
              <w:rPr>
                <w:i w:val="0"/>
                <w:iCs w:val="0"/>
                <w:color w:val="auto"/>
              </w:rPr>
            </w:pPr>
            <w:r>
              <w:rPr>
                <w:i w:val="0"/>
                <w:iCs w:val="0"/>
                <w:color w:val="auto"/>
              </w:rPr>
              <w:t>1</w:t>
            </w:r>
          </w:p>
        </w:tc>
      </w:tr>
      <w:tr w14:paraId="00507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2A97F35">
            <w:pPr>
              <w:rPr>
                <w:i w:val="0"/>
                <w:iCs w:val="0"/>
                <w:color w:val="auto"/>
                <w:sz w:val="2"/>
                <w:szCs w:val="2"/>
              </w:rPr>
            </w:pPr>
          </w:p>
        </w:tc>
        <w:tc>
          <w:tcPr>
            <w:tcW w:w="1001" w:type="dxa"/>
            <w:vMerge w:val="continue"/>
            <w:tcBorders>
              <w:top w:val="nil"/>
            </w:tcBorders>
          </w:tcPr>
          <w:p w14:paraId="333DE160">
            <w:pPr>
              <w:rPr>
                <w:i w:val="0"/>
                <w:iCs w:val="0"/>
                <w:color w:val="auto"/>
                <w:sz w:val="2"/>
                <w:szCs w:val="2"/>
              </w:rPr>
            </w:pPr>
          </w:p>
        </w:tc>
        <w:tc>
          <w:tcPr>
            <w:tcW w:w="6153" w:type="dxa"/>
          </w:tcPr>
          <w:p w14:paraId="73B78407">
            <w:pPr>
              <w:pStyle w:val="25"/>
              <w:spacing w:before="26"/>
              <w:ind w:left="2002" w:right="1994"/>
              <w:jc w:val="center"/>
              <w:rPr>
                <w:i w:val="0"/>
                <w:iCs w:val="0"/>
                <w:color w:val="auto"/>
                <w:sz w:val="18"/>
              </w:rPr>
            </w:pPr>
            <w:r>
              <w:rPr>
                <w:i w:val="0"/>
                <w:iCs w:val="0"/>
                <w:color w:val="auto"/>
                <w:sz w:val="18"/>
              </w:rPr>
              <w:t>EMPI</w:t>
            </w:r>
            <w:r>
              <w:rPr>
                <w:i w:val="0"/>
                <w:iCs w:val="0"/>
                <w:color w:val="auto"/>
                <w:spacing w:val="-10"/>
                <w:sz w:val="18"/>
              </w:rPr>
              <w:t>主索引服务</w:t>
            </w:r>
          </w:p>
        </w:tc>
        <w:tc>
          <w:tcPr>
            <w:tcW w:w="456" w:type="dxa"/>
          </w:tcPr>
          <w:p w14:paraId="25165D6B">
            <w:pPr>
              <w:pStyle w:val="25"/>
              <w:spacing w:line="265" w:lineRule="exact"/>
              <w:ind w:right="8"/>
              <w:jc w:val="center"/>
              <w:rPr>
                <w:i w:val="0"/>
                <w:iCs w:val="0"/>
                <w:color w:val="auto"/>
              </w:rPr>
            </w:pPr>
            <w:r>
              <w:rPr>
                <w:i w:val="0"/>
                <w:iCs w:val="0"/>
                <w:color w:val="auto"/>
              </w:rPr>
              <w:t>项</w:t>
            </w:r>
          </w:p>
        </w:tc>
        <w:tc>
          <w:tcPr>
            <w:tcW w:w="458" w:type="dxa"/>
          </w:tcPr>
          <w:p w14:paraId="23EBC0A7">
            <w:pPr>
              <w:pStyle w:val="25"/>
              <w:spacing w:line="265" w:lineRule="exact"/>
              <w:ind w:right="98"/>
              <w:jc w:val="right"/>
              <w:rPr>
                <w:i w:val="0"/>
                <w:iCs w:val="0"/>
                <w:color w:val="auto"/>
              </w:rPr>
            </w:pPr>
            <w:r>
              <w:rPr>
                <w:i w:val="0"/>
                <w:iCs w:val="0"/>
                <w:color w:val="auto"/>
              </w:rPr>
              <w:t>1</w:t>
            </w:r>
          </w:p>
        </w:tc>
      </w:tr>
      <w:tr w14:paraId="78FB8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D1252F5">
            <w:pPr>
              <w:rPr>
                <w:i w:val="0"/>
                <w:iCs w:val="0"/>
                <w:color w:val="auto"/>
                <w:sz w:val="2"/>
                <w:szCs w:val="2"/>
              </w:rPr>
            </w:pPr>
          </w:p>
        </w:tc>
        <w:tc>
          <w:tcPr>
            <w:tcW w:w="1001" w:type="dxa"/>
            <w:vMerge w:val="continue"/>
            <w:tcBorders>
              <w:top w:val="nil"/>
            </w:tcBorders>
          </w:tcPr>
          <w:p w14:paraId="498CD3B9">
            <w:pPr>
              <w:rPr>
                <w:i w:val="0"/>
                <w:iCs w:val="0"/>
                <w:color w:val="auto"/>
                <w:sz w:val="2"/>
                <w:szCs w:val="2"/>
              </w:rPr>
            </w:pPr>
          </w:p>
        </w:tc>
        <w:tc>
          <w:tcPr>
            <w:tcW w:w="6153" w:type="dxa"/>
          </w:tcPr>
          <w:p w14:paraId="4BFE2D84">
            <w:pPr>
              <w:pStyle w:val="25"/>
              <w:spacing w:before="26"/>
              <w:ind w:left="2002" w:right="1994"/>
              <w:jc w:val="center"/>
              <w:rPr>
                <w:i w:val="0"/>
                <w:iCs w:val="0"/>
                <w:color w:val="auto"/>
                <w:sz w:val="18"/>
              </w:rPr>
            </w:pPr>
            <w:r>
              <w:rPr>
                <w:i w:val="0"/>
                <w:iCs w:val="0"/>
                <w:color w:val="auto"/>
                <w:spacing w:val="-2"/>
                <w:sz w:val="18"/>
              </w:rPr>
              <w:t>主数据管理</w:t>
            </w:r>
          </w:p>
        </w:tc>
        <w:tc>
          <w:tcPr>
            <w:tcW w:w="456" w:type="dxa"/>
          </w:tcPr>
          <w:p w14:paraId="1C1387C2">
            <w:pPr>
              <w:pStyle w:val="25"/>
              <w:spacing w:line="266" w:lineRule="exact"/>
              <w:ind w:right="8"/>
              <w:jc w:val="center"/>
              <w:rPr>
                <w:i w:val="0"/>
                <w:iCs w:val="0"/>
                <w:color w:val="auto"/>
              </w:rPr>
            </w:pPr>
            <w:r>
              <w:rPr>
                <w:i w:val="0"/>
                <w:iCs w:val="0"/>
                <w:color w:val="auto"/>
              </w:rPr>
              <w:t>项</w:t>
            </w:r>
          </w:p>
        </w:tc>
        <w:tc>
          <w:tcPr>
            <w:tcW w:w="458" w:type="dxa"/>
          </w:tcPr>
          <w:p w14:paraId="6715DE28">
            <w:pPr>
              <w:pStyle w:val="25"/>
              <w:spacing w:line="266" w:lineRule="exact"/>
              <w:ind w:right="98"/>
              <w:jc w:val="right"/>
              <w:rPr>
                <w:i w:val="0"/>
                <w:iCs w:val="0"/>
                <w:color w:val="auto"/>
              </w:rPr>
            </w:pPr>
            <w:r>
              <w:rPr>
                <w:i w:val="0"/>
                <w:iCs w:val="0"/>
                <w:color w:val="auto"/>
              </w:rPr>
              <w:t>1</w:t>
            </w:r>
          </w:p>
        </w:tc>
      </w:tr>
      <w:tr w14:paraId="3BF53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DBF6847">
            <w:pPr>
              <w:rPr>
                <w:i w:val="0"/>
                <w:iCs w:val="0"/>
                <w:color w:val="auto"/>
                <w:sz w:val="2"/>
                <w:szCs w:val="2"/>
              </w:rPr>
            </w:pPr>
          </w:p>
        </w:tc>
        <w:tc>
          <w:tcPr>
            <w:tcW w:w="1001" w:type="dxa"/>
            <w:vMerge w:val="continue"/>
            <w:tcBorders>
              <w:top w:val="nil"/>
            </w:tcBorders>
          </w:tcPr>
          <w:p w14:paraId="2CCDA00A">
            <w:pPr>
              <w:rPr>
                <w:i w:val="0"/>
                <w:iCs w:val="0"/>
                <w:color w:val="auto"/>
                <w:sz w:val="2"/>
                <w:szCs w:val="2"/>
              </w:rPr>
            </w:pPr>
          </w:p>
        </w:tc>
        <w:tc>
          <w:tcPr>
            <w:tcW w:w="6153" w:type="dxa"/>
          </w:tcPr>
          <w:p w14:paraId="1B1C6FDC">
            <w:pPr>
              <w:pStyle w:val="25"/>
              <w:spacing w:before="26"/>
              <w:ind w:left="2000" w:right="1994"/>
              <w:jc w:val="center"/>
              <w:rPr>
                <w:i w:val="0"/>
                <w:iCs w:val="0"/>
                <w:color w:val="auto"/>
                <w:sz w:val="18"/>
              </w:rPr>
            </w:pPr>
            <w:r>
              <w:rPr>
                <w:i w:val="0"/>
                <w:iCs w:val="0"/>
                <w:color w:val="auto"/>
                <w:spacing w:val="-2"/>
                <w:sz w:val="18"/>
              </w:rPr>
              <w:t>统一身份认证服务</w:t>
            </w:r>
          </w:p>
        </w:tc>
        <w:tc>
          <w:tcPr>
            <w:tcW w:w="456" w:type="dxa"/>
          </w:tcPr>
          <w:p w14:paraId="6468AA8C">
            <w:pPr>
              <w:pStyle w:val="25"/>
              <w:spacing w:line="265" w:lineRule="exact"/>
              <w:ind w:right="8"/>
              <w:jc w:val="center"/>
              <w:rPr>
                <w:i w:val="0"/>
                <w:iCs w:val="0"/>
                <w:color w:val="auto"/>
              </w:rPr>
            </w:pPr>
            <w:r>
              <w:rPr>
                <w:i w:val="0"/>
                <w:iCs w:val="0"/>
                <w:color w:val="auto"/>
              </w:rPr>
              <w:t>项</w:t>
            </w:r>
          </w:p>
        </w:tc>
        <w:tc>
          <w:tcPr>
            <w:tcW w:w="458" w:type="dxa"/>
          </w:tcPr>
          <w:p w14:paraId="265432CE">
            <w:pPr>
              <w:pStyle w:val="25"/>
              <w:spacing w:line="265" w:lineRule="exact"/>
              <w:ind w:right="98"/>
              <w:jc w:val="right"/>
              <w:rPr>
                <w:i w:val="0"/>
                <w:iCs w:val="0"/>
                <w:color w:val="auto"/>
              </w:rPr>
            </w:pPr>
            <w:r>
              <w:rPr>
                <w:i w:val="0"/>
                <w:iCs w:val="0"/>
                <w:color w:val="auto"/>
              </w:rPr>
              <w:t>1</w:t>
            </w:r>
          </w:p>
        </w:tc>
      </w:tr>
      <w:tr w14:paraId="3DAAA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34362FB">
            <w:pPr>
              <w:rPr>
                <w:i w:val="0"/>
                <w:iCs w:val="0"/>
                <w:color w:val="auto"/>
                <w:sz w:val="2"/>
                <w:szCs w:val="2"/>
              </w:rPr>
            </w:pPr>
          </w:p>
        </w:tc>
        <w:tc>
          <w:tcPr>
            <w:tcW w:w="1001" w:type="dxa"/>
            <w:vMerge w:val="continue"/>
            <w:tcBorders>
              <w:top w:val="nil"/>
            </w:tcBorders>
          </w:tcPr>
          <w:p w14:paraId="22E8D7E3">
            <w:pPr>
              <w:rPr>
                <w:i w:val="0"/>
                <w:iCs w:val="0"/>
                <w:color w:val="auto"/>
                <w:sz w:val="2"/>
                <w:szCs w:val="2"/>
              </w:rPr>
            </w:pPr>
          </w:p>
        </w:tc>
        <w:tc>
          <w:tcPr>
            <w:tcW w:w="6153" w:type="dxa"/>
          </w:tcPr>
          <w:p w14:paraId="41BDB7F1">
            <w:pPr>
              <w:pStyle w:val="25"/>
              <w:spacing w:before="26"/>
              <w:ind w:left="2000" w:right="1994"/>
              <w:jc w:val="center"/>
              <w:rPr>
                <w:i w:val="0"/>
                <w:iCs w:val="0"/>
                <w:color w:val="auto"/>
                <w:sz w:val="18"/>
              </w:rPr>
            </w:pPr>
            <w:r>
              <w:rPr>
                <w:i w:val="0"/>
                <w:iCs w:val="0"/>
                <w:color w:val="auto"/>
                <w:spacing w:val="-2"/>
                <w:sz w:val="18"/>
              </w:rPr>
              <w:t>单点登录服务</w:t>
            </w:r>
          </w:p>
        </w:tc>
        <w:tc>
          <w:tcPr>
            <w:tcW w:w="456" w:type="dxa"/>
          </w:tcPr>
          <w:p w14:paraId="59F0B335">
            <w:pPr>
              <w:pStyle w:val="25"/>
              <w:spacing w:line="265" w:lineRule="exact"/>
              <w:ind w:right="8"/>
              <w:jc w:val="center"/>
              <w:rPr>
                <w:i w:val="0"/>
                <w:iCs w:val="0"/>
                <w:color w:val="auto"/>
              </w:rPr>
            </w:pPr>
            <w:r>
              <w:rPr>
                <w:i w:val="0"/>
                <w:iCs w:val="0"/>
                <w:color w:val="auto"/>
              </w:rPr>
              <w:t>项</w:t>
            </w:r>
          </w:p>
        </w:tc>
        <w:tc>
          <w:tcPr>
            <w:tcW w:w="458" w:type="dxa"/>
          </w:tcPr>
          <w:p w14:paraId="52F61AFB">
            <w:pPr>
              <w:pStyle w:val="25"/>
              <w:spacing w:line="265" w:lineRule="exact"/>
              <w:ind w:right="98"/>
              <w:jc w:val="right"/>
              <w:rPr>
                <w:i w:val="0"/>
                <w:iCs w:val="0"/>
                <w:color w:val="auto"/>
              </w:rPr>
            </w:pPr>
            <w:r>
              <w:rPr>
                <w:i w:val="0"/>
                <w:iCs w:val="0"/>
                <w:color w:val="auto"/>
              </w:rPr>
              <w:t>1</w:t>
            </w:r>
          </w:p>
        </w:tc>
      </w:tr>
      <w:tr w14:paraId="7DD98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12EDDD0">
            <w:pPr>
              <w:rPr>
                <w:i w:val="0"/>
                <w:iCs w:val="0"/>
                <w:color w:val="auto"/>
                <w:sz w:val="2"/>
                <w:szCs w:val="2"/>
              </w:rPr>
            </w:pPr>
          </w:p>
        </w:tc>
        <w:tc>
          <w:tcPr>
            <w:tcW w:w="1001" w:type="dxa"/>
            <w:vMerge w:val="continue"/>
            <w:tcBorders>
              <w:top w:val="nil"/>
            </w:tcBorders>
          </w:tcPr>
          <w:p w14:paraId="4131B85A">
            <w:pPr>
              <w:rPr>
                <w:i w:val="0"/>
                <w:iCs w:val="0"/>
                <w:color w:val="auto"/>
                <w:sz w:val="2"/>
                <w:szCs w:val="2"/>
              </w:rPr>
            </w:pPr>
          </w:p>
        </w:tc>
        <w:tc>
          <w:tcPr>
            <w:tcW w:w="6153" w:type="dxa"/>
          </w:tcPr>
          <w:p w14:paraId="68512529">
            <w:pPr>
              <w:pStyle w:val="25"/>
              <w:spacing w:before="26"/>
              <w:ind w:left="2000" w:right="1994"/>
              <w:jc w:val="center"/>
              <w:rPr>
                <w:i w:val="0"/>
                <w:iCs w:val="0"/>
                <w:color w:val="auto"/>
                <w:sz w:val="18"/>
              </w:rPr>
            </w:pPr>
            <w:r>
              <w:rPr>
                <w:i w:val="0"/>
                <w:iCs w:val="0"/>
                <w:color w:val="auto"/>
                <w:spacing w:val="-2"/>
                <w:sz w:val="18"/>
              </w:rPr>
              <w:t>平台注册服务</w:t>
            </w:r>
          </w:p>
        </w:tc>
        <w:tc>
          <w:tcPr>
            <w:tcW w:w="456" w:type="dxa"/>
          </w:tcPr>
          <w:p w14:paraId="4A050B99">
            <w:pPr>
              <w:pStyle w:val="25"/>
              <w:spacing w:line="265" w:lineRule="exact"/>
              <w:ind w:right="8"/>
              <w:jc w:val="center"/>
              <w:rPr>
                <w:i w:val="0"/>
                <w:iCs w:val="0"/>
                <w:color w:val="auto"/>
              </w:rPr>
            </w:pPr>
            <w:r>
              <w:rPr>
                <w:i w:val="0"/>
                <w:iCs w:val="0"/>
                <w:color w:val="auto"/>
              </w:rPr>
              <w:t>项</w:t>
            </w:r>
          </w:p>
        </w:tc>
        <w:tc>
          <w:tcPr>
            <w:tcW w:w="458" w:type="dxa"/>
          </w:tcPr>
          <w:p w14:paraId="3DC47F02">
            <w:pPr>
              <w:pStyle w:val="25"/>
              <w:spacing w:line="265" w:lineRule="exact"/>
              <w:ind w:right="98"/>
              <w:jc w:val="right"/>
              <w:rPr>
                <w:i w:val="0"/>
                <w:iCs w:val="0"/>
                <w:color w:val="auto"/>
              </w:rPr>
            </w:pPr>
            <w:r>
              <w:rPr>
                <w:i w:val="0"/>
                <w:iCs w:val="0"/>
                <w:color w:val="auto"/>
              </w:rPr>
              <w:t>1</w:t>
            </w:r>
          </w:p>
        </w:tc>
      </w:tr>
      <w:tr w14:paraId="545A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5D18AFB">
            <w:pPr>
              <w:rPr>
                <w:i w:val="0"/>
                <w:iCs w:val="0"/>
                <w:color w:val="auto"/>
                <w:sz w:val="2"/>
                <w:szCs w:val="2"/>
              </w:rPr>
            </w:pPr>
          </w:p>
        </w:tc>
        <w:tc>
          <w:tcPr>
            <w:tcW w:w="1001" w:type="dxa"/>
            <w:vMerge w:val="continue"/>
            <w:tcBorders>
              <w:top w:val="nil"/>
            </w:tcBorders>
          </w:tcPr>
          <w:p w14:paraId="3480F1BB">
            <w:pPr>
              <w:rPr>
                <w:i w:val="0"/>
                <w:iCs w:val="0"/>
                <w:color w:val="auto"/>
                <w:sz w:val="2"/>
                <w:szCs w:val="2"/>
              </w:rPr>
            </w:pPr>
          </w:p>
        </w:tc>
        <w:tc>
          <w:tcPr>
            <w:tcW w:w="6153" w:type="dxa"/>
          </w:tcPr>
          <w:p w14:paraId="557B62C2">
            <w:pPr>
              <w:pStyle w:val="25"/>
              <w:spacing w:before="26"/>
              <w:ind w:left="2000" w:right="1994"/>
              <w:jc w:val="center"/>
              <w:rPr>
                <w:i w:val="0"/>
                <w:iCs w:val="0"/>
                <w:color w:val="auto"/>
                <w:sz w:val="18"/>
              </w:rPr>
            </w:pPr>
            <w:r>
              <w:rPr>
                <w:i w:val="0"/>
                <w:iCs w:val="0"/>
                <w:color w:val="auto"/>
                <w:spacing w:val="-2"/>
                <w:sz w:val="18"/>
              </w:rPr>
              <w:t>平台管理工具</w:t>
            </w:r>
          </w:p>
        </w:tc>
        <w:tc>
          <w:tcPr>
            <w:tcW w:w="456" w:type="dxa"/>
          </w:tcPr>
          <w:p w14:paraId="5E46F38D">
            <w:pPr>
              <w:pStyle w:val="25"/>
              <w:spacing w:line="265" w:lineRule="exact"/>
              <w:ind w:right="8"/>
              <w:jc w:val="center"/>
              <w:rPr>
                <w:i w:val="0"/>
                <w:iCs w:val="0"/>
                <w:color w:val="auto"/>
              </w:rPr>
            </w:pPr>
            <w:r>
              <w:rPr>
                <w:i w:val="0"/>
                <w:iCs w:val="0"/>
                <w:color w:val="auto"/>
              </w:rPr>
              <w:t>项</w:t>
            </w:r>
          </w:p>
        </w:tc>
        <w:tc>
          <w:tcPr>
            <w:tcW w:w="458" w:type="dxa"/>
          </w:tcPr>
          <w:p w14:paraId="5CE10F12">
            <w:pPr>
              <w:pStyle w:val="25"/>
              <w:spacing w:line="265" w:lineRule="exact"/>
              <w:ind w:right="98"/>
              <w:jc w:val="right"/>
              <w:rPr>
                <w:i w:val="0"/>
                <w:iCs w:val="0"/>
                <w:color w:val="auto"/>
              </w:rPr>
            </w:pPr>
            <w:r>
              <w:rPr>
                <w:i w:val="0"/>
                <w:iCs w:val="0"/>
                <w:color w:val="auto"/>
              </w:rPr>
              <w:t>1</w:t>
            </w:r>
          </w:p>
        </w:tc>
      </w:tr>
      <w:tr w14:paraId="2CBD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A361F6F">
            <w:pPr>
              <w:rPr>
                <w:i w:val="0"/>
                <w:iCs w:val="0"/>
                <w:color w:val="auto"/>
                <w:sz w:val="2"/>
                <w:szCs w:val="2"/>
              </w:rPr>
            </w:pPr>
          </w:p>
        </w:tc>
        <w:tc>
          <w:tcPr>
            <w:tcW w:w="1001" w:type="dxa"/>
            <w:vMerge w:val="continue"/>
            <w:tcBorders>
              <w:top w:val="nil"/>
            </w:tcBorders>
          </w:tcPr>
          <w:p w14:paraId="7C8A195C">
            <w:pPr>
              <w:rPr>
                <w:i w:val="0"/>
                <w:iCs w:val="0"/>
                <w:color w:val="auto"/>
                <w:sz w:val="2"/>
                <w:szCs w:val="2"/>
              </w:rPr>
            </w:pPr>
          </w:p>
        </w:tc>
        <w:tc>
          <w:tcPr>
            <w:tcW w:w="6153" w:type="dxa"/>
          </w:tcPr>
          <w:p w14:paraId="67640393">
            <w:pPr>
              <w:pStyle w:val="25"/>
              <w:spacing w:before="52" w:line="213" w:lineRule="exact"/>
              <w:ind w:left="2265"/>
              <w:rPr>
                <w:i w:val="0"/>
                <w:iCs w:val="0"/>
                <w:color w:val="auto"/>
                <w:sz w:val="18"/>
              </w:rPr>
            </w:pPr>
            <w:r>
              <w:rPr>
                <w:i w:val="0"/>
                <w:iCs w:val="0"/>
                <w:color w:val="auto"/>
                <w:spacing w:val="-2"/>
                <w:sz w:val="18"/>
              </w:rPr>
              <w:t>基于平台的交换服务</w:t>
            </w:r>
          </w:p>
        </w:tc>
        <w:tc>
          <w:tcPr>
            <w:tcW w:w="456" w:type="dxa"/>
          </w:tcPr>
          <w:p w14:paraId="51A8E0CF">
            <w:pPr>
              <w:pStyle w:val="25"/>
              <w:spacing w:line="265" w:lineRule="exact"/>
              <w:ind w:right="8"/>
              <w:jc w:val="center"/>
              <w:rPr>
                <w:i w:val="0"/>
                <w:iCs w:val="0"/>
                <w:color w:val="auto"/>
              </w:rPr>
            </w:pPr>
            <w:r>
              <w:rPr>
                <w:i w:val="0"/>
                <w:iCs w:val="0"/>
                <w:color w:val="auto"/>
              </w:rPr>
              <w:t>项</w:t>
            </w:r>
          </w:p>
        </w:tc>
        <w:tc>
          <w:tcPr>
            <w:tcW w:w="458" w:type="dxa"/>
          </w:tcPr>
          <w:p w14:paraId="7BB3D4F3">
            <w:pPr>
              <w:pStyle w:val="25"/>
              <w:spacing w:line="265" w:lineRule="exact"/>
              <w:ind w:right="98"/>
              <w:jc w:val="right"/>
              <w:rPr>
                <w:i w:val="0"/>
                <w:iCs w:val="0"/>
                <w:color w:val="auto"/>
              </w:rPr>
            </w:pPr>
            <w:r>
              <w:rPr>
                <w:i w:val="0"/>
                <w:iCs w:val="0"/>
                <w:color w:val="auto"/>
              </w:rPr>
              <w:t>1</w:t>
            </w:r>
          </w:p>
        </w:tc>
      </w:tr>
      <w:tr w14:paraId="65030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6B07E1FD">
            <w:pPr>
              <w:pStyle w:val="25"/>
              <w:spacing w:before="6"/>
              <w:rPr>
                <w:b/>
                <w:i w:val="0"/>
                <w:iCs w:val="0"/>
                <w:color w:val="auto"/>
                <w:sz w:val="13"/>
              </w:rPr>
            </w:pPr>
          </w:p>
          <w:p w14:paraId="4550BA22">
            <w:pPr>
              <w:pStyle w:val="25"/>
              <w:ind w:left="8"/>
              <w:jc w:val="center"/>
              <w:rPr>
                <w:i w:val="0"/>
                <w:iCs w:val="0"/>
                <w:color w:val="auto"/>
                <w:sz w:val="18"/>
              </w:rPr>
            </w:pPr>
            <w:r>
              <w:rPr>
                <w:i w:val="0"/>
                <w:iCs w:val="0"/>
                <w:color w:val="auto"/>
                <w:sz w:val="18"/>
              </w:rPr>
              <w:t>2</w:t>
            </w:r>
          </w:p>
        </w:tc>
        <w:tc>
          <w:tcPr>
            <w:tcW w:w="1001" w:type="dxa"/>
            <w:vMerge w:val="restart"/>
          </w:tcPr>
          <w:p w14:paraId="14F950B1">
            <w:pPr>
              <w:pStyle w:val="25"/>
              <w:spacing w:before="57" w:line="242" w:lineRule="auto"/>
              <w:ind w:left="138" w:right="130"/>
              <w:rPr>
                <w:i w:val="0"/>
                <w:iCs w:val="0"/>
                <w:color w:val="auto"/>
                <w:sz w:val="18"/>
              </w:rPr>
            </w:pPr>
            <w:r>
              <w:rPr>
                <w:i w:val="0"/>
                <w:iCs w:val="0"/>
                <w:color w:val="auto"/>
                <w:spacing w:val="-4"/>
                <w:sz w:val="18"/>
              </w:rPr>
              <w:t>基于平台</w:t>
            </w:r>
            <w:r>
              <w:rPr>
                <w:i w:val="0"/>
                <w:iCs w:val="0"/>
                <w:color w:val="auto"/>
                <w:spacing w:val="-3"/>
                <w:sz w:val="18"/>
              </w:rPr>
              <w:t>的应用系</w:t>
            </w:r>
          </w:p>
        </w:tc>
        <w:tc>
          <w:tcPr>
            <w:tcW w:w="6153" w:type="dxa"/>
          </w:tcPr>
          <w:p w14:paraId="78B53921">
            <w:pPr>
              <w:pStyle w:val="25"/>
              <w:spacing w:before="26"/>
              <w:ind w:left="2174"/>
              <w:rPr>
                <w:i w:val="0"/>
                <w:iCs w:val="0"/>
                <w:color w:val="auto"/>
                <w:sz w:val="18"/>
              </w:rPr>
            </w:pPr>
            <w:r>
              <w:rPr>
                <w:i w:val="0"/>
                <w:iCs w:val="0"/>
                <w:color w:val="auto"/>
                <w:sz w:val="18"/>
              </w:rPr>
              <w:t>运营决策与分析</w:t>
            </w:r>
            <w:r>
              <w:rPr>
                <w:i w:val="0"/>
                <w:iCs w:val="0"/>
                <w:color w:val="auto"/>
                <w:spacing w:val="-4"/>
                <w:sz w:val="18"/>
              </w:rPr>
              <w:t>（BI）</w:t>
            </w:r>
          </w:p>
        </w:tc>
        <w:tc>
          <w:tcPr>
            <w:tcW w:w="456" w:type="dxa"/>
          </w:tcPr>
          <w:p w14:paraId="083FB8A9">
            <w:pPr>
              <w:pStyle w:val="25"/>
              <w:spacing w:line="265" w:lineRule="exact"/>
              <w:ind w:right="8"/>
              <w:jc w:val="center"/>
              <w:rPr>
                <w:i w:val="0"/>
                <w:iCs w:val="0"/>
                <w:color w:val="auto"/>
              </w:rPr>
            </w:pPr>
            <w:r>
              <w:rPr>
                <w:i w:val="0"/>
                <w:iCs w:val="0"/>
                <w:color w:val="auto"/>
              </w:rPr>
              <w:t>项</w:t>
            </w:r>
          </w:p>
        </w:tc>
        <w:tc>
          <w:tcPr>
            <w:tcW w:w="458" w:type="dxa"/>
          </w:tcPr>
          <w:p w14:paraId="200DB3BE">
            <w:pPr>
              <w:pStyle w:val="25"/>
              <w:spacing w:line="265" w:lineRule="exact"/>
              <w:ind w:right="98"/>
              <w:jc w:val="right"/>
              <w:rPr>
                <w:i w:val="0"/>
                <w:iCs w:val="0"/>
                <w:color w:val="auto"/>
              </w:rPr>
            </w:pPr>
            <w:r>
              <w:rPr>
                <w:i w:val="0"/>
                <w:iCs w:val="0"/>
                <w:color w:val="auto"/>
              </w:rPr>
              <w:t>1</w:t>
            </w:r>
          </w:p>
        </w:tc>
      </w:tr>
      <w:tr w14:paraId="53555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205F9B6">
            <w:pPr>
              <w:rPr>
                <w:i w:val="0"/>
                <w:iCs w:val="0"/>
                <w:color w:val="auto"/>
                <w:sz w:val="2"/>
                <w:szCs w:val="2"/>
              </w:rPr>
            </w:pPr>
          </w:p>
        </w:tc>
        <w:tc>
          <w:tcPr>
            <w:tcW w:w="1001" w:type="dxa"/>
            <w:vMerge w:val="continue"/>
            <w:tcBorders>
              <w:top w:val="nil"/>
            </w:tcBorders>
          </w:tcPr>
          <w:p w14:paraId="01A7D9EF">
            <w:pPr>
              <w:rPr>
                <w:i w:val="0"/>
                <w:iCs w:val="0"/>
                <w:color w:val="auto"/>
                <w:sz w:val="2"/>
                <w:szCs w:val="2"/>
              </w:rPr>
            </w:pPr>
          </w:p>
        </w:tc>
        <w:tc>
          <w:tcPr>
            <w:tcW w:w="6153" w:type="dxa"/>
          </w:tcPr>
          <w:p w14:paraId="1843F1D0">
            <w:pPr>
              <w:pStyle w:val="25"/>
              <w:spacing w:before="26"/>
              <w:ind w:left="2265"/>
              <w:rPr>
                <w:i w:val="0"/>
                <w:iCs w:val="0"/>
                <w:color w:val="auto"/>
                <w:sz w:val="18"/>
              </w:rPr>
            </w:pPr>
            <w:r>
              <w:rPr>
                <w:i w:val="0"/>
                <w:iCs w:val="0"/>
                <w:color w:val="auto"/>
                <w:spacing w:val="-2"/>
                <w:sz w:val="18"/>
              </w:rPr>
              <w:t>三级中医院绩效考核</w:t>
            </w:r>
          </w:p>
        </w:tc>
        <w:tc>
          <w:tcPr>
            <w:tcW w:w="456" w:type="dxa"/>
          </w:tcPr>
          <w:p w14:paraId="7226DA06">
            <w:pPr>
              <w:pStyle w:val="25"/>
              <w:spacing w:line="265" w:lineRule="exact"/>
              <w:ind w:right="8"/>
              <w:jc w:val="center"/>
              <w:rPr>
                <w:i w:val="0"/>
                <w:iCs w:val="0"/>
                <w:color w:val="auto"/>
              </w:rPr>
            </w:pPr>
            <w:r>
              <w:rPr>
                <w:i w:val="0"/>
                <w:iCs w:val="0"/>
                <w:color w:val="auto"/>
              </w:rPr>
              <w:t>项</w:t>
            </w:r>
          </w:p>
        </w:tc>
        <w:tc>
          <w:tcPr>
            <w:tcW w:w="458" w:type="dxa"/>
          </w:tcPr>
          <w:p w14:paraId="5E93F9C9">
            <w:pPr>
              <w:pStyle w:val="25"/>
              <w:spacing w:line="265" w:lineRule="exact"/>
              <w:ind w:right="98"/>
              <w:jc w:val="right"/>
              <w:rPr>
                <w:i w:val="0"/>
                <w:iCs w:val="0"/>
                <w:color w:val="auto"/>
              </w:rPr>
            </w:pPr>
            <w:r>
              <w:rPr>
                <w:i w:val="0"/>
                <w:iCs w:val="0"/>
                <w:color w:val="auto"/>
              </w:rPr>
              <w:t>1</w:t>
            </w:r>
          </w:p>
        </w:tc>
      </w:tr>
    </w:tbl>
    <w:p w14:paraId="6E1117B8">
      <w:pPr>
        <w:spacing w:line="265" w:lineRule="exact"/>
        <w:jc w:val="right"/>
        <w:rPr>
          <w:i w:val="0"/>
          <w:iCs w:val="0"/>
          <w:color w:val="auto"/>
        </w:rPr>
        <w:sectPr>
          <w:footerReference r:id="rId6" w:type="default"/>
          <w:pgSz w:w="11910" w:h="16840"/>
          <w:pgMar w:top="1460" w:right="1440" w:bottom="2010" w:left="1580" w:header="0" w:footer="1492" w:gutter="0"/>
          <w:cols w:space="708" w:num="1"/>
        </w:sectPr>
      </w:pPr>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1623"/>
        <w:gridCol w:w="4530"/>
        <w:gridCol w:w="456"/>
        <w:gridCol w:w="458"/>
      </w:tblGrid>
      <w:tr w14:paraId="3EDA4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Borders>
              <w:top w:val="nil"/>
            </w:tcBorders>
          </w:tcPr>
          <w:p w14:paraId="7D6C9C14">
            <w:pPr>
              <w:pStyle w:val="25"/>
              <w:rPr>
                <w:rFonts w:ascii="Times New Roman"/>
                <w:i w:val="0"/>
                <w:iCs w:val="0"/>
                <w:color w:val="auto"/>
                <w:sz w:val="18"/>
              </w:rPr>
            </w:pPr>
          </w:p>
        </w:tc>
        <w:tc>
          <w:tcPr>
            <w:tcW w:w="1001" w:type="dxa"/>
            <w:vMerge w:val="restart"/>
            <w:tcBorders>
              <w:top w:val="nil"/>
            </w:tcBorders>
          </w:tcPr>
          <w:p w14:paraId="0A8E758B">
            <w:pPr>
              <w:pStyle w:val="25"/>
              <w:spacing w:line="230" w:lineRule="exact"/>
              <w:ind w:left="4"/>
              <w:jc w:val="center"/>
              <w:rPr>
                <w:i w:val="0"/>
                <w:iCs w:val="0"/>
                <w:color w:val="auto"/>
                <w:sz w:val="18"/>
              </w:rPr>
            </w:pPr>
            <w:r>
              <w:rPr>
                <w:i w:val="0"/>
                <w:iCs w:val="0"/>
                <w:color w:val="auto"/>
                <w:sz w:val="18"/>
              </w:rPr>
              <w:t>统</w:t>
            </w:r>
          </w:p>
        </w:tc>
        <w:tc>
          <w:tcPr>
            <w:tcW w:w="6153" w:type="dxa"/>
            <w:gridSpan w:val="2"/>
          </w:tcPr>
          <w:p w14:paraId="64807324">
            <w:pPr>
              <w:pStyle w:val="25"/>
              <w:spacing w:before="26"/>
              <w:ind w:left="2002" w:right="1994"/>
              <w:jc w:val="center"/>
              <w:rPr>
                <w:i w:val="0"/>
                <w:iCs w:val="0"/>
                <w:color w:val="auto"/>
                <w:sz w:val="18"/>
              </w:rPr>
            </w:pPr>
            <w:r>
              <w:rPr>
                <w:i w:val="0"/>
                <w:iCs w:val="0"/>
                <w:color w:val="auto"/>
                <w:spacing w:val="-15"/>
                <w:sz w:val="18"/>
              </w:rPr>
              <w:t xml:space="preserve">移动 </w:t>
            </w:r>
            <w:r>
              <w:rPr>
                <w:i w:val="0"/>
                <w:iCs w:val="0"/>
                <w:color w:val="auto"/>
                <w:spacing w:val="-5"/>
                <w:sz w:val="18"/>
              </w:rPr>
              <w:t>BI</w:t>
            </w:r>
          </w:p>
        </w:tc>
        <w:tc>
          <w:tcPr>
            <w:tcW w:w="456" w:type="dxa"/>
            <w:tcBorders>
              <w:top w:val="nil"/>
            </w:tcBorders>
          </w:tcPr>
          <w:p w14:paraId="6A466DD7">
            <w:pPr>
              <w:pStyle w:val="25"/>
              <w:spacing w:line="265" w:lineRule="exact"/>
              <w:ind w:right="8"/>
              <w:jc w:val="center"/>
              <w:rPr>
                <w:i w:val="0"/>
                <w:iCs w:val="0"/>
                <w:color w:val="auto"/>
              </w:rPr>
            </w:pPr>
            <w:r>
              <w:rPr>
                <w:i w:val="0"/>
                <w:iCs w:val="0"/>
                <w:color w:val="auto"/>
              </w:rPr>
              <w:t>项</w:t>
            </w:r>
          </w:p>
        </w:tc>
        <w:tc>
          <w:tcPr>
            <w:tcW w:w="458" w:type="dxa"/>
            <w:tcBorders>
              <w:top w:val="nil"/>
            </w:tcBorders>
          </w:tcPr>
          <w:p w14:paraId="5ECBB584">
            <w:pPr>
              <w:pStyle w:val="25"/>
              <w:spacing w:line="265" w:lineRule="exact"/>
              <w:ind w:right="98"/>
              <w:jc w:val="right"/>
              <w:rPr>
                <w:i w:val="0"/>
                <w:iCs w:val="0"/>
                <w:color w:val="auto"/>
              </w:rPr>
            </w:pPr>
            <w:r>
              <w:rPr>
                <w:i w:val="0"/>
                <w:iCs w:val="0"/>
                <w:color w:val="auto"/>
              </w:rPr>
              <w:t>1</w:t>
            </w:r>
          </w:p>
        </w:tc>
      </w:tr>
      <w:tr w14:paraId="0D00F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FB90005">
            <w:pPr>
              <w:rPr>
                <w:i w:val="0"/>
                <w:iCs w:val="0"/>
                <w:color w:val="auto"/>
                <w:sz w:val="2"/>
                <w:szCs w:val="2"/>
              </w:rPr>
            </w:pPr>
          </w:p>
        </w:tc>
        <w:tc>
          <w:tcPr>
            <w:tcW w:w="1001" w:type="dxa"/>
            <w:vMerge w:val="continue"/>
            <w:tcBorders>
              <w:top w:val="nil"/>
            </w:tcBorders>
          </w:tcPr>
          <w:p w14:paraId="3C04B63B">
            <w:pPr>
              <w:rPr>
                <w:i w:val="0"/>
                <w:iCs w:val="0"/>
                <w:color w:val="auto"/>
                <w:sz w:val="2"/>
                <w:szCs w:val="2"/>
              </w:rPr>
            </w:pPr>
          </w:p>
        </w:tc>
        <w:tc>
          <w:tcPr>
            <w:tcW w:w="6153" w:type="dxa"/>
            <w:gridSpan w:val="2"/>
          </w:tcPr>
          <w:p w14:paraId="2D06893E">
            <w:pPr>
              <w:pStyle w:val="25"/>
              <w:spacing w:before="26"/>
              <w:ind w:left="2000" w:right="1994"/>
              <w:jc w:val="center"/>
              <w:rPr>
                <w:i w:val="0"/>
                <w:iCs w:val="0"/>
                <w:color w:val="auto"/>
                <w:sz w:val="18"/>
              </w:rPr>
            </w:pPr>
            <w:r>
              <w:rPr>
                <w:i w:val="0"/>
                <w:iCs w:val="0"/>
                <w:color w:val="auto"/>
                <w:spacing w:val="-2"/>
                <w:sz w:val="18"/>
              </w:rPr>
              <w:t>全院统一应用门户</w:t>
            </w:r>
          </w:p>
        </w:tc>
        <w:tc>
          <w:tcPr>
            <w:tcW w:w="456" w:type="dxa"/>
          </w:tcPr>
          <w:p w14:paraId="1EBE3734">
            <w:pPr>
              <w:pStyle w:val="25"/>
              <w:spacing w:line="266" w:lineRule="exact"/>
              <w:ind w:right="8"/>
              <w:jc w:val="center"/>
              <w:rPr>
                <w:i w:val="0"/>
                <w:iCs w:val="0"/>
                <w:color w:val="auto"/>
              </w:rPr>
            </w:pPr>
            <w:r>
              <w:rPr>
                <w:i w:val="0"/>
                <w:iCs w:val="0"/>
                <w:color w:val="auto"/>
              </w:rPr>
              <w:t>项</w:t>
            </w:r>
          </w:p>
        </w:tc>
        <w:tc>
          <w:tcPr>
            <w:tcW w:w="458" w:type="dxa"/>
          </w:tcPr>
          <w:p w14:paraId="731164AC">
            <w:pPr>
              <w:pStyle w:val="25"/>
              <w:spacing w:line="266" w:lineRule="exact"/>
              <w:ind w:right="98"/>
              <w:jc w:val="right"/>
              <w:rPr>
                <w:i w:val="0"/>
                <w:iCs w:val="0"/>
                <w:color w:val="auto"/>
              </w:rPr>
            </w:pPr>
            <w:r>
              <w:rPr>
                <w:i w:val="0"/>
                <w:iCs w:val="0"/>
                <w:color w:val="auto"/>
              </w:rPr>
              <w:t>1</w:t>
            </w:r>
          </w:p>
        </w:tc>
      </w:tr>
      <w:tr w14:paraId="09E25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397C517">
            <w:pPr>
              <w:rPr>
                <w:i w:val="0"/>
                <w:iCs w:val="0"/>
                <w:color w:val="auto"/>
                <w:sz w:val="2"/>
                <w:szCs w:val="2"/>
              </w:rPr>
            </w:pPr>
          </w:p>
        </w:tc>
        <w:tc>
          <w:tcPr>
            <w:tcW w:w="1001" w:type="dxa"/>
            <w:vMerge w:val="continue"/>
            <w:tcBorders>
              <w:top w:val="nil"/>
            </w:tcBorders>
          </w:tcPr>
          <w:p w14:paraId="24566B6B">
            <w:pPr>
              <w:rPr>
                <w:i w:val="0"/>
                <w:iCs w:val="0"/>
                <w:color w:val="auto"/>
                <w:sz w:val="2"/>
                <w:szCs w:val="2"/>
              </w:rPr>
            </w:pPr>
          </w:p>
        </w:tc>
        <w:tc>
          <w:tcPr>
            <w:tcW w:w="6153" w:type="dxa"/>
            <w:gridSpan w:val="2"/>
          </w:tcPr>
          <w:p w14:paraId="7AF1191B">
            <w:pPr>
              <w:pStyle w:val="25"/>
              <w:spacing w:before="26"/>
              <w:ind w:left="2000" w:right="1994"/>
              <w:jc w:val="center"/>
              <w:rPr>
                <w:i w:val="0"/>
                <w:iCs w:val="0"/>
                <w:color w:val="auto"/>
                <w:sz w:val="18"/>
              </w:rPr>
            </w:pPr>
            <w:r>
              <w:rPr>
                <w:i w:val="0"/>
                <w:iCs w:val="0"/>
                <w:color w:val="auto"/>
                <w:spacing w:val="-2"/>
                <w:sz w:val="18"/>
              </w:rPr>
              <w:t>患者全息视图</w:t>
            </w:r>
          </w:p>
        </w:tc>
        <w:tc>
          <w:tcPr>
            <w:tcW w:w="456" w:type="dxa"/>
          </w:tcPr>
          <w:p w14:paraId="54C0B322">
            <w:pPr>
              <w:pStyle w:val="25"/>
              <w:spacing w:line="265" w:lineRule="exact"/>
              <w:ind w:right="8"/>
              <w:jc w:val="center"/>
              <w:rPr>
                <w:i w:val="0"/>
                <w:iCs w:val="0"/>
                <w:color w:val="auto"/>
              </w:rPr>
            </w:pPr>
            <w:r>
              <w:rPr>
                <w:i w:val="0"/>
                <w:iCs w:val="0"/>
                <w:color w:val="auto"/>
              </w:rPr>
              <w:t>项</w:t>
            </w:r>
          </w:p>
        </w:tc>
        <w:tc>
          <w:tcPr>
            <w:tcW w:w="458" w:type="dxa"/>
          </w:tcPr>
          <w:p w14:paraId="40A000BB">
            <w:pPr>
              <w:pStyle w:val="25"/>
              <w:spacing w:line="265" w:lineRule="exact"/>
              <w:ind w:right="98"/>
              <w:jc w:val="right"/>
              <w:rPr>
                <w:i w:val="0"/>
                <w:iCs w:val="0"/>
                <w:color w:val="auto"/>
              </w:rPr>
            </w:pPr>
            <w:r>
              <w:rPr>
                <w:i w:val="0"/>
                <w:iCs w:val="0"/>
                <w:color w:val="auto"/>
              </w:rPr>
              <w:t>1</w:t>
            </w:r>
          </w:p>
        </w:tc>
      </w:tr>
      <w:tr w14:paraId="1700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590C1A4C">
            <w:pPr>
              <w:pStyle w:val="25"/>
              <w:spacing w:before="1"/>
              <w:rPr>
                <w:b/>
                <w:i w:val="0"/>
                <w:iCs w:val="0"/>
                <w:color w:val="auto"/>
                <w:sz w:val="25"/>
              </w:rPr>
            </w:pPr>
          </w:p>
          <w:p w14:paraId="2147FE21">
            <w:pPr>
              <w:pStyle w:val="25"/>
              <w:ind w:left="8"/>
              <w:jc w:val="center"/>
              <w:rPr>
                <w:i w:val="0"/>
                <w:iCs w:val="0"/>
                <w:color w:val="auto"/>
                <w:sz w:val="18"/>
              </w:rPr>
            </w:pPr>
            <w:r>
              <w:rPr>
                <w:i w:val="0"/>
                <w:iCs w:val="0"/>
                <w:color w:val="auto"/>
                <w:sz w:val="18"/>
              </w:rPr>
              <w:t>3</w:t>
            </w:r>
          </w:p>
        </w:tc>
        <w:tc>
          <w:tcPr>
            <w:tcW w:w="1001" w:type="dxa"/>
            <w:vMerge w:val="restart"/>
          </w:tcPr>
          <w:p w14:paraId="09A387C8">
            <w:pPr>
              <w:pStyle w:val="25"/>
              <w:spacing w:before="1"/>
              <w:rPr>
                <w:b/>
                <w:i w:val="0"/>
                <w:iCs w:val="0"/>
                <w:color w:val="auto"/>
                <w:sz w:val="16"/>
              </w:rPr>
            </w:pPr>
          </w:p>
          <w:p w14:paraId="19D31020">
            <w:pPr>
              <w:pStyle w:val="25"/>
              <w:spacing w:line="242" w:lineRule="auto"/>
              <w:ind w:left="318" w:right="130" w:hanging="180"/>
              <w:rPr>
                <w:i w:val="0"/>
                <w:iCs w:val="0"/>
                <w:color w:val="auto"/>
                <w:sz w:val="18"/>
              </w:rPr>
            </w:pPr>
            <w:r>
              <w:rPr>
                <w:i w:val="0"/>
                <w:iCs w:val="0"/>
                <w:color w:val="auto"/>
                <w:spacing w:val="-4"/>
                <w:sz w:val="18"/>
              </w:rPr>
              <w:t>医院数据</w:t>
            </w:r>
            <w:r>
              <w:rPr>
                <w:i w:val="0"/>
                <w:iCs w:val="0"/>
                <w:color w:val="auto"/>
                <w:spacing w:val="-6"/>
                <w:sz w:val="18"/>
              </w:rPr>
              <w:t>中心</w:t>
            </w:r>
          </w:p>
        </w:tc>
        <w:tc>
          <w:tcPr>
            <w:tcW w:w="6153" w:type="dxa"/>
            <w:gridSpan w:val="2"/>
          </w:tcPr>
          <w:p w14:paraId="24C96171">
            <w:pPr>
              <w:pStyle w:val="25"/>
              <w:spacing w:before="26"/>
              <w:ind w:left="2000" w:right="1994"/>
              <w:jc w:val="center"/>
              <w:rPr>
                <w:i w:val="0"/>
                <w:iCs w:val="0"/>
                <w:color w:val="auto"/>
                <w:sz w:val="18"/>
              </w:rPr>
            </w:pPr>
            <w:r>
              <w:rPr>
                <w:i w:val="0"/>
                <w:iCs w:val="0"/>
                <w:color w:val="auto"/>
                <w:spacing w:val="-3"/>
                <w:sz w:val="18"/>
              </w:rPr>
              <w:t>数据治理</w:t>
            </w:r>
          </w:p>
        </w:tc>
        <w:tc>
          <w:tcPr>
            <w:tcW w:w="456" w:type="dxa"/>
          </w:tcPr>
          <w:p w14:paraId="6DFE9B7F">
            <w:pPr>
              <w:pStyle w:val="25"/>
              <w:spacing w:line="265" w:lineRule="exact"/>
              <w:ind w:right="8"/>
              <w:jc w:val="center"/>
              <w:rPr>
                <w:i w:val="0"/>
                <w:iCs w:val="0"/>
                <w:color w:val="auto"/>
              </w:rPr>
            </w:pPr>
            <w:r>
              <w:rPr>
                <w:i w:val="0"/>
                <w:iCs w:val="0"/>
                <w:color w:val="auto"/>
              </w:rPr>
              <w:t>项</w:t>
            </w:r>
          </w:p>
        </w:tc>
        <w:tc>
          <w:tcPr>
            <w:tcW w:w="458" w:type="dxa"/>
          </w:tcPr>
          <w:p w14:paraId="35B4C602">
            <w:pPr>
              <w:pStyle w:val="25"/>
              <w:spacing w:line="265" w:lineRule="exact"/>
              <w:ind w:right="98"/>
              <w:jc w:val="right"/>
              <w:rPr>
                <w:i w:val="0"/>
                <w:iCs w:val="0"/>
                <w:color w:val="auto"/>
              </w:rPr>
            </w:pPr>
            <w:r>
              <w:rPr>
                <w:i w:val="0"/>
                <w:iCs w:val="0"/>
                <w:color w:val="auto"/>
              </w:rPr>
              <w:t>1</w:t>
            </w:r>
          </w:p>
        </w:tc>
      </w:tr>
      <w:tr w14:paraId="68D1C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0AA2265">
            <w:pPr>
              <w:rPr>
                <w:i w:val="0"/>
                <w:iCs w:val="0"/>
                <w:color w:val="auto"/>
                <w:sz w:val="2"/>
                <w:szCs w:val="2"/>
              </w:rPr>
            </w:pPr>
          </w:p>
        </w:tc>
        <w:tc>
          <w:tcPr>
            <w:tcW w:w="1001" w:type="dxa"/>
            <w:vMerge w:val="continue"/>
            <w:tcBorders>
              <w:top w:val="nil"/>
            </w:tcBorders>
          </w:tcPr>
          <w:p w14:paraId="1BF0252A">
            <w:pPr>
              <w:rPr>
                <w:i w:val="0"/>
                <w:iCs w:val="0"/>
                <w:color w:val="auto"/>
                <w:sz w:val="2"/>
                <w:szCs w:val="2"/>
              </w:rPr>
            </w:pPr>
          </w:p>
        </w:tc>
        <w:tc>
          <w:tcPr>
            <w:tcW w:w="6153" w:type="dxa"/>
            <w:gridSpan w:val="2"/>
          </w:tcPr>
          <w:p w14:paraId="4984ADF0">
            <w:pPr>
              <w:pStyle w:val="25"/>
              <w:spacing w:before="26"/>
              <w:ind w:left="2000" w:right="1994"/>
              <w:jc w:val="center"/>
              <w:rPr>
                <w:i w:val="0"/>
                <w:iCs w:val="0"/>
                <w:color w:val="auto"/>
                <w:sz w:val="18"/>
              </w:rPr>
            </w:pPr>
            <w:r>
              <w:rPr>
                <w:i w:val="0"/>
                <w:iCs w:val="0"/>
                <w:color w:val="auto"/>
                <w:spacing w:val="-2"/>
                <w:sz w:val="18"/>
              </w:rPr>
              <w:t>临床数据中心</w:t>
            </w:r>
          </w:p>
        </w:tc>
        <w:tc>
          <w:tcPr>
            <w:tcW w:w="456" w:type="dxa"/>
          </w:tcPr>
          <w:p w14:paraId="180FF326">
            <w:pPr>
              <w:pStyle w:val="25"/>
              <w:spacing w:line="265" w:lineRule="exact"/>
              <w:ind w:right="8"/>
              <w:jc w:val="center"/>
              <w:rPr>
                <w:i w:val="0"/>
                <w:iCs w:val="0"/>
                <w:color w:val="auto"/>
              </w:rPr>
            </w:pPr>
            <w:r>
              <w:rPr>
                <w:i w:val="0"/>
                <w:iCs w:val="0"/>
                <w:color w:val="auto"/>
              </w:rPr>
              <w:t>项</w:t>
            </w:r>
          </w:p>
        </w:tc>
        <w:tc>
          <w:tcPr>
            <w:tcW w:w="458" w:type="dxa"/>
          </w:tcPr>
          <w:p w14:paraId="6DD8DE67">
            <w:pPr>
              <w:pStyle w:val="25"/>
              <w:spacing w:line="265" w:lineRule="exact"/>
              <w:ind w:right="98"/>
              <w:jc w:val="right"/>
              <w:rPr>
                <w:i w:val="0"/>
                <w:iCs w:val="0"/>
                <w:color w:val="auto"/>
              </w:rPr>
            </w:pPr>
            <w:r>
              <w:rPr>
                <w:i w:val="0"/>
                <w:iCs w:val="0"/>
                <w:color w:val="auto"/>
              </w:rPr>
              <w:t>1</w:t>
            </w:r>
          </w:p>
        </w:tc>
      </w:tr>
      <w:tr w14:paraId="351AC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3905F5D">
            <w:pPr>
              <w:rPr>
                <w:i w:val="0"/>
                <w:iCs w:val="0"/>
                <w:color w:val="auto"/>
                <w:sz w:val="2"/>
                <w:szCs w:val="2"/>
              </w:rPr>
            </w:pPr>
          </w:p>
        </w:tc>
        <w:tc>
          <w:tcPr>
            <w:tcW w:w="1001" w:type="dxa"/>
            <w:vMerge w:val="continue"/>
            <w:tcBorders>
              <w:top w:val="nil"/>
            </w:tcBorders>
          </w:tcPr>
          <w:p w14:paraId="001A380E">
            <w:pPr>
              <w:rPr>
                <w:i w:val="0"/>
                <w:iCs w:val="0"/>
                <w:color w:val="auto"/>
                <w:sz w:val="2"/>
                <w:szCs w:val="2"/>
              </w:rPr>
            </w:pPr>
          </w:p>
        </w:tc>
        <w:tc>
          <w:tcPr>
            <w:tcW w:w="6153" w:type="dxa"/>
            <w:gridSpan w:val="2"/>
          </w:tcPr>
          <w:p w14:paraId="1EE30C53">
            <w:pPr>
              <w:pStyle w:val="25"/>
              <w:spacing w:before="26"/>
              <w:ind w:left="2004" w:right="1993"/>
              <w:jc w:val="center"/>
              <w:rPr>
                <w:i w:val="0"/>
                <w:iCs w:val="0"/>
                <w:color w:val="auto"/>
                <w:sz w:val="18"/>
              </w:rPr>
            </w:pPr>
            <w:r>
              <w:rPr>
                <w:i w:val="0"/>
                <w:iCs w:val="0"/>
                <w:color w:val="auto"/>
                <w:sz w:val="18"/>
              </w:rPr>
              <w:t>运营管理数据中心</w:t>
            </w:r>
            <w:r>
              <w:rPr>
                <w:i w:val="0"/>
                <w:iCs w:val="0"/>
                <w:color w:val="auto"/>
                <w:spacing w:val="-4"/>
                <w:sz w:val="18"/>
              </w:rPr>
              <w:t>（MDR）</w:t>
            </w:r>
          </w:p>
        </w:tc>
        <w:tc>
          <w:tcPr>
            <w:tcW w:w="456" w:type="dxa"/>
          </w:tcPr>
          <w:p w14:paraId="05EE6412">
            <w:pPr>
              <w:pStyle w:val="25"/>
              <w:spacing w:line="265" w:lineRule="exact"/>
              <w:ind w:right="8"/>
              <w:jc w:val="center"/>
              <w:rPr>
                <w:i w:val="0"/>
                <w:iCs w:val="0"/>
                <w:color w:val="auto"/>
              </w:rPr>
            </w:pPr>
            <w:r>
              <w:rPr>
                <w:i w:val="0"/>
                <w:iCs w:val="0"/>
                <w:color w:val="auto"/>
              </w:rPr>
              <w:t>项</w:t>
            </w:r>
          </w:p>
        </w:tc>
        <w:tc>
          <w:tcPr>
            <w:tcW w:w="458" w:type="dxa"/>
          </w:tcPr>
          <w:p w14:paraId="691EB0D4">
            <w:pPr>
              <w:pStyle w:val="25"/>
              <w:spacing w:line="265" w:lineRule="exact"/>
              <w:ind w:right="98"/>
              <w:jc w:val="right"/>
              <w:rPr>
                <w:i w:val="0"/>
                <w:iCs w:val="0"/>
                <w:color w:val="auto"/>
              </w:rPr>
            </w:pPr>
            <w:r>
              <w:rPr>
                <w:i w:val="0"/>
                <w:iCs w:val="0"/>
                <w:color w:val="auto"/>
              </w:rPr>
              <w:t>1</w:t>
            </w:r>
          </w:p>
        </w:tc>
      </w:tr>
      <w:tr w14:paraId="573D3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3ED3114E">
            <w:pPr>
              <w:pStyle w:val="25"/>
              <w:rPr>
                <w:b/>
                <w:i w:val="0"/>
                <w:iCs w:val="0"/>
                <w:color w:val="auto"/>
                <w:sz w:val="18"/>
              </w:rPr>
            </w:pPr>
          </w:p>
          <w:p w14:paraId="3916CF74">
            <w:pPr>
              <w:pStyle w:val="25"/>
              <w:rPr>
                <w:b/>
                <w:i w:val="0"/>
                <w:iCs w:val="0"/>
                <w:color w:val="auto"/>
                <w:sz w:val="18"/>
              </w:rPr>
            </w:pPr>
          </w:p>
          <w:p w14:paraId="23AD98C8">
            <w:pPr>
              <w:pStyle w:val="25"/>
              <w:rPr>
                <w:b/>
                <w:i w:val="0"/>
                <w:iCs w:val="0"/>
                <w:color w:val="auto"/>
                <w:sz w:val="18"/>
              </w:rPr>
            </w:pPr>
          </w:p>
          <w:p w14:paraId="1910DD0F">
            <w:pPr>
              <w:pStyle w:val="25"/>
              <w:rPr>
                <w:b/>
                <w:i w:val="0"/>
                <w:iCs w:val="0"/>
                <w:color w:val="auto"/>
                <w:sz w:val="18"/>
              </w:rPr>
            </w:pPr>
          </w:p>
          <w:p w14:paraId="0BD81A1C">
            <w:pPr>
              <w:pStyle w:val="25"/>
              <w:rPr>
                <w:b/>
                <w:i w:val="0"/>
                <w:iCs w:val="0"/>
                <w:color w:val="auto"/>
                <w:sz w:val="18"/>
              </w:rPr>
            </w:pPr>
          </w:p>
          <w:p w14:paraId="5C4D456B">
            <w:pPr>
              <w:pStyle w:val="25"/>
              <w:rPr>
                <w:b/>
                <w:i w:val="0"/>
                <w:iCs w:val="0"/>
                <w:color w:val="auto"/>
                <w:sz w:val="18"/>
              </w:rPr>
            </w:pPr>
          </w:p>
          <w:p w14:paraId="7F2D65EA">
            <w:pPr>
              <w:pStyle w:val="25"/>
              <w:rPr>
                <w:b/>
                <w:i w:val="0"/>
                <w:iCs w:val="0"/>
                <w:color w:val="auto"/>
                <w:sz w:val="18"/>
              </w:rPr>
            </w:pPr>
          </w:p>
          <w:p w14:paraId="6BD62BC0">
            <w:pPr>
              <w:pStyle w:val="25"/>
              <w:rPr>
                <w:b/>
                <w:i w:val="0"/>
                <w:iCs w:val="0"/>
                <w:color w:val="auto"/>
                <w:sz w:val="18"/>
              </w:rPr>
            </w:pPr>
          </w:p>
          <w:p w14:paraId="14B9CA0C">
            <w:pPr>
              <w:pStyle w:val="25"/>
              <w:rPr>
                <w:b/>
                <w:i w:val="0"/>
                <w:iCs w:val="0"/>
                <w:color w:val="auto"/>
                <w:sz w:val="18"/>
              </w:rPr>
            </w:pPr>
          </w:p>
          <w:p w14:paraId="53FC1FDA">
            <w:pPr>
              <w:pStyle w:val="25"/>
              <w:rPr>
                <w:b/>
                <w:i w:val="0"/>
                <w:iCs w:val="0"/>
                <w:color w:val="auto"/>
                <w:sz w:val="18"/>
              </w:rPr>
            </w:pPr>
          </w:p>
          <w:p w14:paraId="43792629">
            <w:pPr>
              <w:pStyle w:val="25"/>
              <w:rPr>
                <w:b/>
                <w:i w:val="0"/>
                <w:iCs w:val="0"/>
                <w:color w:val="auto"/>
                <w:sz w:val="18"/>
              </w:rPr>
            </w:pPr>
          </w:p>
          <w:p w14:paraId="69680691">
            <w:pPr>
              <w:pStyle w:val="25"/>
              <w:rPr>
                <w:b/>
                <w:i w:val="0"/>
                <w:iCs w:val="0"/>
                <w:color w:val="auto"/>
                <w:sz w:val="18"/>
              </w:rPr>
            </w:pPr>
          </w:p>
          <w:p w14:paraId="6C724F95">
            <w:pPr>
              <w:pStyle w:val="25"/>
              <w:rPr>
                <w:b/>
                <w:i w:val="0"/>
                <w:iCs w:val="0"/>
                <w:color w:val="auto"/>
                <w:sz w:val="18"/>
              </w:rPr>
            </w:pPr>
          </w:p>
          <w:p w14:paraId="754F0492">
            <w:pPr>
              <w:pStyle w:val="25"/>
              <w:spacing w:before="129"/>
              <w:ind w:left="8"/>
              <w:jc w:val="center"/>
              <w:rPr>
                <w:i w:val="0"/>
                <w:iCs w:val="0"/>
                <w:color w:val="auto"/>
                <w:sz w:val="18"/>
              </w:rPr>
            </w:pPr>
            <w:r>
              <w:rPr>
                <w:i w:val="0"/>
                <w:iCs w:val="0"/>
                <w:color w:val="auto"/>
                <w:sz w:val="18"/>
              </w:rPr>
              <w:t>4</w:t>
            </w:r>
          </w:p>
        </w:tc>
        <w:tc>
          <w:tcPr>
            <w:tcW w:w="1001" w:type="dxa"/>
            <w:vMerge w:val="restart"/>
          </w:tcPr>
          <w:p w14:paraId="623A6891">
            <w:pPr>
              <w:pStyle w:val="25"/>
              <w:rPr>
                <w:b/>
                <w:i w:val="0"/>
                <w:iCs w:val="0"/>
                <w:color w:val="auto"/>
                <w:sz w:val="18"/>
              </w:rPr>
            </w:pPr>
          </w:p>
          <w:p w14:paraId="3B9EDD94">
            <w:pPr>
              <w:pStyle w:val="25"/>
              <w:rPr>
                <w:b/>
                <w:i w:val="0"/>
                <w:iCs w:val="0"/>
                <w:color w:val="auto"/>
                <w:sz w:val="18"/>
              </w:rPr>
            </w:pPr>
          </w:p>
          <w:p w14:paraId="524FBF6E">
            <w:pPr>
              <w:pStyle w:val="25"/>
              <w:rPr>
                <w:b/>
                <w:i w:val="0"/>
                <w:iCs w:val="0"/>
                <w:color w:val="auto"/>
                <w:sz w:val="18"/>
              </w:rPr>
            </w:pPr>
          </w:p>
          <w:p w14:paraId="28168034">
            <w:pPr>
              <w:pStyle w:val="25"/>
              <w:rPr>
                <w:b/>
                <w:i w:val="0"/>
                <w:iCs w:val="0"/>
                <w:color w:val="auto"/>
                <w:sz w:val="18"/>
              </w:rPr>
            </w:pPr>
          </w:p>
          <w:p w14:paraId="57322708">
            <w:pPr>
              <w:pStyle w:val="25"/>
              <w:rPr>
                <w:b/>
                <w:i w:val="0"/>
                <w:iCs w:val="0"/>
                <w:color w:val="auto"/>
                <w:sz w:val="18"/>
              </w:rPr>
            </w:pPr>
          </w:p>
          <w:p w14:paraId="532EF00F">
            <w:pPr>
              <w:pStyle w:val="25"/>
              <w:rPr>
                <w:b/>
                <w:i w:val="0"/>
                <w:iCs w:val="0"/>
                <w:color w:val="auto"/>
                <w:sz w:val="18"/>
              </w:rPr>
            </w:pPr>
          </w:p>
          <w:p w14:paraId="20211D63">
            <w:pPr>
              <w:pStyle w:val="25"/>
              <w:rPr>
                <w:b/>
                <w:i w:val="0"/>
                <w:iCs w:val="0"/>
                <w:color w:val="auto"/>
                <w:sz w:val="18"/>
              </w:rPr>
            </w:pPr>
          </w:p>
          <w:p w14:paraId="07F33C3C">
            <w:pPr>
              <w:pStyle w:val="25"/>
              <w:rPr>
                <w:b/>
                <w:i w:val="0"/>
                <w:iCs w:val="0"/>
                <w:color w:val="auto"/>
                <w:sz w:val="18"/>
              </w:rPr>
            </w:pPr>
          </w:p>
          <w:p w14:paraId="5E6A08D1">
            <w:pPr>
              <w:pStyle w:val="25"/>
              <w:rPr>
                <w:b/>
                <w:i w:val="0"/>
                <w:iCs w:val="0"/>
                <w:color w:val="auto"/>
                <w:sz w:val="18"/>
              </w:rPr>
            </w:pPr>
          </w:p>
          <w:p w14:paraId="57BD8868">
            <w:pPr>
              <w:pStyle w:val="25"/>
              <w:rPr>
                <w:b/>
                <w:i w:val="0"/>
                <w:iCs w:val="0"/>
                <w:color w:val="auto"/>
                <w:sz w:val="18"/>
              </w:rPr>
            </w:pPr>
          </w:p>
          <w:p w14:paraId="63D1259D">
            <w:pPr>
              <w:pStyle w:val="25"/>
              <w:rPr>
                <w:b/>
                <w:i w:val="0"/>
                <w:iCs w:val="0"/>
                <w:color w:val="auto"/>
                <w:sz w:val="18"/>
              </w:rPr>
            </w:pPr>
          </w:p>
          <w:p w14:paraId="4F8ADBD7">
            <w:pPr>
              <w:pStyle w:val="25"/>
              <w:rPr>
                <w:b/>
                <w:i w:val="0"/>
                <w:iCs w:val="0"/>
                <w:color w:val="auto"/>
                <w:sz w:val="18"/>
              </w:rPr>
            </w:pPr>
          </w:p>
          <w:p w14:paraId="5769FFE7">
            <w:pPr>
              <w:pStyle w:val="25"/>
              <w:rPr>
                <w:b/>
                <w:i w:val="0"/>
                <w:iCs w:val="0"/>
                <w:color w:val="auto"/>
                <w:sz w:val="18"/>
              </w:rPr>
            </w:pPr>
          </w:p>
          <w:p w14:paraId="138B30D1">
            <w:pPr>
              <w:pStyle w:val="25"/>
              <w:spacing w:before="129"/>
              <w:ind w:left="138"/>
              <w:rPr>
                <w:i w:val="0"/>
                <w:iCs w:val="0"/>
                <w:color w:val="auto"/>
                <w:sz w:val="18"/>
              </w:rPr>
            </w:pPr>
            <w:r>
              <w:rPr>
                <w:i w:val="0"/>
                <w:iCs w:val="0"/>
                <w:color w:val="auto"/>
                <w:spacing w:val="-3"/>
                <w:sz w:val="18"/>
              </w:rPr>
              <w:t>医疗管理</w:t>
            </w:r>
          </w:p>
        </w:tc>
        <w:tc>
          <w:tcPr>
            <w:tcW w:w="1623" w:type="dxa"/>
            <w:vMerge w:val="restart"/>
          </w:tcPr>
          <w:p w14:paraId="3E2FD708">
            <w:pPr>
              <w:pStyle w:val="25"/>
              <w:rPr>
                <w:b/>
                <w:i w:val="0"/>
                <w:iCs w:val="0"/>
                <w:color w:val="auto"/>
                <w:sz w:val="18"/>
              </w:rPr>
            </w:pPr>
          </w:p>
          <w:p w14:paraId="0E2E2BE0">
            <w:pPr>
              <w:pStyle w:val="25"/>
              <w:spacing w:before="122" w:line="242" w:lineRule="auto"/>
              <w:ind w:left="722" w:right="169" w:hanging="541"/>
              <w:rPr>
                <w:i w:val="0"/>
                <w:iCs w:val="0"/>
                <w:color w:val="auto"/>
                <w:sz w:val="18"/>
              </w:rPr>
            </w:pPr>
            <w:r>
              <w:rPr>
                <w:i w:val="0"/>
                <w:iCs w:val="0"/>
                <w:color w:val="auto"/>
                <w:spacing w:val="-2"/>
                <w:sz w:val="18"/>
              </w:rPr>
              <w:t>数据上报管理系</w:t>
            </w:r>
            <w:r>
              <w:rPr>
                <w:i w:val="0"/>
                <w:iCs w:val="0"/>
                <w:color w:val="auto"/>
                <w:spacing w:val="-10"/>
                <w:sz w:val="18"/>
              </w:rPr>
              <w:t>统</w:t>
            </w:r>
          </w:p>
        </w:tc>
        <w:tc>
          <w:tcPr>
            <w:tcW w:w="4530" w:type="dxa"/>
          </w:tcPr>
          <w:p w14:paraId="4A8A1535">
            <w:pPr>
              <w:pStyle w:val="25"/>
              <w:spacing w:before="26"/>
              <w:ind w:left="193" w:right="183"/>
              <w:jc w:val="center"/>
              <w:rPr>
                <w:i w:val="0"/>
                <w:iCs w:val="0"/>
                <w:color w:val="auto"/>
                <w:sz w:val="18"/>
              </w:rPr>
            </w:pPr>
            <w:r>
              <w:rPr>
                <w:i w:val="0"/>
                <w:iCs w:val="0"/>
                <w:color w:val="auto"/>
                <w:spacing w:val="-1"/>
                <w:sz w:val="18"/>
              </w:rPr>
              <w:t>医疗安全(不良)事件上报</w:t>
            </w:r>
          </w:p>
        </w:tc>
        <w:tc>
          <w:tcPr>
            <w:tcW w:w="456" w:type="dxa"/>
          </w:tcPr>
          <w:p w14:paraId="20E29E51">
            <w:pPr>
              <w:pStyle w:val="25"/>
              <w:spacing w:line="265" w:lineRule="exact"/>
              <w:ind w:right="8"/>
              <w:jc w:val="center"/>
              <w:rPr>
                <w:i w:val="0"/>
                <w:iCs w:val="0"/>
                <w:color w:val="auto"/>
              </w:rPr>
            </w:pPr>
            <w:r>
              <w:rPr>
                <w:i w:val="0"/>
                <w:iCs w:val="0"/>
                <w:color w:val="auto"/>
              </w:rPr>
              <w:t>项</w:t>
            </w:r>
          </w:p>
        </w:tc>
        <w:tc>
          <w:tcPr>
            <w:tcW w:w="458" w:type="dxa"/>
          </w:tcPr>
          <w:p w14:paraId="0E434E37">
            <w:pPr>
              <w:pStyle w:val="25"/>
              <w:spacing w:line="265" w:lineRule="exact"/>
              <w:ind w:right="98"/>
              <w:jc w:val="right"/>
              <w:rPr>
                <w:i w:val="0"/>
                <w:iCs w:val="0"/>
                <w:color w:val="auto"/>
              </w:rPr>
            </w:pPr>
            <w:r>
              <w:rPr>
                <w:i w:val="0"/>
                <w:iCs w:val="0"/>
                <w:color w:val="auto"/>
              </w:rPr>
              <w:t>1</w:t>
            </w:r>
          </w:p>
        </w:tc>
      </w:tr>
      <w:tr w14:paraId="53461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1E4E6C0">
            <w:pPr>
              <w:rPr>
                <w:i w:val="0"/>
                <w:iCs w:val="0"/>
                <w:color w:val="auto"/>
                <w:sz w:val="2"/>
                <w:szCs w:val="2"/>
              </w:rPr>
            </w:pPr>
          </w:p>
        </w:tc>
        <w:tc>
          <w:tcPr>
            <w:tcW w:w="1001" w:type="dxa"/>
            <w:vMerge w:val="continue"/>
            <w:tcBorders>
              <w:top w:val="nil"/>
            </w:tcBorders>
          </w:tcPr>
          <w:p w14:paraId="30225B9D">
            <w:pPr>
              <w:rPr>
                <w:i w:val="0"/>
                <w:iCs w:val="0"/>
                <w:color w:val="auto"/>
                <w:sz w:val="2"/>
                <w:szCs w:val="2"/>
              </w:rPr>
            </w:pPr>
          </w:p>
        </w:tc>
        <w:tc>
          <w:tcPr>
            <w:tcW w:w="1623" w:type="dxa"/>
            <w:vMerge w:val="continue"/>
            <w:tcBorders>
              <w:top w:val="nil"/>
            </w:tcBorders>
          </w:tcPr>
          <w:p w14:paraId="0D288F31">
            <w:pPr>
              <w:rPr>
                <w:i w:val="0"/>
                <w:iCs w:val="0"/>
                <w:color w:val="auto"/>
                <w:sz w:val="2"/>
                <w:szCs w:val="2"/>
              </w:rPr>
            </w:pPr>
          </w:p>
        </w:tc>
        <w:tc>
          <w:tcPr>
            <w:tcW w:w="4530" w:type="dxa"/>
          </w:tcPr>
          <w:p w14:paraId="31957FE6">
            <w:pPr>
              <w:pStyle w:val="25"/>
              <w:spacing w:before="26"/>
              <w:ind w:left="192" w:right="184"/>
              <w:jc w:val="center"/>
              <w:rPr>
                <w:i w:val="0"/>
                <w:iCs w:val="0"/>
                <w:color w:val="auto"/>
                <w:sz w:val="18"/>
              </w:rPr>
            </w:pPr>
            <w:r>
              <w:rPr>
                <w:i w:val="0"/>
                <w:iCs w:val="0"/>
                <w:color w:val="auto"/>
                <w:spacing w:val="-2"/>
                <w:sz w:val="18"/>
              </w:rPr>
              <w:t>传染病信息上报</w:t>
            </w:r>
          </w:p>
        </w:tc>
        <w:tc>
          <w:tcPr>
            <w:tcW w:w="456" w:type="dxa"/>
          </w:tcPr>
          <w:p w14:paraId="36FF6C34">
            <w:pPr>
              <w:pStyle w:val="25"/>
              <w:spacing w:line="265" w:lineRule="exact"/>
              <w:ind w:right="8"/>
              <w:jc w:val="center"/>
              <w:rPr>
                <w:i w:val="0"/>
                <w:iCs w:val="0"/>
                <w:color w:val="auto"/>
              </w:rPr>
            </w:pPr>
            <w:r>
              <w:rPr>
                <w:i w:val="0"/>
                <w:iCs w:val="0"/>
                <w:color w:val="auto"/>
              </w:rPr>
              <w:t>项</w:t>
            </w:r>
          </w:p>
        </w:tc>
        <w:tc>
          <w:tcPr>
            <w:tcW w:w="458" w:type="dxa"/>
          </w:tcPr>
          <w:p w14:paraId="3B2F8293">
            <w:pPr>
              <w:pStyle w:val="25"/>
              <w:spacing w:line="265" w:lineRule="exact"/>
              <w:ind w:right="98"/>
              <w:jc w:val="right"/>
              <w:rPr>
                <w:i w:val="0"/>
                <w:iCs w:val="0"/>
                <w:color w:val="auto"/>
              </w:rPr>
            </w:pPr>
            <w:r>
              <w:rPr>
                <w:i w:val="0"/>
                <w:iCs w:val="0"/>
                <w:color w:val="auto"/>
              </w:rPr>
              <w:t>1</w:t>
            </w:r>
          </w:p>
        </w:tc>
      </w:tr>
      <w:tr w14:paraId="7699C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0602B9F">
            <w:pPr>
              <w:rPr>
                <w:i w:val="0"/>
                <w:iCs w:val="0"/>
                <w:color w:val="auto"/>
                <w:sz w:val="2"/>
                <w:szCs w:val="2"/>
              </w:rPr>
            </w:pPr>
          </w:p>
        </w:tc>
        <w:tc>
          <w:tcPr>
            <w:tcW w:w="1001" w:type="dxa"/>
            <w:vMerge w:val="continue"/>
            <w:tcBorders>
              <w:top w:val="nil"/>
            </w:tcBorders>
          </w:tcPr>
          <w:p w14:paraId="508FE2E0">
            <w:pPr>
              <w:rPr>
                <w:i w:val="0"/>
                <w:iCs w:val="0"/>
                <w:color w:val="auto"/>
                <w:sz w:val="2"/>
                <w:szCs w:val="2"/>
              </w:rPr>
            </w:pPr>
          </w:p>
        </w:tc>
        <w:tc>
          <w:tcPr>
            <w:tcW w:w="1623" w:type="dxa"/>
            <w:vMerge w:val="continue"/>
            <w:tcBorders>
              <w:top w:val="nil"/>
            </w:tcBorders>
          </w:tcPr>
          <w:p w14:paraId="2CFB27F7">
            <w:pPr>
              <w:rPr>
                <w:i w:val="0"/>
                <w:iCs w:val="0"/>
                <w:color w:val="auto"/>
                <w:sz w:val="2"/>
                <w:szCs w:val="2"/>
              </w:rPr>
            </w:pPr>
          </w:p>
        </w:tc>
        <w:tc>
          <w:tcPr>
            <w:tcW w:w="4530" w:type="dxa"/>
          </w:tcPr>
          <w:p w14:paraId="5342B5A0">
            <w:pPr>
              <w:pStyle w:val="25"/>
              <w:spacing w:before="26"/>
              <w:ind w:left="192" w:right="184"/>
              <w:jc w:val="center"/>
              <w:rPr>
                <w:i w:val="0"/>
                <w:iCs w:val="0"/>
                <w:color w:val="auto"/>
                <w:sz w:val="18"/>
              </w:rPr>
            </w:pPr>
            <w:r>
              <w:rPr>
                <w:i w:val="0"/>
                <w:iCs w:val="0"/>
                <w:color w:val="auto"/>
                <w:spacing w:val="-1"/>
                <w:sz w:val="18"/>
              </w:rPr>
              <w:t>重大非传染性疾病及死亡信息上报</w:t>
            </w:r>
          </w:p>
        </w:tc>
        <w:tc>
          <w:tcPr>
            <w:tcW w:w="456" w:type="dxa"/>
          </w:tcPr>
          <w:p w14:paraId="2C84B0F7">
            <w:pPr>
              <w:pStyle w:val="25"/>
              <w:spacing w:line="265" w:lineRule="exact"/>
              <w:ind w:right="8"/>
              <w:jc w:val="center"/>
              <w:rPr>
                <w:i w:val="0"/>
                <w:iCs w:val="0"/>
                <w:color w:val="auto"/>
              </w:rPr>
            </w:pPr>
            <w:r>
              <w:rPr>
                <w:i w:val="0"/>
                <w:iCs w:val="0"/>
                <w:color w:val="auto"/>
              </w:rPr>
              <w:t>项</w:t>
            </w:r>
          </w:p>
        </w:tc>
        <w:tc>
          <w:tcPr>
            <w:tcW w:w="458" w:type="dxa"/>
          </w:tcPr>
          <w:p w14:paraId="55562014">
            <w:pPr>
              <w:pStyle w:val="25"/>
              <w:spacing w:line="265" w:lineRule="exact"/>
              <w:ind w:right="98"/>
              <w:jc w:val="right"/>
              <w:rPr>
                <w:i w:val="0"/>
                <w:iCs w:val="0"/>
                <w:color w:val="auto"/>
              </w:rPr>
            </w:pPr>
            <w:r>
              <w:rPr>
                <w:i w:val="0"/>
                <w:iCs w:val="0"/>
                <w:color w:val="auto"/>
              </w:rPr>
              <w:t>1</w:t>
            </w:r>
          </w:p>
        </w:tc>
      </w:tr>
      <w:tr w14:paraId="7FB66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299AD3D">
            <w:pPr>
              <w:rPr>
                <w:i w:val="0"/>
                <w:iCs w:val="0"/>
                <w:color w:val="auto"/>
                <w:sz w:val="2"/>
                <w:szCs w:val="2"/>
              </w:rPr>
            </w:pPr>
          </w:p>
        </w:tc>
        <w:tc>
          <w:tcPr>
            <w:tcW w:w="1001" w:type="dxa"/>
            <w:vMerge w:val="continue"/>
            <w:tcBorders>
              <w:top w:val="nil"/>
            </w:tcBorders>
          </w:tcPr>
          <w:p w14:paraId="7F2B4D11">
            <w:pPr>
              <w:rPr>
                <w:i w:val="0"/>
                <w:iCs w:val="0"/>
                <w:color w:val="auto"/>
                <w:sz w:val="2"/>
                <w:szCs w:val="2"/>
              </w:rPr>
            </w:pPr>
          </w:p>
        </w:tc>
        <w:tc>
          <w:tcPr>
            <w:tcW w:w="1623" w:type="dxa"/>
            <w:vMerge w:val="continue"/>
            <w:tcBorders>
              <w:top w:val="nil"/>
            </w:tcBorders>
          </w:tcPr>
          <w:p w14:paraId="337020F8">
            <w:pPr>
              <w:rPr>
                <w:i w:val="0"/>
                <w:iCs w:val="0"/>
                <w:color w:val="auto"/>
                <w:sz w:val="2"/>
                <w:szCs w:val="2"/>
              </w:rPr>
            </w:pPr>
          </w:p>
        </w:tc>
        <w:tc>
          <w:tcPr>
            <w:tcW w:w="4530" w:type="dxa"/>
          </w:tcPr>
          <w:p w14:paraId="6A2DB5F8">
            <w:pPr>
              <w:pStyle w:val="25"/>
              <w:spacing w:before="26"/>
              <w:ind w:left="191" w:right="184"/>
              <w:jc w:val="center"/>
              <w:rPr>
                <w:i w:val="0"/>
                <w:iCs w:val="0"/>
                <w:color w:val="auto"/>
                <w:sz w:val="18"/>
              </w:rPr>
            </w:pPr>
            <w:r>
              <w:rPr>
                <w:i w:val="0"/>
                <w:iCs w:val="0"/>
                <w:color w:val="auto"/>
                <w:spacing w:val="-2"/>
                <w:sz w:val="18"/>
              </w:rPr>
              <w:t>食源性疾病信息上报</w:t>
            </w:r>
          </w:p>
        </w:tc>
        <w:tc>
          <w:tcPr>
            <w:tcW w:w="456" w:type="dxa"/>
          </w:tcPr>
          <w:p w14:paraId="6F2A9884">
            <w:pPr>
              <w:pStyle w:val="25"/>
              <w:spacing w:line="265" w:lineRule="exact"/>
              <w:ind w:right="8"/>
              <w:jc w:val="center"/>
              <w:rPr>
                <w:i w:val="0"/>
                <w:iCs w:val="0"/>
                <w:color w:val="auto"/>
              </w:rPr>
            </w:pPr>
            <w:r>
              <w:rPr>
                <w:i w:val="0"/>
                <w:iCs w:val="0"/>
                <w:color w:val="auto"/>
              </w:rPr>
              <w:t>项</w:t>
            </w:r>
          </w:p>
        </w:tc>
        <w:tc>
          <w:tcPr>
            <w:tcW w:w="458" w:type="dxa"/>
          </w:tcPr>
          <w:p w14:paraId="329520C4">
            <w:pPr>
              <w:pStyle w:val="25"/>
              <w:spacing w:line="265" w:lineRule="exact"/>
              <w:ind w:right="98"/>
              <w:jc w:val="right"/>
              <w:rPr>
                <w:i w:val="0"/>
                <w:iCs w:val="0"/>
                <w:color w:val="auto"/>
              </w:rPr>
            </w:pPr>
            <w:r>
              <w:rPr>
                <w:i w:val="0"/>
                <w:iCs w:val="0"/>
                <w:color w:val="auto"/>
              </w:rPr>
              <w:t>1</w:t>
            </w:r>
          </w:p>
        </w:tc>
      </w:tr>
      <w:tr w14:paraId="08615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2AB759A3">
            <w:pPr>
              <w:rPr>
                <w:i w:val="0"/>
                <w:iCs w:val="0"/>
                <w:color w:val="auto"/>
                <w:sz w:val="2"/>
                <w:szCs w:val="2"/>
              </w:rPr>
            </w:pPr>
          </w:p>
        </w:tc>
        <w:tc>
          <w:tcPr>
            <w:tcW w:w="1001" w:type="dxa"/>
            <w:vMerge w:val="continue"/>
            <w:tcBorders>
              <w:top w:val="nil"/>
            </w:tcBorders>
          </w:tcPr>
          <w:p w14:paraId="7F2B0EF8">
            <w:pPr>
              <w:rPr>
                <w:i w:val="0"/>
                <w:iCs w:val="0"/>
                <w:color w:val="auto"/>
                <w:sz w:val="2"/>
                <w:szCs w:val="2"/>
              </w:rPr>
            </w:pPr>
          </w:p>
        </w:tc>
        <w:tc>
          <w:tcPr>
            <w:tcW w:w="6153" w:type="dxa"/>
            <w:gridSpan w:val="2"/>
          </w:tcPr>
          <w:p w14:paraId="460314AA">
            <w:pPr>
              <w:pStyle w:val="25"/>
              <w:spacing w:before="26"/>
              <w:ind w:left="2000" w:right="1994"/>
              <w:jc w:val="center"/>
              <w:rPr>
                <w:i w:val="0"/>
                <w:iCs w:val="0"/>
                <w:color w:val="auto"/>
                <w:sz w:val="18"/>
              </w:rPr>
            </w:pPr>
            <w:r>
              <w:rPr>
                <w:i w:val="0"/>
                <w:iCs w:val="0"/>
                <w:color w:val="auto"/>
                <w:spacing w:val="-2"/>
                <w:sz w:val="18"/>
              </w:rPr>
              <w:t>院感管理系统</w:t>
            </w:r>
          </w:p>
        </w:tc>
        <w:tc>
          <w:tcPr>
            <w:tcW w:w="456" w:type="dxa"/>
          </w:tcPr>
          <w:p w14:paraId="37A72403">
            <w:pPr>
              <w:pStyle w:val="25"/>
              <w:spacing w:line="267" w:lineRule="exact"/>
              <w:ind w:right="8"/>
              <w:jc w:val="center"/>
              <w:rPr>
                <w:i w:val="0"/>
                <w:iCs w:val="0"/>
                <w:color w:val="auto"/>
              </w:rPr>
            </w:pPr>
            <w:r>
              <w:rPr>
                <w:i w:val="0"/>
                <w:iCs w:val="0"/>
                <w:color w:val="auto"/>
              </w:rPr>
              <w:t>项</w:t>
            </w:r>
          </w:p>
        </w:tc>
        <w:tc>
          <w:tcPr>
            <w:tcW w:w="458" w:type="dxa"/>
          </w:tcPr>
          <w:p w14:paraId="1488C77C">
            <w:pPr>
              <w:pStyle w:val="25"/>
              <w:spacing w:line="267" w:lineRule="exact"/>
              <w:ind w:right="98"/>
              <w:jc w:val="right"/>
              <w:rPr>
                <w:i w:val="0"/>
                <w:iCs w:val="0"/>
                <w:color w:val="auto"/>
              </w:rPr>
            </w:pPr>
            <w:r>
              <w:rPr>
                <w:i w:val="0"/>
                <w:iCs w:val="0"/>
                <w:color w:val="auto"/>
              </w:rPr>
              <w:t>1</w:t>
            </w:r>
          </w:p>
        </w:tc>
      </w:tr>
      <w:tr w14:paraId="0DAC1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3E7860B">
            <w:pPr>
              <w:rPr>
                <w:i w:val="0"/>
                <w:iCs w:val="0"/>
                <w:color w:val="auto"/>
                <w:sz w:val="2"/>
                <w:szCs w:val="2"/>
              </w:rPr>
            </w:pPr>
          </w:p>
        </w:tc>
        <w:tc>
          <w:tcPr>
            <w:tcW w:w="1001" w:type="dxa"/>
            <w:vMerge w:val="continue"/>
            <w:tcBorders>
              <w:top w:val="nil"/>
            </w:tcBorders>
          </w:tcPr>
          <w:p w14:paraId="042B7591">
            <w:pPr>
              <w:rPr>
                <w:i w:val="0"/>
                <w:iCs w:val="0"/>
                <w:color w:val="auto"/>
                <w:sz w:val="2"/>
                <w:szCs w:val="2"/>
              </w:rPr>
            </w:pPr>
          </w:p>
        </w:tc>
        <w:tc>
          <w:tcPr>
            <w:tcW w:w="6153" w:type="dxa"/>
            <w:gridSpan w:val="2"/>
          </w:tcPr>
          <w:p w14:paraId="050CF95E">
            <w:pPr>
              <w:pStyle w:val="25"/>
              <w:spacing w:before="24"/>
              <w:ind w:left="2000" w:right="1994"/>
              <w:jc w:val="center"/>
              <w:rPr>
                <w:i w:val="0"/>
                <w:iCs w:val="0"/>
                <w:color w:val="auto"/>
                <w:sz w:val="18"/>
              </w:rPr>
            </w:pPr>
            <w:r>
              <w:rPr>
                <w:i w:val="0"/>
                <w:iCs w:val="0"/>
                <w:color w:val="auto"/>
                <w:spacing w:val="-2"/>
                <w:sz w:val="18"/>
              </w:rPr>
              <w:t>消毒供应追溯系统</w:t>
            </w:r>
          </w:p>
        </w:tc>
        <w:tc>
          <w:tcPr>
            <w:tcW w:w="456" w:type="dxa"/>
          </w:tcPr>
          <w:p w14:paraId="0ACB6F01">
            <w:pPr>
              <w:pStyle w:val="25"/>
              <w:spacing w:line="265" w:lineRule="exact"/>
              <w:ind w:right="8"/>
              <w:jc w:val="center"/>
              <w:rPr>
                <w:i w:val="0"/>
                <w:iCs w:val="0"/>
                <w:color w:val="auto"/>
              </w:rPr>
            </w:pPr>
            <w:r>
              <w:rPr>
                <w:i w:val="0"/>
                <w:iCs w:val="0"/>
                <w:color w:val="auto"/>
              </w:rPr>
              <w:t>项</w:t>
            </w:r>
          </w:p>
        </w:tc>
        <w:tc>
          <w:tcPr>
            <w:tcW w:w="458" w:type="dxa"/>
          </w:tcPr>
          <w:p w14:paraId="127E609E">
            <w:pPr>
              <w:pStyle w:val="25"/>
              <w:spacing w:line="265" w:lineRule="exact"/>
              <w:ind w:right="98"/>
              <w:jc w:val="right"/>
              <w:rPr>
                <w:i w:val="0"/>
                <w:iCs w:val="0"/>
                <w:color w:val="auto"/>
              </w:rPr>
            </w:pPr>
            <w:r>
              <w:rPr>
                <w:i w:val="0"/>
                <w:iCs w:val="0"/>
                <w:color w:val="auto"/>
              </w:rPr>
              <w:t>1</w:t>
            </w:r>
          </w:p>
        </w:tc>
      </w:tr>
      <w:tr w14:paraId="3927A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AD2EB93">
            <w:pPr>
              <w:rPr>
                <w:i w:val="0"/>
                <w:iCs w:val="0"/>
                <w:color w:val="auto"/>
                <w:sz w:val="2"/>
                <w:szCs w:val="2"/>
              </w:rPr>
            </w:pPr>
          </w:p>
        </w:tc>
        <w:tc>
          <w:tcPr>
            <w:tcW w:w="1001" w:type="dxa"/>
            <w:vMerge w:val="continue"/>
            <w:tcBorders>
              <w:top w:val="nil"/>
            </w:tcBorders>
          </w:tcPr>
          <w:p w14:paraId="218E525A">
            <w:pPr>
              <w:rPr>
                <w:i w:val="0"/>
                <w:iCs w:val="0"/>
                <w:color w:val="auto"/>
                <w:sz w:val="2"/>
                <w:szCs w:val="2"/>
              </w:rPr>
            </w:pPr>
          </w:p>
        </w:tc>
        <w:tc>
          <w:tcPr>
            <w:tcW w:w="1623" w:type="dxa"/>
            <w:vMerge w:val="restart"/>
          </w:tcPr>
          <w:p w14:paraId="7FC4066E">
            <w:pPr>
              <w:pStyle w:val="25"/>
              <w:rPr>
                <w:b/>
                <w:i w:val="0"/>
                <w:iCs w:val="0"/>
                <w:color w:val="auto"/>
                <w:sz w:val="18"/>
              </w:rPr>
            </w:pPr>
          </w:p>
          <w:p w14:paraId="65404F31">
            <w:pPr>
              <w:pStyle w:val="25"/>
              <w:rPr>
                <w:b/>
                <w:i w:val="0"/>
                <w:iCs w:val="0"/>
                <w:color w:val="auto"/>
                <w:sz w:val="18"/>
              </w:rPr>
            </w:pPr>
          </w:p>
          <w:p w14:paraId="2926B56E">
            <w:pPr>
              <w:pStyle w:val="25"/>
              <w:rPr>
                <w:b/>
                <w:i w:val="0"/>
                <w:iCs w:val="0"/>
                <w:color w:val="auto"/>
                <w:sz w:val="18"/>
              </w:rPr>
            </w:pPr>
          </w:p>
          <w:p w14:paraId="7E8929EB">
            <w:pPr>
              <w:pStyle w:val="25"/>
              <w:rPr>
                <w:b/>
                <w:i w:val="0"/>
                <w:iCs w:val="0"/>
                <w:color w:val="auto"/>
                <w:sz w:val="18"/>
              </w:rPr>
            </w:pPr>
          </w:p>
          <w:p w14:paraId="111CEB4B">
            <w:pPr>
              <w:pStyle w:val="25"/>
              <w:spacing w:before="136"/>
              <w:ind w:left="270"/>
              <w:rPr>
                <w:i w:val="0"/>
                <w:iCs w:val="0"/>
                <w:color w:val="auto"/>
                <w:sz w:val="18"/>
              </w:rPr>
            </w:pPr>
            <w:r>
              <w:rPr>
                <w:i w:val="0"/>
                <w:iCs w:val="0"/>
                <w:color w:val="auto"/>
                <w:spacing w:val="-2"/>
                <w:sz w:val="18"/>
              </w:rPr>
              <w:t>药品管理系统</w:t>
            </w:r>
          </w:p>
        </w:tc>
        <w:tc>
          <w:tcPr>
            <w:tcW w:w="4530" w:type="dxa"/>
          </w:tcPr>
          <w:p w14:paraId="7E0EC191">
            <w:pPr>
              <w:pStyle w:val="25"/>
              <w:spacing w:before="26"/>
              <w:ind w:left="192" w:right="184"/>
              <w:jc w:val="center"/>
              <w:rPr>
                <w:i w:val="0"/>
                <w:iCs w:val="0"/>
                <w:color w:val="auto"/>
                <w:sz w:val="18"/>
              </w:rPr>
            </w:pPr>
            <w:r>
              <w:rPr>
                <w:i w:val="0"/>
                <w:iCs w:val="0"/>
                <w:color w:val="auto"/>
                <w:spacing w:val="-1"/>
                <w:sz w:val="18"/>
              </w:rPr>
              <w:t>门急诊中/西药房管理系统</w:t>
            </w:r>
          </w:p>
        </w:tc>
        <w:tc>
          <w:tcPr>
            <w:tcW w:w="456" w:type="dxa"/>
          </w:tcPr>
          <w:p w14:paraId="0CCD4B56">
            <w:pPr>
              <w:pStyle w:val="25"/>
              <w:spacing w:line="265" w:lineRule="exact"/>
              <w:ind w:right="8"/>
              <w:jc w:val="center"/>
              <w:rPr>
                <w:i w:val="0"/>
                <w:iCs w:val="0"/>
                <w:color w:val="auto"/>
              </w:rPr>
            </w:pPr>
            <w:r>
              <w:rPr>
                <w:i w:val="0"/>
                <w:iCs w:val="0"/>
                <w:color w:val="auto"/>
              </w:rPr>
              <w:t>项</w:t>
            </w:r>
          </w:p>
        </w:tc>
        <w:tc>
          <w:tcPr>
            <w:tcW w:w="458" w:type="dxa"/>
          </w:tcPr>
          <w:p w14:paraId="5E2108B0">
            <w:pPr>
              <w:pStyle w:val="25"/>
              <w:spacing w:line="265" w:lineRule="exact"/>
              <w:ind w:right="98"/>
              <w:jc w:val="right"/>
              <w:rPr>
                <w:i w:val="0"/>
                <w:iCs w:val="0"/>
                <w:color w:val="auto"/>
              </w:rPr>
            </w:pPr>
            <w:r>
              <w:rPr>
                <w:i w:val="0"/>
                <w:iCs w:val="0"/>
                <w:color w:val="auto"/>
              </w:rPr>
              <w:t>1</w:t>
            </w:r>
          </w:p>
        </w:tc>
      </w:tr>
      <w:tr w14:paraId="10964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383A2CA">
            <w:pPr>
              <w:rPr>
                <w:i w:val="0"/>
                <w:iCs w:val="0"/>
                <w:color w:val="auto"/>
                <w:sz w:val="2"/>
                <w:szCs w:val="2"/>
              </w:rPr>
            </w:pPr>
          </w:p>
        </w:tc>
        <w:tc>
          <w:tcPr>
            <w:tcW w:w="1001" w:type="dxa"/>
            <w:vMerge w:val="continue"/>
            <w:tcBorders>
              <w:top w:val="nil"/>
            </w:tcBorders>
          </w:tcPr>
          <w:p w14:paraId="37227152">
            <w:pPr>
              <w:rPr>
                <w:i w:val="0"/>
                <w:iCs w:val="0"/>
                <w:color w:val="auto"/>
                <w:sz w:val="2"/>
                <w:szCs w:val="2"/>
              </w:rPr>
            </w:pPr>
          </w:p>
        </w:tc>
        <w:tc>
          <w:tcPr>
            <w:tcW w:w="1623" w:type="dxa"/>
            <w:vMerge w:val="continue"/>
            <w:tcBorders>
              <w:top w:val="nil"/>
            </w:tcBorders>
          </w:tcPr>
          <w:p w14:paraId="3EEC45F0">
            <w:pPr>
              <w:rPr>
                <w:i w:val="0"/>
                <w:iCs w:val="0"/>
                <w:color w:val="auto"/>
                <w:sz w:val="2"/>
                <w:szCs w:val="2"/>
              </w:rPr>
            </w:pPr>
          </w:p>
        </w:tc>
        <w:tc>
          <w:tcPr>
            <w:tcW w:w="4530" w:type="dxa"/>
          </w:tcPr>
          <w:p w14:paraId="6C8712ED">
            <w:pPr>
              <w:pStyle w:val="25"/>
              <w:spacing w:before="26"/>
              <w:ind w:left="189" w:right="184"/>
              <w:jc w:val="center"/>
              <w:rPr>
                <w:i w:val="0"/>
                <w:iCs w:val="0"/>
                <w:color w:val="auto"/>
                <w:sz w:val="18"/>
              </w:rPr>
            </w:pPr>
            <w:r>
              <w:rPr>
                <w:i w:val="0"/>
                <w:iCs w:val="0"/>
                <w:color w:val="auto"/>
                <w:spacing w:val="-1"/>
                <w:sz w:val="18"/>
              </w:rPr>
              <w:t>病区中心药房管理系统</w:t>
            </w:r>
          </w:p>
        </w:tc>
        <w:tc>
          <w:tcPr>
            <w:tcW w:w="456" w:type="dxa"/>
          </w:tcPr>
          <w:p w14:paraId="7D99358E">
            <w:pPr>
              <w:pStyle w:val="25"/>
              <w:spacing w:line="266" w:lineRule="exact"/>
              <w:ind w:right="8"/>
              <w:jc w:val="center"/>
              <w:rPr>
                <w:i w:val="0"/>
                <w:iCs w:val="0"/>
                <w:color w:val="auto"/>
              </w:rPr>
            </w:pPr>
            <w:r>
              <w:rPr>
                <w:i w:val="0"/>
                <w:iCs w:val="0"/>
                <w:color w:val="auto"/>
              </w:rPr>
              <w:t>项</w:t>
            </w:r>
          </w:p>
        </w:tc>
        <w:tc>
          <w:tcPr>
            <w:tcW w:w="458" w:type="dxa"/>
          </w:tcPr>
          <w:p w14:paraId="76E75614">
            <w:pPr>
              <w:pStyle w:val="25"/>
              <w:spacing w:line="266" w:lineRule="exact"/>
              <w:ind w:right="98"/>
              <w:jc w:val="right"/>
              <w:rPr>
                <w:i w:val="0"/>
                <w:iCs w:val="0"/>
                <w:color w:val="auto"/>
              </w:rPr>
            </w:pPr>
            <w:r>
              <w:rPr>
                <w:i w:val="0"/>
                <w:iCs w:val="0"/>
                <w:color w:val="auto"/>
              </w:rPr>
              <w:t>1</w:t>
            </w:r>
          </w:p>
        </w:tc>
      </w:tr>
      <w:tr w14:paraId="58E52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0884F9A">
            <w:pPr>
              <w:rPr>
                <w:i w:val="0"/>
                <w:iCs w:val="0"/>
                <w:color w:val="auto"/>
                <w:sz w:val="2"/>
                <w:szCs w:val="2"/>
              </w:rPr>
            </w:pPr>
          </w:p>
        </w:tc>
        <w:tc>
          <w:tcPr>
            <w:tcW w:w="1001" w:type="dxa"/>
            <w:vMerge w:val="continue"/>
            <w:tcBorders>
              <w:top w:val="nil"/>
            </w:tcBorders>
          </w:tcPr>
          <w:p w14:paraId="40913A61">
            <w:pPr>
              <w:rPr>
                <w:i w:val="0"/>
                <w:iCs w:val="0"/>
                <w:color w:val="auto"/>
                <w:sz w:val="2"/>
                <w:szCs w:val="2"/>
              </w:rPr>
            </w:pPr>
          </w:p>
        </w:tc>
        <w:tc>
          <w:tcPr>
            <w:tcW w:w="1623" w:type="dxa"/>
            <w:vMerge w:val="continue"/>
            <w:tcBorders>
              <w:top w:val="nil"/>
            </w:tcBorders>
          </w:tcPr>
          <w:p w14:paraId="3052BCA9">
            <w:pPr>
              <w:rPr>
                <w:i w:val="0"/>
                <w:iCs w:val="0"/>
                <w:color w:val="auto"/>
                <w:sz w:val="2"/>
                <w:szCs w:val="2"/>
              </w:rPr>
            </w:pPr>
          </w:p>
        </w:tc>
        <w:tc>
          <w:tcPr>
            <w:tcW w:w="4530" w:type="dxa"/>
          </w:tcPr>
          <w:p w14:paraId="2FD21893">
            <w:pPr>
              <w:pStyle w:val="25"/>
              <w:spacing w:before="26"/>
              <w:ind w:left="189" w:right="184"/>
              <w:jc w:val="center"/>
              <w:rPr>
                <w:i w:val="0"/>
                <w:iCs w:val="0"/>
                <w:color w:val="auto"/>
                <w:sz w:val="18"/>
              </w:rPr>
            </w:pPr>
            <w:r>
              <w:rPr>
                <w:i w:val="0"/>
                <w:iCs w:val="0"/>
                <w:color w:val="auto"/>
                <w:spacing w:val="-2"/>
                <w:sz w:val="18"/>
              </w:rPr>
              <w:t>中西药库管理系统</w:t>
            </w:r>
          </w:p>
        </w:tc>
        <w:tc>
          <w:tcPr>
            <w:tcW w:w="456" w:type="dxa"/>
          </w:tcPr>
          <w:p w14:paraId="465FB3A3">
            <w:pPr>
              <w:pStyle w:val="25"/>
              <w:spacing w:line="265" w:lineRule="exact"/>
              <w:ind w:right="8"/>
              <w:jc w:val="center"/>
              <w:rPr>
                <w:i w:val="0"/>
                <w:iCs w:val="0"/>
                <w:color w:val="auto"/>
              </w:rPr>
            </w:pPr>
            <w:r>
              <w:rPr>
                <w:i w:val="0"/>
                <w:iCs w:val="0"/>
                <w:color w:val="auto"/>
              </w:rPr>
              <w:t>项</w:t>
            </w:r>
          </w:p>
        </w:tc>
        <w:tc>
          <w:tcPr>
            <w:tcW w:w="458" w:type="dxa"/>
          </w:tcPr>
          <w:p w14:paraId="48A63588">
            <w:pPr>
              <w:pStyle w:val="25"/>
              <w:spacing w:line="265" w:lineRule="exact"/>
              <w:ind w:right="98"/>
              <w:jc w:val="right"/>
              <w:rPr>
                <w:i w:val="0"/>
                <w:iCs w:val="0"/>
                <w:color w:val="auto"/>
              </w:rPr>
            </w:pPr>
            <w:r>
              <w:rPr>
                <w:i w:val="0"/>
                <w:iCs w:val="0"/>
                <w:color w:val="auto"/>
              </w:rPr>
              <w:t>1</w:t>
            </w:r>
          </w:p>
        </w:tc>
      </w:tr>
      <w:tr w14:paraId="39674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D832EAC">
            <w:pPr>
              <w:rPr>
                <w:i w:val="0"/>
                <w:iCs w:val="0"/>
                <w:color w:val="auto"/>
                <w:sz w:val="2"/>
                <w:szCs w:val="2"/>
              </w:rPr>
            </w:pPr>
          </w:p>
        </w:tc>
        <w:tc>
          <w:tcPr>
            <w:tcW w:w="1001" w:type="dxa"/>
            <w:vMerge w:val="continue"/>
            <w:tcBorders>
              <w:top w:val="nil"/>
            </w:tcBorders>
          </w:tcPr>
          <w:p w14:paraId="212D6891">
            <w:pPr>
              <w:rPr>
                <w:i w:val="0"/>
                <w:iCs w:val="0"/>
                <w:color w:val="auto"/>
                <w:sz w:val="2"/>
                <w:szCs w:val="2"/>
              </w:rPr>
            </w:pPr>
          </w:p>
        </w:tc>
        <w:tc>
          <w:tcPr>
            <w:tcW w:w="1623" w:type="dxa"/>
            <w:vMerge w:val="continue"/>
            <w:tcBorders>
              <w:top w:val="nil"/>
            </w:tcBorders>
          </w:tcPr>
          <w:p w14:paraId="627779AA">
            <w:pPr>
              <w:rPr>
                <w:i w:val="0"/>
                <w:iCs w:val="0"/>
                <w:color w:val="auto"/>
                <w:sz w:val="2"/>
                <w:szCs w:val="2"/>
              </w:rPr>
            </w:pPr>
          </w:p>
        </w:tc>
        <w:tc>
          <w:tcPr>
            <w:tcW w:w="4530" w:type="dxa"/>
          </w:tcPr>
          <w:p w14:paraId="70D41C73">
            <w:pPr>
              <w:pStyle w:val="25"/>
              <w:spacing w:before="26"/>
              <w:ind w:left="189" w:right="184"/>
              <w:jc w:val="center"/>
              <w:rPr>
                <w:i w:val="0"/>
                <w:iCs w:val="0"/>
                <w:color w:val="auto"/>
                <w:sz w:val="18"/>
              </w:rPr>
            </w:pPr>
            <w:r>
              <w:rPr>
                <w:i w:val="0"/>
                <w:iCs w:val="0"/>
                <w:color w:val="auto"/>
                <w:spacing w:val="-2"/>
                <w:sz w:val="18"/>
              </w:rPr>
              <w:t>处方点评管理系统</w:t>
            </w:r>
          </w:p>
        </w:tc>
        <w:tc>
          <w:tcPr>
            <w:tcW w:w="456" w:type="dxa"/>
          </w:tcPr>
          <w:p w14:paraId="5B21155C">
            <w:pPr>
              <w:pStyle w:val="25"/>
              <w:spacing w:line="265" w:lineRule="exact"/>
              <w:ind w:right="8"/>
              <w:jc w:val="center"/>
              <w:rPr>
                <w:i w:val="0"/>
                <w:iCs w:val="0"/>
                <w:color w:val="auto"/>
              </w:rPr>
            </w:pPr>
            <w:r>
              <w:rPr>
                <w:i w:val="0"/>
                <w:iCs w:val="0"/>
                <w:color w:val="auto"/>
              </w:rPr>
              <w:t>项</w:t>
            </w:r>
          </w:p>
        </w:tc>
        <w:tc>
          <w:tcPr>
            <w:tcW w:w="458" w:type="dxa"/>
          </w:tcPr>
          <w:p w14:paraId="6001EFBC">
            <w:pPr>
              <w:pStyle w:val="25"/>
              <w:spacing w:line="265" w:lineRule="exact"/>
              <w:ind w:right="98"/>
              <w:jc w:val="right"/>
              <w:rPr>
                <w:i w:val="0"/>
                <w:iCs w:val="0"/>
                <w:color w:val="auto"/>
              </w:rPr>
            </w:pPr>
            <w:r>
              <w:rPr>
                <w:i w:val="0"/>
                <w:iCs w:val="0"/>
                <w:color w:val="auto"/>
              </w:rPr>
              <w:t>1</w:t>
            </w:r>
          </w:p>
        </w:tc>
      </w:tr>
      <w:tr w14:paraId="40F95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485F18C">
            <w:pPr>
              <w:rPr>
                <w:i w:val="0"/>
                <w:iCs w:val="0"/>
                <w:color w:val="auto"/>
                <w:sz w:val="2"/>
                <w:szCs w:val="2"/>
              </w:rPr>
            </w:pPr>
          </w:p>
        </w:tc>
        <w:tc>
          <w:tcPr>
            <w:tcW w:w="1001" w:type="dxa"/>
            <w:vMerge w:val="continue"/>
            <w:tcBorders>
              <w:top w:val="nil"/>
            </w:tcBorders>
          </w:tcPr>
          <w:p w14:paraId="182D7568">
            <w:pPr>
              <w:rPr>
                <w:i w:val="0"/>
                <w:iCs w:val="0"/>
                <w:color w:val="auto"/>
                <w:sz w:val="2"/>
                <w:szCs w:val="2"/>
              </w:rPr>
            </w:pPr>
          </w:p>
        </w:tc>
        <w:tc>
          <w:tcPr>
            <w:tcW w:w="1623" w:type="dxa"/>
            <w:vMerge w:val="continue"/>
            <w:tcBorders>
              <w:top w:val="nil"/>
            </w:tcBorders>
          </w:tcPr>
          <w:p w14:paraId="739C3F1F">
            <w:pPr>
              <w:rPr>
                <w:i w:val="0"/>
                <w:iCs w:val="0"/>
                <w:color w:val="auto"/>
                <w:sz w:val="2"/>
                <w:szCs w:val="2"/>
              </w:rPr>
            </w:pPr>
          </w:p>
        </w:tc>
        <w:tc>
          <w:tcPr>
            <w:tcW w:w="4530" w:type="dxa"/>
          </w:tcPr>
          <w:p w14:paraId="450759CF">
            <w:pPr>
              <w:pStyle w:val="25"/>
              <w:spacing w:before="26"/>
              <w:ind w:left="189" w:right="184"/>
              <w:jc w:val="center"/>
              <w:rPr>
                <w:i w:val="0"/>
                <w:iCs w:val="0"/>
                <w:color w:val="auto"/>
                <w:sz w:val="18"/>
              </w:rPr>
            </w:pPr>
            <w:r>
              <w:rPr>
                <w:i w:val="0"/>
                <w:iCs w:val="0"/>
                <w:color w:val="auto"/>
                <w:spacing w:val="-2"/>
                <w:sz w:val="18"/>
              </w:rPr>
              <w:t>抗菌药物管理系统</w:t>
            </w:r>
          </w:p>
        </w:tc>
        <w:tc>
          <w:tcPr>
            <w:tcW w:w="456" w:type="dxa"/>
          </w:tcPr>
          <w:p w14:paraId="656B84B1">
            <w:pPr>
              <w:pStyle w:val="25"/>
              <w:spacing w:line="265" w:lineRule="exact"/>
              <w:ind w:right="8"/>
              <w:jc w:val="center"/>
              <w:rPr>
                <w:i w:val="0"/>
                <w:iCs w:val="0"/>
                <w:color w:val="auto"/>
              </w:rPr>
            </w:pPr>
            <w:r>
              <w:rPr>
                <w:i w:val="0"/>
                <w:iCs w:val="0"/>
                <w:color w:val="auto"/>
              </w:rPr>
              <w:t>项</w:t>
            </w:r>
          </w:p>
        </w:tc>
        <w:tc>
          <w:tcPr>
            <w:tcW w:w="458" w:type="dxa"/>
          </w:tcPr>
          <w:p w14:paraId="01921419">
            <w:pPr>
              <w:pStyle w:val="25"/>
              <w:spacing w:line="265" w:lineRule="exact"/>
              <w:ind w:right="98"/>
              <w:jc w:val="right"/>
              <w:rPr>
                <w:i w:val="0"/>
                <w:iCs w:val="0"/>
                <w:color w:val="auto"/>
              </w:rPr>
            </w:pPr>
            <w:r>
              <w:rPr>
                <w:i w:val="0"/>
                <w:iCs w:val="0"/>
                <w:color w:val="auto"/>
              </w:rPr>
              <w:t>1</w:t>
            </w:r>
          </w:p>
        </w:tc>
      </w:tr>
      <w:tr w14:paraId="5EEE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474C3C3">
            <w:pPr>
              <w:rPr>
                <w:i w:val="0"/>
                <w:iCs w:val="0"/>
                <w:color w:val="auto"/>
                <w:sz w:val="2"/>
                <w:szCs w:val="2"/>
              </w:rPr>
            </w:pPr>
          </w:p>
        </w:tc>
        <w:tc>
          <w:tcPr>
            <w:tcW w:w="1001" w:type="dxa"/>
            <w:vMerge w:val="continue"/>
            <w:tcBorders>
              <w:top w:val="nil"/>
            </w:tcBorders>
          </w:tcPr>
          <w:p w14:paraId="6992A19C">
            <w:pPr>
              <w:rPr>
                <w:i w:val="0"/>
                <w:iCs w:val="0"/>
                <w:color w:val="auto"/>
                <w:sz w:val="2"/>
                <w:szCs w:val="2"/>
              </w:rPr>
            </w:pPr>
          </w:p>
        </w:tc>
        <w:tc>
          <w:tcPr>
            <w:tcW w:w="1623" w:type="dxa"/>
            <w:vMerge w:val="continue"/>
            <w:tcBorders>
              <w:top w:val="nil"/>
            </w:tcBorders>
          </w:tcPr>
          <w:p w14:paraId="1315E743">
            <w:pPr>
              <w:rPr>
                <w:i w:val="0"/>
                <w:iCs w:val="0"/>
                <w:color w:val="auto"/>
                <w:sz w:val="2"/>
                <w:szCs w:val="2"/>
              </w:rPr>
            </w:pPr>
          </w:p>
        </w:tc>
        <w:tc>
          <w:tcPr>
            <w:tcW w:w="4530" w:type="dxa"/>
          </w:tcPr>
          <w:p w14:paraId="221C3F24">
            <w:pPr>
              <w:pStyle w:val="25"/>
              <w:spacing w:before="26"/>
              <w:ind w:left="189" w:right="184"/>
              <w:jc w:val="center"/>
              <w:rPr>
                <w:i w:val="0"/>
                <w:iCs w:val="0"/>
                <w:color w:val="auto"/>
                <w:sz w:val="18"/>
              </w:rPr>
            </w:pPr>
            <w:r>
              <w:rPr>
                <w:i w:val="0"/>
                <w:iCs w:val="0"/>
                <w:color w:val="auto"/>
                <w:spacing w:val="-2"/>
                <w:sz w:val="18"/>
              </w:rPr>
              <w:t>合理用药管理系统</w:t>
            </w:r>
          </w:p>
        </w:tc>
        <w:tc>
          <w:tcPr>
            <w:tcW w:w="456" w:type="dxa"/>
          </w:tcPr>
          <w:p w14:paraId="6E90C398">
            <w:pPr>
              <w:pStyle w:val="25"/>
              <w:spacing w:line="265" w:lineRule="exact"/>
              <w:ind w:right="8"/>
              <w:jc w:val="center"/>
              <w:rPr>
                <w:i w:val="0"/>
                <w:iCs w:val="0"/>
                <w:color w:val="auto"/>
              </w:rPr>
            </w:pPr>
            <w:r>
              <w:rPr>
                <w:i w:val="0"/>
                <w:iCs w:val="0"/>
                <w:color w:val="auto"/>
              </w:rPr>
              <w:t>项</w:t>
            </w:r>
          </w:p>
        </w:tc>
        <w:tc>
          <w:tcPr>
            <w:tcW w:w="458" w:type="dxa"/>
          </w:tcPr>
          <w:p w14:paraId="10C9CA73">
            <w:pPr>
              <w:pStyle w:val="25"/>
              <w:spacing w:line="265" w:lineRule="exact"/>
              <w:ind w:right="98"/>
              <w:jc w:val="right"/>
              <w:rPr>
                <w:i w:val="0"/>
                <w:iCs w:val="0"/>
                <w:color w:val="auto"/>
              </w:rPr>
            </w:pPr>
            <w:r>
              <w:rPr>
                <w:i w:val="0"/>
                <w:iCs w:val="0"/>
                <w:color w:val="auto"/>
              </w:rPr>
              <w:t>1</w:t>
            </w:r>
          </w:p>
        </w:tc>
      </w:tr>
      <w:tr w14:paraId="6D6A1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CBB8310">
            <w:pPr>
              <w:rPr>
                <w:i w:val="0"/>
                <w:iCs w:val="0"/>
                <w:color w:val="auto"/>
                <w:sz w:val="2"/>
                <w:szCs w:val="2"/>
              </w:rPr>
            </w:pPr>
          </w:p>
        </w:tc>
        <w:tc>
          <w:tcPr>
            <w:tcW w:w="1001" w:type="dxa"/>
            <w:vMerge w:val="continue"/>
            <w:tcBorders>
              <w:top w:val="nil"/>
            </w:tcBorders>
          </w:tcPr>
          <w:p w14:paraId="58267860">
            <w:pPr>
              <w:rPr>
                <w:i w:val="0"/>
                <w:iCs w:val="0"/>
                <w:color w:val="auto"/>
                <w:sz w:val="2"/>
                <w:szCs w:val="2"/>
              </w:rPr>
            </w:pPr>
          </w:p>
        </w:tc>
        <w:tc>
          <w:tcPr>
            <w:tcW w:w="1623" w:type="dxa"/>
            <w:vMerge w:val="continue"/>
            <w:tcBorders>
              <w:top w:val="nil"/>
            </w:tcBorders>
          </w:tcPr>
          <w:p w14:paraId="55573134">
            <w:pPr>
              <w:rPr>
                <w:i w:val="0"/>
                <w:iCs w:val="0"/>
                <w:color w:val="auto"/>
                <w:sz w:val="2"/>
                <w:szCs w:val="2"/>
              </w:rPr>
            </w:pPr>
          </w:p>
        </w:tc>
        <w:tc>
          <w:tcPr>
            <w:tcW w:w="4530" w:type="dxa"/>
          </w:tcPr>
          <w:p w14:paraId="6BE34089">
            <w:pPr>
              <w:pStyle w:val="25"/>
              <w:spacing w:before="26"/>
              <w:ind w:left="190" w:right="184"/>
              <w:jc w:val="center"/>
              <w:rPr>
                <w:i w:val="0"/>
                <w:iCs w:val="0"/>
                <w:color w:val="auto"/>
                <w:sz w:val="18"/>
              </w:rPr>
            </w:pPr>
            <w:r>
              <w:rPr>
                <w:i w:val="0"/>
                <w:iCs w:val="0"/>
                <w:color w:val="auto"/>
                <w:spacing w:val="-2"/>
                <w:sz w:val="18"/>
              </w:rPr>
              <w:t>前置审方系统</w:t>
            </w:r>
          </w:p>
        </w:tc>
        <w:tc>
          <w:tcPr>
            <w:tcW w:w="456" w:type="dxa"/>
          </w:tcPr>
          <w:p w14:paraId="1A0B521B">
            <w:pPr>
              <w:pStyle w:val="25"/>
              <w:spacing w:line="265" w:lineRule="exact"/>
              <w:ind w:right="8"/>
              <w:jc w:val="center"/>
              <w:rPr>
                <w:i w:val="0"/>
                <w:iCs w:val="0"/>
                <w:color w:val="auto"/>
              </w:rPr>
            </w:pPr>
            <w:r>
              <w:rPr>
                <w:i w:val="0"/>
                <w:iCs w:val="0"/>
                <w:color w:val="auto"/>
              </w:rPr>
              <w:t>项</w:t>
            </w:r>
          </w:p>
        </w:tc>
        <w:tc>
          <w:tcPr>
            <w:tcW w:w="458" w:type="dxa"/>
          </w:tcPr>
          <w:p w14:paraId="396C1118">
            <w:pPr>
              <w:pStyle w:val="25"/>
              <w:spacing w:line="265" w:lineRule="exact"/>
              <w:ind w:right="98"/>
              <w:jc w:val="right"/>
              <w:rPr>
                <w:i w:val="0"/>
                <w:iCs w:val="0"/>
                <w:color w:val="auto"/>
              </w:rPr>
            </w:pPr>
            <w:r>
              <w:rPr>
                <w:i w:val="0"/>
                <w:iCs w:val="0"/>
                <w:color w:val="auto"/>
              </w:rPr>
              <w:t>1</w:t>
            </w:r>
          </w:p>
        </w:tc>
      </w:tr>
      <w:tr w14:paraId="6EE37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6F375DF">
            <w:pPr>
              <w:rPr>
                <w:i w:val="0"/>
                <w:iCs w:val="0"/>
                <w:color w:val="auto"/>
                <w:sz w:val="2"/>
                <w:szCs w:val="2"/>
              </w:rPr>
            </w:pPr>
          </w:p>
        </w:tc>
        <w:tc>
          <w:tcPr>
            <w:tcW w:w="1001" w:type="dxa"/>
            <w:vMerge w:val="continue"/>
            <w:tcBorders>
              <w:top w:val="nil"/>
            </w:tcBorders>
          </w:tcPr>
          <w:p w14:paraId="3411FF20">
            <w:pPr>
              <w:rPr>
                <w:i w:val="0"/>
                <w:iCs w:val="0"/>
                <w:color w:val="auto"/>
                <w:sz w:val="2"/>
                <w:szCs w:val="2"/>
              </w:rPr>
            </w:pPr>
          </w:p>
        </w:tc>
        <w:tc>
          <w:tcPr>
            <w:tcW w:w="1623" w:type="dxa"/>
            <w:vMerge w:val="continue"/>
            <w:tcBorders>
              <w:top w:val="nil"/>
            </w:tcBorders>
          </w:tcPr>
          <w:p w14:paraId="555ADF2E">
            <w:pPr>
              <w:rPr>
                <w:i w:val="0"/>
                <w:iCs w:val="0"/>
                <w:color w:val="auto"/>
                <w:sz w:val="2"/>
                <w:szCs w:val="2"/>
              </w:rPr>
            </w:pPr>
          </w:p>
        </w:tc>
        <w:tc>
          <w:tcPr>
            <w:tcW w:w="4530" w:type="dxa"/>
          </w:tcPr>
          <w:p w14:paraId="0F3572A0">
            <w:pPr>
              <w:pStyle w:val="25"/>
              <w:spacing w:before="26"/>
              <w:ind w:left="189" w:right="184"/>
              <w:jc w:val="center"/>
              <w:rPr>
                <w:i w:val="0"/>
                <w:iCs w:val="0"/>
                <w:color w:val="auto"/>
                <w:sz w:val="18"/>
              </w:rPr>
            </w:pPr>
            <w:r>
              <w:rPr>
                <w:i w:val="0"/>
                <w:iCs w:val="0"/>
                <w:color w:val="auto"/>
                <w:spacing w:val="-1"/>
                <w:sz w:val="18"/>
              </w:rPr>
              <w:t>制剂室信息管理及流转系统</w:t>
            </w:r>
          </w:p>
        </w:tc>
        <w:tc>
          <w:tcPr>
            <w:tcW w:w="456" w:type="dxa"/>
          </w:tcPr>
          <w:p w14:paraId="103497FA">
            <w:pPr>
              <w:pStyle w:val="25"/>
              <w:spacing w:line="265" w:lineRule="exact"/>
              <w:ind w:right="8"/>
              <w:jc w:val="center"/>
              <w:rPr>
                <w:i w:val="0"/>
                <w:iCs w:val="0"/>
                <w:color w:val="auto"/>
              </w:rPr>
            </w:pPr>
            <w:r>
              <w:rPr>
                <w:i w:val="0"/>
                <w:iCs w:val="0"/>
                <w:color w:val="auto"/>
              </w:rPr>
              <w:t>项</w:t>
            </w:r>
          </w:p>
        </w:tc>
        <w:tc>
          <w:tcPr>
            <w:tcW w:w="458" w:type="dxa"/>
          </w:tcPr>
          <w:p w14:paraId="02016CB3">
            <w:pPr>
              <w:pStyle w:val="25"/>
              <w:spacing w:line="265" w:lineRule="exact"/>
              <w:ind w:right="98"/>
              <w:jc w:val="right"/>
              <w:rPr>
                <w:i w:val="0"/>
                <w:iCs w:val="0"/>
                <w:color w:val="auto"/>
              </w:rPr>
            </w:pPr>
            <w:r>
              <w:rPr>
                <w:i w:val="0"/>
                <w:iCs w:val="0"/>
                <w:color w:val="auto"/>
              </w:rPr>
              <w:t>1</w:t>
            </w:r>
          </w:p>
        </w:tc>
      </w:tr>
      <w:tr w14:paraId="5078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F8F455B">
            <w:pPr>
              <w:rPr>
                <w:i w:val="0"/>
                <w:iCs w:val="0"/>
                <w:color w:val="auto"/>
                <w:sz w:val="2"/>
                <w:szCs w:val="2"/>
              </w:rPr>
            </w:pPr>
          </w:p>
        </w:tc>
        <w:tc>
          <w:tcPr>
            <w:tcW w:w="1001" w:type="dxa"/>
            <w:vMerge w:val="continue"/>
            <w:tcBorders>
              <w:top w:val="nil"/>
            </w:tcBorders>
          </w:tcPr>
          <w:p w14:paraId="111288DD">
            <w:pPr>
              <w:rPr>
                <w:i w:val="0"/>
                <w:iCs w:val="0"/>
                <w:color w:val="auto"/>
                <w:sz w:val="2"/>
                <w:szCs w:val="2"/>
              </w:rPr>
            </w:pPr>
          </w:p>
        </w:tc>
        <w:tc>
          <w:tcPr>
            <w:tcW w:w="6153" w:type="dxa"/>
            <w:gridSpan w:val="2"/>
          </w:tcPr>
          <w:p w14:paraId="5E1A9829">
            <w:pPr>
              <w:pStyle w:val="25"/>
              <w:spacing w:before="26"/>
              <w:ind w:left="2000" w:right="1994"/>
              <w:jc w:val="center"/>
              <w:rPr>
                <w:i w:val="0"/>
                <w:iCs w:val="0"/>
                <w:color w:val="auto"/>
                <w:sz w:val="18"/>
              </w:rPr>
            </w:pPr>
            <w:r>
              <w:rPr>
                <w:i w:val="0"/>
                <w:iCs w:val="0"/>
                <w:color w:val="auto"/>
                <w:spacing w:val="-2"/>
                <w:sz w:val="18"/>
              </w:rPr>
              <w:t>护理管理系统</w:t>
            </w:r>
          </w:p>
        </w:tc>
        <w:tc>
          <w:tcPr>
            <w:tcW w:w="456" w:type="dxa"/>
          </w:tcPr>
          <w:p w14:paraId="3B6E934F">
            <w:pPr>
              <w:pStyle w:val="25"/>
              <w:spacing w:line="265" w:lineRule="exact"/>
              <w:ind w:right="8"/>
              <w:jc w:val="center"/>
              <w:rPr>
                <w:i w:val="0"/>
                <w:iCs w:val="0"/>
                <w:color w:val="auto"/>
              </w:rPr>
            </w:pPr>
            <w:r>
              <w:rPr>
                <w:i w:val="0"/>
                <w:iCs w:val="0"/>
                <w:color w:val="auto"/>
              </w:rPr>
              <w:t>项</w:t>
            </w:r>
          </w:p>
        </w:tc>
        <w:tc>
          <w:tcPr>
            <w:tcW w:w="458" w:type="dxa"/>
          </w:tcPr>
          <w:p w14:paraId="0691CDCD">
            <w:pPr>
              <w:pStyle w:val="25"/>
              <w:spacing w:line="265" w:lineRule="exact"/>
              <w:ind w:right="98"/>
              <w:jc w:val="right"/>
              <w:rPr>
                <w:i w:val="0"/>
                <w:iCs w:val="0"/>
                <w:color w:val="auto"/>
              </w:rPr>
            </w:pPr>
            <w:r>
              <w:rPr>
                <w:i w:val="0"/>
                <w:iCs w:val="0"/>
                <w:color w:val="auto"/>
              </w:rPr>
              <w:t>1</w:t>
            </w:r>
          </w:p>
        </w:tc>
      </w:tr>
      <w:tr w14:paraId="7A922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AC0BAA4">
            <w:pPr>
              <w:rPr>
                <w:i w:val="0"/>
                <w:iCs w:val="0"/>
                <w:color w:val="auto"/>
                <w:sz w:val="2"/>
                <w:szCs w:val="2"/>
              </w:rPr>
            </w:pPr>
          </w:p>
        </w:tc>
        <w:tc>
          <w:tcPr>
            <w:tcW w:w="1001" w:type="dxa"/>
            <w:vMerge w:val="continue"/>
            <w:tcBorders>
              <w:top w:val="nil"/>
            </w:tcBorders>
          </w:tcPr>
          <w:p w14:paraId="213F6355">
            <w:pPr>
              <w:rPr>
                <w:i w:val="0"/>
                <w:iCs w:val="0"/>
                <w:color w:val="auto"/>
                <w:sz w:val="2"/>
                <w:szCs w:val="2"/>
              </w:rPr>
            </w:pPr>
          </w:p>
        </w:tc>
        <w:tc>
          <w:tcPr>
            <w:tcW w:w="1623" w:type="dxa"/>
            <w:vMerge w:val="restart"/>
          </w:tcPr>
          <w:p w14:paraId="471E808B">
            <w:pPr>
              <w:pStyle w:val="25"/>
              <w:rPr>
                <w:b/>
                <w:i w:val="0"/>
                <w:iCs w:val="0"/>
                <w:color w:val="auto"/>
                <w:sz w:val="18"/>
              </w:rPr>
            </w:pPr>
          </w:p>
          <w:p w14:paraId="1092CBD9">
            <w:pPr>
              <w:pStyle w:val="25"/>
              <w:rPr>
                <w:b/>
                <w:i w:val="0"/>
                <w:iCs w:val="0"/>
                <w:color w:val="auto"/>
                <w:sz w:val="18"/>
              </w:rPr>
            </w:pPr>
          </w:p>
          <w:p w14:paraId="7205F994">
            <w:pPr>
              <w:pStyle w:val="25"/>
              <w:spacing w:before="9"/>
              <w:rPr>
                <w:b/>
                <w:i w:val="0"/>
                <w:iCs w:val="0"/>
                <w:color w:val="auto"/>
                <w:sz w:val="23"/>
              </w:rPr>
            </w:pPr>
          </w:p>
          <w:p w14:paraId="43926FD2">
            <w:pPr>
              <w:pStyle w:val="25"/>
              <w:ind w:left="450"/>
              <w:rPr>
                <w:i w:val="0"/>
                <w:iCs w:val="0"/>
                <w:color w:val="auto"/>
                <w:sz w:val="18"/>
              </w:rPr>
            </w:pPr>
            <w:r>
              <w:rPr>
                <w:i w:val="0"/>
                <w:iCs w:val="0"/>
                <w:color w:val="auto"/>
                <w:spacing w:val="-3"/>
                <w:sz w:val="18"/>
              </w:rPr>
              <w:t>医务管理</w:t>
            </w:r>
          </w:p>
        </w:tc>
        <w:tc>
          <w:tcPr>
            <w:tcW w:w="4530" w:type="dxa"/>
          </w:tcPr>
          <w:p w14:paraId="573E114C">
            <w:pPr>
              <w:pStyle w:val="25"/>
              <w:spacing w:before="26"/>
              <w:ind w:left="190" w:right="184"/>
              <w:jc w:val="center"/>
              <w:rPr>
                <w:i w:val="0"/>
                <w:iCs w:val="0"/>
                <w:color w:val="auto"/>
                <w:sz w:val="18"/>
              </w:rPr>
            </w:pPr>
            <w:r>
              <w:rPr>
                <w:i w:val="0"/>
                <w:iCs w:val="0"/>
                <w:color w:val="auto"/>
                <w:spacing w:val="-2"/>
                <w:sz w:val="18"/>
              </w:rPr>
              <w:t>病历质控系统</w:t>
            </w:r>
          </w:p>
        </w:tc>
        <w:tc>
          <w:tcPr>
            <w:tcW w:w="456" w:type="dxa"/>
          </w:tcPr>
          <w:p w14:paraId="59C55678">
            <w:pPr>
              <w:pStyle w:val="25"/>
              <w:spacing w:line="265" w:lineRule="exact"/>
              <w:ind w:right="8"/>
              <w:jc w:val="center"/>
              <w:rPr>
                <w:i w:val="0"/>
                <w:iCs w:val="0"/>
                <w:color w:val="auto"/>
              </w:rPr>
            </w:pPr>
            <w:r>
              <w:rPr>
                <w:i w:val="0"/>
                <w:iCs w:val="0"/>
                <w:color w:val="auto"/>
              </w:rPr>
              <w:t>项</w:t>
            </w:r>
          </w:p>
        </w:tc>
        <w:tc>
          <w:tcPr>
            <w:tcW w:w="458" w:type="dxa"/>
          </w:tcPr>
          <w:p w14:paraId="17390427">
            <w:pPr>
              <w:pStyle w:val="25"/>
              <w:spacing w:line="265" w:lineRule="exact"/>
              <w:ind w:right="98"/>
              <w:jc w:val="right"/>
              <w:rPr>
                <w:i w:val="0"/>
                <w:iCs w:val="0"/>
                <w:color w:val="auto"/>
              </w:rPr>
            </w:pPr>
            <w:r>
              <w:rPr>
                <w:i w:val="0"/>
                <w:iCs w:val="0"/>
                <w:color w:val="auto"/>
              </w:rPr>
              <w:t>1</w:t>
            </w:r>
          </w:p>
        </w:tc>
      </w:tr>
      <w:tr w14:paraId="3D197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20DEEA1">
            <w:pPr>
              <w:rPr>
                <w:i w:val="0"/>
                <w:iCs w:val="0"/>
                <w:color w:val="auto"/>
                <w:sz w:val="2"/>
                <w:szCs w:val="2"/>
              </w:rPr>
            </w:pPr>
          </w:p>
        </w:tc>
        <w:tc>
          <w:tcPr>
            <w:tcW w:w="1001" w:type="dxa"/>
            <w:vMerge w:val="continue"/>
            <w:tcBorders>
              <w:top w:val="nil"/>
            </w:tcBorders>
          </w:tcPr>
          <w:p w14:paraId="10941182">
            <w:pPr>
              <w:rPr>
                <w:i w:val="0"/>
                <w:iCs w:val="0"/>
                <w:color w:val="auto"/>
                <w:sz w:val="2"/>
                <w:szCs w:val="2"/>
              </w:rPr>
            </w:pPr>
          </w:p>
        </w:tc>
        <w:tc>
          <w:tcPr>
            <w:tcW w:w="1623" w:type="dxa"/>
            <w:vMerge w:val="continue"/>
            <w:tcBorders>
              <w:top w:val="nil"/>
            </w:tcBorders>
          </w:tcPr>
          <w:p w14:paraId="58D536F6">
            <w:pPr>
              <w:rPr>
                <w:i w:val="0"/>
                <w:iCs w:val="0"/>
                <w:color w:val="auto"/>
                <w:sz w:val="2"/>
                <w:szCs w:val="2"/>
              </w:rPr>
            </w:pPr>
          </w:p>
        </w:tc>
        <w:tc>
          <w:tcPr>
            <w:tcW w:w="4530" w:type="dxa"/>
          </w:tcPr>
          <w:p w14:paraId="450AEFAD">
            <w:pPr>
              <w:pStyle w:val="25"/>
              <w:spacing w:before="26"/>
              <w:ind w:left="189" w:right="184"/>
              <w:jc w:val="center"/>
              <w:rPr>
                <w:i w:val="0"/>
                <w:iCs w:val="0"/>
                <w:color w:val="auto"/>
                <w:sz w:val="18"/>
              </w:rPr>
            </w:pPr>
            <w:r>
              <w:rPr>
                <w:i w:val="0"/>
                <w:iCs w:val="0"/>
                <w:color w:val="auto"/>
                <w:spacing w:val="-2"/>
                <w:sz w:val="18"/>
              </w:rPr>
              <w:t>病案管理信息系统</w:t>
            </w:r>
          </w:p>
        </w:tc>
        <w:tc>
          <w:tcPr>
            <w:tcW w:w="456" w:type="dxa"/>
          </w:tcPr>
          <w:p w14:paraId="4E5454C9">
            <w:pPr>
              <w:pStyle w:val="25"/>
              <w:spacing w:line="265" w:lineRule="exact"/>
              <w:ind w:right="8"/>
              <w:jc w:val="center"/>
              <w:rPr>
                <w:i w:val="0"/>
                <w:iCs w:val="0"/>
                <w:color w:val="auto"/>
              </w:rPr>
            </w:pPr>
            <w:r>
              <w:rPr>
                <w:i w:val="0"/>
                <w:iCs w:val="0"/>
                <w:color w:val="auto"/>
              </w:rPr>
              <w:t>项</w:t>
            </w:r>
          </w:p>
        </w:tc>
        <w:tc>
          <w:tcPr>
            <w:tcW w:w="458" w:type="dxa"/>
          </w:tcPr>
          <w:p w14:paraId="5C8641A1">
            <w:pPr>
              <w:pStyle w:val="25"/>
              <w:spacing w:line="265" w:lineRule="exact"/>
              <w:ind w:right="98"/>
              <w:jc w:val="right"/>
              <w:rPr>
                <w:i w:val="0"/>
                <w:iCs w:val="0"/>
                <w:color w:val="auto"/>
              </w:rPr>
            </w:pPr>
            <w:r>
              <w:rPr>
                <w:i w:val="0"/>
                <w:iCs w:val="0"/>
                <w:color w:val="auto"/>
              </w:rPr>
              <w:t>1</w:t>
            </w:r>
          </w:p>
        </w:tc>
      </w:tr>
      <w:tr w14:paraId="39273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0022A6E">
            <w:pPr>
              <w:rPr>
                <w:i w:val="0"/>
                <w:iCs w:val="0"/>
                <w:color w:val="auto"/>
                <w:sz w:val="2"/>
                <w:szCs w:val="2"/>
              </w:rPr>
            </w:pPr>
          </w:p>
        </w:tc>
        <w:tc>
          <w:tcPr>
            <w:tcW w:w="1001" w:type="dxa"/>
            <w:vMerge w:val="continue"/>
            <w:tcBorders>
              <w:top w:val="nil"/>
            </w:tcBorders>
          </w:tcPr>
          <w:p w14:paraId="4495535B">
            <w:pPr>
              <w:rPr>
                <w:i w:val="0"/>
                <w:iCs w:val="0"/>
                <w:color w:val="auto"/>
                <w:sz w:val="2"/>
                <w:szCs w:val="2"/>
              </w:rPr>
            </w:pPr>
          </w:p>
        </w:tc>
        <w:tc>
          <w:tcPr>
            <w:tcW w:w="1623" w:type="dxa"/>
            <w:vMerge w:val="continue"/>
            <w:tcBorders>
              <w:top w:val="nil"/>
            </w:tcBorders>
          </w:tcPr>
          <w:p w14:paraId="6BB952E8">
            <w:pPr>
              <w:rPr>
                <w:i w:val="0"/>
                <w:iCs w:val="0"/>
                <w:color w:val="auto"/>
                <w:sz w:val="2"/>
                <w:szCs w:val="2"/>
              </w:rPr>
            </w:pPr>
          </w:p>
        </w:tc>
        <w:tc>
          <w:tcPr>
            <w:tcW w:w="4530" w:type="dxa"/>
          </w:tcPr>
          <w:p w14:paraId="2C580AD7">
            <w:pPr>
              <w:pStyle w:val="25"/>
              <w:spacing w:before="26"/>
              <w:ind w:left="189" w:right="184"/>
              <w:jc w:val="center"/>
              <w:rPr>
                <w:i w:val="0"/>
                <w:iCs w:val="0"/>
                <w:color w:val="auto"/>
                <w:sz w:val="18"/>
              </w:rPr>
            </w:pPr>
            <w:r>
              <w:rPr>
                <w:i w:val="0"/>
                <w:iCs w:val="0"/>
                <w:color w:val="auto"/>
                <w:spacing w:val="-1"/>
                <w:sz w:val="18"/>
              </w:rPr>
              <w:t>病案首页数据质量管理</w:t>
            </w:r>
          </w:p>
        </w:tc>
        <w:tc>
          <w:tcPr>
            <w:tcW w:w="456" w:type="dxa"/>
          </w:tcPr>
          <w:p w14:paraId="05E099AA">
            <w:pPr>
              <w:pStyle w:val="25"/>
              <w:spacing w:line="265" w:lineRule="exact"/>
              <w:ind w:right="8"/>
              <w:jc w:val="center"/>
              <w:rPr>
                <w:i w:val="0"/>
                <w:iCs w:val="0"/>
                <w:color w:val="auto"/>
              </w:rPr>
            </w:pPr>
            <w:r>
              <w:rPr>
                <w:i w:val="0"/>
                <w:iCs w:val="0"/>
                <w:color w:val="auto"/>
              </w:rPr>
              <w:t>项</w:t>
            </w:r>
          </w:p>
        </w:tc>
        <w:tc>
          <w:tcPr>
            <w:tcW w:w="458" w:type="dxa"/>
          </w:tcPr>
          <w:p w14:paraId="2E20F7F9">
            <w:pPr>
              <w:pStyle w:val="25"/>
              <w:spacing w:line="265" w:lineRule="exact"/>
              <w:ind w:right="98"/>
              <w:jc w:val="right"/>
              <w:rPr>
                <w:i w:val="0"/>
                <w:iCs w:val="0"/>
                <w:color w:val="auto"/>
              </w:rPr>
            </w:pPr>
            <w:r>
              <w:rPr>
                <w:i w:val="0"/>
                <w:iCs w:val="0"/>
                <w:color w:val="auto"/>
              </w:rPr>
              <w:t>1</w:t>
            </w:r>
          </w:p>
        </w:tc>
      </w:tr>
      <w:tr w14:paraId="75EA4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1DB9495">
            <w:pPr>
              <w:rPr>
                <w:i w:val="0"/>
                <w:iCs w:val="0"/>
                <w:color w:val="auto"/>
                <w:sz w:val="2"/>
                <w:szCs w:val="2"/>
              </w:rPr>
            </w:pPr>
          </w:p>
        </w:tc>
        <w:tc>
          <w:tcPr>
            <w:tcW w:w="1001" w:type="dxa"/>
            <w:vMerge w:val="continue"/>
            <w:tcBorders>
              <w:top w:val="nil"/>
            </w:tcBorders>
          </w:tcPr>
          <w:p w14:paraId="52D1C443">
            <w:pPr>
              <w:rPr>
                <w:i w:val="0"/>
                <w:iCs w:val="0"/>
                <w:color w:val="auto"/>
                <w:sz w:val="2"/>
                <w:szCs w:val="2"/>
              </w:rPr>
            </w:pPr>
          </w:p>
        </w:tc>
        <w:tc>
          <w:tcPr>
            <w:tcW w:w="1623" w:type="dxa"/>
            <w:vMerge w:val="continue"/>
            <w:tcBorders>
              <w:top w:val="nil"/>
            </w:tcBorders>
          </w:tcPr>
          <w:p w14:paraId="4C8D4972">
            <w:pPr>
              <w:rPr>
                <w:i w:val="0"/>
                <w:iCs w:val="0"/>
                <w:color w:val="auto"/>
                <w:sz w:val="2"/>
                <w:szCs w:val="2"/>
              </w:rPr>
            </w:pPr>
          </w:p>
        </w:tc>
        <w:tc>
          <w:tcPr>
            <w:tcW w:w="4530" w:type="dxa"/>
          </w:tcPr>
          <w:p w14:paraId="0C586290">
            <w:pPr>
              <w:pStyle w:val="25"/>
              <w:spacing w:before="26"/>
              <w:ind w:left="193" w:right="182"/>
              <w:jc w:val="center"/>
              <w:rPr>
                <w:i w:val="0"/>
                <w:iCs w:val="0"/>
                <w:color w:val="auto"/>
                <w:sz w:val="18"/>
              </w:rPr>
            </w:pPr>
            <w:r>
              <w:rPr>
                <w:i w:val="0"/>
                <w:iCs w:val="0"/>
                <w:color w:val="auto"/>
                <w:spacing w:val="-2"/>
                <w:sz w:val="18"/>
              </w:rPr>
              <w:t>HQMS\DRG</w:t>
            </w:r>
            <w:r>
              <w:rPr>
                <w:i w:val="0"/>
                <w:iCs w:val="0"/>
                <w:color w:val="auto"/>
                <w:spacing w:val="-14"/>
                <w:sz w:val="18"/>
              </w:rPr>
              <w:t xml:space="preserve"> 上报</w:t>
            </w:r>
          </w:p>
        </w:tc>
        <w:tc>
          <w:tcPr>
            <w:tcW w:w="456" w:type="dxa"/>
          </w:tcPr>
          <w:p w14:paraId="1263C6B0">
            <w:pPr>
              <w:pStyle w:val="25"/>
              <w:spacing w:line="265" w:lineRule="exact"/>
              <w:ind w:right="8"/>
              <w:jc w:val="center"/>
              <w:rPr>
                <w:i w:val="0"/>
                <w:iCs w:val="0"/>
                <w:color w:val="auto"/>
              </w:rPr>
            </w:pPr>
            <w:r>
              <w:rPr>
                <w:i w:val="0"/>
                <w:iCs w:val="0"/>
                <w:color w:val="auto"/>
              </w:rPr>
              <w:t>项</w:t>
            </w:r>
          </w:p>
        </w:tc>
        <w:tc>
          <w:tcPr>
            <w:tcW w:w="458" w:type="dxa"/>
          </w:tcPr>
          <w:p w14:paraId="5836D3D4">
            <w:pPr>
              <w:pStyle w:val="25"/>
              <w:spacing w:line="265" w:lineRule="exact"/>
              <w:ind w:right="98"/>
              <w:jc w:val="right"/>
              <w:rPr>
                <w:i w:val="0"/>
                <w:iCs w:val="0"/>
                <w:color w:val="auto"/>
              </w:rPr>
            </w:pPr>
            <w:r>
              <w:rPr>
                <w:i w:val="0"/>
                <w:iCs w:val="0"/>
                <w:color w:val="auto"/>
              </w:rPr>
              <w:t>1</w:t>
            </w:r>
          </w:p>
        </w:tc>
      </w:tr>
      <w:tr w14:paraId="63632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15186A6">
            <w:pPr>
              <w:rPr>
                <w:i w:val="0"/>
                <w:iCs w:val="0"/>
                <w:color w:val="auto"/>
                <w:sz w:val="2"/>
                <w:szCs w:val="2"/>
              </w:rPr>
            </w:pPr>
          </w:p>
        </w:tc>
        <w:tc>
          <w:tcPr>
            <w:tcW w:w="1001" w:type="dxa"/>
            <w:vMerge w:val="continue"/>
            <w:tcBorders>
              <w:top w:val="nil"/>
            </w:tcBorders>
          </w:tcPr>
          <w:p w14:paraId="5F1F4D8A">
            <w:pPr>
              <w:rPr>
                <w:i w:val="0"/>
                <w:iCs w:val="0"/>
                <w:color w:val="auto"/>
                <w:sz w:val="2"/>
                <w:szCs w:val="2"/>
              </w:rPr>
            </w:pPr>
          </w:p>
        </w:tc>
        <w:tc>
          <w:tcPr>
            <w:tcW w:w="1623" w:type="dxa"/>
            <w:vMerge w:val="continue"/>
            <w:tcBorders>
              <w:top w:val="nil"/>
            </w:tcBorders>
          </w:tcPr>
          <w:p w14:paraId="79F4656C">
            <w:pPr>
              <w:rPr>
                <w:i w:val="0"/>
                <w:iCs w:val="0"/>
                <w:color w:val="auto"/>
                <w:sz w:val="2"/>
                <w:szCs w:val="2"/>
              </w:rPr>
            </w:pPr>
          </w:p>
        </w:tc>
        <w:tc>
          <w:tcPr>
            <w:tcW w:w="4530" w:type="dxa"/>
          </w:tcPr>
          <w:p w14:paraId="7EB0CCFD">
            <w:pPr>
              <w:pStyle w:val="25"/>
              <w:spacing w:before="26"/>
              <w:ind w:left="192" w:right="184"/>
              <w:jc w:val="center"/>
              <w:rPr>
                <w:i w:val="0"/>
                <w:iCs w:val="0"/>
                <w:color w:val="auto"/>
                <w:sz w:val="18"/>
              </w:rPr>
            </w:pPr>
            <w:r>
              <w:rPr>
                <w:i w:val="0"/>
                <w:iCs w:val="0"/>
                <w:color w:val="auto"/>
                <w:spacing w:val="-2"/>
                <w:sz w:val="18"/>
              </w:rPr>
              <w:t>危急值管理系统</w:t>
            </w:r>
          </w:p>
        </w:tc>
        <w:tc>
          <w:tcPr>
            <w:tcW w:w="456" w:type="dxa"/>
          </w:tcPr>
          <w:p w14:paraId="08C502A1">
            <w:pPr>
              <w:pStyle w:val="25"/>
              <w:spacing w:line="266" w:lineRule="exact"/>
              <w:ind w:right="8"/>
              <w:jc w:val="center"/>
              <w:rPr>
                <w:i w:val="0"/>
                <w:iCs w:val="0"/>
                <w:color w:val="auto"/>
              </w:rPr>
            </w:pPr>
            <w:r>
              <w:rPr>
                <w:i w:val="0"/>
                <w:iCs w:val="0"/>
                <w:color w:val="auto"/>
              </w:rPr>
              <w:t>项</w:t>
            </w:r>
          </w:p>
        </w:tc>
        <w:tc>
          <w:tcPr>
            <w:tcW w:w="458" w:type="dxa"/>
          </w:tcPr>
          <w:p w14:paraId="4E3B9804">
            <w:pPr>
              <w:pStyle w:val="25"/>
              <w:spacing w:line="266" w:lineRule="exact"/>
              <w:ind w:right="98"/>
              <w:jc w:val="right"/>
              <w:rPr>
                <w:i w:val="0"/>
                <w:iCs w:val="0"/>
                <w:color w:val="auto"/>
              </w:rPr>
            </w:pPr>
            <w:r>
              <w:rPr>
                <w:i w:val="0"/>
                <w:iCs w:val="0"/>
                <w:color w:val="auto"/>
              </w:rPr>
              <w:t>1</w:t>
            </w:r>
          </w:p>
        </w:tc>
      </w:tr>
      <w:tr w14:paraId="5C188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DC42B0E">
            <w:pPr>
              <w:rPr>
                <w:i w:val="0"/>
                <w:iCs w:val="0"/>
                <w:color w:val="auto"/>
                <w:sz w:val="2"/>
                <w:szCs w:val="2"/>
              </w:rPr>
            </w:pPr>
          </w:p>
        </w:tc>
        <w:tc>
          <w:tcPr>
            <w:tcW w:w="1001" w:type="dxa"/>
            <w:vMerge w:val="continue"/>
            <w:tcBorders>
              <w:top w:val="nil"/>
            </w:tcBorders>
          </w:tcPr>
          <w:p w14:paraId="1D1A710E">
            <w:pPr>
              <w:rPr>
                <w:i w:val="0"/>
                <w:iCs w:val="0"/>
                <w:color w:val="auto"/>
                <w:sz w:val="2"/>
                <w:szCs w:val="2"/>
              </w:rPr>
            </w:pPr>
          </w:p>
        </w:tc>
        <w:tc>
          <w:tcPr>
            <w:tcW w:w="1623" w:type="dxa"/>
            <w:vMerge w:val="continue"/>
            <w:tcBorders>
              <w:top w:val="nil"/>
            </w:tcBorders>
          </w:tcPr>
          <w:p w14:paraId="5A4048B1">
            <w:pPr>
              <w:rPr>
                <w:i w:val="0"/>
                <w:iCs w:val="0"/>
                <w:color w:val="auto"/>
                <w:sz w:val="2"/>
                <w:szCs w:val="2"/>
              </w:rPr>
            </w:pPr>
          </w:p>
        </w:tc>
        <w:tc>
          <w:tcPr>
            <w:tcW w:w="4530" w:type="dxa"/>
          </w:tcPr>
          <w:p w14:paraId="3B8494AC">
            <w:pPr>
              <w:pStyle w:val="25"/>
              <w:spacing w:before="26"/>
              <w:ind w:left="190" w:right="184"/>
              <w:jc w:val="center"/>
              <w:rPr>
                <w:i w:val="0"/>
                <w:iCs w:val="0"/>
                <w:color w:val="auto"/>
                <w:sz w:val="18"/>
              </w:rPr>
            </w:pPr>
            <w:r>
              <w:rPr>
                <w:i w:val="0"/>
                <w:iCs w:val="0"/>
                <w:color w:val="auto"/>
                <w:spacing w:val="-2"/>
                <w:sz w:val="18"/>
              </w:rPr>
              <w:t>手术分级管理</w:t>
            </w:r>
          </w:p>
        </w:tc>
        <w:tc>
          <w:tcPr>
            <w:tcW w:w="456" w:type="dxa"/>
          </w:tcPr>
          <w:p w14:paraId="464E253C">
            <w:pPr>
              <w:pStyle w:val="25"/>
              <w:spacing w:line="265" w:lineRule="exact"/>
              <w:ind w:right="8"/>
              <w:jc w:val="center"/>
              <w:rPr>
                <w:i w:val="0"/>
                <w:iCs w:val="0"/>
                <w:color w:val="auto"/>
              </w:rPr>
            </w:pPr>
            <w:r>
              <w:rPr>
                <w:i w:val="0"/>
                <w:iCs w:val="0"/>
                <w:color w:val="auto"/>
              </w:rPr>
              <w:t>项</w:t>
            </w:r>
          </w:p>
        </w:tc>
        <w:tc>
          <w:tcPr>
            <w:tcW w:w="458" w:type="dxa"/>
          </w:tcPr>
          <w:p w14:paraId="50A4611B">
            <w:pPr>
              <w:pStyle w:val="25"/>
              <w:spacing w:line="265" w:lineRule="exact"/>
              <w:ind w:right="98"/>
              <w:jc w:val="right"/>
              <w:rPr>
                <w:i w:val="0"/>
                <w:iCs w:val="0"/>
                <w:color w:val="auto"/>
              </w:rPr>
            </w:pPr>
            <w:r>
              <w:rPr>
                <w:i w:val="0"/>
                <w:iCs w:val="0"/>
                <w:color w:val="auto"/>
              </w:rPr>
              <w:t>1</w:t>
            </w:r>
          </w:p>
        </w:tc>
      </w:tr>
      <w:tr w14:paraId="2B32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F37BE3F">
            <w:pPr>
              <w:rPr>
                <w:i w:val="0"/>
                <w:iCs w:val="0"/>
                <w:color w:val="auto"/>
                <w:sz w:val="2"/>
                <w:szCs w:val="2"/>
              </w:rPr>
            </w:pPr>
          </w:p>
        </w:tc>
        <w:tc>
          <w:tcPr>
            <w:tcW w:w="1001" w:type="dxa"/>
            <w:vMerge w:val="continue"/>
            <w:tcBorders>
              <w:top w:val="nil"/>
            </w:tcBorders>
          </w:tcPr>
          <w:p w14:paraId="745346CD">
            <w:pPr>
              <w:rPr>
                <w:i w:val="0"/>
                <w:iCs w:val="0"/>
                <w:color w:val="auto"/>
                <w:sz w:val="2"/>
                <w:szCs w:val="2"/>
              </w:rPr>
            </w:pPr>
          </w:p>
        </w:tc>
        <w:tc>
          <w:tcPr>
            <w:tcW w:w="1623" w:type="dxa"/>
          </w:tcPr>
          <w:p w14:paraId="09243BF9">
            <w:pPr>
              <w:pStyle w:val="25"/>
              <w:spacing w:before="26"/>
              <w:ind w:left="450"/>
              <w:rPr>
                <w:i w:val="0"/>
                <w:iCs w:val="0"/>
                <w:color w:val="auto"/>
                <w:sz w:val="18"/>
              </w:rPr>
            </w:pPr>
            <w:r>
              <w:rPr>
                <w:i w:val="0"/>
                <w:iCs w:val="0"/>
                <w:color w:val="auto"/>
                <w:spacing w:val="-3"/>
                <w:sz w:val="18"/>
              </w:rPr>
              <w:t>医保管理</w:t>
            </w:r>
          </w:p>
        </w:tc>
        <w:tc>
          <w:tcPr>
            <w:tcW w:w="4530" w:type="dxa"/>
          </w:tcPr>
          <w:p w14:paraId="46CBEBA5">
            <w:pPr>
              <w:pStyle w:val="25"/>
              <w:spacing w:before="26"/>
              <w:ind w:left="193" w:right="182"/>
              <w:jc w:val="center"/>
              <w:rPr>
                <w:i w:val="0"/>
                <w:iCs w:val="0"/>
                <w:color w:val="auto"/>
                <w:sz w:val="18"/>
              </w:rPr>
            </w:pPr>
            <w:r>
              <w:rPr>
                <w:i w:val="0"/>
                <w:iCs w:val="0"/>
                <w:color w:val="auto"/>
                <w:spacing w:val="-2"/>
                <w:sz w:val="18"/>
              </w:rPr>
              <w:t>DRG</w:t>
            </w:r>
            <w:r>
              <w:rPr>
                <w:i w:val="0"/>
                <w:iCs w:val="0"/>
                <w:color w:val="auto"/>
                <w:spacing w:val="-17"/>
                <w:sz w:val="18"/>
              </w:rPr>
              <w:t xml:space="preserve"> 系统</w:t>
            </w:r>
          </w:p>
        </w:tc>
        <w:tc>
          <w:tcPr>
            <w:tcW w:w="456" w:type="dxa"/>
          </w:tcPr>
          <w:p w14:paraId="5CD91D1E">
            <w:pPr>
              <w:pStyle w:val="25"/>
              <w:spacing w:line="265" w:lineRule="exact"/>
              <w:ind w:right="8"/>
              <w:jc w:val="center"/>
              <w:rPr>
                <w:i w:val="0"/>
                <w:iCs w:val="0"/>
                <w:color w:val="auto"/>
              </w:rPr>
            </w:pPr>
            <w:r>
              <w:rPr>
                <w:i w:val="0"/>
                <w:iCs w:val="0"/>
                <w:color w:val="auto"/>
              </w:rPr>
              <w:t>项</w:t>
            </w:r>
          </w:p>
        </w:tc>
        <w:tc>
          <w:tcPr>
            <w:tcW w:w="458" w:type="dxa"/>
          </w:tcPr>
          <w:p w14:paraId="496D7A85">
            <w:pPr>
              <w:pStyle w:val="25"/>
              <w:spacing w:line="265" w:lineRule="exact"/>
              <w:ind w:right="98"/>
              <w:jc w:val="right"/>
              <w:rPr>
                <w:i w:val="0"/>
                <w:iCs w:val="0"/>
                <w:color w:val="auto"/>
              </w:rPr>
            </w:pPr>
            <w:r>
              <w:rPr>
                <w:i w:val="0"/>
                <w:iCs w:val="0"/>
                <w:color w:val="auto"/>
              </w:rPr>
              <w:t>1</w:t>
            </w:r>
          </w:p>
        </w:tc>
      </w:tr>
      <w:tr w14:paraId="47AA9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1C610E03">
            <w:pPr>
              <w:pStyle w:val="25"/>
              <w:rPr>
                <w:b/>
                <w:i w:val="0"/>
                <w:iCs w:val="0"/>
                <w:color w:val="auto"/>
                <w:sz w:val="18"/>
              </w:rPr>
            </w:pPr>
          </w:p>
          <w:p w14:paraId="7D0C48B2">
            <w:pPr>
              <w:pStyle w:val="25"/>
              <w:rPr>
                <w:b/>
                <w:i w:val="0"/>
                <w:iCs w:val="0"/>
                <w:color w:val="auto"/>
                <w:sz w:val="18"/>
              </w:rPr>
            </w:pPr>
          </w:p>
          <w:p w14:paraId="2B686331">
            <w:pPr>
              <w:pStyle w:val="25"/>
              <w:rPr>
                <w:b/>
                <w:i w:val="0"/>
                <w:iCs w:val="0"/>
                <w:color w:val="auto"/>
                <w:sz w:val="18"/>
              </w:rPr>
            </w:pPr>
          </w:p>
          <w:p w14:paraId="0452DE94">
            <w:pPr>
              <w:pStyle w:val="25"/>
              <w:rPr>
                <w:b/>
                <w:i w:val="0"/>
                <w:iCs w:val="0"/>
                <w:color w:val="auto"/>
                <w:sz w:val="18"/>
              </w:rPr>
            </w:pPr>
          </w:p>
          <w:p w14:paraId="14B83753">
            <w:pPr>
              <w:pStyle w:val="25"/>
              <w:rPr>
                <w:b/>
                <w:i w:val="0"/>
                <w:iCs w:val="0"/>
                <w:color w:val="auto"/>
                <w:sz w:val="18"/>
              </w:rPr>
            </w:pPr>
          </w:p>
          <w:p w14:paraId="4E639073">
            <w:pPr>
              <w:pStyle w:val="25"/>
              <w:rPr>
                <w:b/>
                <w:i w:val="0"/>
                <w:iCs w:val="0"/>
                <w:color w:val="auto"/>
                <w:sz w:val="18"/>
              </w:rPr>
            </w:pPr>
          </w:p>
          <w:p w14:paraId="0576EB2E">
            <w:pPr>
              <w:pStyle w:val="25"/>
              <w:rPr>
                <w:b/>
                <w:i w:val="0"/>
                <w:iCs w:val="0"/>
                <w:color w:val="auto"/>
                <w:sz w:val="18"/>
              </w:rPr>
            </w:pPr>
          </w:p>
          <w:p w14:paraId="3E3C4391">
            <w:pPr>
              <w:pStyle w:val="25"/>
              <w:rPr>
                <w:b/>
                <w:i w:val="0"/>
                <w:iCs w:val="0"/>
                <w:color w:val="auto"/>
                <w:sz w:val="18"/>
              </w:rPr>
            </w:pPr>
          </w:p>
          <w:p w14:paraId="6DBF75F3">
            <w:pPr>
              <w:pStyle w:val="25"/>
              <w:rPr>
                <w:b/>
                <w:i w:val="0"/>
                <w:iCs w:val="0"/>
                <w:color w:val="auto"/>
                <w:sz w:val="18"/>
              </w:rPr>
            </w:pPr>
          </w:p>
          <w:p w14:paraId="07F88CB2">
            <w:pPr>
              <w:pStyle w:val="25"/>
              <w:spacing w:before="7"/>
              <w:rPr>
                <w:b/>
                <w:i w:val="0"/>
                <w:iCs w:val="0"/>
                <w:color w:val="auto"/>
                <w:sz w:val="24"/>
              </w:rPr>
            </w:pPr>
          </w:p>
          <w:p w14:paraId="17A6BF7A">
            <w:pPr>
              <w:pStyle w:val="25"/>
              <w:ind w:left="8"/>
              <w:jc w:val="center"/>
              <w:rPr>
                <w:i w:val="0"/>
                <w:iCs w:val="0"/>
                <w:color w:val="auto"/>
                <w:sz w:val="18"/>
              </w:rPr>
            </w:pPr>
            <w:r>
              <w:rPr>
                <w:i w:val="0"/>
                <w:iCs w:val="0"/>
                <w:color w:val="auto"/>
                <w:sz w:val="18"/>
              </w:rPr>
              <w:t>5</w:t>
            </w:r>
          </w:p>
        </w:tc>
        <w:tc>
          <w:tcPr>
            <w:tcW w:w="1001" w:type="dxa"/>
            <w:vMerge w:val="restart"/>
          </w:tcPr>
          <w:p w14:paraId="518AE014">
            <w:pPr>
              <w:pStyle w:val="25"/>
              <w:rPr>
                <w:b/>
                <w:i w:val="0"/>
                <w:iCs w:val="0"/>
                <w:color w:val="auto"/>
                <w:sz w:val="18"/>
              </w:rPr>
            </w:pPr>
          </w:p>
          <w:p w14:paraId="6D2A0EE7">
            <w:pPr>
              <w:pStyle w:val="25"/>
              <w:rPr>
                <w:b/>
                <w:i w:val="0"/>
                <w:iCs w:val="0"/>
                <w:color w:val="auto"/>
                <w:sz w:val="18"/>
              </w:rPr>
            </w:pPr>
          </w:p>
          <w:p w14:paraId="574A92B7">
            <w:pPr>
              <w:pStyle w:val="25"/>
              <w:rPr>
                <w:b/>
                <w:i w:val="0"/>
                <w:iCs w:val="0"/>
                <w:color w:val="auto"/>
                <w:sz w:val="18"/>
              </w:rPr>
            </w:pPr>
          </w:p>
          <w:p w14:paraId="0DCCCE1B">
            <w:pPr>
              <w:pStyle w:val="25"/>
              <w:rPr>
                <w:b/>
                <w:i w:val="0"/>
                <w:iCs w:val="0"/>
                <w:color w:val="auto"/>
                <w:sz w:val="18"/>
              </w:rPr>
            </w:pPr>
          </w:p>
          <w:p w14:paraId="27ACA787">
            <w:pPr>
              <w:pStyle w:val="25"/>
              <w:rPr>
                <w:b/>
                <w:i w:val="0"/>
                <w:iCs w:val="0"/>
                <w:color w:val="auto"/>
                <w:sz w:val="18"/>
              </w:rPr>
            </w:pPr>
          </w:p>
          <w:p w14:paraId="59044C99">
            <w:pPr>
              <w:pStyle w:val="25"/>
              <w:rPr>
                <w:b/>
                <w:i w:val="0"/>
                <w:iCs w:val="0"/>
                <w:color w:val="auto"/>
                <w:sz w:val="18"/>
              </w:rPr>
            </w:pPr>
          </w:p>
          <w:p w14:paraId="6A9300F6">
            <w:pPr>
              <w:pStyle w:val="25"/>
              <w:rPr>
                <w:b/>
                <w:i w:val="0"/>
                <w:iCs w:val="0"/>
                <w:color w:val="auto"/>
                <w:sz w:val="18"/>
              </w:rPr>
            </w:pPr>
          </w:p>
          <w:p w14:paraId="1DCAFAD4">
            <w:pPr>
              <w:pStyle w:val="25"/>
              <w:rPr>
                <w:b/>
                <w:i w:val="0"/>
                <w:iCs w:val="0"/>
                <w:color w:val="auto"/>
                <w:sz w:val="18"/>
              </w:rPr>
            </w:pPr>
          </w:p>
          <w:p w14:paraId="2289DA9F">
            <w:pPr>
              <w:pStyle w:val="25"/>
              <w:rPr>
                <w:b/>
                <w:i w:val="0"/>
                <w:iCs w:val="0"/>
                <w:color w:val="auto"/>
                <w:sz w:val="18"/>
              </w:rPr>
            </w:pPr>
          </w:p>
          <w:p w14:paraId="7C278DCD">
            <w:pPr>
              <w:pStyle w:val="25"/>
              <w:spacing w:before="7"/>
              <w:rPr>
                <w:b/>
                <w:i w:val="0"/>
                <w:iCs w:val="0"/>
                <w:color w:val="auto"/>
                <w:sz w:val="24"/>
              </w:rPr>
            </w:pPr>
          </w:p>
          <w:p w14:paraId="08503310">
            <w:pPr>
              <w:pStyle w:val="25"/>
              <w:ind w:left="138"/>
              <w:rPr>
                <w:i w:val="0"/>
                <w:iCs w:val="0"/>
                <w:color w:val="auto"/>
                <w:sz w:val="18"/>
              </w:rPr>
            </w:pPr>
            <w:r>
              <w:rPr>
                <w:i w:val="0"/>
                <w:iCs w:val="0"/>
                <w:color w:val="auto"/>
                <w:spacing w:val="-3"/>
                <w:sz w:val="18"/>
              </w:rPr>
              <w:t>医疗服务</w:t>
            </w:r>
          </w:p>
        </w:tc>
        <w:tc>
          <w:tcPr>
            <w:tcW w:w="1623" w:type="dxa"/>
            <w:vMerge w:val="restart"/>
          </w:tcPr>
          <w:p w14:paraId="46513586">
            <w:pPr>
              <w:pStyle w:val="25"/>
              <w:rPr>
                <w:b/>
                <w:i w:val="0"/>
                <w:iCs w:val="0"/>
                <w:color w:val="auto"/>
                <w:sz w:val="18"/>
              </w:rPr>
            </w:pPr>
          </w:p>
          <w:p w14:paraId="78887098">
            <w:pPr>
              <w:pStyle w:val="25"/>
              <w:rPr>
                <w:b/>
                <w:i w:val="0"/>
                <w:iCs w:val="0"/>
                <w:color w:val="auto"/>
                <w:sz w:val="18"/>
              </w:rPr>
            </w:pPr>
          </w:p>
          <w:p w14:paraId="3DBD7FCB">
            <w:pPr>
              <w:pStyle w:val="25"/>
              <w:rPr>
                <w:b/>
                <w:i w:val="0"/>
                <w:iCs w:val="0"/>
                <w:color w:val="auto"/>
                <w:sz w:val="18"/>
              </w:rPr>
            </w:pPr>
          </w:p>
          <w:p w14:paraId="3162FD9F">
            <w:pPr>
              <w:pStyle w:val="25"/>
              <w:rPr>
                <w:b/>
                <w:i w:val="0"/>
                <w:iCs w:val="0"/>
                <w:color w:val="auto"/>
                <w:sz w:val="18"/>
              </w:rPr>
            </w:pPr>
          </w:p>
          <w:p w14:paraId="1671E0A3">
            <w:pPr>
              <w:pStyle w:val="25"/>
              <w:rPr>
                <w:b/>
                <w:i w:val="0"/>
                <w:iCs w:val="0"/>
                <w:color w:val="auto"/>
                <w:sz w:val="18"/>
              </w:rPr>
            </w:pPr>
          </w:p>
          <w:p w14:paraId="45638870">
            <w:pPr>
              <w:pStyle w:val="25"/>
              <w:rPr>
                <w:b/>
                <w:i w:val="0"/>
                <w:iCs w:val="0"/>
                <w:color w:val="auto"/>
                <w:sz w:val="18"/>
              </w:rPr>
            </w:pPr>
          </w:p>
          <w:p w14:paraId="6EC5F887">
            <w:pPr>
              <w:pStyle w:val="25"/>
              <w:spacing w:before="11"/>
              <w:rPr>
                <w:b/>
                <w:i w:val="0"/>
                <w:iCs w:val="0"/>
                <w:color w:val="auto"/>
                <w:sz w:val="20"/>
              </w:rPr>
            </w:pPr>
          </w:p>
          <w:p w14:paraId="2B77574E">
            <w:pPr>
              <w:pStyle w:val="25"/>
              <w:ind w:left="450"/>
              <w:rPr>
                <w:i w:val="0"/>
                <w:iCs w:val="0"/>
                <w:color w:val="auto"/>
                <w:sz w:val="18"/>
              </w:rPr>
            </w:pPr>
            <w:r>
              <w:rPr>
                <w:i w:val="0"/>
                <w:iCs w:val="0"/>
                <w:color w:val="auto"/>
                <w:spacing w:val="-3"/>
                <w:sz w:val="18"/>
              </w:rPr>
              <w:t>临床医生</w:t>
            </w:r>
          </w:p>
        </w:tc>
        <w:tc>
          <w:tcPr>
            <w:tcW w:w="4530" w:type="dxa"/>
          </w:tcPr>
          <w:p w14:paraId="76C5ECC0">
            <w:pPr>
              <w:pStyle w:val="25"/>
              <w:spacing w:before="26"/>
              <w:ind w:left="192" w:right="184"/>
              <w:jc w:val="center"/>
              <w:rPr>
                <w:i w:val="0"/>
                <w:iCs w:val="0"/>
                <w:color w:val="auto"/>
                <w:sz w:val="18"/>
              </w:rPr>
            </w:pPr>
            <w:r>
              <w:rPr>
                <w:i w:val="0"/>
                <w:iCs w:val="0"/>
                <w:color w:val="auto"/>
                <w:spacing w:val="-2"/>
                <w:sz w:val="18"/>
              </w:rPr>
              <w:t>门诊医生工作站</w:t>
            </w:r>
          </w:p>
        </w:tc>
        <w:tc>
          <w:tcPr>
            <w:tcW w:w="456" w:type="dxa"/>
          </w:tcPr>
          <w:p w14:paraId="0E8C81F0">
            <w:pPr>
              <w:pStyle w:val="25"/>
              <w:spacing w:line="265" w:lineRule="exact"/>
              <w:ind w:right="8"/>
              <w:jc w:val="center"/>
              <w:rPr>
                <w:i w:val="0"/>
                <w:iCs w:val="0"/>
                <w:color w:val="auto"/>
              </w:rPr>
            </w:pPr>
            <w:r>
              <w:rPr>
                <w:i w:val="0"/>
                <w:iCs w:val="0"/>
                <w:color w:val="auto"/>
              </w:rPr>
              <w:t>项</w:t>
            </w:r>
          </w:p>
        </w:tc>
        <w:tc>
          <w:tcPr>
            <w:tcW w:w="458" w:type="dxa"/>
          </w:tcPr>
          <w:p w14:paraId="1A64CF7B">
            <w:pPr>
              <w:pStyle w:val="25"/>
              <w:spacing w:line="265" w:lineRule="exact"/>
              <w:ind w:right="98"/>
              <w:jc w:val="right"/>
              <w:rPr>
                <w:i w:val="0"/>
                <w:iCs w:val="0"/>
                <w:color w:val="auto"/>
              </w:rPr>
            </w:pPr>
            <w:r>
              <w:rPr>
                <w:i w:val="0"/>
                <w:iCs w:val="0"/>
                <w:color w:val="auto"/>
              </w:rPr>
              <w:t>1</w:t>
            </w:r>
          </w:p>
        </w:tc>
      </w:tr>
      <w:tr w14:paraId="4241D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F027909">
            <w:pPr>
              <w:rPr>
                <w:i w:val="0"/>
                <w:iCs w:val="0"/>
                <w:color w:val="auto"/>
                <w:sz w:val="2"/>
                <w:szCs w:val="2"/>
              </w:rPr>
            </w:pPr>
          </w:p>
        </w:tc>
        <w:tc>
          <w:tcPr>
            <w:tcW w:w="1001" w:type="dxa"/>
            <w:vMerge w:val="continue"/>
            <w:tcBorders>
              <w:top w:val="nil"/>
            </w:tcBorders>
          </w:tcPr>
          <w:p w14:paraId="24B86518">
            <w:pPr>
              <w:rPr>
                <w:i w:val="0"/>
                <w:iCs w:val="0"/>
                <w:color w:val="auto"/>
                <w:sz w:val="2"/>
                <w:szCs w:val="2"/>
              </w:rPr>
            </w:pPr>
          </w:p>
        </w:tc>
        <w:tc>
          <w:tcPr>
            <w:tcW w:w="1623" w:type="dxa"/>
            <w:vMerge w:val="continue"/>
            <w:tcBorders>
              <w:top w:val="nil"/>
            </w:tcBorders>
          </w:tcPr>
          <w:p w14:paraId="707FFBEF">
            <w:pPr>
              <w:rPr>
                <w:i w:val="0"/>
                <w:iCs w:val="0"/>
                <w:color w:val="auto"/>
                <w:sz w:val="2"/>
                <w:szCs w:val="2"/>
              </w:rPr>
            </w:pPr>
          </w:p>
        </w:tc>
        <w:tc>
          <w:tcPr>
            <w:tcW w:w="4530" w:type="dxa"/>
          </w:tcPr>
          <w:p w14:paraId="2687BC2E">
            <w:pPr>
              <w:pStyle w:val="25"/>
              <w:spacing w:before="26"/>
              <w:ind w:left="190" w:right="184"/>
              <w:jc w:val="center"/>
              <w:rPr>
                <w:i w:val="0"/>
                <w:iCs w:val="0"/>
                <w:color w:val="auto"/>
                <w:sz w:val="18"/>
              </w:rPr>
            </w:pPr>
            <w:r>
              <w:rPr>
                <w:i w:val="0"/>
                <w:iCs w:val="0"/>
                <w:color w:val="auto"/>
                <w:spacing w:val="-2"/>
                <w:sz w:val="18"/>
              </w:rPr>
              <w:t>门诊电子病历</w:t>
            </w:r>
          </w:p>
        </w:tc>
        <w:tc>
          <w:tcPr>
            <w:tcW w:w="456" w:type="dxa"/>
          </w:tcPr>
          <w:p w14:paraId="254D7510">
            <w:pPr>
              <w:pStyle w:val="25"/>
              <w:spacing w:line="265" w:lineRule="exact"/>
              <w:ind w:right="8"/>
              <w:jc w:val="center"/>
              <w:rPr>
                <w:i w:val="0"/>
                <w:iCs w:val="0"/>
                <w:color w:val="auto"/>
              </w:rPr>
            </w:pPr>
            <w:r>
              <w:rPr>
                <w:i w:val="0"/>
                <w:iCs w:val="0"/>
                <w:color w:val="auto"/>
              </w:rPr>
              <w:t>项</w:t>
            </w:r>
          </w:p>
        </w:tc>
        <w:tc>
          <w:tcPr>
            <w:tcW w:w="458" w:type="dxa"/>
          </w:tcPr>
          <w:p w14:paraId="32BE27AE">
            <w:pPr>
              <w:pStyle w:val="25"/>
              <w:spacing w:line="265" w:lineRule="exact"/>
              <w:ind w:right="98"/>
              <w:jc w:val="right"/>
              <w:rPr>
                <w:i w:val="0"/>
                <w:iCs w:val="0"/>
                <w:color w:val="auto"/>
              </w:rPr>
            </w:pPr>
            <w:r>
              <w:rPr>
                <w:i w:val="0"/>
                <w:iCs w:val="0"/>
                <w:color w:val="auto"/>
              </w:rPr>
              <w:t>1</w:t>
            </w:r>
          </w:p>
        </w:tc>
      </w:tr>
      <w:tr w14:paraId="0328F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0B5F51A">
            <w:pPr>
              <w:rPr>
                <w:i w:val="0"/>
                <w:iCs w:val="0"/>
                <w:color w:val="auto"/>
                <w:sz w:val="2"/>
                <w:szCs w:val="2"/>
              </w:rPr>
            </w:pPr>
          </w:p>
        </w:tc>
        <w:tc>
          <w:tcPr>
            <w:tcW w:w="1001" w:type="dxa"/>
            <w:vMerge w:val="continue"/>
            <w:tcBorders>
              <w:top w:val="nil"/>
            </w:tcBorders>
          </w:tcPr>
          <w:p w14:paraId="189670EB">
            <w:pPr>
              <w:rPr>
                <w:i w:val="0"/>
                <w:iCs w:val="0"/>
                <w:color w:val="auto"/>
                <w:sz w:val="2"/>
                <w:szCs w:val="2"/>
              </w:rPr>
            </w:pPr>
          </w:p>
        </w:tc>
        <w:tc>
          <w:tcPr>
            <w:tcW w:w="1623" w:type="dxa"/>
            <w:vMerge w:val="continue"/>
            <w:tcBorders>
              <w:top w:val="nil"/>
            </w:tcBorders>
          </w:tcPr>
          <w:p w14:paraId="258998DA">
            <w:pPr>
              <w:rPr>
                <w:i w:val="0"/>
                <w:iCs w:val="0"/>
                <w:color w:val="auto"/>
                <w:sz w:val="2"/>
                <w:szCs w:val="2"/>
              </w:rPr>
            </w:pPr>
          </w:p>
        </w:tc>
        <w:tc>
          <w:tcPr>
            <w:tcW w:w="4530" w:type="dxa"/>
          </w:tcPr>
          <w:p w14:paraId="6159564A">
            <w:pPr>
              <w:pStyle w:val="25"/>
              <w:spacing w:before="26"/>
              <w:ind w:left="192" w:right="184"/>
              <w:jc w:val="center"/>
              <w:rPr>
                <w:i w:val="0"/>
                <w:iCs w:val="0"/>
                <w:color w:val="auto"/>
                <w:sz w:val="18"/>
              </w:rPr>
            </w:pPr>
            <w:r>
              <w:rPr>
                <w:i w:val="0"/>
                <w:iCs w:val="0"/>
                <w:color w:val="auto"/>
                <w:spacing w:val="-2"/>
                <w:sz w:val="18"/>
              </w:rPr>
              <w:t>急诊医生工作站</w:t>
            </w:r>
          </w:p>
        </w:tc>
        <w:tc>
          <w:tcPr>
            <w:tcW w:w="456" w:type="dxa"/>
          </w:tcPr>
          <w:p w14:paraId="56461083">
            <w:pPr>
              <w:pStyle w:val="25"/>
              <w:spacing w:line="265" w:lineRule="exact"/>
              <w:ind w:right="8"/>
              <w:jc w:val="center"/>
              <w:rPr>
                <w:i w:val="0"/>
                <w:iCs w:val="0"/>
                <w:color w:val="auto"/>
              </w:rPr>
            </w:pPr>
            <w:r>
              <w:rPr>
                <w:i w:val="0"/>
                <w:iCs w:val="0"/>
                <w:color w:val="auto"/>
              </w:rPr>
              <w:t>项</w:t>
            </w:r>
          </w:p>
        </w:tc>
        <w:tc>
          <w:tcPr>
            <w:tcW w:w="458" w:type="dxa"/>
          </w:tcPr>
          <w:p w14:paraId="63B2CBDC">
            <w:pPr>
              <w:pStyle w:val="25"/>
              <w:spacing w:line="265" w:lineRule="exact"/>
              <w:ind w:right="98"/>
              <w:jc w:val="right"/>
              <w:rPr>
                <w:i w:val="0"/>
                <w:iCs w:val="0"/>
                <w:color w:val="auto"/>
              </w:rPr>
            </w:pPr>
            <w:r>
              <w:rPr>
                <w:i w:val="0"/>
                <w:iCs w:val="0"/>
                <w:color w:val="auto"/>
              </w:rPr>
              <w:t>1</w:t>
            </w:r>
          </w:p>
        </w:tc>
      </w:tr>
      <w:tr w14:paraId="6E77A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204D0CE0">
            <w:pPr>
              <w:rPr>
                <w:i w:val="0"/>
                <w:iCs w:val="0"/>
                <w:color w:val="auto"/>
                <w:sz w:val="2"/>
                <w:szCs w:val="2"/>
              </w:rPr>
            </w:pPr>
          </w:p>
        </w:tc>
        <w:tc>
          <w:tcPr>
            <w:tcW w:w="1001" w:type="dxa"/>
            <w:vMerge w:val="continue"/>
            <w:tcBorders>
              <w:top w:val="nil"/>
            </w:tcBorders>
          </w:tcPr>
          <w:p w14:paraId="273374F8">
            <w:pPr>
              <w:rPr>
                <w:i w:val="0"/>
                <w:iCs w:val="0"/>
                <w:color w:val="auto"/>
                <w:sz w:val="2"/>
                <w:szCs w:val="2"/>
              </w:rPr>
            </w:pPr>
          </w:p>
        </w:tc>
        <w:tc>
          <w:tcPr>
            <w:tcW w:w="1623" w:type="dxa"/>
            <w:vMerge w:val="continue"/>
            <w:tcBorders>
              <w:top w:val="nil"/>
            </w:tcBorders>
          </w:tcPr>
          <w:p w14:paraId="308B3E2C">
            <w:pPr>
              <w:rPr>
                <w:i w:val="0"/>
                <w:iCs w:val="0"/>
                <w:color w:val="auto"/>
                <w:sz w:val="2"/>
                <w:szCs w:val="2"/>
              </w:rPr>
            </w:pPr>
          </w:p>
        </w:tc>
        <w:tc>
          <w:tcPr>
            <w:tcW w:w="4530" w:type="dxa"/>
          </w:tcPr>
          <w:p w14:paraId="20DD893C">
            <w:pPr>
              <w:pStyle w:val="25"/>
              <w:spacing w:before="26"/>
              <w:ind w:left="190" w:right="184"/>
              <w:jc w:val="center"/>
              <w:rPr>
                <w:i w:val="0"/>
                <w:iCs w:val="0"/>
                <w:color w:val="auto"/>
                <w:sz w:val="18"/>
              </w:rPr>
            </w:pPr>
            <w:r>
              <w:rPr>
                <w:i w:val="0"/>
                <w:iCs w:val="0"/>
                <w:color w:val="auto"/>
                <w:spacing w:val="-2"/>
                <w:sz w:val="18"/>
              </w:rPr>
              <w:t>急诊电子病历</w:t>
            </w:r>
          </w:p>
        </w:tc>
        <w:tc>
          <w:tcPr>
            <w:tcW w:w="456" w:type="dxa"/>
          </w:tcPr>
          <w:p w14:paraId="131213E3">
            <w:pPr>
              <w:pStyle w:val="25"/>
              <w:spacing w:line="267" w:lineRule="exact"/>
              <w:ind w:right="8"/>
              <w:jc w:val="center"/>
              <w:rPr>
                <w:i w:val="0"/>
                <w:iCs w:val="0"/>
                <w:color w:val="auto"/>
              </w:rPr>
            </w:pPr>
            <w:r>
              <w:rPr>
                <w:i w:val="0"/>
                <w:iCs w:val="0"/>
                <w:color w:val="auto"/>
              </w:rPr>
              <w:t>项</w:t>
            </w:r>
          </w:p>
        </w:tc>
        <w:tc>
          <w:tcPr>
            <w:tcW w:w="458" w:type="dxa"/>
          </w:tcPr>
          <w:p w14:paraId="057B5FBB">
            <w:pPr>
              <w:pStyle w:val="25"/>
              <w:spacing w:line="267" w:lineRule="exact"/>
              <w:ind w:right="98"/>
              <w:jc w:val="right"/>
              <w:rPr>
                <w:i w:val="0"/>
                <w:iCs w:val="0"/>
                <w:color w:val="auto"/>
              </w:rPr>
            </w:pPr>
            <w:r>
              <w:rPr>
                <w:i w:val="0"/>
                <w:iCs w:val="0"/>
                <w:color w:val="auto"/>
              </w:rPr>
              <w:t>1</w:t>
            </w:r>
          </w:p>
        </w:tc>
      </w:tr>
      <w:tr w14:paraId="0B449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65987EC">
            <w:pPr>
              <w:rPr>
                <w:i w:val="0"/>
                <w:iCs w:val="0"/>
                <w:color w:val="auto"/>
                <w:sz w:val="2"/>
                <w:szCs w:val="2"/>
              </w:rPr>
            </w:pPr>
          </w:p>
        </w:tc>
        <w:tc>
          <w:tcPr>
            <w:tcW w:w="1001" w:type="dxa"/>
            <w:vMerge w:val="continue"/>
            <w:tcBorders>
              <w:top w:val="nil"/>
            </w:tcBorders>
          </w:tcPr>
          <w:p w14:paraId="315ED9FF">
            <w:pPr>
              <w:rPr>
                <w:i w:val="0"/>
                <w:iCs w:val="0"/>
                <w:color w:val="auto"/>
                <w:sz w:val="2"/>
                <w:szCs w:val="2"/>
              </w:rPr>
            </w:pPr>
          </w:p>
        </w:tc>
        <w:tc>
          <w:tcPr>
            <w:tcW w:w="1623" w:type="dxa"/>
            <w:vMerge w:val="continue"/>
            <w:tcBorders>
              <w:top w:val="nil"/>
            </w:tcBorders>
          </w:tcPr>
          <w:p w14:paraId="260EC052">
            <w:pPr>
              <w:rPr>
                <w:i w:val="0"/>
                <w:iCs w:val="0"/>
                <w:color w:val="auto"/>
                <w:sz w:val="2"/>
                <w:szCs w:val="2"/>
              </w:rPr>
            </w:pPr>
          </w:p>
        </w:tc>
        <w:tc>
          <w:tcPr>
            <w:tcW w:w="4530" w:type="dxa"/>
          </w:tcPr>
          <w:p w14:paraId="3108FBA8">
            <w:pPr>
              <w:pStyle w:val="25"/>
              <w:spacing w:before="24"/>
              <w:ind w:left="189" w:right="184"/>
              <w:jc w:val="center"/>
              <w:rPr>
                <w:i w:val="0"/>
                <w:iCs w:val="0"/>
                <w:color w:val="auto"/>
                <w:sz w:val="18"/>
              </w:rPr>
            </w:pPr>
            <w:r>
              <w:rPr>
                <w:i w:val="0"/>
                <w:iCs w:val="0"/>
                <w:color w:val="auto"/>
                <w:spacing w:val="-2"/>
                <w:sz w:val="18"/>
              </w:rPr>
              <w:t>急诊预检分诊系统</w:t>
            </w:r>
          </w:p>
        </w:tc>
        <w:tc>
          <w:tcPr>
            <w:tcW w:w="456" w:type="dxa"/>
          </w:tcPr>
          <w:p w14:paraId="1849BA4A">
            <w:pPr>
              <w:pStyle w:val="25"/>
              <w:spacing w:line="265" w:lineRule="exact"/>
              <w:ind w:right="8"/>
              <w:jc w:val="center"/>
              <w:rPr>
                <w:i w:val="0"/>
                <w:iCs w:val="0"/>
                <w:color w:val="auto"/>
              </w:rPr>
            </w:pPr>
            <w:r>
              <w:rPr>
                <w:i w:val="0"/>
                <w:iCs w:val="0"/>
                <w:color w:val="auto"/>
              </w:rPr>
              <w:t>项</w:t>
            </w:r>
          </w:p>
        </w:tc>
        <w:tc>
          <w:tcPr>
            <w:tcW w:w="458" w:type="dxa"/>
          </w:tcPr>
          <w:p w14:paraId="06A7B297">
            <w:pPr>
              <w:pStyle w:val="25"/>
              <w:spacing w:line="265" w:lineRule="exact"/>
              <w:ind w:right="98"/>
              <w:jc w:val="right"/>
              <w:rPr>
                <w:i w:val="0"/>
                <w:iCs w:val="0"/>
                <w:color w:val="auto"/>
              </w:rPr>
            </w:pPr>
            <w:r>
              <w:rPr>
                <w:i w:val="0"/>
                <w:iCs w:val="0"/>
                <w:color w:val="auto"/>
              </w:rPr>
              <w:t>1</w:t>
            </w:r>
          </w:p>
        </w:tc>
      </w:tr>
      <w:tr w14:paraId="6D86A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1DC2B0C">
            <w:pPr>
              <w:rPr>
                <w:i w:val="0"/>
                <w:iCs w:val="0"/>
                <w:color w:val="auto"/>
                <w:sz w:val="2"/>
                <w:szCs w:val="2"/>
              </w:rPr>
            </w:pPr>
          </w:p>
        </w:tc>
        <w:tc>
          <w:tcPr>
            <w:tcW w:w="1001" w:type="dxa"/>
            <w:vMerge w:val="continue"/>
            <w:tcBorders>
              <w:top w:val="nil"/>
            </w:tcBorders>
          </w:tcPr>
          <w:p w14:paraId="396C181E">
            <w:pPr>
              <w:rPr>
                <w:i w:val="0"/>
                <w:iCs w:val="0"/>
                <w:color w:val="auto"/>
                <w:sz w:val="2"/>
                <w:szCs w:val="2"/>
              </w:rPr>
            </w:pPr>
          </w:p>
        </w:tc>
        <w:tc>
          <w:tcPr>
            <w:tcW w:w="1623" w:type="dxa"/>
            <w:vMerge w:val="continue"/>
            <w:tcBorders>
              <w:top w:val="nil"/>
            </w:tcBorders>
          </w:tcPr>
          <w:p w14:paraId="2BB07008">
            <w:pPr>
              <w:rPr>
                <w:i w:val="0"/>
                <w:iCs w:val="0"/>
                <w:color w:val="auto"/>
                <w:sz w:val="2"/>
                <w:szCs w:val="2"/>
              </w:rPr>
            </w:pPr>
          </w:p>
        </w:tc>
        <w:tc>
          <w:tcPr>
            <w:tcW w:w="4530" w:type="dxa"/>
          </w:tcPr>
          <w:p w14:paraId="3F3F6552">
            <w:pPr>
              <w:pStyle w:val="25"/>
              <w:spacing w:before="26"/>
              <w:ind w:left="192" w:right="184"/>
              <w:jc w:val="center"/>
              <w:rPr>
                <w:i w:val="0"/>
                <w:iCs w:val="0"/>
                <w:color w:val="auto"/>
                <w:sz w:val="18"/>
              </w:rPr>
            </w:pPr>
            <w:r>
              <w:rPr>
                <w:i w:val="0"/>
                <w:iCs w:val="0"/>
                <w:color w:val="auto"/>
                <w:spacing w:val="-2"/>
                <w:sz w:val="18"/>
              </w:rPr>
              <w:t>急诊护理工作站</w:t>
            </w:r>
          </w:p>
        </w:tc>
        <w:tc>
          <w:tcPr>
            <w:tcW w:w="456" w:type="dxa"/>
          </w:tcPr>
          <w:p w14:paraId="6232D05C">
            <w:pPr>
              <w:pStyle w:val="25"/>
              <w:spacing w:line="265" w:lineRule="exact"/>
              <w:ind w:right="8"/>
              <w:jc w:val="center"/>
              <w:rPr>
                <w:i w:val="0"/>
                <w:iCs w:val="0"/>
                <w:color w:val="auto"/>
              </w:rPr>
            </w:pPr>
            <w:r>
              <w:rPr>
                <w:i w:val="0"/>
                <w:iCs w:val="0"/>
                <w:color w:val="auto"/>
              </w:rPr>
              <w:t>项</w:t>
            </w:r>
          </w:p>
        </w:tc>
        <w:tc>
          <w:tcPr>
            <w:tcW w:w="458" w:type="dxa"/>
          </w:tcPr>
          <w:p w14:paraId="539D415A">
            <w:pPr>
              <w:pStyle w:val="25"/>
              <w:spacing w:line="265" w:lineRule="exact"/>
              <w:ind w:right="98"/>
              <w:jc w:val="right"/>
              <w:rPr>
                <w:i w:val="0"/>
                <w:iCs w:val="0"/>
                <w:color w:val="auto"/>
              </w:rPr>
            </w:pPr>
            <w:r>
              <w:rPr>
                <w:i w:val="0"/>
                <w:iCs w:val="0"/>
                <w:color w:val="auto"/>
              </w:rPr>
              <w:t>1</w:t>
            </w:r>
          </w:p>
        </w:tc>
      </w:tr>
      <w:tr w14:paraId="48345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91B2085">
            <w:pPr>
              <w:rPr>
                <w:i w:val="0"/>
                <w:iCs w:val="0"/>
                <w:color w:val="auto"/>
                <w:sz w:val="2"/>
                <w:szCs w:val="2"/>
              </w:rPr>
            </w:pPr>
          </w:p>
        </w:tc>
        <w:tc>
          <w:tcPr>
            <w:tcW w:w="1001" w:type="dxa"/>
            <w:vMerge w:val="continue"/>
            <w:tcBorders>
              <w:top w:val="nil"/>
            </w:tcBorders>
          </w:tcPr>
          <w:p w14:paraId="34C26F9F">
            <w:pPr>
              <w:rPr>
                <w:i w:val="0"/>
                <w:iCs w:val="0"/>
                <w:color w:val="auto"/>
                <w:sz w:val="2"/>
                <w:szCs w:val="2"/>
              </w:rPr>
            </w:pPr>
          </w:p>
        </w:tc>
        <w:tc>
          <w:tcPr>
            <w:tcW w:w="1623" w:type="dxa"/>
            <w:vMerge w:val="continue"/>
            <w:tcBorders>
              <w:top w:val="nil"/>
            </w:tcBorders>
          </w:tcPr>
          <w:p w14:paraId="64FA9AB0">
            <w:pPr>
              <w:rPr>
                <w:i w:val="0"/>
                <w:iCs w:val="0"/>
                <w:color w:val="auto"/>
                <w:sz w:val="2"/>
                <w:szCs w:val="2"/>
              </w:rPr>
            </w:pPr>
          </w:p>
        </w:tc>
        <w:tc>
          <w:tcPr>
            <w:tcW w:w="4530" w:type="dxa"/>
          </w:tcPr>
          <w:p w14:paraId="6D1B67A8">
            <w:pPr>
              <w:pStyle w:val="25"/>
              <w:spacing w:before="26"/>
              <w:ind w:left="192" w:right="184"/>
              <w:jc w:val="center"/>
              <w:rPr>
                <w:i w:val="0"/>
                <w:iCs w:val="0"/>
                <w:color w:val="auto"/>
                <w:sz w:val="18"/>
              </w:rPr>
            </w:pPr>
            <w:r>
              <w:rPr>
                <w:i w:val="0"/>
                <w:iCs w:val="0"/>
                <w:color w:val="auto"/>
                <w:spacing w:val="-2"/>
                <w:sz w:val="18"/>
              </w:rPr>
              <w:t>留观医护工作站</w:t>
            </w:r>
          </w:p>
        </w:tc>
        <w:tc>
          <w:tcPr>
            <w:tcW w:w="456" w:type="dxa"/>
          </w:tcPr>
          <w:p w14:paraId="2442BC93">
            <w:pPr>
              <w:pStyle w:val="25"/>
              <w:spacing w:line="265" w:lineRule="exact"/>
              <w:ind w:right="8"/>
              <w:jc w:val="center"/>
              <w:rPr>
                <w:i w:val="0"/>
                <w:iCs w:val="0"/>
                <w:color w:val="auto"/>
              </w:rPr>
            </w:pPr>
            <w:r>
              <w:rPr>
                <w:i w:val="0"/>
                <w:iCs w:val="0"/>
                <w:color w:val="auto"/>
              </w:rPr>
              <w:t>项</w:t>
            </w:r>
          </w:p>
        </w:tc>
        <w:tc>
          <w:tcPr>
            <w:tcW w:w="458" w:type="dxa"/>
          </w:tcPr>
          <w:p w14:paraId="6C61787A">
            <w:pPr>
              <w:pStyle w:val="25"/>
              <w:spacing w:line="265" w:lineRule="exact"/>
              <w:ind w:right="98"/>
              <w:jc w:val="right"/>
              <w:rPr>
                <w:i w:val="0"/>
                <w:iCs w:val="0"/>
                <w:color w:val="auto"/>
              </w:rPr>
            </w:pPr>
            <w:r>
              <w:rPr>
                <w:i w:val="0"/>
                <w:iCs w:val="0"/>
                <w:color w:val="auto"/>
              </w:rPr>
              <w:t>1</w:t>
            </w:r>
          </w:p>
        </w:tc>
      </w:tr>
      <w:tr w14:paraId="22081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1E854D6">
            <w:pPr>
              <w:rPr>
                <w:i w:val="0"/>
                <w:iCs w:val="0"/>
                <w:color w:val="auto"/>
                <w:sz w:val="2"/>
                <w:szCs w:val="2"/>
              </w:rPr>
            </w:pPr>
          </w:p>
        </w:tc>
        <w:tc>
          <w:tcPr>
            <w:tcW w:w="1001" w:type="dxa"/>
            <w:vMerge w:val="continue"/>
            <w:tcBorders>
              <w:top w:val="nil"/>
            </w:tcBorders>
          </w:tcPr>
          <w:p w14:paraId="78009389">
            <w:pPr>
              <w:rPr>
                <w:i w:val="0"/>
                <w:iCs w:val="0"/>
                <w:color w:val="auto"/>
                <w:sz w:val="2"/>
                <w:szCs w:val="2"/>
              </w:rPr>
            </w:pPr>
          </w:p>
        </w:tc>
        <w:tc>
          <w:tcPr>
            <w:tcW w:w="1623" w:type="dxa"/>
            <w:vMerge w:val="continue"/>
            <w:tcBorders>
              <w:top w:val="nil"/>
            </w:tcBorders>
          </w:tcPr>
          <w:p w14:paraId="22867B85">
            <w:pPr>
              <w:rPr>
                <w:i w:val="0"/>
                <w:iCs w:val="0"/>
                <w:color w:val="auto"/>
                <w:sz w:val="2"/>
                <w:szCs w:val="2"/>
              </w:rPr>
            </w:pPr>
          </w:p>
        </w:tc>
        <w:tc>
          <w:tcPr>
            <w:tcW w:w="4530" w:type="dxa"/>
          </w:tcPr>
          <w:p w14:paraId="38F554CB">
            <w:pPr>
              <w:pStyle w:val="25"/>
              <w:spacing w:before="26"/>
              <w:ind w:left="192" w:right="184"/>
              <w:jc w:val="center"/>
              <w:rPr>
                <w:i w:val="0"/>
                <w:iCs w:val="0"/>
                <w:color w:val="auto"/>
                <w:sz w:val="18"/>
              </w:rPr>
            </w:pPr>
            <w:r>
              <w:rPr>
                <w:i w:val="0"/>
                <w:iCs w:val="0"/>
                <w:color w:val="auto"/>
                <w:spacing w:val="-2"/>
                <w:sz w:val="18"/>
              </w:rPr>
              <w:t>住院医生工作站</w:t>
            </w:r>
          </w:p>
        </w:tc>
        <w:tc>
          <w:tcPr>
            <w:tcW w:w="456" w:type="dxa"/>
          </w:tcPr>
          <w:p w14:paraId="699D5837">
            <w:pPr>
              <w:pStyle w:val="25"/>
              <w:spacing w:line="265" w:lineRule="exact"/>
              <w:ind w:right="8"/>
              <w:jc w:val="center"/>
              <w:rPr>
                <w:i w:val="0"/>
                <w:iCs w:val="0"/>
                <w:color w:val="auto"/>
              </w:rPr>
            </w:pPr>
            <w:r>
              <w:rPr>
                <w:i w:val="0"/>
                <w:iCs w:val="0"/>
                <w:color w:val="auto"/>
              </w:rPr>
              <w:t>项</w:t>
            </w:r>
          </w:p>
        </w:tc>
        <w:tc>
          <w:tcPr>
            <w:tcW w:w="458" w:type="dxa"/>
          </w:tcPr>
          <w:p w14:paraId="02A94919">
            <w:pPr>
              <w:pStyle w:val="25"/>
              <w:spacing w:line="265" w:lineRule="exact"/>
              <w:ind w:right="98"/>
              <w:jc w:val="right"/>
              <w:rPr>
                <w:i w:val="0"/>
                <w:iCs w:val="0"/>
                <w:color w:val="auto"/>
              </w:rPr>
            </w:pPr>
            <w:r>
              <w:rPr>
                <w:i w:val="0"/>
                <w:iCs w:val="0"/>
                <w:color w:val="auto"/>
              </w:rPr>
              <w:t>1</w:t>
            </w:r>
          </w:p>
        </w:tc>
      </w:tr>
      <w:tr w14:paraId="687B8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FBC7D2F">
            <w:pPr>
              <w:rPr>
                <w:i w:val="0"/>
                <w:iCs w:val="0"/>
                <w:color w:val="auto"/>
                <w:sz w:val="2"/>
                <w:szCs w:val="2"/>
              </w:rPr>
            </w:pPr>
          </w:p>
        </w:tc>
        <w:tc>
          <w:tcPr>
            <w:tcW w:w="1001" w:type="dxa"/>
            <w:vMerge w:val="continue"/>
            <w:tcBorders>
              <w:top w:val="nil"/>
            </w:tcBorders>
          </w:tcPr>
          <w:p w14:paraId="50C05E1F">
            <w:pPr>
              <w:rPr>
                <w:i w:val="0"/>
                <w:iCs w:val="0"/>
                <w:color w:val="auto"/>
                <w:sz w:val="2"/>
                <w:szCs w:val="2"/>
              </w:rPr>
            </w:pPr>
          </w:p>
        </w:tc>
        <w:tc>
          <w:tcPr>
            <w:tcW w:w="1623" w:type="dxa"/>
            <w:vMerge w:val="continue"/>
            <w:tcBorders>
              <w:top w:val="nil"/>
            </w:tcBorders>
          </w:tcPr>
          <w:p w14:paraId="4136B5AA">
            <w:pPr>
              <w:rPr>
                <w:i w:val="0"/>
                <w:iCs w:val="0"/>
                <w:color w:val="auto"/>
                <w:sz w:val="2"/>
                <w:szCs w:val="2"/>
              </w:rPr>
            </w:pPr>
          </w:p>
        </w:tc>
        <w:tc>
          <w:tcPr>
            <w:tcW w:w="4530" w:type="dxa"/>
          </w:tcPr>
          <w:p w14:paraId="3CE84200">
            <w:pPr>
              <w:pStyle w:val="25"/>
              <w:spacing w:before="26"/>
              <w:ind w:left="190" w:right="184"/>
              <w:jc w:val="center"/>
              <w:rPr>
                <w:i w:val="0"/>
                <w:iCs w:val="0"/>
                <w:color w:val="auto"/>
                <w:sz w:val="18"/>
              </w:rPr>
            </w:pPr>
            <w:r>
              <w:rPr>
                <w:i w:val="0"/>
                <w:iCs w:val="0"/>
                <w:color w:val="auto"/>
                <w:spacing w:val="-2"/>
                <w:sz w:val="18"/>
              </w:rPr>
              <w:t>住院电子病历</w:t>
            </w:r>
          </w:p>
        </w:tc>
        <w:tc>
          <w:tcPr>
            <w:tcW w:w="456" w:type="dxa"/>
          </w:tcPr>
          <w:p w14:paraId="1B8ABF68">
            <w:pPr>
              <w:pStyle w:val="25"/>
              <w:spacing w:line="265" w:lineRule="exact"/>
              <w:ind w:right="8"/>
              <w:jc w:val="center"/>
              <w:rPr>
                <w:i w:val="0"/>
                <w:iCs w:val="0"/>
                <w:color w:val="auto"/>
              </w:rPr>
            </w:pPr>
            <w:r>
              <w:rPr>
                <w:i w:val="0"/>
                <w:iCs w:val="0"/>
                <w:color w:val="auto"/>
              </w:rPr>
              <w:t>项</w:t>
            </w:r>
          </w:p>
        </w:tc>
        <w:tc>
          <w:tcPr>
            <w:tcW w:w="458" w:type="dxa"/>
          </w:tcPr>
          <w:p w14:paraId="210F467E">
            <w:pPr>
              <w:pStyle w:val="25"/>
              <w:spacing w:line="265" w:lineRule="exact"/>
              <w:ind w:right="98"/>
              <w:jc w:val="right"/>
              <w:rPr>
                <w:i w:val="0"/>
                <w:iCs w:val="0"/>
                <w:color w:val="auto"/>
              </w:rPr>
            </w:pPr>
            <w:r>
              <w:rPr>
                <w:i w:val="0"/>
                <w:iCs w:val="0"/>
                <w:color w:val="auto"/>
              </w:rPr>
              <w:t>1</w:t>
            </w:r>
          </w:p>
        </w:tc>
      </w:tr>
      <w:tr w14:paraId="26E8B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Borders>
              <w:top w:val="nil"/>
            </w:tcBorders>
          </w:tcPr>
          <w:p w14:paraId="6E4FA718">
            <w:pPr>
              <w:rPr>
                <w:i w:val="0"/>
                <w:iCs w:val="0"/>
                <w:color w:val="auto"/>
                <w:sz w:val="2"/>
                <w:szCs w:val="2"/>
              </w:rPr>
            </w:pPr>
          </w:p>
        </w:tc>
        <w:tc>
          <w:tcPr>
            <w:tcW w:w="1001" w:type="dxa"/>
            <w:vMerge w:val="continue"/>
            <w:tcBorders>
              <w:top w:val="nil"/>
            </w:tcBorders>
          </w:tcPr>
          <w:p w14:paraId="70FF3DB6">
            <w:pPr>
              <w:rPr>
                <w:i w:val="0"/>
                <w:iCs w:val="0"/>
                <w:color w:val="auto"/>
                <w:sz w:val="2"/>
                <w:szCs w:val="2"/>
              </w:rPr>
            </w:pPr>
          </w:p>
        </w:tc>
        <w:tc>
          <w:tcPr>
            <w:tcW w:w="1623" w:type="dxa"/>
            <w:vMerge w:val="continue"/>
            <w:tcBorders>
              <w:top w:val="nil"/>
            </w:tcBorders>
          </w:tcPr>
          <w:p w14:paraId="6B3039DB">
            <w:pPr>
              <w:rPr>
                <w:i w:val="0"/>
                <w:iCs w:val="0"/>
                <w:color w:val="auto"/>
                <w:sz w:val="2"/>
                <w:szCs w:val="2"/>
              </w:rPr>
            </w:pPr>
          </w:p>
        </w:tc>
        <w:tc>
          <w:tcPr>
            <w:tcW w:w="4530" w:type="dxa"/>
          </w:tcPr>
          <w:p w14:paraId="44278F0A">
            <w:pPr>
              <w:pStyle w:val="25"/>
              <w:spacing w:before="26"/>
              <w:ind w:left="190" w:right="184"/>
              <w:jc w:val="center"/>
              <w:rPr>
                <w:i w:val="0"/>
                <w:iCs w:val="0"/>
                <w:color w:val="auto"/>
                <w:spacing w:val="-2"/>
                <w:sz w:val="18"/>
              </w:rPr>
            </w:pPr>
            <w:r>
              <w:rPr>
                <w:rFonts w:hint="eastAsia" w:ascii="宋体" w:hAnsi="宋体" w:eastAsia="宋体" w:cs="宋体"/>
                <w:b w:val="0"/>
                <w:bCs w:val="0"/>
                <w:i w:val="0"/>
                <w:iCs w:val="0"/>
                <w:color w:val="auto"/>
                <w:kern w:val="0"/>
                <w:sz w:val="20"/>
                <w:szCs w:val="20"/>
                <w:u w:val="none"/>
                <w:lang w:val="en-US" w:eastAsia="zh-CN" w:bidi="ar"/>
                <w14:ligatures w14:val="none"/>
              </w:rPr>
              <w:t>院内会诊管理</w:t>
            </w:r>
          </w:p>
        </w:tc>
        <w:tc>
          <w:tcPr>
            <w:tcW w:w="456" w:type="dxa"/>
            <w:shd w:val="clear" w:color="auto" w:fill="auto"/>
            <w:vAlign w:val="top"/>
          </w:tcPr>
          <w:p w14:paraId="65EB68A2">
            <w:pPr>
              <w:pStyle w:val="25"/>
              <w:spacing w:line="265" w:lineRule="exact"/>
              <w:ind w:right="8" w:rightChars="0"/>
              <w:jc w:val="center"/>
              <w:rPr>
                <w:rFonts w:ascii="宋体" w:hAnsi="宋体" w:eastAsia="宋体" w:cs="宋体"/>
                <w:i w:val="0"/>
                <w:iCs w:val="0"/>
                <w:color w:val="auto"/>
                <w:sz w:val="22"/>
                <w:szCs w:val="22"/>
                <w:lang w:val="en-US" w:eastAsia="zh-CN" w:bidi="ar-SA"/>
              </w:rPr>
            </w:pPr>
            <w:r>
              <w:rPr>
                <w:i w:val="0"/>
                <w:iCs w:val="0"/>
                <w:color w:val="auto"/>
              </w:rPr>
              <w:t>项</w:t>
            </w:r>
          </w:p>
        </w:tc>
        <w:tc>
          <w:tcPr>
            <w:tcW w:w="458" w:type="dxa"/>
            <w:shd w:val="clear" w:color="auto" w:fill="auto"/>
            <w:vAlign w:val="top"/>
          </w:tcPr>
          <w:p w14:paraId="568390A9">
            <w:pPr>
              <w:pStyle w:val="25"/>
              <w:spacing w:line="265" w:lineRule="exact"/>
              <w:ind w:right="98" w:rightChars="0"/>
              <w:jc w:val="right"/>
              <w:rPr>
                <w:rFonts w:ascii="宋体" w:hAnsi="宋体" w:eastAsia="宋体" w:cs="宋体"/>
                <w:i w:val="0"/>
                <w:iCs w:val="0"/>
                <w:color w:val="auto"/>
                <w:sz w:val="22"/>
                <w:szCs w:val="22"/>
                <w:lang w:val="en-US" w:eastAsia="zh-CN" w:bidi="ar-SA"/>
              </w:rPr>
            </w:pPr>
            <w:r>
              <w:rPr>
                <w:i w:val="0"/>
                <w:iCs w:val="0"/>
                <w:color w:val="auto"/>
              </w:rPr>
              <w:t>1</w:t>
            </w:r>
          </w:p>
        </w:tc>
      </w:tr>
      <w:tr w14:paraId="5FE07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E7948DC">
            <w:pPr>
              <w:rPr>
                <w:i w:val="0"/>
                <w:iCs w:val="0"/>
                <w:color w:val="auto"/>
                <w:sz w:val="2"/>
                <w:szCs w:val="2"/>
              </w:rPr>
            </w:pPr>
          </w:p>
        </w:tc>
        <w:tc>
          <w:tcPr>
            <w:tcW w:w="1001" w:type="dxa"/>
            <w:vMerge w:val="continue"/>
            <w:tcBorders>
              <w:top w:val="nil"/>
            </w:tcBorders>
          </w:tcPr>
          <w:p w14:paraId="6FDC0766">
            <w:pPr>
              <w:rPr>
                <w:i w:val="0"/>
                <w:iCs w:val="0"/>
                <w:color w:val="auto"/>
                <w:sz w:val="2"/>
                <w:szCs w:val="2"/>
              </w:rPr>
            </w:pPr>
          </w:p>
        </w:tc>
        <w:tc>
          <w:tcPr>
            <w:tcW w:w="1623" w:type="dxa"/>
            <w:vMerge w:val="continue"/>
            <w:tcBorders>
              <w:top w:val="nil"/>
            </w:tcBorders>
          </w:tcPr>
          <w:p w14:paraId="5306FE99">
            <w:pPr>
              <w:rPr>
                <w:i w:val="0"/>
                <w:iCs w:val="0"/>
                <w:color w:val="auto"/>
                <w:sz w:val="2"/>
                <w:szCs w:val="2"/>
              </w:rPr>
            </w:pPr>
          </w:p>
        </w:tc>
        <w:tc>
          <w:tcPr>
            <w:tcW w:w="4530" w:type="dxa"/>
          </w:tcPr>
          <w:p w14:paraId="10C7B532">
            <w:pPr>
              <w:pStyle w:val="25"/>
              <w:spacing w:before="26"/>
              <w:ind w:left="190" w:right="184"/>
              <w:jc w:val="center"/>
              <w:rPr>
                <w:i w:val="0"/>
                <w:iCs w:val="0"/>
                <w:color w:val="auto"/>
                <w:sz w:val="18"/>
              </w:rPr>
            </w:pPr>
            <w:r>
              <w:rPr>
                <w:i w:val="0"/>
                <w:iCs w:val="0"/>
                <w:color w:val="auto"/>
                <w:spacing w:val="-2"/>
                <w:sz w:val="18"/>
              </w:rPr>
              <w:t>临床路径管理</w:t>
            </w:r>
          </w:p>
        </w:tc>
        <w:tc>
          <w:tcPr>
            <w:tcW w:w="456" w:type="dxa"/>
          </w:tcPr>
          <w:p w14:paraId="36AD90C5">
            <w:pPr>
              <w:pStyle w:val="25"/>
              <w:spacing w:line="266" w:lineRule="exact"/>
              <w:ind w:right="8"/>
              <w:jc w:val="center"/>
              <w:rPr>
                <w:i w:val="0"/>
                <w:iCs w:val="0"/>
                <w:color w:val="auto"/>
              </w:rPr>
            </w:pPr>
            <w:r>
              <w:rPr>
                <w:i w:val="0"/>
                <w:iCs w:val="0"/>
                <w:color w:val="auto"/>
              </w:rPr>
              <w:t>项</w:t>
            </w:r>
          </w:p>
        </w:tc>
        <w:tc>
          <w:tcPr>
            <w:tcW w:w="458" w:type="dxa"/>
          </w:tcPr>
          <w:p w14:paraId="6ECE16D7">
            <w:pPr>
              <w:pStyle w:val="25"/>
              <w:spacing w:line="266" w:lineRule="exact"/>
              <w:ind w:right="98"/>
              <w:jc w:val="right"/>
              <w:rPr>
                <w:i w:val="0"/>
                <w:iCs w:val="0"/>
                <w:color w:val="auto"/>
              </w:rPr>
            </w:pPr>
            <w:r>
              <w:rPr>
                <w:i w:val="0"/>
                <w:iCs w:val="0"/>
                <w:color w:val="auto"/>
              </w:rPr>
              <w:t>1</w:t>
            </w:r>
          </w:p>
        </w:tc>
      </w:tr>
      <w:tr w14:paraId="581FC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36BD3BD">
            <w:pPr>
              <w:rPr>
                <w:i w:val="0"/>
                <w:iCs w:val="0"/>
                <w:color w:val="auto"/>
                <w:sz w:val="2"/>
                <w:szCs w:val="2"/>
              </w:rPr>
            </w:pPr>
          </w:p>
        </w:tc>
        <w:tc>
          <w:tcPr>
            <w:tcW w:w="1001" w:type="dxa"/>
            <w:vMerge w:val="continue"/>
            <w:tcBorders>
              <w:top w:val="nil"/>
            </w:tcBorders>
          </w:tcPr>
          <w:p w14:paraId="0EB7AFB8">
            <w:pPr>
              <w:rPr>
                <w:i w:val="0"/>
                <w:iCs w:val="0"/>
                <w:color w:val="auto"/>
                <w:sz w:val="2"/>
                <w:szCs w:val="2"/>
              </w:rPr>
            </w:pPr>
          </w:p>
        </w:tc>
        <w:tc>
          <w:tcPr>
            <w:tcW w:w="1623" w:type="dxa"/>
            <w:vMerge w:val="continue"/>
            <w:tcBorders>
              <w:top w:val="nil"/>
            </w:tcBorders>
          </w:tcPr>
          <w:p w14:paraId="39A3D35C">
            <w:pPr>
              <w:rPr>
                <w:i w:val="0"/>
                <w:iCs w:val="0"/>
                <w:color w:val="auto"/>
                <w:sz w:val="2"/>
                <w:szCs w:val="2"/>
              </w:rPr>
            </w:pPr>
          </w:p>
        </w:tc>
        <w:tc>
          <w:tcPr>
            <w:tcW w:w="4530" w:type="dxa"/>
          </w:tcPr>
          <w:p w14:paraId="14E987EB">
            <w:pPr>
              <w:pStyle w:val="25"/>
              <w:spacing w:before="26"/>
              <w:ind w:left="189" w:right="184"/>
              <w:jc w:val="center"/>
              <w:rPr>
                <w:i w:val="0"/>
                <w:iCs w:val="0"/>
                <w:color w:val="auto"/>
                <w:sz w:val="18"/>
              </w:rPr>
            </w:pPr>
            <w:r>
              <w:rPr>
                <w:i w:val="0"/>
                <w:iCs w:val="0"/>
                <w:color w:val="auto"/>
                <w:spacing w:val="-2"/>
                <w:sz w:val="18"/>
              </w:rPr>
              <w:t>临床辅助决策系统</w:t>
            </w:r>
          </w:p>
        </w:tc>
        <w:tc>
          <w:tcPr>
            <w:tcW w:w="456" w:type="dxa"/>
          </w:tcPr>
          <w:p w14:paraId="51428191">
            <w:pPr>
              <w:pStyle w:val="25"/>
              <w:spacing w:line="265" w:lineRule="exact"/>
              <w:ind w:right="8"/>
              <w:jc w:val="center"/>
              <w:rPr>
                <w:i w:val="0"/>
                <w:iCs w:val="0"/>
                <w:color w:val="auto"/>
              </w:rPr>
            </w:pPr>
            <w:r>
              <w:rPr>
                <w:i w:val="0"/>
                <w:iCs w:val="0"/>
                <w:color w:val="auto"/>
              </w:rPr>
              <w:t>项</w:t>
            </w:r>
          </w:p>
        </w:tc>
        <w:tc>
          <w:tcPr>
            <w:tcW w:w="458" w:type="dxa"/>
          </w:tcPr>
          <w:p w14:paraId="64A3C07D">
            <w:pPr>
              <w:pStyle w:val="25"/>
              <w:spacing w:line="265" w:lineRule="exact"/>
              <w:ind w:right="98"/>
              <w:jc w:val="right"/>
              <w:rPr>
                <w:i w:val="0"/>
                <w:iCs w:val="0"/>
                <w:color w:val="auto"/>
              </w:rPr>
            </w:pPr>
            <w:r>
              <w:rPr>
                <w:i w:val="0"/>
                <w:iCs w:val="0"/>
                <w:color w:val="auto"/>
              </w:rPr>
              <w:t>1</w:t>
            </w:r>
          </w:p>
        </w:tc>
      </w:tr>
      <w:tr w14:paraId="7758D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EDAF737">
            <w:pPr>
              <w:rPr>
                <w:i w:val="0"/>
                <w:iCs w:val="0"/>
                <w:color w:val="auto"/>
                <w:sz w:val="2"/>
                <w:szCs w:val="2"/>
              </w:rPr>
            </w:pPr>
          </w:p>
        </w:tc>
        <w:tc>
          <w:tcPr>
            <w:tcW w:w="1001" w:type="dxa"/>
            <w:vMerge w:val="continue"/>
            <w:tcBorders>
              <w:top w:val="nil"/>
            </w:tcBorders>
          </w:tcPr>
          <w:p w14:paraId="0A8AA3BC">
            <w:pPr>
              <w:rPr>
                <w:i w:val="0"/>
                <w:iCs w:val="0"/>
                <w:color w:val="auto"/>
                <w:sz w:val="2"/>
                <w:szCs w:val="2"/>
              </w:rPr>
            </w:pPr>
          </w:p>
        </w:tc>
        <w:tc>
          <w:tcPr>
            <w:tcW w:w="1623" w:type="dxa"/>
            <w:vMerge w:val="continue"/>
            <w:tcBorders>
              <w:top w:val="nil"/>
            </w:tcBorders>
          </w:tcPr>
          <w:p w14:paraId="0FD220A3">
            <w:pPr>
              <w:rPr>
                <w:i w:val="0"/>
                <w:iCs w:val="0"/>
                <w:color w:val="auto"/>
                <w:sz w:val="2"/>
                <w:szCs w:val="2"/>
              </w:rPr>
            </w:pPr>
          </w:p>
        </w:tc>
        <w:tc>
          <w:tcPr>
            <w:tcW w:w="4530" w:type="dxa"/>
          </w:tcPr>
          <w:p w14:paraId="0AA80091">
            <w:pPr>
              <w:pStyle w:val="25"/>
              <w:spacing w:before="26"/>
              <w:ind w:left="192" w:right="184"/>
              <w:jc w:val="center"/>
              <w:rPr>
                <w:i w:val="0"/>
                <w:iCs w:val="0"/>
                <w:color w:val="auto"/>
                <w:sz w:val="18"/>
              </w:rPr>
            </w:pPr>
            <w:r>
              <w:rPr>
                <w:i w:val="0"/>
                <w:iCs w:val="0"/>
                <w:color w:val="auto"/>
                <w:spacing w:val="-2"/>
                <w:sz w:val="18"/>
              </w:rPr>
              <w:t>临床知识库系统</w:t>
            </w:r>
          </w:p>
        </w:tc>
        <w:tc>
          <w:tcPr>
            <w:tcW w:w="456" w:type="dxa"/>
          </w:tcPr>
          <w:p w14:paraId="16B71C84">
            <w:pPr>
              <w:pStyle w:val="25"/>
              <w:spacing w:line="265" w:lineRule="exact"/>
              <w:ind w:right="8"/>
              <w:jc w:val="center"/>
              <w:rPr>
                <w:i w:val="0"/>
                <w:iCs w:val="0"/>
                <w:color w:val="auto"/>
              </w:rPr>
            </w:pPr>
            <w:r>
              <w:rPr>
                <w:i w:val="0"/>
                <w:iCs w:val="0"/>
                <w:color w:val="auto"/>
              </w:rPr>
              <w:t>项</w:t>
            </w:r>
          </w:p>
        </w:tc>
        <w:tc>
          <w:tcPr>
            <w:tcW w:w="458" w:type="dxa"/>
          </w:tcPr>
          <w:p w14:paraId="417D54FE">
            <w:pPr>
              <w:pStyle w:val="25"/>
              <w:spacing w:line="265" w:lineRule="exact"/>
              <w:ind w:right="98"/>
              <w:jc w:val="right"/>
              <w:rPr>
                <w:i w:val="0"/>
                <w:iCs w:val="0"/>
                <w:color w:val="auto"/>
              </w:rPr>
            </w:pPr>
            <w:r>
              <w:rPr>
                <w:i w:val="0"/>
                <w:iCs w:val="0"/>
                <w:color w:val="auto"/>
              </w:rPr>
              <w:t>1</w:t>
            </w:r>
          </w:p>
        </w:tc>
      </w:tr>
      <w:tr w14:paraId="286B4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06ED5F4">
            <w:pPr>
              <w:rPr>
                <w:i w:val="0"/>
                <w:iCs w:val="0"/>
                <w:color w:val="auto"/>
                <w:sz w:val="2"/>
                <w:szCs w:val="2"/>
              </w:rPr>
            </w:pPr>
          </w:p>
        </w:tc>
        <w:tc>
          <w:tcPr>
            <w:tcW w:w="1001" w:type="dxa"/>
            <w:vMerge w:val="continue"/>
            <w:tcBorders>
              <w:top w:val="nil"/>
            </w:tcBorders>
          </w:tcPr>
          <w:p w14:paraId="06C7D28D">
            <w:pPr>
              <w:rPr>
                <w:i w:val="0"/>
                <w:iCs w:val="0"/>
                <w:color w:val="auto"/>
                <w:sz w:val="2"/>
                <w:szCs w:val="2"/>
              </w:rPr>
            </w:pPr>
          </w:p>
        </w:tc>
        <w:tc>
          <w:tcPr>
            <w:tcW w:w="1623" w:type="dxa"/>
            <w:vMerge w:val="restart"/>
          </w:tcPr>
          <w:p w14:paraId="53C701C0">
            <w:pPr>
              <w:pStyle w:val="25"/>
              <w:rPr>
                <w:b/>
                <w:i w:val="0"/>
                <w:iCs w:val="0"/>
                <w:color w:val="auto"/>
                <w:sz w:val="18"/>
              </w:rPr>
            </w:pPr>
          </w:p>
          <w:p w14:paraId="303884FE">
            <w:pPr>
              <w:pStyle w:val="25"/>
              <w:rPr>
                <w:b/>
                <w:i w:val="0"/>
                <w:iCs w:val="0"/>
                <w:color w:val="auto"/>
                <w:sz w:val="18"/>
              </w:rPr>
            </w:pPr>
          </w:p>
          <w:p w14:paraId="30740952">
            <w:pPr>
              <w:pStyle w:val="25"/>
              <w:spacing w:before="155"/>
              <w:ind w:left="450"/>
              <w:rPr>
                <w:i w:val="0"/>
                <w:iCs w:val="0"/>
                <w:color w:val="auto"/>
                <w:sz w:val="18"/>
              </w:rPr>
            </w:pPr>
            <w:r>
              <w:rPr>
                <w:i w:val="0"/>
                <w:iCs w:val="0"/>
                <w:color w:val="auto"/>
                <w:spacing w:val="-3"/>
                <w:sz w:val="18"/>
              </w:rPr>
              <w:t>临床护理</w:t>
            </w:r>
          </w:p>
        </w:tc>
        <w:tc>
          <w:tcPr>
            <w:tcW w:w="4530" w:type="dxa"/>
          </w:tcPr>
          <w:p w14:paraId="7ABE8275">
            <w:pPr>
              <w:pStyle w:val="25"/>
              <w:spacing w:before="26"/>
              <w:ind w:left="192" w:right="184"/>
              <w:jc w:val="center"/>
              <w:rPr>
                <w:i w:val="0"/>
                <w:iCs w:val="0"/>
                <w:color w:val="auto"/>
                <w:sz w:val="18"/>
              </w:rPr>
            </w:pPr>
            <w:r>
              <w:rPr>
                <w:i w:val="0"/>
                <w:iCs w:val="0"/>
                <w:color w:val="auto"/>
                <w:spacing w:val="-2"/>
                <w:sz w:val="18"/>
              </w:rPr>
              <w:t>住院护士工作站</w:t>
            </w:r>
          </w:p>
        </w:tc>
        <w:tc>
          <w:tcPr>
            <w:tcW w:w="456" w:type="dxa"/>
          </w:tcPr>
          <w:p w14:paraId="21A71EA5">
            <w:pPr>
              <w:pStyle w:val="25"/>
              <w:spacing w:line="265" w:lineRule="exact"/>
              <w:ind w:right="8"/>
              <w:jc w:val="center"/>
              <w:rPr>
                <w:i w:val="0"/>
                <w:iCs w:val="0"/>
                <w:color w:val="auto"/>
              </w:rPr>
            </w:pPr>
            <w:r>
              <w:rPr>
                <w:i w:val="0"/>
                <w:iCs w:val="0"/>
                <w:color w:val="auto"/>
              </w:rPr>
              <w:t>项</w:t>
            </w:r>
          </w:p>
        </w:tc>
        <w:tc>
          <w:tcPr>
            <w:tcW w:w="458" w:type="dxa"/>
          </w:tcPr>
          <w:p w14:paraId="5618C8C9">
            <w:pPr>
              <w:pStyle w:val="25"/>
              <w:spacing w:line="265" w:lineRule="exact"/>
              <w:ind w:right="98"/>
              <w:jc w:val="right"/>
              <w:rPr>
                <w:i w:val="0"/>
                <w:iCs w:val="0"/>
                <w:color w:val="auto"/>
              </w:rPr>
            </w:pPr>
            <w:r>
              <w:rPr>
                <w:i w:val="0"/>
                <w:iCs w:val="0"/>
                <w:color w:val="auto"/>
              </w:rPr>
              <w:t>1</w:t>
            </w:r>
          </w:p>
        </w:tc>
      </w:tr>
      <w:tr w14:paraId="39408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E3427FD">
            <w:pPr>
              <w:rPr>
                <w:i w:val="0"/>
                <w:iCs w:val="0"/>
                <w:color w:val="auto"/>
                <w:sz w:val="2"/>
                <w:szCs w:val="2"/>
              </w:rPr>
            </w:pPr>
          </w:p>
        </w:tc>
        <w:tc>
          <w:tcPr>
            <w:tcW w:w="1001" w:type="dxa"/>
            <w:vMerge w:val="continue"/>
            <w:tcBorders>
              <w:top w:val="nil"/>
            </w:tcBorders>
          </w:tcPr>
          <w:p w14:paraId="63B0F5A5">
            <w:pPr>
              <w:rPr>
                <w:i w:val="0"/>
                <w:iCs w:val="0"/>
                <w:color w:val="auto"/>
                <w:sz w:val="2"/>
                <w:szCs w:val="2"/>
              </w:rPr>
            </w:pPr>
          </w:p>
        </w:tc>
        <w:tc>
          <w:tcPr>
            <w:tcW w:w="1623" w:type="dxa"/>
            <w:vMerge w:val="continue"/>
            <w:tcBorders>
              <w:top w:val="nil"/>
            </w:tcBorders>
          </w:tcPr>
          <w:p w14:paraId="0421E5A7">
            <w:pPr>
              <w:rPr>
                <w:i w:val="0"/>
                <w:iCs w:val="0"/>
                <w:color w:val="auto"/>
                <w:sz w:val="2"/>
                <w:szCs w:val="2"/>
              </w:rPr>
            </w:pPr>
          </w:p>
        </w:tc>
        <w:tc>
          <w:tcPr>
            <w:tcW w:w="4530" w:type="dxa"/>
          </w:tcPr>
          <w:p w14:paraId="7F980F2C">
            <w:pPr>
              <w:pStyle w:val="25"/>
              <w:spacing w:before="26"/>
              <w:ind w:left="190" w:right="184"/>
              <w:jc w:val="center"/>
              <w:rPr>
                <w:i w:val="0"/>
                <w:iCs w:val="0"/>
                <w:color w:val="auto"/>
                <w:sz w:val="18"/>
              </w:rPr>
            </w:pPr>
            <w:r>
              <w:rPr>
                <w:i w:val="0"/>
                <w:iCs w:val="0"/>
                <w:color w:val="auto"/>
                <w:spacing w:val="-3"/>
                <w:sz w:val="18"/>
              </w:rPr>
              <w:t>护理记录</w:t>
            </w:r>
          </w:p>
        </w:tc>
        <w:tc>
          <w:tcPr>
            <w:tcW w:w="456" w:type="dxa"/>
          </w:tcPr>
          <w:p w14:paraId="432FE0DC">
            <w:pPr>
              <w:pStyle w:val="25"/>
              <w:spacing w:line="265" w:lineRule="exact"/>
              <w:ind w:right="8"/>
              <w:jc w:val="center"/>
              <w:rPr>
                <w:i w:val="0"/>
                <w:iCs w:val="0"/>
                <w:color w:val="auto"/>
              </w:rPr>
            </w:pPr>
            <w:r>
              <w:rPr>
                <w:i w:val="0"/>
                <w:iCs w:val="0"/>
                <w:color w:val="auto"/>
              </w:rPr>
              <w:t>项</w:t>
            </w:r>
          </w:p>
        </w:tc>
        <w:tc>
          <w:tcPr>
            <w:tcW w:w="458" w:type="dxa"/>
          </w:tcPr>
          <w:p w14:paraId="45B05D9B">
            <w:pPr>
              <w:pStyle w:val="25"/>
              <w:spacing w:line="265" w:lineRule="exact"/>
              <w:ind w:right="98"/>
              <w:jc w:val="right"/>
              <w:rPr>
                <w:i w:val="0"/>
                <w:iCs w:val="0"/>
                <w:color w:val="auto"/>
              </w:rPr>
            </w:pPr>
            <w:r>
              <w:rPr>
                <w:i w:val="0"/>
                <w:iCs w:val="0"/>
                <w:color w:val="auto"/>
              </w:rPr>
              <w:t>1</w:t>
            </w:r>
          </w:p>
        </w:tc>
      </w:tr>
      <w:tr w14:paraId="14258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1C83EE5">
            <w:pPr>
              <w:rPr>
                <w:i w:val="0"/>
                <w:iCs w:val="0"/>
                <w:color w:val="auto"/>
                <w:sz w:val="2"/>
                <w:szCs w:val="2"/>
              </w:rPr>
            </w:pPr>
          </w:p>
        </w:tc>
        <w:tc>
          <w:tcPr>
            <w:tcW w:w="1001" w:type="dxa"/>
            <w:vMerge w:val="continue"/>
            <w:tcBorders>
              <w:top w:val="nil"/>
            </w:tcBorders>
          </w:tcPr>
          <w:p w14:paraId="4CF9DEAF">
            <w:pPr>
              <w:rPr>
                <w:i w:val="0"/>
                <w:iCs w:val="0"/>
                <w:color w:val="auto"/>
                <w:sz w:val="2"/>
                <w:szCs w:val="2"/>
              </w:rPr>
            </w:pPr>
          </w:p>
        </w:tc>
        <w:tc>
          <w:tcPr>
            <w:tcW w:w="1623" w:type="dxa"/>
            <w:vMerge w:val="continue"/>
            <w:tcBorders>
              <w:top w:val="nil"/>
            </w:tcBorders>
          </w:tcPr>
          <w:p w14:paraId="687F4A23">
            <w:pPr>
              <w:rPr>
                <w:i w:val="0"/>
                <w:iCs w:val="0"/>
                <w:color w:val="auto"/>
                <w:sz w:val="2"/>
                <w:szCs w:val="2"/>
              </w:rPr>
            </w:pPr>
          </w:p>
        </w:tc>
        <w:tc>
          <w:tcPr>
            <w:tcW w:w="4530" w:type="dxa"/>
          </w:tcPr>
          <w:p w14:paraId="72D5E7BC">
            <w:pPr>
              <w:pStyle w:val="25"/>
              <w:spacing w:before="26"/>
              <w:ind w:left="189" w:right="184"/>
              <w:jc w:val="center"/>
              <w:rPr>
                <w:i w:val="0"/>
                <w:iCs w:val="0"/>
                <w:color w:val="auto"/>
                <w:sz w:val="18"/>
              </w:rPr>
            </w:pPr>
            <w:r>
              <w:rPr>
                <w:i w:val="0"/>
                <w:iCs w:val="0"/>
                <w:color w:val="auto"/>
                <w:spacing w:val="-2"/>
                <w:sz w:val="18"/>
              </w:rPr>
              <w:t>病区电子白板系统</w:t>
            </w:r>
          </w:p>
        </w:tc>
        <w:tc>
          <w:tcPr>
            <w:tcW w:w="456" w:type="dxa"/>
          </w:tcPr>
          <w:p w14:paraId="75A9B13E">
            <w:pPr>
              <w:pStyle w:val="25"/>
              <w:spacing w:line="265" w:lineRule="exact"/>
              <w:ind w:right="8"/>
              <w:jc w:val="center"/>
              <w:rPr>
                <w:i w:val="0"/>
                <w:iCs w:val="0"/>
                <w:color w:val="auto"/>
              </w:rPr>
            </w:pPr>
            <w:r>
              <w:rPr>
                <w:i w:val="0"/>
                <w:iCs w:val="0"/>
                <w:color w:val="auto"/>
              </w:rPr>
              <w:t>项</w:t>
            </w:r>
          </w:p>
        </w:tc>
        <w:tc>
          <w:tcPr>
            <w:tcW w:w="458" w:type="dxa"/>
          </w:tcPr>
          <w:p w14:paraId="418B02D1">
            <w:pPr>
              <w:pStyle w:val="25"/>
              <w:spacing w:line="265" w:lineRule="exact"/>
              <w:ind w:right="98"/>
              <w:jc w:val="right"/>
              <w:rPr>
                <w:i w:val="0"/>
                <w:iCs w:val="0"/>
                <w:color w:val="auto"/>
              </w:rPr>
            </w:pPr>
            <w:r>
              <w:rPr>
                <w:i w:val="0"/>
                <w:iCs w:val="0"/>
                <w:color w:val="auto"/>
              </w:rPr>
              <w:t>1</w:t>
            </w:r>
          </w:p>
        </w:tc>
      </w:tr>
      <w:tr w14:paraId="73EE7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6E90BCF">
            <w:pPr>
              <w:rPr>
                <w:i w:val="0"/>
                <w:iCs w:val="0"/>
                <w:color w:val="auto"/>
                <w:sz w:val="2"/>
                <w:szCs w:val="2"/>
              </w:rPr>
            </w:pPr>
          </w:p>
        </w:tc>
        <w:tc>
          <w:tcPr>
            <w:tcW w:w="1001" w:type="dxa"/>
            <w:vMerge w:val="continue"/>
            <w:tcBorders>
              <w:top w:val="nil"/>
            </w:tcBorders>
          </w:tcPr>
          <w:p w14:paraId="3DC452FC">
            <w:pPr>
              <w:rPr>
                <w:i w:val="0"/>
                <w:iCs w:val="0"/>
                <w:color w:val="auto"/>
                <w:sz w:val="2"/>
                <w:szCs w:val="2"/>
              </w:rPr>
            </w:pPr>
          </w:p>
        </w:tc>
        <w:tc>
          <w:tcPr>
            <w:tcW w:w="1623" w:type="dxa"/>
            <w:vMerge w:val="continue"/>
            <w:tcBorders>
              <w:top w:val="nil"/>
            </w:tcBorders>
          </w:tcPr>
          <w:p w14:paraId="659050B1">
            <w:pPr>
              <w:rPr>
                <w:i w:val="0"/>
                <w:iCs w:val="0"/>
                <w:color w:val="auto"/>
                <w:sz w:val="2"/>
                <w:szCs w:val="2"/>
              </w:rPr>
            </w:pPr>
          </w:p>
        </w:tc>
        <w:tc>
          <w:tcPr>
            <w:tcW w:w="4530" w:type="dxa"/>
          </w:tcPr>
          <w:p w14:paraId="7F746CF6">
            <w:pPr>
              <w:pStyle w:val="25"/>
              <w:spacing w:before="26"/>
              <w:ind w:left="190" w:right="184"/>
              <w:jc w:val="center"/>
              <w:rPr>
                <w:i w:val="0"/>
                <w:iCs w:val="0"/>
                <w:color w:val="auto"/>
                <w:sz w:val="18"/>
              </w:rPr>
            </w:pPr>
            <w:r>
              <w:rPr>
                <w:i w:val="0"/>
                <w:iCs w:val="0"/>
                <w:color w:val="auto"/>
                <w:spacing w:val="-3"/>
                <w:sz w:val="18"/>
              </w:rPr>
              <w:t>移动护理</w:t>
            </w:r>
          </w:p>
        </w:tc>
        <w:tc>
          <w:tcPr>
            <w:tcW w:w="456" w:type="dxa"/>
          </w:tcPr>
          <w:p w14:paraId="64F9C918">
            <w:pPr>
              <w:pStyle w:val="25"/>
              <w:spacing w:line="265" w:lineRule="exact"/>
              <w:ind w:right="8"/>
              <w:jc w:val="center"/>
              <w:rPr>
                <w:i w:val="0"/>
                <w:iCs w:val="0"/>
                <w:color w:val="auto"/>
              </w:rPr>
            </w:pPr>
            <w:r>
              <w:rPr>
                <w:i w:val="0"/>
                <w:iCs w:val="0"/>
                <w:color w:val="auto"/>
              </w:rPr>
              <w:t>项</w:t>
            </w:r>
          </w:p>
        </w:tc>
        <w:tc>
          <w:tcPr>
            <w:tcW w:w="458" w:type="dxa"/>
          </w:tcPr>
          <w:p w14:paraId="14F61548">
            <w:pPr>
              <w:pStyle w:val="25"/>
              <w:spacing w:line="265" w:lineRule="exact"/>
              <w:ind w:right="98"/>
              <w:jc w:val="right"/>
              <w:rPr>
                <w:i w:val="0"/>
                <w:iCs w:val="0"/>
                <w:color w:val="auto"/>
              </w:rPr>
            </w:pPr>
            <w:r>
              <w:rPr>
                <w:i w:val="0"/>
                <w:iCs w:val="0"/>
                <w:color w:val="auto"/>
              </w:rPr>
              <w:t>1</w:t>
            </w:r>
          </w:p>
        </w:tc>
      </w:tr>
      <w:tr w14:paraId="41C96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4F6EB8D">
            <w:pPr>
              <w:rPr>
                <w:i w:val="0"/>
                <w:iCs w:val="0"/>
                <w:color w:val="auto"/>
                <w:sz w:val="2"/>
                <w:szCs w:val="2"/>
              </w:rPr>
            </w:pPr>
          </w:p>
        </w:tc>
        <w:tc>
          <w:tcPr>
            <w:tcW w:w="1001" w:type="dxa"/>
            <w:vMerge w:val="continue"/>
            <w:tcBorders>
              <w:top w:val="nil"/>
            </w:tcBorders>
          </w:tcPr>
          <w:p w14:paraId="382131AB">
            <w:pPr>
              <w:rPr>
                <w:i w:val="0"/>
                <w:iCs w:val="0"/>
                <w:color w:val="auto"/>
                <w:sz w:val="2"/>
                <w:szCs w:val="2"/>
              </w:rPr>
            </w:pPr>
          </w:p>
        </w:tc>
        <w:tc>
          <w:tcPr>
            <w:tcW w:w="1623" w:type="dxa"/>
            <w:vMerge w:val="continue"/>
            <w:tcBorders>
              <w:top w:val="nil"/>
            </w:tcBorders>
          </w:tcPr>
          <w:p w14:paraId="2D7AB365">
            <w:pPr>
              <w:rPr>
                <w:i w:val="0"/>
                <w:iCs w:val="0"/>
                <w:color w:val="auto"/>
                <w:sz w:val="2"/>
                <w:szCs w:val="2"/>
              </w:rPr>
            </w:pPr>
          </w:p>
        </w:tc>
        <w:tc>
          <w:tcPr>
            <w:tcW w:w="4530" w:type="dxa"/>
          </w:tcPr>
          <w:p w14:paraId="4605F29D">
            <w:pPr>
              <w:pStyle w:val="25"/>
              <w:spacing w:before="26"/>
              <w:ind w:left="192" w:right="184"/>
              <w:jc w:val="center"/>
              <w:rPr>
                <w:i w:val="0"/>
                <w:iCs w:val="0"/>
                <w:color w:val="auto"/>
                <w:sz w:val="18"/>
              </w:rPr>
            </w:pPr>
            <w:r>
              <w:rPr>
                <w:i w:val="0"/>
                <w:iCs w:val="0"/>
                <w:color w:val="auto"/>
                <w:spacing w:val="-2"/>
                <w:sz w:val="18"/>
              </w:rPr>
              <w:t>门急诊输液管理</w:t>
            </w:r>
          </w:p>
        </w:tc>
        <w:tc>
          <w:tcPr>
            <w:tcW w:w="456" w:type="dxa"/>
          </w:tcPr>
          <w:p w14:paraId="2389A392">
            <w:pPr>
              <w:pStyle w:val="25"/>
              <w:spacing w:line="265" w:lineRule="exact"/>
              <w:ind w:right="8"/>
              <w:jc w:val="center"/>
              <w:rPr>
                <w:i w:val="0"/>
                <w:iCs w:val="0"/>
                <w:color w:val="auto"/>
              </w:rPr>
            </w:pPr>
            <w:r>
              <w:rPr>
                <w:i w:val="0"/>
                <w:iCs w:val="0"/>
                <w:color w:val="auto"/>
              </w:rPr>
              <w:t>项</w:t>
            </w:r>
          </w:p>
        </w:tc>
        <w:tc>
          <w:tcPr>
            <w:tcW w:w="458" w:type="dxa"/>
          </w:tcPr>
          <w:p w14:paraId="1C166877">
            <w:pPr>
              <w:pStyle w:val="25"/>
              <w:spacing w:line="265" w:lineRule="exact"/>
              <w:ind w:right="98"/>
              <w:jc w:val="right"/>
              <w:rPr>
                <w:i w:val="0"/>
                <w:iCs w:val="0"/>
                <w:color w:val="auto"/>
              </w:rPr>
            </w:pPr>
            <w:r>
              <w:rPr>
                <w:i w:val="0"/>
                <w:iCs w:val="0"/>
                <w:color w:val="auto"/>
              </w:rPr>
              <w:t>1</w:t>
            </w:r>
          </w:p>
        </w:tc>
      </w:tr>
    </w:tbl>
    <w:p w14:paraId="42B17319">
      <w:pPr>
        <w:spacing w:line="265" w:lineRule="exact"/>
        <w:jc w:val="right"/>
        <w:rPr>
          <w:i w:val="0"/>
          <w:iCs w:val="0"/>
          <w:color w:val="auto"/>
        </w:rPr>
        <w:sectPr>
          <w:type w:val="continuous"/>
          <w:pgSz w:w="11910" w:h="16840"/>
          <w:pgMar w:top="1400" w:right="1440" w:bottom="2008" w:left="1580" w:header="0" w:footer="1492" w:gutter="0"/>
          <w:cols w:space="708" w:num="1"/>
        </w:sectPr>
      </w:pPr>
    </w:p>
    <w:tbl>
      <w:tblPr>
        <w:tblStyle w:val="13"/>
        <w:tblW w:w="8524"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001"/>
        <w:gridCol w:w="1623"/>
        <w:gridCol w:w="4636"/>
        <w:gridCol w:w="350"/>
        <w:gridCol w:w="458"/>
      </w:tblGrid>
      <w:tr w14:paraId="30B4F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Borders>
              <w:top w:val="nil"/>
            </w:tcBorders>
          </w:tcPr>
          <w:p w14:paraId="48059224">
            <w:pPr>
              <w:pStyle w:val="25"/>
              <w:rPr>
                <w:rFonts w:ascii="Times New Roman"/>
                <w:i w:val="0"/>
                <w:iCs w:val="0"/>
                <w:color w:val="auto"/>
                <w:sz w:val="18"/>
              </w:rPr>
            </w:pPr>
          </w:p>
        </w:tc>
        <w:tc>
          <w:tcPr>
            <w:tcW w:w="1001" w:type="dxa"/>
            <w:vMerge w:val="restart"/>
            <w:tcBorders>
              <w:top w:val="nil"/>
            </w:tcBorders>
          </w:tcPr>
          <w:p w14:paraId="40C937E5">
            <w:pPr>
              <w:pStyle w:val="25"/>
              <w:rPr>
                <w:rFonts w:ascii="Times New Roman"/>
                <w:i w:val="0"/>
                <w:iCs w:val="0"/>
                <w:color w:val="auto"/>
                <w:sz w:val="18"/>
              </w:rPr>
            </w:pPr>
          </w:p>
        </w:tc>
        <w:tc>
          <w:tcPr>
            <w:tcW w:w="1623" w:type="dxa"/>
            <w:vMerge w:val="restart"/>
            <w:tcBorders>
              <w:top w:val="nil"/>
            </w:tcBorders>
          </w:tcPr>
          <w:p w14:paraId="374942DE">
            <w:pPr>
              <w:pStyle w:val="25"/>
              <w:spacing w:before="6"/>
              <w:rPr>
                <w:b/>
                <w:i w:val="0"/>
                <w:iCs w:val="0"/>
                <w:color w:val="auto"/>
                <w:sz w:val="13"/>
              </w:rPr>
            </w:pPr>
          </w:p>
          <w:p w14:paraId="34D8BDD8">
            <w:pPr>
              <w:pStyle w:val="25"/>
              <w:ind w:left="270"/>
              <w:rPr>
                <w:i w:val="0"/>
                <w:iCs w:val="0"/>
                <w:color w:val="auto"/>
                <w:sz w:val="18"/>
              </w:rPr>
            </w:pPr>
            <w:r>
              <w:rPr>
                <w:i w:val="0"/>
                <w:iCs w:val="0"/>
                <w:color w:val="auto"/>
                <w:spacing w:val="-2"/>
                <w:sz w:val="18"/>
              </w:rPr>
              <w:t>手术危急重症</w:t>
            </w:r>
          </w:p>
        </w:tc>
        <w:tc>
          <w:tcPr>
            <w:tcW w:w="4636" w:type="dxa"/>
            <w:tcBorders>
              <w:top w:val="nil"/>
            </w:tcBorders>
          </w:tcPr>
          <w:p w14:paraId="0B723CE7">
            <w:pPr>
              <w:pStyle w:val="25"/>
              <w:spacing w:before="26"/>
              <w:ind w:left="193" w:right="183"/>
              <w:jc w:val="center"/>
              <w:rPr>
                <w:i w:val="0"/>
                <w:iCs w:val="0"/>
                <w:color w:val="auto"/>
                <w:sz w:val="18"/>
              </w:rPr>
            </w:pPr>
            <w:r>
              <w:rPr>
                <w:i w:val="0"/>
                <w:iCs w:val="0"/>
                <w:color w:val="auto"/>
                <w:spacing w:val="-2"/>
                <w:sz w:val="18"/>
              </w:rPr>
              <w:t>重症监护管理系统（ICU）（10</w:t>
            </w:r>
            <w:r>
              <w:rPr>
                <w:i w:val="0"/>
                <w:iCs w:val="0"/>
                <w:color w:val="auto"/>
                <w:spacing w:val="-8"/>
                <w:sz w:val="18"/>
              </w:rPr>
              <w:t xml:space="preserve"> 床</w:t>
            </w:r>
            <w:r>
              <w:rPr>
                <w:i w:val="0"/>
                <w:iCs w:val="0"/>
                <w:color w:val="auto"/>
                <w:spacing w:val="-10"/>
                <w:sz w:val="18"/>
              </w:rPr>
              <w:t>）</w:t>
            </w:r>
          </w:p>
        </w:tc>
        <w:tc>
          <w:tcPr>
            <w:tcW w:w="350" w:type="dxa"/>
            <w:tcBorders>
              <w:top w:val="nil"/>
            </w:tcBorders>
          </w:tcPr>
          <w:p w14:paraId="75856134">
            <w:pPr>
              <w:pStyle w:val="25"/>
              <w:spacing w:line="265" w:lineRule="exact"/>
              <w:ind w:right="8"/>
              <w:jc w:val="center"/>
              <w:rPr>
                <w:i w:val="0"/>
                <w:iCs w:val="0"/>
                <w:color w:val="auto"/>
              </w:rPr>
            </w:pPr>
            <w:r>
              <w:rPr>
                <w:i w:val="0"/>
                <w:iCs w:val="0"/>
                <w:color w:val="auto"/>
              </w:rPr>
              <w:t>项</w:t>
            </w:r>
          </w:p>
        </w:tc>
        <w:tc>
          <w:tcPr>
            <w:tcW w:w="458" w:type="dxa"/>
            <w:tcBorders>
              <w:top w:val="nil"/>
            </w:tcBorders>
          </w:tcPr>
          <w:p w14:paraId="72CEDE54">
            <w:pPr>
              <w:pStyle w:val="25"/>
              <w:spacing w:line="265" w:lineRule="exact"/>
              <w:ind w:right="98"/>
              <w:jc w:val="right"/>
              <w:rPr>
                <w:i w:val="0"/>
                <w:iCs w:val="0"/>
                <w:color w:val="auto"/>
              </w:rPr>
            </w:pPr>
            <w:r>
              <w:rPr>
                <w:i w:val="0"/>
                <w:iCs w:val="0"/>
                <w:color w:val="auto"/>
              </w:rPr>
              <w:t>1</w:t>
            </w:r>
          </w:p>
        </w:tc>
      </w:tr>
      <w:tr w14:paraId="2AC66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9AA5205">
            <w:pPr>
              <w:rPr>
                <w:i w:val="0"/>
                <w:iCs w:val="0"/>
                <w:color w:val="auto"/>
                <w:sz w:val="2"/>
                <w:szCs w:val="2"/>
              </w:rPr>
            </w:pPr>
          </w:p>
        </w:tc>
        <w:tc>
          <w:tcPr>
            <w:tcW w:w="1001" w:type="dxa"/>
            <w:vMerge w:val="continue"/>
            <w:tcBorders>
              <w:top w:val="nil"/>
            </w:tcBorders>
          </w:tcPr>
          <w:p w14:paraId="37738C59">
            <w:pPr>
              <w:rPr>
                <w:i w:val="0"/>
                <w:iCs w:val="0"/>
                <w:color w:val="auto"/>
                <w:sz w:val="2"/>
                <w:szCs w:val="2"/>
              </w:rPr>
            </w:pPr>
          </w:p>
        </w:tc>
        <w:tc>
          <w:tcPr>
            <w:tcW w:w="1623" w:type="dxa"/>
            <w:vMerge w:val="continue"/>
            <w:tcBorders>
              <w:top w:val="nil"/>
            </w:tcBorders>
          </w:tcPr>
          <w:p w14:paraId="7C85B510">
            <w:pPr>
              <w:rPr>
                <w:i w:val="0"/>
                <w:iCs w:val="0"/>
                <w:color w:val="auto"/>
                <w:sz w:val="2"/>
                <w:szCs w:val="2"/>
              </w:rPr>
            </w:pPr>
          </w:p>
        </w:tc>
        <w:tc>
          <w:tcPr>
            <w:tcW w:w="4636" w:type="dxa"/>
          </w:tcPr>
          <w:p w14:paraId="3F68B66C">
            <w:pPr>
              <w:pStyle w:val="25"/>
              <w:spacing w:before="26"/>
              <w:ind w:left="189" w:right="184"/>
              <w:jc w:val="center"/>
              <w:rPr>
                <w:i w:val="0"/>
                <w:iCs w:val="0"/>
                <w:color w:val="auto"/>
                <w:sz w:val="18"/>
              </w:rPr>
            </w:pPr>
            <w:r>
              <w:rPr>
                <w:i w:val="0"/>
                <w:iCs w:val="0"/>
                <w:color w:val="auto"/>
                <w:spacing w:val="-2"/>
                <w:sz w:val="18"/>
              </w:rPr>
              <w:t>手术麻醉管理系统（12</w:t>
            </w:r>
            <w:r>
              <w:rPr>
                <w:i w:val="0"/>
                <w:iCs w:val="0"/>
                <w:color w:val="auto"/>
                <w:spacing w:val="-5"/>
                <w:sz w:val="18"/>
              </w:rPr>
              <w:t xml:space="preserve"> 间含采集硬件</w:t>
            </w:r>
            <w:r>
              <w:rPr>
                <w:i w:val="0"/>
                <w:iCs w:val="0"/>
                <w:color w:val="auto"/>
                <w:spacing w:val="-10"/>
                <w:sz w:val="18"/>
              </w:rPr>
              <w:t>）</w:t>
            </w:r>
          </w:p>
        </w:tc>
        <w:tc>
          <w:tcPr>
            <w:tcW w:w="350" w:type="dxa"/>
          </w:tcPr>
          <w:p w14:paraId="0B6E06CB">
            <w:pPr>
              <w:pStyle w:val="25"/>
              <w:spacing w:line="266" w:lineRule="exact"/>
              <w:ind w:right="8"/>
              <w:jc w:val="center"/>
              <w:rPr>
                <w:i w:val="0"/>
                <w:iCs w:val="0"/>
                <w:color w:val="auto"/>
              </w:rPr>
            </w:pPr>
            <w:r>
              <w:rPr>
                <w:i w:val="0"/>
                <w:iCs w:val="0"/>
                <w:color w:val="auto"/>
              </w:rPr>
              <w:t>项</w:t>
            </w:r>
          </w:p>
        </w:tc>
        <w:tc>
          <w:tcPr>
            <w:tcW w:w="458" w:type="dxa"/>
          </w:tcPr>
          <w:p w14:paraId="44EA57C3">
            <w:pPr>
              <w:pStyle w:val="25"/>
              <w:spacing w:line="266" w:lineRule="exact"/>
              <w:ind w:right="98"/>
              <w:jc w:val="right"/>
              <w:rPr>
                <w:i w:val="0"/>
                <w:iCs w:val="0"/>
                <w:color w:val="auto"/>
              </w:rPr>
            </w:pPr>
            <w:r>
              <w:rPr>
                <w:i w:val="0"/>
                <w:iCs w:val="0"/>
                <w:color w:val="auto"/>
              </w:rPr>
              <w:t>1</w:t>
            </w:r>
          </w:p>
        </w:tc>
      </w:tr>
      <w:tr w14:paraId="31370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28E1BB3">
            <w:pPr>
              <w:rPr>
                <w:i w:val="0"/>
                <w:iCs w:val="0"/>
                <w:color w:val="auto"/>
                <w:sz w:val="2"/>
                <w:szCs w:val="2"/>
              </w:rPr>
            </w:pPr>
          </w:p>
        </w:tc>
        <w:tc>
          <w:tcPr>
            <w:tcW w:w="1001" w:type="dxa"/>
            <w:vMerge w:val="continue"/>
            <w:tcBorders>
              <w:top w:val="nil"/>
            </w:tcBorders>
          </w:tcPr>
          <w:p w14:paraId="40CC6784">
            <w:pPr>
              <w:rPr>
                <w:i w:val="0"/>
                <w:iCs w:val="0"/>
                <w:color w:val="auto"/>
                <w:sz w:val="2"/>
                <w:szCs w:val="2"/>
              </w:rPr>
            </w:pPr>
          </w:p>
        </w:tc>
        <w:tc>
          <w:tcPr>
            <w:tcW w:w="1623" w:type="dxa"/>
            <w:vMerge w:val="restart"/>
          </w:tcPr>
          <w:p w14:paraId="3377AFE8">
            <w:pPr>
              <w:pStyle w:val="25"/>
              <w:rPr>
                <w:b/>
                <w:i w:val="0"/>
                <w:iCs w:val="0"/>
                <w:color w:val="auto"/>
                <w:sz w:val="18"/>
              </w:rPr>
            </w:pPr>
          </w:p>
          <w:p w14:paraId="4FE64D1F">
            <w:pPr>
              <w:pStyle w:val="25"/>
              <w:rPr>
                <w:b/>
                <w:i w:val="0"/>
                <w:iCs w:val="0"/>
                <w:color w:val="auto"/>
                <w:sz w:val="18"/>
              </w:rPr>
            </w:pPr>
          </w:p>
          <w:p w14:paraId="6FC74607">
            <w:pPr>
              <w:pStyle w:val="25"/>
              <w:rPr>
                <w:b/>
                <w:i w:val="0"/>
                <w:iCs w:val="0"/>
                <w:color w:val="auto"/>
                <w:sz w:val="18"/>
              </w:rPr>
            </w:pPr>
          </w:p>
          <w:p w14:paraId="368DBE24">
            <w:pPr>
              <w:pStyle w:val="25"/>
              <w:rPr>
                <w:b/>
                <w:i w:val="0"/>
                <w:iCs w:val="0"/>
                <w:color w:val="auto"/>
                <w:sz w:val="18"/>
              </w:rPr>
            </w:pPr>
          </w:p>
          <w:p w14:paraId="69D88093">
            <w:pPr>
              <w:pStyle w:val="25"/>
              <w:rPr>
                <w:b/>
                <w:i w:val="0"/>
                <w:iCs w:val="0"/>
                <w:color w:val="auto"/>
                <w:sz w:val="18"/>
              </w:rPr>
            </w:pPr>
          </w:p>
          <w:p w14:paraId="77EB7031">
            <w:pPr>
              <w:pStyle w:val="25"/>
              <w:rPr>
                <w:b/>
                <w:i w:val="0"/>
                <w:iCs w:val="0"/>
                <w:color w:val="auto"/>
                <w:sz w:val="18"/>
              </w:rPr>
            </w:pPr>
          </w:p>
          <w:p w14:paraId="4BE43CB3">
            <w:pPr>
              <w:pStyle w:val="25"/>
              <w:spacing w:before="118"/>
              <w:ind w:left="450"/>
              <w:rPr>
                <w:i w:val="0"/>
                <w:iCs w:val="0"/>
                <w:color w:val="auto"/>
                <w:sz w:val="18"/>
              </w:rPr>
            </w:pPr>
            <w:r>
              <w:rPr>
                <w:i w:val="0"/>
                <w:iCs w:val="0"/>
                <w:color w:val="auto"/>
                <w:spacing w:val="-3"/>
                <w:sz w:val="18"/>
              </w:rPr>
              <w:t>医技业务</w:t>
            </w:r>
          </w:p>
        </w:tc>
        <w:tc>
          <w:tcPr>
            <w:tcW w:w="4636" w:type="dxa"/>
          </w:tcPr>
          <w:p w14:paraId="478D9BA6">
            <w:pPr>
              <w:pStyle w:val="25"/>
              <w:spacing w:before="26"/>
              <w:ind w:left="193" w:right="183"/>
              <w:jc w:val="center"/>
              <w:rPr>
                <w:i w:val="0"/>
                <w:iCs w:val="0"/>
                <w:color w:val="auto"/>
                <w:sz w:val="18"/>
              </w:rPr>
            </w:pPr>
            <w:r>
              <w:rPr>
                <w:i w:val="0"/>
                <w:iCs w:val="0"/>
                <w:color w:val="auto"/>
                <w:sz w:val="18"/>
              </w:rPr>
              <w:t>临床检验信息管理系统</w:t>
            </w:r>
            <w:r>
              <w:rPr>
                <w:i w:val="0"/>
                <w:iCs w:val="0"/>
                <w:color w:val="auto"/>
                <w:spacing w:val="-4"/>
                <w:sz w:val="18"/>
              </w:rPr>
              <w:t>（LIS）</w:t>
            </w:r>
          </w:p>
        </w:tc>
        <w:tc>
          <w:tcPr>
            <w:tcW w:w="350" w:type="dxa"/>
          </w:tcPr>
          <w:p w14:paraId="36849E70">
            <w:pPr>
              <w:pStyle w:val="25"/>
              <w:spacing w:line="265" w:lineRule="exact"/>
              <w:ind w:right="8"/>
              <w:jc w:val="center"/>
              <w:rPr>
                <w:i w:val="0"/>
                <w:iCs w:val="0"/>
                <w:color w:val="auto"/>
              </w:rPr>
            </w:pPr>
            <w:r>
              <w:rPr>
                <w:i w:val="0"/>
                <w:iCs w:val="0"/>
                <w:color w:val="auto"/>
              </w:rPr>
              <w:t>项</w:t>
            </w:r>
          </w:p>
        </w:tc>
        <w:tc>
          <w:tcPr>
            <w:tcW w:w="458" w:type="dxa"/>
          </w:tcPr>
          <w:p w14:paraId="379C1960">
            <w:pPr>
              <w:pStyle w:val="25"/>
              <w:spacing w:line="265" w:lineRule="exact"/>
              <w:ind w:right="98"/>
              <w:jc w:val="right"/>
              <w:rPr>
                <w:i w:val="0"/>
                <w:iCs w:val="0"/>
                <w:color w:val="auto"/>
              </w:rPr>
            </w:pPr>
            <w:r>
              <w:rPr>
                <w:i w:val="0"/>
                <w:iCs w:val="0"/>
                <w:color w:val="auto"/>
              </w:rPr>
              <w:t>1</w:t>
            </w:r>
          </w:p>
        </w:tc>
      </w:tr>
      <w:tr w14:paraId="2DD9B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4AA540C">
            <w:pPr>
              <w:rPr>
                <w:i w:val="0"/>
                <w:iCs w:val="0"/>
                <w:color w:val="auto"/>
                <w:sz w:val="2"/>
                <w:szCs w:val="2"/>
              </w:rPr>
            </w:pPr>
          </w:p>
        </w:tc>
        <w:tc>
          <w:tcPr>
            <w:tcW w:w="1001" w:type="dxa"/>
            <w:vMerge w:val="continue"/>
            <w:tcBorders>
              <w:top w:val="nil"/>
            </w:tcBorders>
          </w:tcPr>
          <w:p w14:paraId="03619FFB">
            <w:pPr>
              <w:rPr>
                <w:i w:val="0"/>
                <w:iCs w:val="0"/>
                <w:color w:val="auto"/>
                <w:sz w:val="2"/>
                <w:szCs w:val="2"/>
              </w:rPr>
            </w:pPr>
          </w:p>
        </w:tc>
        <w:tc>
          <w:tcPr>
            <w:tcW w:w="1623" w:type="dxa"/>
            <w:vMerge w:val="continue"/>
            <w:tcBorders>
              <w:top w:val="nil"/>
            </w:tcBorders>
          </w:tcPr>
          <w:p w14:paraId="2058E5DD">
            <w:pPr>
              <w:rPr>
                <w:i w:val="0"/>
                <w:iCs w:val="0"/>
                <w:color w:val="auto"/>
                <w:sz w:val="2"/>
                <w:szCs w:val="2"/>
              </w:rPr>
            </w:pPr>
          </w:p>
        </w:tc>
        <w:tc>
          <w:tcPr>
            <w:tcW w:w="4636" w:type="dxa"/>
          </w:tcPr>
          <w:p w14:paraId="12737E04">
            <w:pPr>
              <w:pStyle w:val="25"/>
              <w:spacing w:before="26"/>
              <w:ind w:left="190" w:right="184"/>
              <w:jc w:val="center"/>
              <w:rPr>
                <w:i w:val="0"/>
                <w:iCs w:val="0"/>
                <w:color w:val="auto"/>
                <w:sz w:val="18"/>
              </w:rPr>
            </w:pPr>
            <w:r>
              <w:rPr>
                <w:i w:val="0"/>
                <w:iCs w:val="0"/>
                <w:color w:val="auto"/>
                <w:spacing w:val="-2"/>
                <w:sz w:val="18"/>
              </w:rPr>
              <w:t>合理用血系统</w:t>
            </w:r>
          </w:p>
        </w:tc>
        <w:tc>
          <w:tcPr>
            <w:tcW w:w="350" w:type="dxa"/>
          </w:tcPr>
          <w:p w14:paraId="6DDD25A9">
            <w:pPr>
              <w:pStyle w:val="25"/>
              <w:spacing w:line="265" w:lineRule="exact"/>
              <w:ind w:right="8"/>
              <w:jc w:val="center"/>
              <w:rPr>
                <w:i w:val="0"/>
                <w:iCs w:val="0"/>
                <w:color w:val="auto"/>
              </w:rPr>
            </w:pPr>
            <w:r>
              <w:rPr>
                <w:i w:val="0"/>
                <w:iCs w:val="0"/>
                <w:color w:val="auto"/>
              </w:rPr>
              <w:t>项</w:t>
            </w:r>
          </w:p>
        </w:tc>
        <w:tc>
          <w:tcPr>
            <w:tcW w:w="458" w:type="dxa"/>
          </w:tcPr>
          <w:p w14:paraId="5D6E1CA4">
            <w:pPr>
              <w:pStyle w:val="25"/>
              <w:spacing w:line="265" w:lineRule="exact"/>
              <w:ind w:right="98"/>
              <w:jc w:val="right"/>
              <w:rPr>
                <w:i w:val="0"/>
                <w:iCs w:val="0"/>
                <w:color w:val="auto"/>
              </w:rPr>
            </w:pPr>
            <w:r>
              <w:rPr>
                <w:i w:val="0"/>
                <w:iCs w:val="0"/>
                <w:color w:val="auto"/>
              </w:rPr>
              <w:t>1</w:t>
            </w:r>
          </w:p>
        </w:tc>
      </w:tr>
      <w:tr w14:paraId="69A11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0373847">
            <w:pPr>
              <w:rPr>
                <w:i w:val="0"/>
                <w:iCs w:val="0"/>
                <w:color w:val="auto"/>
                <w:sz w:val="2"/>
                <w:szCs w:val="2"/>
              </w:rPr>
            </w:pPr>
          </w:p>
        </w:tc>
        <w:tc>
          <w:tcPr>
            <w:tcW w:w="1001" w:type="dxa"/>
            <w:vMerge w:val="continue"/>
            <w:tcBorders>
              <w:top w:val="nil"/>
            </w:tcBorders>
          </w:tcPr>
          <w:p w14:paraId="441691DE">
            <w:pPr>
              <w:rPr>
                <w:i w:val="0"/>
                <w:iCs w:val="0"/>
                <w:color w:val="auto"/>
                <w:sz w:val="2"/>
                <w:szCs w:val="2"/>
              </w:rPr>
            </w:pPr>
          </w:p>
        </w:tc>
        <w:tc>
          <w:tcPr>
            <w:tcW w:w="1623" w:type="dxa"/>
            <w:vMerge w:val="continue"/>
            <w:tcBorders>
              <w:top w:val="nil"/>
            </w:tcBorders>
          </w:tcPr>
          <w:p w14:paraId="24C289A7">
            <w:pPr>
              <w:rPr>
                <w:i w:val="0"/>
                <w:iCs w:val="0"/>
                <w:color w:val="auto"/>
                <w:sz w:val="2"/>
                <w:szCs w:val="2"/>
              </w:rPr>
            </w:pPr>
          </w:p>
        </w:tc>
        <w:tc>
          <w:tcPr>
            <w:tcW w:w="4636" w:type="dxa"/>
          </w:tcPr>
          <w:p w14:paraId="7894F3C8">
            <w:pPr>
              <w:pStyle w:val="25"/>
              <w:spacing w:before="26"/>
              <w:ind w:left="191" w:right="184"/>
              <w:jc w:val="center"/>
              <w:rPr>
                <w:i w:val="0"/>
                <w:iCs w:val="0"/>
                <w:color w:val="auto"/>
                <w:sz w:val="18"/>
              </w:rPr>
            </w:pPr>
            <w:r>
              <w:rPr>
                <w:i w:val="0"/>
                <w:iCs w:val="0"/>
                <w:color w:val="auto"/>
                <w:spacing w:val="-2"/>
                <w:sz w:val="18"/>
              </w:rPr>
              <w:t>实验室质量管理系统</w:t>
            </w:r>
          </w:p>
        </w:tc>
        <w:tc>
          <w:tcPr>
            <w:tcW w:w="350" w:type="dxa"/>
          </w:tcPr>
          <w:p w14:paraId="537F7E44">
            <w:pPr>
              <w:pStyle w:val="25"/>
              <w:spacing w:line="265" w:lineRule="exact"/>
              <w:ind w:right="8"/>
              <w:jc w:val="center"/>
              <w:rPr>
                <w:i w:val="0"/>
                <w:iCs w:val="0"/>
                <w:color w:val="auto"/>
              </w:rPr>
            </w:pPr>
            <w:r>
              <w:rPr>
                <w:i w:val="0"/>
                <w:iCs w:val="0"/>
                <w:color w:val="auto"/>
              </w:rPr>
              <w:t>项</w:t>
            </w:r>
          </w:p>
        </w:tc>
        <w:tc>
          <w:tcPr>
            <w:tcW w:w="458" w:type="dxa"/>
          </w:tcPr>
          <w:p w14:paraId="312E5D1C">
            <w:pPr>
              <w:pStyle w:val="25"/>
              <w:spacing w:line="265" w:lineRule="exact"/>
              <w:ind w:right="98"/>
              <w:jc w:val="right"/>
              <w:rPr>
                <w:i w:val="0"/>
                <w:iCs w:val="0"/>
                <w:color w:val="auto"/>
              </w:rPr>
            </w:pPr>
            <w:r>
              <w:rPr>
                <w:i w:val="0"/>
                <w:iCs w:val="0"/>
                <w:color w:val="auto"/>
              </w:rPr>
              <w:t>1</w:t>
            </w:r>
          </w:p>
        </w:tc>
      </w:tr>
      <w:tr w14:paraId="7E1BA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56DB885">
            <w:pPr>
              <w:rPr>
                <w:i w:val="0"/>
                <w:iCs w:val="0"/>
                <w:color w:val="auto"/>
                <w:sz w:val="2"/>
                <w:szCs w:val="2"/>
              </w:rPr>
            </w:pPr>
          </w:p>
        </w:tc>
        <w:tc>
          <w:tcPr>
            <w:tcW w:w="1001" w:type="dxa"/>
            <w:vMerge w:val="continue"/>
            <w:tcBorders>
              <w:top w:val="nil"/>
            </w:tcBorders>
          </w:tcPr>
          <w:p w14:paraId="349AAF3A">
            <w:pPr>
              <w:rPr>
                <w:i w:val="0"/>
                <w:iCs w:val="0"/>
                <w:color w:val="auto"/>
                <w:sz w:val="2"/>
                <w:szCs w:val="2"/>
              </w:rPr>
            </w:pPr>
          </w:p>
        </w:tc>
        <w:tc>
          <w:tcPr>
            <w:tcW w:w="1623" w:type="dxa"/>
            <w:vMerge w:val="continue"/>
            <w:tcBorders>
              <w:top w:val="nil"/>
            </w:tcBorders>
          </w:tcPr>
          <w:p w14:paraId="7484FAE2">
            <w:pPr>
              <w:rPr>
                <w:i w:val="0"/>
                <w:iCs w:val="0"/>
                <w:color w:val="auto"/>
                <w:sz w:val="2"/>
                <w:szCs w:val="2"/>
              </w:rPr>
            </w:pPr>
          </w:p>
        </w:tc>
        <w:tc>
          <w:tcPr>
            <w:tcW w:w="4636" w:type="dxa"/>
          </w:tcPr>
          <w:p w14:paraId="4C843EB3">
            <w:pPr>
              <w:pStyle w:val="25"/>
              <w:spacing w:before="26"/>
              <w:ind w:left="189" w:right="184"/>
              <w:jc w:val="center"/>
              <w:rPr>
                <w:i w:val="0"/>
                <w:iCs w:val="0"/>
                <w:color w:val="auto"/>
                <w:sz w:val="18"/>
              </w:rPr>
            </w:pPr>
            <w:r>
              <w:rPr>
                <w:i w:val="0"/>
                <w:iCs w:val="0"/>
                <w:color w:val="auto"/>
                <w:sz w:val="18"/>
              </w:rPr>
              <w:t>医学影像信息管理系统</w:t>
            </w:r>
            <w:r>
              <w:rPr>
                <w:i w:val="0"/>
                <w:iCs w:val="0"/>
                <w:color w:val="auto"/>
                <w:spacing w:val="-2"/>
                <w:sz w:val="18"/>
              </w:rPr>
              <w:t>（PACS）</w:t>
            </w:r>
          </w:p>
        </w:tc>
        <w:tc>
          <w:tcPr>
            <w:tcW w:w="350" w:type="dxa"/>
          </w:tcPr>
          <w:p w14:paraId="4878FFB3">
            <w:pPr>
              <w:pStyle w:val="25"/>
              <w:spacing w:line="265" w:lineRule="exact"/>
              <w:ind w:right="8"/>
              <w:jc w:val="center"/>
              <w:rPr>
                <w:i w:val="0"/>
                <w:iCs w:val="0"/>
                <w:color w:val="auto"/>
              </w:rPr>
            </w:pPr>
            <w:r>
              <w:rPr>
                <w:i w:val="0"/>
                <w:iCs w:val="0"/>
                <w:color w:val="auto"/>
              </w:rPr>
              <w:t>项</w:t>
            </w:r>
          </w:p>
        </w:tc>
        <w:tc>
          <w:tcPr>
            <w:tcW w:w="458" w:type="dxa"/>
          </w:tcPr>
          <w:p w14:paraId="12AAFCD7">
            <w:pPr>
              <w:pStyle w:val="25"/>
              <w:spacing w:line="265" w:lineRule="exact"/>
              <w:ind w:right="98"/>
              <w:jc w:val="right"/>
              <w:rPr>
                <w:i w:val="0"/>
                <w:iCs w:val="0"/>
                <w:color w:val="auto"/>
              </w:rPr>
            </w:pPr>
            <w:r>
              <w:rPr>
                <w:i w:val="0"/>
                <w:iCs w:val="0"/>
                <w:color w:val="auto"/>
              </w:rPr>
              <w:t>1</w:t>
            </w:r>
          </w:p>
        </w:tc>
      </w:tr>
      <w:tr w14:paraId="622C4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28ED09E">
            <w:pPr>
              <w:rPr>
                <w:i w:val="0"/>
                <w:iCs w:val="0"/>
                <w:color w:val="auto"/>
                <w:sz w:val="2"/>
                <w:szCs w:val="2"/>
              </w:rPr>
            </w:pPr>
          </w:p>
        </w:tc>
        <w:tc>
          <w:tcPr>
            <w:tcW w:w="1001" w:type="dxa"/>
            <w:vMerge w:val="continue"/>
            <w:tcBorders>
              <w:top w:val="nil"/>
            </w:tcBorders>
          </w:tcPr>
          <w:p w14:paraId="0B54C7EE">
            <w:pPr>
              <w:rPr>
                <w:i w:val="0"/>
                <w:iCs w:val="0"/>
                <w:color w:val="auto"/>
                <w:sz w:val="2"/>
                <w:szCs w:val="2"/>
              </w:rPr>
            </w:pPr>
          </w:p>
        </w:tc>
        <w:tc>
          <w:tcPr>
            <w:tcW w:w="1623" w:type="dxa"/>
            <w:vMerge w:val="continue"/>
            <w:tcBorders>
              <w:top w:val="nil"/>
            </w:tcBorders>
          </w:tcPr>
          <w:p w14:paraId="4D76A1F3">
            <w:pPr>
              <w:rPr>
                <w:i w:val="0"/>
                <w:iCs w:val="0"/>
                <w:color w:val="auto"/>
                <w:sz w:val="2"/>
                <w:szCs w:val="2"/>
              </w:rPr>
            </w:pPr>
          </w:p>
        </w:tc>
        <w:tc>
          <w:tcPr>
            <w:tcW w:w="4636" w:type="dxa"/>
          </w:tcPr>
          <w:p w14:paraId="643EF70A">
            <w:pPr>
              <w:pStyle w:val="25"/>
              <w:spacing w:before="26"/>
              <w:ind w:left="192" w:right="184"/>
              <w:jc w:val="center"/>
              <w:rPr>
                <w:i w:val="0"/>
                <w:iCs w:val="0"/>
                <w:color w:val="auto"/>
                <w:sz w:val="18"/>
              </w:rPr>
            </w:pPr>
            <w:r>
              <w:rPr>
                <w:i w:val="0"/>
                <w:iCs w:val="0"/>
                <w:color w:val="auto"/>
                <w:sz w:val="18"/>
              </w:rPr>
              <w:t>AI</w:t>
            </w:r>
            <w:r>
              <w:rPr>
                <w:i w:val="0"/>
                <w:iCs w:val="0"/>
                <w:color w:val="auto"/>
                <w:spacing w:val="-10"/>
                <w:sz w:val="18"/>
              </w:rPr>
              <w:t xml:space="preserve"> 影像辅助软件</w:t>
            </w:r>
          </w:p>
        </w:tc>
        <w:tc>
          <w:tcPr>
            <w:tcW w:w="350" w:type="dxa"/>
          </w:tcPr>
          <w:p w14:paraId="41626D3E">
            <w:pPr>
              <w:pStyle w:val="25"/>
              <w:spacing w:line="265" w:lineRule="exact"/>
              <w:ind w:right="8"/>
              <w:jc w:val="center"/>
              <w:rPr>
                <w:i w:val="0"/>
                <w:iCs w:val="0"/>
                <w:color w:val="auto"/>
              </w:rPr>
            </w:pPr>
            <w:r>
              <w:rPr>
                <w:i w:val="0"/>
                <w:iCs w:val="0"/>
                <w:color w:val="auto"/>
              </w:rPr>
              <w:t>项</w:t>
            </w:r>
          </w:p>
        </w:tc>
        <w:tc>
          <w:tcPr>
            <w:tcW w:w="458" w:type="dxa"/>
          </w:tcPr>
          <w:p w14:paraId="6F64002F">
            <w:pPr>
              <w:pStyle w:val="25"/>
              <w:spacing w:line="265" w:lineRule="exact"/>
              <w:ind w:right="98"/>
              <w:jc w:val="right"/>
              <w:rPr>
                <w:i w:val="0"/>
                <w:iCs w:val="0"/>
                <w:color w:val="auto"/>
              </w:rPr>
            </w:pPr>
            <w:r>
              <w:rPr>
                <w:i w:val="0"/>
                <w:iCs w:val="0"/>
                <w:color w:val="auto"/>
              </w:rPr>
              <w:t>1</w:t>
            </w:r>
          </w:p>
        </w:tc>
      </w:tr>
      <w:tr w14:paraId="411D7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5B62C162">
            <w:pPr>
              <w:rPr>
                <w:i w:val="0"/>
                <w:iCs w:val="0"/>
                <w:color w:val="auto"/>
                <w:sz w:val="2"/>
                <w:szCs w:val="2"/>
              </w:rPr>
            </w:pPr>
          </w:p>
        </w:tc>
        <w:tc>
          <w:tcPr>
            <w:tcW w:w="1001" w:type="dxa"/>
            <w:vMerge w:val="continue"/>
            <w:tcBorders>
              <w:top w:val="nil"/>
            </w:tcBorders>
          </w:tcPr>
          <w:p w14:paraId="09AB30C3">
            <w:pPr>
              <w:rPr>
                <w:i w:val="0"/>
                <w:iCs w:val="0"/>
                <w:color w:val="auto"/>
                <w:sz w:val="2"/>
                <w:szCs w:val="2"/>
              </w:rPr>
            </w:pPr>
          </w:p>
        </w:tc>
        <w:tc>
          <w:tcPr>
            <w:tcW w:w="1623" w:type="dxa"/>
            <w:vMerge w:val="continue"/>
            <w:tcBorders>
              <w:top w:val="nil"/>
            </w:tcBorders>
          </w:tcPr>
          <w:p w14:paraId="23ECB1F1">
            <w:pPr>
              <w:rPr>
                <w:i w:val="0"/>
                <w:iCs w:val="0"/>
                <w:color w:val="auto"/>
                <w:sz w:val="2"/>
                <w:szCs w:val="2"/>
              </w:rPr>
            </w:pPr>
          </w:p>
        </w:tc>
        <w:tc>
          <w:tcPr>
            <w:tcW w:w="4636" w:type="dxa"/>
          </w:tcPr>
          <w:p w14:paraId="3BE2C8AC">
            <w:pPr>
              <w:pStyle w:val="25"/>
              <w:spacing w:before="26"/>
              <w:ind w:left="189" w:right="184"/>
              <w:jc w:val="center"/>
              <w:rPr>
                <w:i w:val="0"/>
                <w:iCs w:val="0"/>
                <w:color w:val="auto"/>
                <w:sz w:val="18"/>
              </w:rPr>
            </w:pPr>
            <w:r>
              <w:rPr>
                <w:i w:val="0"/>
                <w:iCs w:val="0"/>
                <w:color w:val="auto"/>
                <w:spacing w:val="-2"/>
                <w:sz w:val="18"/>
              </w:rPr>
              <w:t>病理信息管理系统</w:t>
            </w:r>
          </w:p>
        </w:tc>
        <w:tc>
          <w:tcPr>
            <w:tcW w:w="350" w:type="dxa"/>
          </w:tcPr>
          <w:p w14:paraId="19C875EF">
            <w:pPr>
              <w:pStyle w:val="25"/>
              <w:spacing w:line="265" w:lineRule="exact"/>
              <w:ind w:right="8"/>
              <w:jc w:val="center"/>
              <w:rPr>
                <w:i w:val="0"/>
                <w:iCs w:val="0"/>
                <w:color w:val="auto"/>
              </w:rPr>
            </w:pPr>
            <w:r>
              <w:rPr>
                <w:i w:val="0"/>
                <w:iCs w:val="0"/>
                <w:color w:val="auto"/>
              </w:rPr>
              <w:t>项</w:t>
            </w:r>
          </w:p>
        </w:tc>
        <w:tc>
          <w:tcPr>
            <w:tcW w:w="458" w:type="dxa"/>
          </w:tcPr>
          <w:p w14:paraId="5D53BA51">
            <w:pPr>
              <w:pStyle w:val="25"/>
              <w:spacing w:line="265" w:lineRule="exact"/>
              <w:ind w:right="98"/>
              <w:jc w:val="right"/>
              <w:rPr>
                <w:i w:val="0"/>
                <w:iCs w:val="0"/>
                <w:color w:val="auto"/>
              </w:rPr>
            </w:pPr>
            <w:r>
              <w:rPr>
                <w:i w:val="0"/>
                <w:iCs w:val="0"/>
                <w:color w:val="auto"/>
              </w:rPr>
              <w:t>1</w:t>
            </w:r>
          </w:p>
        </w:tc>
      </w:tr>
      <w:tr w14:paraId="2C2E5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BAD5009">
            <w:pPr>
              <w:rPr>
                <w:i w:val="0"/>
                <w:iCs w:val="0"/>
                <w:color w:val="auto"/>
                <w:sz w:val="2"/>
                <w:szCs w:val="2"/>
              </w:rPr>
            </w:pPr>
          </w:p>
        </w:tc>
        <w:tc>
          <w:tcPr>
            <w:tcW w:w="1001" w:type="dxa"/>
            <w:vMerge w:val="continue"/>
            <w:tcBorders>
              <w:top w:val="nil"/>
            </w:tcBorders>
          </w:tcPr>
          <w:p w14:paraId="03CA3D97">
            <w:pPr>
              <w:rPr>
                <w:i w:val="0"/>
                <w:iCs w:val="0"/>
                <w:color w:val="auto"/>
                <w:sz w:val="2"/>
                <w:szCs w:val="2"/>
              </w:rPr>
            </w:pPr>
          </w:p>
        </w:tc>
        <w:tc>
          <w:tcPr>
            <w:tcW w:w="1623" w:type="dxa"/>
            <w:vMerge w:val="continue"/>
            <w:tcBorders>
              <w:top w:val="nil"/>
            </w:tcBorders>
          </w:tcPr>
          <w:p w14:paraId="46CC1EFA">
            <w:pPr>
              <w:rPr>
                <w:i w:val="0"/>
                <w:iCs w:val="0"/>
                <w:color w:val="auto"/>
                <w:sz w:val="2"/>
                <w:szCs w:val="2"/>
              </w:rPr>
            </w:pPr>
          </w:p>
        </w:tc>
        <w:tc>
          <w:tcPr>
            <w:tcW w:w="4636" w:type="dxa"/>
          </w:tcPr>
          <w:p w14:paraId="427BBC94">
            <w:pPr>
              <w:pStyle w:val="25"/>
              <w:spacing w:before="26"/>
              <w:ind w:left="191" w:right="184"/>
              <w:jc w:val="center"/>
              <w:rPr>
                <w:i w:val="0"/>
                <w:iCs w:val="0"/>
                <w:color w:val="auto"/>
                <w:sz w:val="18"/>
              </w:rPr>
            </w:pPr>
            <w:r>
              <w:rPr>
                <w:i w:val="0"/>
                <w:iCs w:val="0"/>
                <w:color w:val="auto"/>
                <w:spacing w:val="-2"/>
                <w:sz w:val="18"/>
              </w:rPr>
              <w:t>电生理信息管理系统</w:t>
            </w:r>
          </w:p>
        </w:tc>
        <w:tc>
          <w:tcPr>
            <w:tcW w:w="350" w:type="dxa"/>
          </w:tcPr>
          <w:p w14:paraId="64B99669">
            <w:pPr>
              <w:pStyle w:val="25"/>
              <w:spacing w:line="265" w:lineRule="exact"/>
              <w:ind w:right="8"/>
              <w:jc w:val="center"/>
              <w:rPr>
                <w:i w:val="0"/>
                <w:iCs w:val="0"/>
                <w:color w:val="auto"/>
              </w:rPr>
            </w:pPr>
            <w:r>
              <w:rPr>
                <w:i w:val="0"/>
                <w:iCs w:val="0"/>
                <w:color w:val="auto"/>
              </w:rPr>
              <w:t>项</w:t>
            </w:r>
          </w:p>
        </w:tc>
        <w:tc>
          <w:tcPr>
            <w:tcW w:w="458" w:type="dxa"/>
          </w:tcPr>
          <w:p w14:paraId="724D0980">
            <w:pPr>
              <w:pStyle w:val="25"/>
              <w:spacing w:line="265" w:lineRule="exact"/>
              <w:ind w:right="98"/>
              <w:jc w:val="right"/>
              <w:rPr>
                <w:i w:val="0"/>
                <w:iCs w:val="0"/>
                <w:color w:val="auto"/>
              </w:rPr>
            </w:pPr>
            <w:r>
              <w:rPr>
                <w:i w:val="0"/>
                <w:iCs w:val="0"/>
                <w:color w:val="auto"/>
              </w:rPr>
              <w:t>1</w:t>
            </w:r>
          </w:p>
        </w:tc>
      </w:tr>
      <w:tr w14:paraId="15569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47EBD34">
            <w:pPr>
              <w:rPr>
                <w:i w:val="0"/>
                <w:iCs w:val="0"/>
                <w:color w:val="auto"/>
                <w:sz w:val="2"/>
                <w:szCs w:val="2"/>
              </w:rPr>
            </w:pPr>
          </w:p>
        </w:tc>
        <w:tc>
          <w:tcPr>
            <w:tcW w:w="1001" w:type="dxa"/>
            <w:vMerge w:val="continue"/>
            <w:tcBorders>
              <w:top w:val="nil"/>
            </w:tcBorders>
          </w:tcPr>
          <w:p w14:paraId="7FFB437A">
            <w:pPr>
              <w:rPr>
                <w:i w:val="0"/>
                <w:iCs w:val="0"/>
                <w:color w:val="auto"/>
                <w:sz w:val="2"/>
                <w:szCs w:val="2"/>
              </w:rPr>
            </w:pPr>
          </w:p>
        </w:tc>
        <w:tc>
          <w:tcPr>
            <w:tcW w:w="1623" w:type="dxa"/>
            <w:vMerge w:val="continue"/>
            <w:tcBorders>
              <w:top w:val="nil"/>
            </w:tcBorders>
          </w:tcPr>
          <w:p w14:paraId="337BC2BF">
            <w:pPr>
              <w:rPr>
                <w:i w:val="0"/>
                <w:iCs w:val="0"/>
                <w:color w:val="auto"/>
                <w:sz w:val="2"/>
                <w:szCs w:val="2"/>
              </w:rPr>
            </w:pPr>
          </w:p>
        </w:tc>
        <w:tc>
          <w:tcPr>
            <w:tcW w:w="4636" w:type="dxa"/>
          </w:tcPr>
          <w:p w14:paraId="466503B4">
            <w:pPr>
              <w:pStyle w:val="25"/>
              <w:spacing w:before="26"/>
              <w:ind w:left="192" w:right="184"/>
              <w:jc w:val="center"/>
              <w:rPr>
                <w:i w:val="0"/>
                <w:iCs w:val="0"/>
                <w:color w:val="auto"/>
                <w:sz w:val="18"/>
              </w:rPr>
            </w:pPr>
            <w:r>
              <w:rPr>
                <w:i w:val="0"/>
                <w:iCs w:val="0"/>
                <w:color w:val="auto"/>
                <w:sz w:val="18"/>
              </w:rPr>
              <w:t>血液透析管理（</w:t>
            </w:r>
            <w:r>
              <w:rPr>
                <w:rFonts w:hint="eastAsia"/>
                <w:i w:val="0"/>
                <w:iCs w:val="0"/>
                <w:color w:val="auto"/>
                <w:sz w:val="18"/>
              </w:rPr>
              <w:t>含35套床位配套设施</w:t>
            </w:r>
            <w:r>
              <w:rPr>
                <w:i w:val="0"/>
                <w:iCs w:val="0"/>
                <w:color w:val="auto"/>
                <w:spacing w:val="-10"/>
                <w:sz w:val="18"/>
              </w:rPr>
              <w:t>）</w:t>
            </w:r>
          </w:p>
        </w:tc>
        <w:tc>
          <w:tcPr>
            <w:tcW w:w="350" w:type="dxa"/>
          </w:tcPr>
          <w:p w14:paraId="0479F9D0">
            <w:pPr>
              <w:pStyle w:val="25"/>
              <w:spacing w:line="265" w:lineRule="exact"/>
              <w:ind w:right="8"/>
              <w:jc w:val="center"/>
              <w:rPr>
                <w:i w:val="0"/>
                <w:iCs w:val="0"/>
                <w:color w:val="auto"/>
              </w:rPr>
            </w:pPr>
            <w:r>
              <w:rPr>
                <w:i w:val="0"/>
                <w:iCs w:val="0"/>
                <w:color w:val="auto"/>
              </w:rPr>
              <w:t>项</w:t>
            </w:r>
          </w:p>
        </w:tc>
        <w:tc>
          <w:tcPr>
            <w:tcW w:w="458" w:type="dxa"/>
          </w:tcPr>
          <w:p w14:paraId="0441049D">
            <w:pPr>
              <w:pStyle w:val="25"/>
              <w:spacing w:line="265" w:lineRule="exact"/>
              <w:ind w:right="98"/>
              <w:jc w:val="right"/>
              <w:rPr>
                <w:i w:val="0"/>
                <w:iCs w:val="0"/>
                <w:color w:val="auto"/>
              </w:rPr>
            </w:pPr>
            <w:r>
              <w:rPr>
                <w:i w:val="0"/>
                <w:iCs w:val="0"/>
                <w:color w:val="auto"/>
              </w:rPr>
              <w:t>1</w:t>
            </w:r>
          </w:p>
        </w:tc>
      </w:tr>
      <w:tr w14:paraId="589AA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16DCB9F8">
            <w:pPr>
              <w:rPr>
                <w:i w:val="0"/>
                <w:iCs w:val="0"/>
                <w:color w:val="auto"/>
                <w:sz w:val="2"/>
                <w:szCs w:val="2"/>
              </w:rPr>
            </w:pPr>
          </w:p>
        </w:tc>
        <w:tc>
          <w:tcPr>
            <w:tcW w:w="1001" w:type="dxa"/>
            <w:vMerge w:val="continue"/>
            <w:tcBorders>
              <w:top w:val="nil"/>
            </w:tcBorders>
          </w:tcPr>
          <w:p w14:paraId="077D1FAF">
            <w:pPr>
              <w:rPr>
                <w:i w:val="0"/>
                <w:iCs w:val="0"/>
                <w:color w:val="auto"/>
                <w:sz w:val="2"/>
                <w:szCs w:val="2"/>
              </w:rPr>
            </w:pPr>
          </w:p>
        </w:tc>
        <w:tc>
          <w:tcPr>
            <w:tcW w:w="1623" w:type="dxa"/>
            <w:vMerge w:val="continue"/>
            <w:tcBorders>
              <w:top w:val="nil"/>
            </w:tcBorders>
          </w:tcPr>
          <w:p w14:paraId="3B6113AA">
            <w:pPr>
              <w:rPr>
                <w:i w:val="0"/>
                <w:iCs w:val="0"/>
                <w:color w:val="auto"/>
                <w:sz w:val="2"/>
                <w:szCs w:val="2"/>
              </w:rPr>
            </w:pPr>
          </w:p>
        </w:tc>
        <w:tc>
          <w:tcPr>
            <w:tcW w:w="4636" w:type="dxa"/>
          </w:tcPr>
          <w:p w14:paraId="13F8ECAE">
            <w:pPr>
              <w:pStyle w:val="25"/>
              <w:spacing w:before="26"/>
              <w:ind w:left="190" w:right="184"/>
              <w:jc w:val="center"/>
              <w:rPr>
                <w:i w:val="0"/>
                <w:iCs w:val="0"/>
                <w:color w:val="auto"/>
                <w:sz w:val="18"/>
              </w:rPr>
            </w:pPr>
            <w:r>
              <w:rPr>
                <w:i w:val="0"/>
                <w:iCs w:val="0"/>
                <w:color w:val="auto"/>
                <w:spacing w:val="-2"/>
                <w:sz w:val="18"/>
              </w:rPr>
              <w:t>治疗信息管理</w:t>
            </w:r>
          </w:p>
        </w:tc>
        <w:tc>
          <w:tcPr>
            <w:tcW w:w="350" w:type="dxa"/>
          </w:tcPr>
          <w:p w14:paraId="62C03E82">
            <w:pPr>
              <w:pStyle w:val="25"/>
              <w:spacing w:line="265" w:lineRule="exact"/>
              <w:ind w:right="8"/>
              <w:jc w:val="center"/>
              <w:rPr>
                <w:i w:val="0"/>
                <w:iCs w:val="0"/>
                <w:color w:val="auto"/>
              </w:rPr>
            </w:pPr>
            <w:r>
              <w:rPr>
                <w:i w:val="0"/>
                <w:iCs w:val="0"/>
                <w:color w:val="auto"/>
              </w:rPr>
              <w:t>项</w:t>
            </w:r>
          </w:p>
        </w:tc>
        <w:tc>
          <w:tcPr>
            <w:tcW w:w="458" w:type="dxa"/>
          </w:tcPr>
          <w:p w14:paraId="23C6536E">
            <w:pPr>
              <w:pStyle w:val="25"/>
              <w:spacing w:line="265" w:lineRule="exact"/>
              <w:ind w:right="98"/>
              <w:jc w:val="right"/>
              <w:rPr>
                <w:i w:val="0"/>
                <w:iCs w:val="0"/>
                <w:color w:val="auto"/>
              </w:rPr>
            </w:pPr>
            <w:r>
              <w:rPr>
                <w:i w:val="0"/>
                <w:iCs w:val="0"/>
                <w:color w:val="auto"/>
              </w:rPr>
              <w:t>1</w:t>
            </w:r>
          </w:p>
        </w:tc>
      </w:tr>
      <w:tr w14:paraId="1C8AA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5B1691F">
            <w:pPr>
              <w:rPr>
                <w:i w:val="0"/>
                <w:iCs w:val="0"/>
                <w:color w:val="auto"/>
                <w:sz w:val="2"/>
                <w:szCs w:val="2"/>
              </w:rPr>
            </w:pPr>
          </w:p>
        </w:tc>
        <w:tc>
          <w:tcPr>
            <w:tcW w:w="1001" w:type="dxa"/>
            <w:vMerge w:val="continue"/>
            <w:tcBorders>
              <w:top w:val="nil"/>
            </w:tcBorders>
          </w:tcPr>
          <w:p w14:paraId="59025A3D">
            <w:pPr>
              <w:rPr>
                <w:i w:val="0"/>
                <w:iCs w:val="0"/>
                <w:color w:val="auto"/>
                <w:sz w:val="2"/>
                <w:szCs w:val="2"/>
              </w:rPr>
            </w:pPr>
          </w:p>
        </w:tc>
        <w:tc>
          <w:tcPr>
            <w:tcW w:w="1623" w:type="dxa"/>
            <w:vMerge w:val="continue"/>
            <w:tcBorders>
              <w:top w:val="nil"/>
            </w:tcBorders>
          </w:tcPr>
          <w:p w14:paraId="1CD2445D">
            <w:pPr>
              <w:rPr>
                <w:i w:val="0"/>
                <w:iCs w:val="0"/>
                <w:color w:val="auto"/>
                <w:sz w:val="2"/>
                <w:szCs w:val="2"/>
              </w:rPr>
            </w:pPr>
          </w:p>
        </w:tc>
        <w:tc>
          <w:tcPr>
            <w:tcW w:w="4636" w:type="dxa"/>
          </w:tcPr>
          <w:p w14:paraId="51444985">
            <w:pPr>
              <w:pStyle w:val="25"/>
              <w:spacing w:before="26"/>
              <w:ind w:left="190" w:right="184"/>
              <w:jc w:val="center"/>
              <w:rPr>
                <w:i w:val="0"/>
                <w:iCs w:val="0"/>
                <w:color w:val="auto"/>
                <w:sz w:val="18"/>
              </w:rPr>
            </w:pPr>
            <w:r>
              <w:rPr>
                <w:i w:val="0"/>
                <w:iCs w:val="0"/>
                <w:color w:val="auto"/>
                <w:spacing w:val="-2"/>
                <w:sz w:val="18"/>
              </w:rPr>
              <w:t>中医特色系统</w:t>
            </w:r>
          </w:p>
        </w:tc>
        <w:tc>
          <w:tcPr>
            <w:tcW w:w="350" w:type="dxa"/>
          </w:tcPr>
          <w:p w14:paraId="684BB9A9">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953AA5A">
            <w:pPr>
              <w:pStyle w:val="25"/>
              <w:spacing w:line="265" w:lineRule="exact"/>
              <w:ind w:right="98"/>
              <w:jc w:val="right"/>
              <w:rPr>
                <w:i w:val="0"/>
                <w:iCs w:val="0"/>
                <w:color w:val="auto"/>
                <w:sz w:val="18"/>
                <w:szCs w:val="18"/>
              </w:rPr>
            </w:pPr>
            <w:r>
              <w:rPr>
                <w:i w:val="0"/>
                <w:iCs w:val="0"/>
                <w:color w:val="auto"/>
                <w:sz w:val="18"/>
                <w:szCs w:val="18"/>
              </w:rPr>
              <w:t>1</w:t>
            </w:r>
          </w:p>
        </w:tc>
      </w:tr>
      <w:tr w14:paraId="10646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87B0701">
            <w:pPr>
              <w:rPr>
                <w:i w:val="0"/>
                <w:iCs w:val="0"/>
                <w:color w:val="auto"/>
                <w:sz w:val="2"/>
                <w:szCs w:val="2"/>
              </w:rPr>
            </w:pPr>
          </w:p>
        </w:tc>
        <w:tc>
          <w:tcPr>
            <w:tcW w:w="1001" w:type="dxa"/>
            <w:vMerge w:val="continue"/>
            <w:tcBorders>
              <w:top w:val="nil"/>
            </w:tcBorders>
          </w:tcPr>
          <w:p w14:paraId="4703FDFF">
            <w:pPr>
              <w:rPr>
                <w:i w:val="0"/>
                <w:iCs w:val="0"/>
                <w:color w:val="auto"/>
                <w:sz w:val="2"/>
                <w:szCs w:val="2"/>
              </w:rPr>
            </w:pPr>
          </w:p>
        </w:tc>
        <w:tc>
          <w:tcPr>
            <w:tcW w:w="1623" w:type="dxa"/>
            <w:vMerge w:val="continue"/>
            <w:tcBorders>
              <w:top w:val="nil"/>
            </w:tcBorders>
          </w:tcPr>
          <w:p w14:paraId="39B695EB">
            <w:pPr>
              <w:rPr>
                <w:i w:val="0"/>
                <w:iCs w:val="0"/>
                <w:color w:val="auto"/>
                <w:sz w:val="2"/>
                <w:szCs w:val="2"/>
              </w:rPr>
            </w:pPr>
          </w:p>
        </w:tc>
        <w:tc>
          <w:tcPr>
            <w:tcW w:w="4636" w:type="dxa"/>
          </w:tcPr>
          <w:p w14:paraId="721C409A">
            <w:pPr>
              <w:pStyle w:val="25"/>
              <w:spacing w:before="26"/>
              <w:ind w:left="190" w:right="184"/>
              <w:jc w:val="center"/>
              <w:rPr>
                <w:i w:val="0"/>
                <w:iCs w:val="0"/>
                <w:color w:val="auto"/>
                <w:sz w:val="18"/>
              </w:rPr>
            </w:pPr>
            <w:r>
              <w:rPr>
                <w:i w:val="0"/>
                <w:iCs w:val="0"/>
                <w:color w:val="auto"/>
                <w:spacing w:val="-3"/>
                <w:sz w:val="18"/>
              </w:rPr>
              <w:t>体检系统</w:t>
            </w:r>
          </w:p>
        </w:tc>
        <w:tc>
          <w:tcPr>
            <w:tcW w:w="350" w:type="dxa"/>
          </w:tcPr>
          <w:p w14:paraId="774D97B6">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EFFF7F8">
            <w:pPr>
              <w:pStyle w:val="25"/>
              <w:spacing w:line="265" w:lineRule="exact"/>
              <w:ind w:right="98"/>
              <w:jc w:val="right"/>
              <w:rPr>
                <w:i w:val="0"/>
                <w:iCs w:val="0"/>
                <w:color w:val="auto"/>
                <w:sz w:val="18"/>
                <w:szCs w:val="18"/>
              </w:rPr>
            </w:pPr>
            <w:r>
              <w:rPr>
                <w:i w:val="0"/>
                <w:iCs w:val="0"/>
                <w:color w:val="auto"/>
                <w:sz w:val="18"/>
                <w:szCs w:val="18"/>
              </w:rPr>
              <w:t>1</w:t>
            </w:r>
          </w:p>
        </w:tc>
      </w:tr>
      <w:tr w14:paraId="53D04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456" w:type="dxa"/>
            <w:vMerge w:val="restart"/>
          </w:tcPr>
          <w:p w14:paraId="49126B04">
            <w:pPr>
              <w:pStyle w:val="25"/>
              <w:rPr>
                <w:b/>
                <w:i w:val="0"/>
                <w:iCs w:val="0"/>
                <w:color w:val="auto"/>
                <w:sz w:val="18"/>
              </w:rPr>
            </w:pPr>
          </w:p>
          <w:p w14:paraId="70072F84">
            <w:pPr>
              <w:pStyle w:val="25"/>
              <w:rPr>
                <w:b/>
                <w:i w:val="0"/>
                <w:iCs w:val="0"/>
                <w:color w:val="auto"/>
                <w:sz w:val="18"/>
              </w:rPr>
            </w:pPr>
          </w:p>
          <w:p w14:paraId="12864869">
            <w:pPr>
              <w:pStyle w:val="25"/>
              <w:rPr>
                <w:b/>
                <w:i w:val="0"/>
                <w:iCs w:val="0"/>
                <w:color w:val="auto"/>
                <w:sz w:val="18"/>
              </w:rPr>
            </w:pPr>
          </w:p>
          <w:p w14:paraId="2DD6BF95">
            <w:pPr>
              <w:pStyle w:val="25"/>
              <w:rPr>
                <w:b/>
                <w:i w:val="0"/>
                <w:iCs w:val="0"/>
                <w:color w:val="auto"/>
                <w:sz w:val="18"/>
              </w:rPr>
            </w:pPr>
          </w:p>
          <w:p w14:paraId="28644983">
            <w:pPr>
              <w:pStyle w:val="25"/>
              <w:rPr>
                <w:b/>
                <w:i w:val="0"/>
                <w:iCs w:val="0"/>
                <w:color w:val="auto"/>
                <w:sz w:val="18"/>
              </w:rPr>
            </w:pPr>
          </w:p>
          <w:p w14:paraId="0C021400">
            <w:pPr>
              <w:pStyle w:val="25"/>
              <w:rPr>
                <w:b/>
                <w:i w:val="0"/>
                <w:iCs w:val="0"/>
                <w:color w:val="auto"/>
                <w:sz w:val="18"/>
              </w:rPr>
            </w:pPr>
          </w:p>
          <w:p w14:paraId="6B5C19E3">
            <w:pPr>
              <w:pStyle w:val="25"/>
              <w:rPr>
                <w:b/>
                <w:i w:val="0"/>
                <w:iCs w:val="0"/>
                <w:color w:val="auto"/>
                <w:sz w:val="18"/>
              </w:rPr>
            </w:pPr>
          </w:p>
          <w:p w14:paraId="76027549">
            <w:pPr>
              <w:pStyle w:val="25"/>
              <w:rPr>
                <w:b/>
                <w:i w:val="0"/>
                <w:iCs w:val="0"/>
                <w:color w:val="auto"/>
                <w:sz w:val="18"/>
              </w:rPr>
            </w:pPr>
          </w:p>
          <w:p w14:paraId="231551E3">
            <w:pPr>
              <w:pStyle w:val="25"/>
              <w:rPr>
                <w:b/>
                <w:i w:val="0"/>
                <w:iCs w:val="0"/>
                <w:color w:val="auto"/>
                <w:sz w:val="18"/>
              </w:rPr>
            </w:pPr>
          </w:p>
          <w:p w14:paraId="7851BADF">
            <w:pPr>
              <w:pStyle w:val="25"/>
              <w:spacing w:before="7"/>
              <w:rPr>
                <w:b/>
                <w:i w:val="0"/>
                <w:iCs w:val="0"/>
                <w:color w:val="auto"/>
                <w:sz w:val="13"/>
              </w:rPr>
            </w:pPr>
          </w:p>
          <w:p w14:paraId="510277D0">
            <w:pPr>
              <w:pStyle w:val="25"/>
              <w:ind w:left="8"/>
              <w:jc w:val="center"/>
              <w:rPr>
                <w:i w:val="0"/>
                <w:iCs w:val="0"/>
                <w:color w:val="auto"/>
                <w:sz w:val="18"/>
              </w:rPr>
            </w:pPr>
            <w:r>
              <w:rPr>
                <w:i w:val="0"/>
                <w:iCs w:val="0"/>
                <w:color w:val="auto"/>
                <w:sz w:val="18"/>
              </w:rPr>
              <w:t>6</w:t>
            </w:r>
          </w:p>
        </w:tc>
        <w:tc>
          <w:tcPr>
            <w:tcW w:w="1001" w:type="dxa"/>
            <w:vMerge w:val="restart"/>
          </w:tcPr>
          <w:p w14:paraId="714F931F">
            <w:pPr>
              <w:pStyle w:val="25"/>
              <w:rPr>
                <w:b/>
                <w:i w:val="0"/>
                <w:iCs w:val="0"/>
                <w:color w:val="auto"/>
                <w:sz w:val="18"/>
              </w:rPr>
            </w:pPr>
          </w:p>
          <w:p w14:paraId="71E597D4">
            <w:pPr>
              <w:pStyle w:val="25"/>
              <w:rPr>
                <w:b/>
                <w:i w:val="0"/>
                <w:iCs w:val="0"/>
                <w:color w:val="auto"/>
                <w:sz w:val="18"/>
              </w:rPr>
            </w:pPr>
          </w:p>
          <w:p w14:paraId="65F130A9">
            <w:pPr>
              <w:pStyle w:val="25"/>
              <w:rPr>
                <w:b/>
                <w:i w:val="0"/>
                <w:iCs w:val="0"/>
                <w:color w:val="auto"/>
                <w:sz w:val="18"/>
              </w:rPr>
            </w:pPr>
          </w:p>
          <w:p w14:paraId="35AF3E57">
            <w:pPr>
              <w:pStyle w:val="25"/>
              <w:rPr>
                <w:b/>
                <w:i w:val="0"/>
                <w:iCs w:val="0"/>
                <w:color w:val="auto"/>
                <w:sz w:val="18"/>
              </w:rPr>
            </w:pPr>
          </w:p>
          <w:p w14:paraId="3BFEA561">
            <w:pPr>
              <w:pStyle w:val="25"/>
              <w:rPr>
                <w:b/>
                <w:i w:val="0"/>
                <w:iCs w:val="0"/>
                <w:color w:val="auto"/>
                <w:sz w:val="18"/>
              </w:rPr>
            </w:pPr>
          </w:p>
          <w:p w14:paraId="685F6836">
            <w:pPr>
              <w:pStyle w:val="25"/>
              <w:rPr>
                <w:b/>
                <w:i w:val="0"/>
                <w:iCs w:val="0"/>
                <w:color w:val="auto"/>
                <w:sz w:val="18"/>
              </w:rPr>
            </w:pPr>
          </w:p>
          <w:p w14:paraId="6917A662">
            <w:pPr>
              <w:pStyle w:val="25"/>
              <w:rPr>
                <w:b/>
                <w:i w:val="0"/>
                <w:iCs w:val="0"/>
                <w:color w:val="auto"/>
                <w:sz w:val="18"/>
              </w:rPr>
            </w:pPr>
          </w:p>
          <w:p w14:paraId="6BE32060">
            <w:pPr>
              <w:pStyle w:val="25"/>
              <w:rPr>
                <w:b/>
                <w:i w:val="0"/>
                <w:iCs w:val="0"/>
                <w:color w:val="auto"/>
                <w:sz w:val="18"/>
              </w:rPr>
            </w:pPr>
          </w:p>
          <w:p w14:paraId="34D21599">
            <w:pPr>
              <w:pStyle w:val="25"/>
              <w:spacing w:before="2"/>
              <w:rPr>
                <w:b/>
                <w:i w:val="0"/>
                <w:iCs w:val="0"/>
                <w:color w:val="auto"/>
                <w:sz w:val="13"/>
              </w:rPr>
            </w:pPr>
          </w:p>
          <w:p w14:paraId="2F71620C">
            <w:pPr>
              <w:pStyle w:val="25"/>
              <w:ind w:left="138"/>
              <w:rPr>
                <w:i w:val="0"/>
                <w:iCs w:val="0"/>
                <w:color w:val="auto"/>
                <w:sz w:val="18"/>
              </w:rPr>
            </w:pPr>
            <w:r>
              <w:rPr>
                <w:i w:val="0"/>
                <w:iCs w:val="0"/>
                <w:color w:val="auto"/>
                <w:spacing w:val="-3"/>
                <w:sz w:val="18"/>
              </w:rPr>
              <w:t>患者服务</w:t>
            </w:r>
          </w:p>
          <w:p w14:paraId="2BAD6DC5">
            <w:pPr>
              <w:pStyle w:val="25"/>
              <w:spacing w:before="5" w:line="242" w:lineRule="auto"/>
              <w:ind w:left="318" w:right="130" w:hanging="180"/>
              <w:rPr>
                <w:i w:val="0"/>
                <w:iCs w:val="0"/>
                <w:color w:val="auto"/>
                <w:sz w:val="18"/>
              </w:rPr>
            </w:pPr>
            <w:r>
              <w:rPr>
                <w:i w:val="0"/>
                <w:iCs w:val="0"/>
                <w:color w:val="auto"/>
                <w:spacing w:val="-4"/>
                <w:sz w:val="18"/>
              </w:rPr>
              <w:t>（便民服</w:t>
            </w:r>
            <w:r>
              <w:rPr>
                <w:i w:val="0"/>
                <w:iCs w:val="0"/>
                <w:color w:val="auto"/>
                <w:spacing w:val="-6"/>
                <w:sz w:val="18"/>
              </w:rPr>
              <w:t>务）</w:t>
            </w:r>
          </w:p>
        </w:tc>
        <w:tc>
          <w:tcPr>
            <w:tcW w:w="1623" w:type="dxa"/>
            <w:vMerge w:val="restart"/>
          </w:tcPr>
          <w:p w14:paraId="680B26EA">
            <w:pPr>
              <w:pStyle w:val="25"/>
              <w:rPr>
                <w:b/>
                <w:i w:val="0"/>
                <w:iCs w:val="0"/>
                <w:color w:val="auto"/>
                <w:sz w:val="18"/>
              </w:rPr>
            </w:pPr>
          </w:p>
          <w:p w14:paraId="245B45E5">
            <w:pPr>
              <w:pStyle w:val="25"/>
              <w:spacing w:before="7"/>
              <w:rPr>
                <w:b/>
                <w:i w:val="0"/>
                <w:iCs w:val="0"/>
                <w:color w:val="auto"/>
                <w:sz w:val="21"/>
              </w:rPr>
            </w:pPr>
          </w:p>
          <w:p w14:paraId="781FE906">
            <w:pPr>
              <w:pStyle w:val="25"/>
              <w:spacing w:line="242" w:lineRule="auto"/>
              <w:ind w:left="361" w:right="169" w:hanging="180"/>
              <w:rPr>
                <w:i w:val="0"/>
                <w:iCs w:val="0"/>
                <w:color w:val="auto"/>
                <w:sz w:val="18"/>
              </w:rPr>
            </w:pPr>
            <w:r>
              <w:rPr>
                <w:i w:val="0"/>
                <w:iCs w:val="0"/>
                <w:color w:val="auto"/>
                <w:spacing w:val="-2"/>
                <w:sz w:val="18"/>
              </w:rPr>
              <w:t>互联网应用（需拿到牌照）</w:t>
            </w:r>
          </w:p>
        </w:tc>
        <w:tc>
          <w:tcPr>
            <w:tcW w:w="4636" w:type="dxa"/>
          </w:tcPr>
          <w:p w14:paraId="2E92317A">
            <w:pPr>
              <w:pStyle w:val="25"/>
              <w:spacing w:before="10" w:line="242" w:lineRule="auto"/>
              <w:ind w:left="193" w:right="184"/>
              <w:jc w:val="center"/>
              <w:rPr>
                <w:i w:val="0"/>
                <w:iCs w:val="0"/>
                <w:color w:val="auto"/>
                <w:sz w:val="18"/>
              </w:rPr>
            </w:pPr>
            <w:r>
              <w:rPr>
                <w:i w:val="0"/>
                <w:iCs w:val="0"/>
                <w:color w:val="auto"/>
                <w:spacing w:val="-2"/>
                <w:sz w:val="18"/>
              </w:rPr>
              <w:t>微信小程序（互联网医疗延伸服务，基于互联网为患者提供分时段预约诊疗、智能导医分诊、候诊提醒、检验检查结果查询、诊间结算、移动支付、移动查</w:t>
            </w:r>
            <w:r>
              <w:rPr>
                <w:i w:val="0"/>
                <w:iCs w:val="0"/>
                <w:color w:val="auto"/>
                <w:sz w:val="18"/>
              </w:rPr>
              <w:t xml:space="preserve"> </w:t>
            </w:r>
            <w:r>
              <w:rPr>
                <w:i w:val="0"/>
                <w:iCs w:val="0"/>
                <w:color w:val="auto"/>
                <w:spacing w:val="-2"/>
                <w:sz w:val="18"/>
              </w:rPr>
              <w:t>房、移动护理、家庭检测等便民服务、开展远程中医</w:t>
            </w:r>
          </w:p>
          <w:p w14:paraId="7998B571">
            <w:pPr>
              <w:pStyle w:val="25"/>
              <w:spacing w:before="2" w:line="220" w:lineRule="exact"/>
              <w:ind w:left="192" w:right="184"/>
              <w:jc w:val="center"/>
              <w:rPr>
                <w:i w:val="0"/>
                <w:iCs w:val="0"/>
                <w:color w:val="auto"/>
                <w:sz w:val="18"/>
              </w:rPr>
            </w:pPr>
            <w:r>
              <w:rPr>
                <w:i w:val="0"/>
                <w:iCs w:val="0"/>
                <w:color w:val="auto"/>
                <w:spacing w:val="-5"/>
                <w:sz w:val="18"/>
              </w:rPr>
              <w:t xml:space="preserve">医疗服务，至少达到 </w:t>
            </w:r>
            <w:r>
              <w:rPr>
                <w:i w:val="0"/>
                <w:iCs w:val="0"/>
                <w:color w:val="auto"/>
                <w:sz w:val="18"/>
              </w:rPr>
              <w:t>7</w:t>
            </w:r>
            <w:r>
              <w:rPr>
                <w:i w:val="0"/>
                <w:iCs w:val="0"/>
                <w:color w:val="auto"/>
                <w:spacing w:val="-22"/>
                <w:sz w:val="18"/>
              </w:rPr>
              <w:t xml:space="preserve"> 项</w:t>
            </w:r>
            <w:r>
              <w:rPr>
                <w:i w:val="0"/>
                <w:iCs w:val="0"/>
                <w:color w:val="auto"/>
                <w:spacing w:val="-10"/>
                <w:sz w:val="18"/>
              </w:rPr>
              <w:t>）</w:t>
            </w:r>
          </w:p>
        </w:tc>
        <w:tc>
          <w:tcPr>
            <w:tcW w:w="350" w:type="dxa"/>
          </w:tcPr>
          <w:p w14:paraId="58688124">
            <w:pPr>
              <w:pStyle w:val="25"/>
              <w:rPr>
                <w:b/>
                <w:i w:val="0"/>
                <w:iCs w:val="0"/>
                <w:color w:val="auto"/>
                <w:sz w:val="18"/>
                <w:szCs w:val="18"/>
              </w:rPr>
            </w:pPr>
          </w:p>
          <w:p w14:paraId="5A019A8F">
            <w:pPr>
              <w:pStyle w:val="25"/>
              <w:rPr>
                <w:b/>
                <w:i w:val="0"/>
                <w:iCs w:val="0"/>
                <w:color w:val="auto"/>
                <w:sz w:val="18"/>
                <w:szCs w:val="18"/>
              </w:rPr>
            </w:pPr>
          </w:p>
          <w:p w14:paraId="2DD17E06">
            <w:pPr>
              <w:pStyle w:val="25"/>
              <w:spacing w:before="12"/>
              <w:rPr>
                <w:b/>
                <w:i w:val="0"/>
                <w:iCs w:val="0"/>
                <w:color w:val="auto"/>
                <w:sz w:val="18"/>
                <w:szCs w:val="18"/>
              </w:rPr>
            </w:pPr>
          </w:p>
          <w:p w14:paraId="35DCDFC8">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7C97FC18">
            <w:pPr>
              <w:pStyle w:val="25"/>
              <w:rPr>
                <w:b/>
                <w:i w:val="0"/>
                <w:iCs w:val="0"/>
                <w:color w:val="auto"/>
                <w:sz w:val="18"/>
                <w:szCs w:val="18"/>
              </w:rPr>
            </w:pPr>
          </w:p>
          <w:p w14:paraId="4F8483A7">
            <w:pPr>
              <w:pStyle w:val="25"/>
              <w:rPr>
                <w:b/>
                <w:i w:val="0"/>
                <w:iCs w:val="0"/>
                <w:color w:val="auto"/>
                <w:sz w:val="18"/>
                <w:szCs w:val="18"/>
              </w:rPr>
            </w:pPr>
          </w:p>
          <w:p w14:paraId="32D712FD">
            <w:pPr>
              <w:pStyle w:val="25"/>
              <w:spacing w:before="12"/>
              <w:rPr>
                <w:b/>
                <w:i w:val="0"/>
                <w:iCs w:val="0"/>
                <w:color w:val="auto"/>
                <w:sz w:val="18"/>
                <w:szCs w:val="18"/>
              </w:rPr>
            </w:pPr>
          </w:p>
          <w:p w14:paraId="60AFA1A8">
            <w:pPr>
              <w:pStyle w:val="25"/>
              <w:spacing w:line="267" w:lineRule="exact"/>
              <w:ind w:right="98"/>
              <w:jc w:val="right"/>
              <w:rPr>
                <w:i w:val="0"/>
                <w:iCs w:val="0"/>
                <w:color w:val="auto"/>
                <w:sz w:val="18"/>
                <w:szCs w:val="18"/>
              </w:rPr>
            </w:pPr>
            <w:r>
              <w:rPr>
                <w:i w:val="0"/>
                <w:iCs w:val="0"/>
                <w:color w:val="auto"/>
                <w:sz w:val="18"/>
                <w:szCs w:val="18"/>
              </w:rPr>
              <w:t>1</w:t>
            </w:r>
          </w:p>
        </w:tc>
      </w:tr>
      <w:tr w14:paraId="2C4E1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7B6D490">
            <w:pPr>
              <w:rPr>
                <w:i w:val="0"/>
                <w:iCs w:val="0"/>
                <w:color w:val="auto"/>
                <w:sz w:val="2"/>
                <w:szCs w:val="2"/>
              </w:rPr>
            </w:pPr>
          </w:p>
        </w:tc>
        <w:tc>
          <w:tcPr>
            <w:tcW w:w="1001" w:type="dxa"/>
            <w:vMerge w:val="continue"/>
            <w:tcBorders>
              <w:top w:val="nil"/>
            </w:tcBorders>
          </w:tcPr>
          <w:p w14:paraId="6DB02A86">
            <w:pPr>
              <w:rPr>
                <w:i w:val="0"/>
                <w:iCs w:val="0"/>
                <w:color w:val="auto"/>
                <w:sz w:val="2"/>
                <w:szCs w:val="2"/>
              </w:rPr>
            </w:pPr>
          </w:p>
        </w:tc>
        <w:tc>
          <w:tcPr>
            <w:tcW w:w="1623" w:type="dxa"/>
            <w:vMerge w:val="continue"/>
            <w:tcBorders>
              <w:top w:val="nil"/>
            </w:tcBorders>
          </w:tcPr>
          <w:p w14:paraId="36F9E9D2">
            <w:pPr>
              <w:rPr>
                <w:i w:val="0"/>
                <w:iCs w:val="0"/>
                <w:color w:val="auto"/>
                <w:sz w:val="2"/>
                <w:szCs w:val="2"/>
              </w:rPr>
            </w:pPr>
          </w:p>
        </w:tc>
        <w:tc>
          <w:tcPr>
            <w:tcW w:w="4636" w:type="dxa"/>
          </w:tcPr>
          <w:p w14:paraId="7EC6A9EB">
            <w:pPr>
              <w:pStyle w:val="25"/>
              <w:spacing w:before="26"/>
              <w:ind w:left="190" w:right="184"/>
              <w:jc w:val="center"/>
              <w:rPr>
                <w:i w:val="0"/>
                <w:iCs w:val="0"/>
                <w:color w:val="auto"/>
                <w:sz w:val="18"/>
              </w:rPr>
            </w:pPr>
            <w:r>
              <w:rPr>
                <w:i w:val="0"/>
                <w:iCs w:val="0"/>
                <w:color w:val="auto"/>
                <w:spacing w:val="-2"/>
                <w:sz w:val="18"/>
              </w:rPr>
              <w:t>统一支付平台</w:t>
            </w:r>
          </w:p>
        </w:tc>
        <w:tc>
          <w:tcPr>
            <w:tcW w:w="350" w:type="dxa"/>
          </w:tcPr>
          <w:p w14:paraId="76B65615">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E22DE96">
            <w:pPr>
              <w:pStyle w:val="25"/>
              <w:spacing w:line="265" w:lineRule="exact"/>
              <w:ind w:right="98"/>
              <w:jc w:val="right"/>
              <w:rPr>
                <w:i w:val="0"/>
                <w:iCs w:val="0"/>
                <w:color w:val="auto"/>
                <w:sz w:val="18"/>
                <w:szCs w:val="18"/>
              </w:rPr>
            </w:pPr>
            <w:r>
              <w:rPr>
                <w:i w:val="0"/>
                <w:iCs w:val="0"/>
                <w:color w:val="auto"/>
                <w:sz w:val="18"/>
                <w:szCs w:val="18"/>
              </w:rPr>
              <w:t>1</w:t>
            </w:r>
          </w:p>
        </w:tc>
      </w:tr>
      <w:tr w14:paraId="1353A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0989F60">
            <w:pPr>
              <w:rPr>
                <w:i w:val="0"/>
                <w:iCs w:val="0"/>
                <w:color w:val="auto"/>
                <w:sz w:val="2"/>
                <w:szCs w:val="2"/>
              </w:rPr>
            </w:pPr>
          </w:p>
        </w:tc>
        <w:tc>
          <w:tcPr>
            <w:tcW w:w="1001" w:type="dxa"/>
            <w:vMerge w:val="continue"/>
            <w:tcBorders>
              <w:top w:val="nil"/>
            </w:tcBorders>
          </w:tcPr>
          <w:p w14:paraId="6767B1CF">
            <w:pPr>
              <w:rPr>
                <w:i w:val="0"/>
                <w:iCs w:val="0"/>
                <w:color w:val="auto"/>
                <w:sz w:val="2"/>
                <w:szCs w:val="2"/>
              </w:rPr>
            </w:pPr>
          </w:p>
        </w:tc>
        <w:tc>
          <w:tcPr>
            <w:tcW w:w="1623" w:type="dxa"/>
          </w:tcPr>
          <w:p w14:paraId="25C64CF5">
            <w:pPr>
              <w:pStyle w:val="25"/>
              <w:spacing w:before="26"/>
              <w:ind w:left="177" w:right="169"/>
              <w:jc w:val="center"/>
              <w:rPr>
                <w:i w:val="0"/>
                <w:iCs w:val="0"/>
                <w:color w:val="auto"/>
                <w:sz w:val="18"/>
              </w:rPr>
            </w:pPr>
            <w:r>
              <w:rPr>
                <w:i w:val="0"/>
                <w:iCs w:val="0"/>
                <w:color w:val="auto"/>
                <w:spacing w:val="-3"/>
                <w:sz w:val="18"/>
              </w:rPr>
              <w:t>预约管理</w:t>
            </w:r>
          </w:p>
        </w:tc>
        <w:tc>
          <w:tcPr>
            <w:tcW w:w="4636" w:type="dxa"/>
          </w:tcPr>
          <w:p w14:paraId="185AED4D">
            <w:pPr>
              <w:pStyle w:val="25"/>
              <w:spacing w:before="26"/>
              <w:ind w:left="191" w:right="184"/>
              <w:jc w:val="center"/>
              <w:rPr>
                <w:i w:val="0"/>
                <w:iCs w:val="0"/>
                <w:color w:val="auto"/>
                <w:sz w:val="18"/>
              </w:rPr>
            </w:pPr>
            <w:r>
              <w:rPr>
                <w:i w:val="0"/>
                <w:iCs w:val="0"/>
                <w:color w:val="auto"/>
                <w:spacing w:val="-2"/>
                <w:sz w:val="18"/>
              </w:rPr>
              <w:t>分时段挂号预约中心</w:t>
            </w:r>
          </w:p>
        </w:tc>
        <w:tc>
          <w:tcPr>
            <w:tcW w:w="350" w:type="dxa"/>
          </w:tcPr>
          <w:p w14:paraId="2B05C0E5">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7E23695">
            <w:pPr>
              <w:pStyle w:val="25"/>
              <w:spacing w:line="265" w:lineRule="exact"/>
              <w:ind w:right="98"/>
              <w:jc w:val="right"/>
              <w:rPr>
                <w:i w:val="0"/>
                <w:iCs w:val="0"/>
                <w:color w:val="auto"/>
                <w:sz w:val="18"/>
                <w:szCs w:val="18"/>
              </w:rPr>
            </w:pPr>
            <w:r>
              <w:rPr>
                <w:i w:val="0"/>
                <w:iCs w:val="0"/>
                <w:color w:val="auto"/>
                <w:sz w:val="18"/>
                <w:szCs w:val="18"/>
              </w:rPr>
              <w:t>1</w:t>
            </w:r>
          </w:p>
        </w:tc>
      </w:tr>
      <w:tr w14:paraId="69407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7CC351B">
            <w:pPr>
              <w:rPr>
                <w:i w:val="0"/>
                <w:iCs w:val="0"/>
                <w:color w:val="auto"/>
                <w:sz w:val="2"/>
                <w:szCs w:val="2"/>
              </w:rPr>
            </w:pPr>
          </w:p>
        </w:tc>
        <w:tc>
          <w:tcPr>
            <w:tcW w:w="1001" w:type="dxa"/>
            <w:vMerge w:val="continue"/>
            <w:tcBorders>
              <w:top w:val="nil"/>
            </w:tcBorders>
          </w:tcPr>
          <w:p w14:paraId="2E745F70">
            <w:pPr>
              <w:rPr>
                <w:i w:val="0"/>
                <w:iCs w:val="0"/>
                <w:color w:val="auto"/>
                <w:sz w:val="2"/>
                <w:szCs w:val="2"/>
              </w:rPr>
            </w:pPr>
          </w:p>
        </w:tc>
        <w:tc>
          <w:tcPr>
            <w:tcW w:w="1623" w:type="dxa"/>
            <w:vMerge w:val="restart"/>
          </w:tcPr>
          <w:p w14:paraId="4ADB718F">
            <w:pPr>
              <w:pStyle w:val="25"/>
              <w:rPr>
                <w:b/>
                <w:i w:val="0"/>
                <w:iCs w:val="0"/>
                <w:color w:val="auto"/>
                <w:sz w:val="18"/>
              </w:rPr>
            </w:pPr>
          </w:p>
          <w:p w14:paraId="671FD783">
            <w:pPr>
              <w:pStyle w:val="25"/>
              <w:spacing w:before="8"/>
              <w:rPr>
                <w:b/>
                <w:i w:val="0"/>
                <w:iCs w:val="0"/>
                <w:color w:val="auto"/>
                <w:sz w:val="18"/>
              </w:rPr>
            </w:pPr>
          </w:p>
          <w:p w14:paraId="56FEEAC7">
            <w:pPr>
              <w:pStyle w:val="25"/>
              <w:spacing w:before="1"/>
              <w:ind w:left="450"/>
              <w:rPr>
                <w:i w:val="0"/>
                <w:iCs w:val="0"/>
                <w:color w:val="auto"/>
                <w:sz w:val="18"/>
              </w:rPr>
            </w:pPr>
            <w:r>
              <w:rPr>
                <w:i w:val="0"/>
                <w:iCs w:val="0"/>
                <w:color w:val="auto"/>
                <w:spacing w:val="-3"/>
                <w:sz w:val="18"/>
              </w:rPr>
              <w:t>就诊管理</w:t>
            </w:r>
          </w:p>
        </w:tc>
        <w:tc>
          <w:tcPr>
            <w:tcW w:w="4636" w:type="dxa"/>
          </w:tcPr>
          <w:p w14:paraId="0CCAD01C">
            <w:pPr>
              <w:pStyle w:val="25"/>
              <w:spacing w:before="26"/>
              <w:ind w:left="189" w:right="184"/>
              <w:jc w:val="center"/>
              <w:rPr>
                <w:i w:val="0"/>
                <w:iCs w:val="0"/>
                <w:color w:val="auto"/>
                <w:sz w:val="18"/>
              </w:rPr>
            </w:pPr>
            <w:r>
              <w:rPr>
                <w:i w:val="0"/>
                <w:iCs w:val="0"/>
                <w:color w:val="auto"/>
                <w:spacing w:val="-1"/>
                <w:sz w:val="18"/>
              </w:rPr>
              <w:t>自助服务管理系统对接</w:t>
            </w:r>
          </w:p>
        </w:tc>
        <w:tc>
          <w:tcPr>
            <w:tcW w:w="350" w:type="dxa"/>
          </w:tcPr>
          <w:p w14:paraId="41A3E99C">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DEA9E09">
            <w:pPr>
              <w:pStyle w:val="25"/>
              <w:spacing w:line="265" w:lineRule="exact"/>
              <w:ind w:right="98"/>
              <w:jc w:val="right"/>
              <w:rPr>
                <w:i w:val="0"/>
                <w:iCs w:val="0"/>
                <w:color w:val="auto"/>
                <w:sz w:val="18"/>
                <w:szCs w:val="18"/>
              </w:rPr>
            </w:pPr>
            <w:r>
              <w:rPr>
                <w:i w:val="0"/>
                <w:iCs w:val="0"/>
                <w:color w:val="auto"/>
                <w:sz w:val="18"/>
                <w:szCs w:val="18"/>
              </w:rPr>
              <w:t>1</w:t>
            </w:r>
          </w:p>
        </w:tc>
      </w:tr>
      <w:tr w14:paraId="6D1D5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056C8A7E">
            <w:pPr>
              <w:rPr>
                <w:i w:val="0"/>
                <w:iCs w:val="0"/>
                <w:color w:val="auto"/>
                <w:sz w:val="2"/>
                <w:szCs w:val="2"/>
              </w:rPr>
            </w:pPr>
          </w:p>
        </w:tc>
        <w:tc>
          <w:tcPr>
            <w:tcW w:w="1001" w:type="dxa"/>
            <w:vMerge w:val="continue"/>
            <w:tcBorders>
              <w:top w:val="nil"/>
            </w:tcBorders>
          </w:tcPr>
          <w:p w14:paraId="5898DF52">
            <w:pPr>
              <w:rPr>
                <w:i w:val="0"/>
                <w:iCs w:val="0"/>
                <w:color w:val="auto"/>
                <w:sz w:val="2"/>
                <w:szCs w:val="2"/>
              </w:rPr>
            </w:pPr>
          </w:p>
        </w:tc>
        <w:tc>
          <w:tcPr>
            <w:tcW w:w="1623" w:type="dxa"/>
            <w:vMerge w:val="continue"/>
            <w:tcBorders>
              <w:top w:val="nil"/>
            </w:tcBorders>
          </w:tcPr>
          <w:p w14:paraId="287EB8C2">
            <w:pPr>
              <w:rPr>
                <w:i w:val="0"/>
                <w:iCs w:val="0"/>
                <w:color w:val="auto"/>
                <w:sz w:val="2"/>
                <w:szCs w:val="2"/>
              </w:rPr>
            </w:pPr>
          </w:p>
        </w:tc>
        <w:tc>
          <w:tcPr>
            <w:tcW w:w="4636" w:type="dxa"/>
          </w:tcPr>
          <w:p w14:paraId="0819FA8F">
            <w:pPr>
              <w:pStyle w:val="25"/>
              <w:spacing w:before="26"/>
              <w:ind w:left="189" w:right="184"/>
              <w:jc w:val="center"/>
              <w:rPr>
                <w:i w:val="0"/>
                <w:iCs w:val="0"/>
                <w:color w:val="auto"/>
                <w:sz w:val="18"/>
              </w:rPr>
            </w:pPr>
            <w:r>
              <w:rPr>
                <w:i w:val="0"/>
                <w:iCs w:val="0"/>
                <w:color w:val="auto"/>
                <w:spacing w:val="-2"/>
                <w:sz w:val="18"/>
              </w:rPr>
              <w:t>排队叫号系统对接</w:t>
            </w:r>
          </w:p>
        </w:tc>
        <w:tc>
          <w:tcPr>
            <w:tcW w:w="350" w:type="dxa"/>
          </w:tcPr>
          <w:p w14:paraId="29F1EDA0">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595AAAF">
            <w:pPr>
              <w:pStyle w:val="25"/>
              <w:spacing w:line="265" w:lineRule="exact"/>
              <w:ind w:right="98"/>
              <w:jc w:val="right"/>
              <w:rPr>
                <w:i w:val="0"/>
                <w:iCs w:val="0"/>
                <w:color w:val="auto"/>
                <w:sz w:val="18"/>
                <w:szCs w:val="18"/>
              </w:rPr>
            </w:pPr>
            <w:r>
              <w:rPr>
                <w:i w:val="0"/>
                <w:iCs w:val="0"/>
                <w:color w:val="auto"/>
                <w:sz w:val="18"/>
                <w:szCs w:val="18"/>
              </w:rPr>
              <w:t>1</w:t>
            </w:r>
          </w:p>
        </w:tc>
      </w:tr>
      <w:tr w14:paraId="1AE51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285B3AB">
            <w:pPr>
              <w:rPr>
                <w:i w:val="0"/>
                <w:iCs w:val="0"/>
                <w:color w:val="auto"/>
                <w:sz w:val="2"/>
                <w:szCs w:val="2"/>
              </w:rPr>
            </w:pPr>
          </w:p>
        </w:tc>
        <w:tc>
          <w:tcPr>
            <w:tcW w:w="1001" w:type="dxa"/>
            <w:vMerge w:val="continue"/>
            <w:tcBorders>
              <w:top w:val="nil"/>
            </w:tcBorders>
          </w:tcPr>
          <w:p w14:paraId="10F5D4C1">
            <w:pPr>
              <w:rPr>
                <w:i w:val="0"/>
                <w:iCs w:val="0"/>
                <w:color w:val="auto"/>
                <w:sz w:val="2"/>
                <w:szCs w:val="2"/>
              </w:rPr>
            </w:pPr>
          </w:p>
        </w:tc>
        <w:tc>
          <w:tcPr>
            <w:tcW w:w="1623" w:type="dxa"/>
            <w:vMerge w:val="continue"/>
            <w:tcBorders>
              <w:top w:val="nil"/>
            </w:tcBorders>
          </w:tcPr>
          <w:p w14:paraId="7997F4ED">
            <w:pPr>
              <w:rPr>
                <w:i w:val="0"/>
                <w:iCs w:val="0"/>
                <w:color w:val="auto"/>
                <w:sz w:val="2"/>
                <w:szCs w:val="2"/>
              </w:rPr>
            </w:pPr>
          </w:p>
        </w:tc>
        <w:tc>
          <w:tcPr>
            <w:tcW w:w="4636" w:type="dxa"/>
          </w:tcPr>
          <w:p w14:paraId="42889F7A">
            <w:pPr>
              <w:pStyle w:val="25"/>
              <w:spacing w:before="26"/>
              <w:ind w:left="189" w:right="184"/>
              <w:jc w:val="center"/>
              <w:rPr>
                <w:i w:val="0"/>
                <w:iCs w:val="0"/>
                <w:color w:val="auto"/>
                <w:sz w:val="18"/>
              </w:rPr>
            </w:pPr>
            <w:r>
              <w:rPr>
                <w:i w:val="0"/>
                <w:iCs w:val="0"/>
                <w:color w:val="auto"/>
                <w:spacing w:val="-2"/>
                <w:sz w:val="18"/>
              </w:rPr>
              <w:t>医技计费管理系统</w:t>
            </w:r>
          </w:p>
        </w:tc>
        <w:tc>
          <w:tcPr>
            <w:tcW w:w="350" w:type="dxa"/>
          </w:tcPr>
          <w:p w14:paraId="500065B8">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4756AE4">
            <w:pPr>
              <w:pStyle w:val="25"/>
              <w:spacing w:line="265" w:lineRule="exact"/>
              <w:ind w:right="98"/>
              <w:jc w:val="right"/>
              <w:rPr>
                <w:i w:val="0"/>
                <w:iCs w:val="0"/>
                <w:color w:val="auto"/>
                <w:sz w:val="18"/>
                <w:szCs w:val="18"/>
              </w:rPr>
            </w:pPr>
            <w:r>
              <w:rPr>
                <w:i w:val="0"/>
                <w:iCs w:val="0"/>
                <w:color w:val="auto"/>
                <w:sz w:val="18"/>
                <w:szCs w:val="18"/>
              </w:rPr>
              <w:t>1</w:t>
            </w:r>
          </w:p>
        </w:tc>
      </w:tr>
      <w:tr w14:paraId="72934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A6F9475">
            <w:pPr>
              <w:rPr>
                <w:i w:val="0"/>
                <w:iCs w:val="0"/>
                <w:color w:val="auto"/>
                <w:sz w:val="2"/>
                <w:szCs w:val="2"/>
              </w:rPr>
            </w:pPr>
          </w:p>
        </w:tc>
        <w:tc>
          <w:tcPr>
            <w:tcW w:w="1001" w:type="dxa"/>
            <w:vMerge w:val="continue"/>
            <w:tcBorders>
              <w:top w:val="nil"/>
            </w:tcBorders>
          </w:tcPr>
          <w:p w14:paraId="45284EA1">
            <w:pPr>
              <w:rPr>
                <w:i w:val="0"/>
                <w:iCs w:val="0"/>
                <w:color w:val="auto"/>
                <w:sz w:val="2"/>
                <w:szCs w:val="2"/>
              </w:rPr>
            </w:pPr>
          </w:p>
        </w:tc>
        <w:tc>
          <w:tcPr>
            <w:tcW w:w="1623" w:type="dxa"/>
            <w:vMerge w:val="continue"/>
            <w:tcBorders>
              <w:top w:val="nil"/>
            </w:tcBorders>
          </w:tcPr>
          <w:p w14:paraId="43FD3DB6">
            <w:pPr>
              <w:rPr>
                <w:i w:val="0"/>
                <w:iCs w:val="0"/>
                <w:color w:val="auto"/>
                <w:sz w:val="2"/>
                <w:szCs w:val="2"/>
              </w:rPr>
            </w:pPr>
          </w:p>
        </w:tc>
        <w:tc>
          <w:tcPr>
            <w:tcW w:w="4636" w:type="dxa"/>
          </w:tcPr>
          <w:p w14:paraId="25615DF1">
            <w:pPr>
              <w:pStyle w:val="25"/>
              <w:spacing w:before="26"/>
              <w:ind w:left="192" w:right="184"/>
              <w:jc w:val="center"/>
              <w:rPr>
                <w:i w:val="0"/>
                <w:iCs w:val="0"/>
                <w:color w:val="auto"/>
                <w:sz w:val="18"/>
              </w:rPr>
            </w:pPr>
            <w:r>
              <w:rPr>
                <w:i w:val="0"/>
                <w:iCs w:val="0"/>
                <w:color w:val="auto"/>
                <w:spacing w:val="-2"/>
                <w:sz w:val="18"/>
              </w:rPr>
              <w:t>门诊护士站</w:t>
            </w:r>
          </w:p>
        </w:tc>
        <w:tc>
          <w:tcPr>
            <w:tcW w:w="350" w:type="dxa"/>
          </w:tcPr>
          <w:p w14:paraId="7B66CF0A">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52EBD1CD">
            <w:pPr>
              <w:pStyle w:val="25"/>
              <w:spacing w:line="265" w:lineRule="exact"/>
              <w:ind w:right="98"/>
              <w:jc w:val="right"/>
              <w:rPr>
                <w:i w:val="0"/>
                <w:iCs w:val="0"/>
                <w:color w:val="auto"/>
                <w:sz w:val="18"/>
                <w:szCs w:val="18"/>
              </w:rPr>
            </w:pPr>
            <w:r>
              <w:rPr>
                <w:i w:val="0"/>
                <w:iCs w:val="0"/>
                <w:color w:val="auto"/>
                <w:sz w:val="18"/>
                <w:szCs w:val="18"/>
              </w:rPr>
              <w:t>1</w:t>
            </w:r>
          </w:p>
        </w:tc>
      </w:tr>
      <w:tr w14:paraId="6FA9B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DD4AA11">
            <w:pPr>
              <w:rPr>
                <w:i w:val="0"/>
                <w:iCs w:val="0"/>
                <w:color w:val="auto"/>
                <w:sz w:val="2"/>
                <w:szCs w:val="2"/>
              </w:rPr>
            </w:pPr>
          </w:p>
        </w:tc>
        <w:tc>
          <w:tcPr>
            <w:tcW w:w="1001" w:type="dxa"/>
            <w:vMerge w:val="continue"/>
            <w:tcBorders>
              <w:top w:val="nil"/>
            </w:tcBorders>
          </w:tcPr>
          <w:p w14:paraId="3E83138B">
            <w:pPr>
              <w:rPr>
                <w:i w:val="0"/>
                <w:iCs w:val="0"/>
                <w:color w:val="auto"/>
                <w:sz w:val="2"/>
                <w:szCs w:val="2"/>
              </w:rPr>
            </w:pPr>
          </w:p>
        </w:tc>
        <w:tc>
          <w:tcPr>
            <w:tcW w:w="1623" w:type="dxa"/>
            <w:vMerge w:val="restart"/>
          </w:tcPr>
          <w:p w14:paraId="4A00A534">
            <w:pPr>
              <w:pStyle w:val="25"/>
              <w:spacing w:before="1"/>
              <w:rPr>
                <w:b/>
                <w:i w:val="0"/>
                <w:iCs w:val="0"/>
                <w:color w:val="auto"/>
                <w:sz w:val="25"/>
              </w:rPr>
            </w:pPr>
          </w:p>
          <w:p w14:paraId="48133BF9">
            <w:pPr>
              <w:pStyle w:val="25"/>
              <w:ind w:left="450"/>
              <w:rPr>
                <w:i w:val="0"/>
                <w:iCs w:val="0"/>
                <w:color w:val="auto"/>
                <w:sz w:val="18"/>
              </w:rPr>
            </w:pPr>
            <w:r>
              <w:rPr>
                <w:i w:val="0"/>
                <w:iCs w:val="0"/>
                <w:color w:val="auto"/>
                <w:spacing w:val="-3"/>
                <w:sz w:val="18"/>
              </w:rPr>
              <w:t>结算管理</w:t>
            </w:r>
          </w:p>
        </w:tc>
        <w:tc>
          <w:tcPr>
            <w:tcW w:w="4636" w:type="dxa"/>
          </w:tcPr>
          <w:p w14:paraId="566B7729">
            <w:pPr>
              <w:pStyle w:val="25"/>
              <w:spacing w:before="26"/>
              <w:ind w:left="189" w:right="184"/>
              <w:jc w:val="center"/>
              <w:rPr>
                <w:i w:val="0"/>
                <w:iCs w:val="0"/>
                <w:color w:val="auto"/>
                <w:sz w:val="18"/>
              </w:rPr>
            </w:pPr>
            <w:r>
              <w:rPr>
                <w:i w:val="0"/>
                <w:iCs w:val="0"/>
                <w:color w:val="auto"/>
                <w:spacing w:val="-1"/>
                <w:sz w:val="18"/>
              </w:rPr>
              <w:t>门诊挂号划价收费管理系统</w:t>
            </w:r>
          </w:p>
        </w:tc>
        <w:tc>
          <w:tcPr>
            <w:tcW w:w="350" w:type="dxa"/>
          </w:tcPr>
          <w:p w14:paraId="50A647E3">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36873A56">
            <w:pPr>
              <w:pStyle w:val="25"/>
              <w:spacing w:line="265" w:lineRule="exact"/>
              <w:ind w:right="98"/>
              <w:jc w:val="right"/>
              <w:rPr>
                <w:i w:val="0"/>
                <w:iCs w:val="0"/>
                <w:color w:val="auto"/>
                <w:sz w:val="18"/>
                <w:szCs w:val="18"/>
              </w:rPr>
            </w:pPr>
            <w:r>
              <w:rPr>
                <w:i w:val="0"/>
                <w:iCs w:val="0"/>
                <w:color w:val="auto"/>
                <w:sz w:val="18"/>
                <w:szCs w:val="18"/>
              </w:rPr>
              <w:t>1</w:t>
            </w:r>
          </w:p>
        </w:tc>
      </w:tr>
      <w:tr w14:paraId="751E6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E9479A2">
            <w:pPr>
              <w:rPr>
                <w:i w:val="0"/>
                <w:iCs w:val="0"/>
                <w:color w:val="auto"/>
                <w:sz w:val="2"/>
                <w:szCs w:val="2"/>
              </w:rPr>
            </w:pPr>
          </w:p>
        </w:tc>
        <w:tc>
          <w:tcPr>
            <w:tcW w:w="1001" w:type="dxa"/>
            <w:vMerge w:val="continue"/>
            <w:tcBorders>
              <w:top w:val="nil"/>
            </w:tcBorders>
          </w:tcPr>
          <w:p w14:paraId="34F79240">
            <w:pPr>
              <w:rPr>
                <w:i w:val="0"/>
                <w:iCs w:val="0"/>
                <w:color w:val="auto"/>
                <w:sz w:val="2"/>
                <w:szCs w:val="2"/>
              </w:rPr>
            </w:pPr>
          </w:p>
        </w:tc>
        <w:tc>
          <w:tcPr>
            <w:tcW w:w="1623" w:type="dxa"/>
            <w:vMerge w:val="continue"/>
            <w:tcBorders>
              <w:top w:val="nil"/>
            </w:tcBorders>
          </w:tcPr>
          <w:p w14:paraId="2A86FBFC">
            <w:pPr>
              <w:rPr>
                <w:i w:val="0"/>
                <w:iCs w:val="0"/>
                <w:color w:val="auto"/>
                <w:sz w:val="2"/>
                <w:szCs w:val="2"/>
              </w:rPr>
            </w:pPr>
          </w:p>
        </w:tc>
        <w:tc>
          <w:tcPr>
            <w:tcW w:w="4636" w:type="dxa"/>
          </w:tcPr>
          <w:p w14:paraId="3CD30B12">
            <w:pPr>
              <w:pStyle w:val="25"/>
              <w:spacing w:before="26"/>
              <w:ind w:left="192" w:right="184"/>
              <w:jc w:val="center"/>
              <w:rPr>
                <w:i w:val="0"/>
                <w:iCs w:val="0"/>
                <w:color w:val="auto"/>
                <w:sz w:val="18"/>
              </w:rPr>
            </w:pPr>
            <w:r>
              <w:rPr>
                <w:i w:val="0"/>
                <w:iCs w:val="0"/>
                <w:color w:val="auto"/>
                <w:spacing w:val="-2"/>
                <w:sz w:val="18"/>
              </w:rPr>
              <w:t>出入院管理</w:t>
            </w:r>
          </w:p>
        </w:tc>
        <w:tc>
          <w:tcPr>
            <w:tcW w:w="350" w:type="dxa"/>
          </w:tcPr>
          <w:p w14:paraId="2172FF3D">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001113D">
            <w:pPr>
              <w:pStyle w:val="25"/>
              <w:spacing w:line="265" w:lineRule="exact"/>
              <w:ind w:right="98"/>
              <w:jc w:val="right"/>
              <w:rPr>
                <w:i w:val="0"/>
                <w:iCs w:val="0"/>
                <w:color w:val="auto"/>
                <w:sz w:val="18"/>
                <w:szCs w:val="18"/>
              </w:rPr>
            </w:pPr>
            <w:r>
              <w:rPr>
                <w:i w:val="0"/>
                <w:iCs w:val="0"/>
                <w:color w:val="auto"/>
                <w:sz w:val="18"/>
                <w:szCs w:val="18"/>
              </w:rPr>
              <w:t>1</w:t>
            </w:r>
          </w:p>
        </w:tc>
      </w:tr>
      <w:tr w14:paraId="7BE1E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Borders>
              <w:top w:val="nil"/>
            </w:tcBorders>
          </w:tcPr>
          <w:p w14:paraId="3EF71DF3">
            <w:pPr>
              <w:rPr>
                <w:i w:val="0"/>
                <w:iCs w:val="0"/>
                <w:color w:val="auto"/>
                <w:sz w:val="2"/>
                <w:szCs w:val="2"/>
              </w:rPr>
            </w:pPr>
          </w:p>
        </w:tc>
        <w:tc>
          <w:tcPr>
            <w:tcW w:w="1001" w:type="dxa"/>
            <w:vMerge w:val="continue"/>
            <w:tcBorders>
              <w:top w:val="nil"/>
            </w:tcBorders>
          </w:tcPr>
          <w:p w14:paraId="56D8F009">
            <w:pPr>
              <w:rPr>
                <w:i w:val="0"/>
                <w:iCs w:val="0"/>
                <w:color w:val="auto"/>
                <w:sz w:val="2"/>
                <w:szCs w:val="2"/>
              </w:rPr>
            </w:pPr>
          </w:p>
        </w:tc>
        <w:tc>
          <w:tcPr>
            <w:tcW w:w="1623" w:type="dxa"/>
            <w:vMerge w:val="continue"/>
            <w:tcBorders>
              <w:top w:val="nil"/>
            </w:tcBorders>
          </w:tcPr>
          <w:p w14:paraId="1B74160C">
            <w:pPr>
              <w:rPr>
                <w:i w:val="0"/>
                <w:iCs w:val="0"/>
                <w:color w:val="auto"/>
                <w:sz w:val="2"/>
                <w:szCs w:val="2"/>
              </w:rPr>
            </w:pPr>
          </w:p>
        </w:tc>
        <w:tc>
          <w:tcPr>
            <w:tcW w:w="4636" w:type="dxa"/>
          </w:tcPr>
          <w:p w14:paraId="0CF9F5A9">
            <w:pPr>
              <w:pStyle w:val="25"/>
              <w:spacing w:before="26"/>
              <w:ind w:left="190" w:right="184"/>
              <w:jc w:val="center"/>
              <w:rPr>
                <w:i w:val="0"/>
                <w:iCs w:val="0"/>
                <w:color w:val="auto"/>
                <w:sz w:val="18"/>
              </w:rPr>
            </w:pPr>
            <w:r>
              <w:rPr>
                <w:i w:val="0"/>
                <w:iCs w:val="0"/>
                <w:color w:val="auto"/>
                <w:spacing w:val="-3"/>
                <w:sz w:val="18"/>
              </w:rPr>
              <w:t>诊间结算</w:t>
            </w:r>
          </w:p>
        </w:tc>
        <w:tc>
          <w:tcPr>
            <w:tcW w:w="350" w:type="dxa"/>
          </w:tcPr>
          <w:p w14:paraId="10DDD394">
            <w:pPr>
              <w:pStyle w:val="25"/>
              <w:spacing w:before="1" w:line="267" w:lineRule="exact"/>
              <w:ind w:right="8"/>
              <w:jc w:val="center"/>
              <w:rPr>
                <w:i w:val="0"/>
                <w:iCs w:val="0"/>
                <w:color w:val="auto"/>
                <w:sz w:val="18"/>
                <w:szCs w:val="18"/>
              </w:rPr>
            </w:pPr>
            <w:r>
              <w:rPr>
                <w:i w:val="0"/>
                <w:iCs w:val="0"/>
                <w:color w:val="auto"/>
                <w:sz w:val="18"/>
                <w:szCs w:val="18"/>
              </w:rPr>
              <w:t>项</w:t>
            </w:r>
          </w:p>
        </w:tc>
        <w:tc>
          <w:tcPr>
            <w:tcW w:w="458" w:type="dxa"/>
          </w:tcPr>
          <w:p w14:paraId="49768FE0">
            <w:pPr>
              <w:pStyle w:val="25"/>
              <w:spacing w:before="1" w:line="267" w:lineRule="exact"/>
              <w:ind w:right="98"/>
              <w:jc w:val="right"/>
              <w:rPr>
                <w:i w:val="0"/>
                <w:iCs w:val="0"/>
                <w:color w:val="auto"/>
                <w:sz w:val="18"/>
                <w:szCs w:val="18"/>
              </w:rPr>
            </w:pPr>
            <w:r>
              <w:rPr>
                <w:i w:val="0"/>
                <w:iCs w:val="0"/>
                <w:color w:val="auto"/>
                <w:sz w:val="18"/>
                <w:szCs w:val="18"/>
              </w:rPr>
              <w:t>1</w:t>
            </w:r>
          </w:p>
        </w:tc>
      </w:tr>
      <w:tr w14:paraId="3BEB7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Borders>
              <w:top w:val="nil"/>
            </w:tcBorders>
          </w:tcPr>
          <w:p w14:paraId="233CB75D">
            <w:pPr>
              <w:rPr>
                <w:i w:val="0"/>
                <w:iCs w:val="0"/>
                <w:color w:val="auto"/>
                <w:sz w:val="2"/>
                <w:szCs w:val="2"/>
              </w:rPr>
            </w:pPr>
          </w:p>
        </w:tc>
        <w:tc>
          <w:tcPr>
            <w:tcW w:w="1001" w:type="dxa"/>
            <w:vMerge w:val="continue"/>
            <w:tcBorders>
              <w:top w:val="nil"/>
            </w:tcBorders>
          </w:tcPr>
          <w:p w14:paraId="6856A52B">
            <w:pPr>
              <w:rPr>
                <w:i w:val="0"/>
                <w:iCs w:val="0"/>
                <w:color w:val="auto"/>
                <w:sz w:val="2"/>
                <w:szCs w:val="2"/>
              </w:rPr>
            </w:pPr>
          </w:p>
        </w:tc>
        <w:tc>
          <w:tcPr>
            <w:tcW w:w="1623" w:type="dxa"/>
            <w:vAlign w:val="center"/>
          </w:tcPr>
          <w:p w14:paraId="4BE89B72">
            <w:pPr>
              <w:pStyle w:val="25"/>
              <w:spacing w:before="6"/>
              <w:jc w:val="center"/>
              <w:rPr>
                <w:b/>
                <w:i w:val="0"/>
                <w:iCs w:val="0"/>
                <w:color w:val="auto"/>
                <w:sz w:val="13"/>
              </w:rPr>
            </w:pPr>
          </w:p>
          <w:p w14:paraId="3496BB96">
            <w:pPr>
              <w:pStyle w:val="25"/>
              <w:ind w:left="450"/>
              <w:jc w:val="both"/>
              <w:rPr>
                <w:i w:val="0"/>
                <w:iCs w:val="0"/>
                <w:color w:val="auto"/>
                <w:sz w:val="18"/>
              </w:rPr>
            </w:pPr>
            <w:r>
              <w:rPr>
                <w:i w:val="0"/>
                <w:iCs w:val="0"/>
                <w:color w:val="auto"/>
                <w:spacing w:val="-3"/>
                <w:sz w:val="18"/>
              </w:rPr>
              <w:t>导诊管理</w:t>
            </w:r>
          </w:p>
        </w:tc>
        <w:tc>
          <w:tcPr>
            <w:tcW w:w="4636" w:type="dxa"/>
            <w:vAlign w:val="center"/>
          </w:tcPr>
          <w:p w14:paraId="19B53C6C">
            <w:pPr>
              <w:pStyle w:val="25"/>
              <w:spacing w:before="26"/>
              <w:ind w:left="190" w:right="184"/>
              <w:jc w:val="center"/>
              <w:rPr>
                <w:i w:val="0"/>
                <w:iCs w:val="0"/>
                <w:color w:val="auto"/>
                <w:sz w:val="18"/>
              </w:rPr>
            </w:pPr>
            <w:r>
              <w:rPr>
                <w:i w:val="0"/>
                <w:iCs w:val="0"/>
                <w:color w:val="auto"/>
                <w:spacing w:val="-2"/>
                <w:sz w:val="18"/>
              </w:rPr>
              <w:t>门诊导诊系统</w:t>
            </w:r>
          </w:p>
        </w:tc>
        <w:tc>
          <w:tcPr>
            <w:tcW w:w="350" w:type="dxa"/>
          </w:tcPr>
          <w:p w14:paraId="7A038232">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AE1C239">
            <w:pPr>
              <w:pStyle w:val="25"/>
              <w:spacing w:line="265" w:lineRule="exact"/>
              <w:ind w:right="98"/>
              <w:jc w:val="right"/>
              <w:rPr>
                <w:i w:val="0"/>
                <w:iCs w:val="0"/>
                <w:color w:val="auto"/>
                <w:sz w:val="18"/>
                <w:szCs w:val="18"/>
              </w:rPr>
            </w:pPr>
            <w:r>
              <w:rPr>
                <w:i w:val="0"/>
                <w:iCs w:val="0"/>
                <w:color w:val="auto"/>
                <w:sz w:val="18"/>
                <w:szCs w:val="18"/>
              </w:rPr>
              <w:t>1</w:t>
            </w:r>
          </w:p>
        </w:tc>
      </w:tr>
      <w:tr w14:paraId="7C379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FC6B804">
            <w:pPr>
              <w:rPr>
                <w:i w:val="0"/>
                <w:iCs w:val="0"/>
                <w:color w:val="auto"/>
                <w:sz w:val="2"/>
                <w:szCs w:val="2"/>
              </w:rPr>
            </w:pPr>
          </w:p>
        </w:tc>
        <w:tc>
          <w:tcPr>
            <w:tcW w:w="1001" w:type="dxa"/>
            <w:vMerge w:val="continue"/>
            <w:tcBorders>
              <w:top w:val="nil"/>
            </w:tcBorders>
          </w:tcPr>
          <w:p w14:paraId="66284482">
            <w:pPr>
              <w:rPr>
                <w:i w:val="0"/>
                <w:iCs w:val="0"/>
                <w:color w:val="auto"/>
                <w:sz w:val="2"/>
                <w:szCs w:val="2"/>
              </w:rPr>
            </w:pPr>
          </w:p>
        </w:tc>
        <w:tc>
          <w:tcPr>
            <w:tcW w:w="1623" w:type="dxa"/>
          </w:tcPr>
          <w:p w14:paraId="256A22F5">
            <w:pPr>
              <w:pStyle w:val="25"/>
              <w:spacing w:before="26"/>
              <w:ind w:left="177" w:right="169"/>
              <w:jc w:val="center"/>
              <w:rPr>
                <w:i w:val="0"/>
                <w:iCs w:val="0"/>
                <w:color w:val="auto"/>
                <w:sz w:val="18"/>
              </w:rPr>
            </w:pPr>
            <w:r>
              <w:rPr>
                <w:i w:val="0"/>
                <w:iCs w:val="0"/>
                <w:color w:val="auto"/>
                <w:spacing w:val="-3"/>
                <w:sz w:val="18"/>
              </w:rPr>
              <w:t>信息推送</w:t>
            </w:r>
          </w:p>
        </w:tc>
        <w:tc>
          <w:tcPr>
            <w:tcW w:w="4636" w:type="dxa"/>
          </w:tcPr>
          <w:p w14:paraId="6F427DF2">
            <w:pPr>
              <w:pStyle w:val="25"/>
              <w:spacing w:before="26"/>
              <w:ind w:left="189" w:right="184"/>
              <w:jc w:val="center"/>
              <w:rPr>
                <w:i w:val="0"/>
                <w:iCs w:val="0"/>
                <w:color w:val="auto"/>
                <w:sz w:val="18"/>
              </w:rPr>
            </w:pPr>
            <w:r>
              <w:rPr>
                <w:i w:val="0"/>
                <w:iCs w:val="0"/>
                <w:color w:val="auto"/>
                <w:spacing w:val="-1"/>
                <w:sz w:val="18"/>
              </w:rPr>
              <w:t>消息推送服务平台对接</w:t>
            </w:r>
          </w:p>
        </w:tc>
        <w:tc>
          <w:tcPr>
            <w:tcW w:w="350" w:type="dxa"/>
          </w:tcPr>
          <w:p w14:paraId="65D7DEC1">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420CB9E9">
            <w:pPr>
              <w:pStyle w:val="25"/>
              <w:spacing w:line="265" w:lineRule="exact"/>
              <w:ind w:right="98"/>
              <w:jc w:val="right"/>
              <w:rPr>
                <w:i w:val="0"/>
                <w:iCs w:val="0"/>
                <w:color w:val="auto"/>
                <w:sz w:val="18"/>
                <w:szCs w:val="18"/>
              </w:rPr>
            </w:pPr>
            <w:r>
              <w:rPr>
                <w:i w:val="0"/>
                <w:iCs w:val="0"/>
                <w:color w:val="auto"/>
                <w:sz w:val="18"/>
                <w:szCs w:val="18"/>
              </w:rPr>
              <w:t>1</w:t>
            </w:r>
          </w:p>
        </w:tc>
      </w:tr>
      <w:tr w14:paraId="07871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restart"/>
          </w:tcPr>
          <w:p w14:paraId="5C15B0D5">
            <w:pPr>
              <w:pStyle w:val="25"/>
              <w:rPr>
                <w:b/>
                <w:i w:val="0"/>
                <w:iCs w:val="0"/>
                <w:color w:val="auto"/>
                <w:sz w:val="18"/>
              </w:rPr>
            </w:pPr>
          </w:p>
          <w:p w14:paraId="588C24ED">
            <w:pPr>
              <w:pStyle w:val="25"/>
              <w:rPr>
                <w:b/>
                <w:i w:val="0"/>
                <w:iCs w:val="0"/>
                <w:color w:val="auto"/>
                <w:sz w:val="18"/>
              </w:rPr>
            </w:pPr>
          </w:p>
          <w:p w14:paraId="51A00846">
            <w:pPr>
              <w:pStyle w:val="25"/>
              <w:spacing w:before="7"/>
              <w:rPr>
                <w:b/>
                <w:i w:val="0"/>
                <w:iCs w:val="0"/>
                <w:color w:val="auto"/>
                <w:sz w:val="23"/>
              </w:rPr>
            </w:pPr>
          </w:p>
          <w:p w14:paraId="38B51091">
            <w:pPr>
              <w:pStyle w:val="25"/>
              <w:ind w:left="8"/>
              <w:jc w:val="center"/>
              <w:rPr>
                <w:i w:val="0"/>
                <w:iCs w:val="0"/>
                <w:color w:val="auto"/>
                <w:sz w:val="18"/>
              </w:rPr>
            </w:pPr>
            <w:r>
              <w:rPr>
                <w:i w:val="0"/>
                <w:iCs w:val="0"/>
                <w:color w:val="auto"/>
                <w:sz w:val="18"/>
              </w:rPr>
              <w:t>7</w:t>
            </w:r>
          </w:p>
        </w:tc>
        <w:tc>
          <w:tcPr>
            <w:tcW w:w="1001" w:type="dxa"/>
            <w:vMerge w:val="restart"/>
          </w:tcPr>
          <w:p w14:paraId="0E308C34">
            <w:pPr>
              <w:pStyle w:val="25"/>
              <w:rPr>
                <w:b/>
                <w:i w:val="0"/>
                <w:iCs w:val="0"/>
                <w:color w:val="auto"/>
                <w:sz w:val="18"/>
              </w:rPr>
            </w:pPr>
          </w:p>
          <w:p w14:paraId="6610D10E">
            <w:pPr>
              <w:pStyle w:val="25"/>
              <w:rPr>
                <w:b/>
                <w:i w:val="0"/>
                <w:iCs w:val="0"/>
                <w:color w:val="auto"/>
                <w:sz w:val="18"/>
              </w:rPr>
            </w:pPr>
          </w:p>
          <w:p w14:paraId="7402A0E1">
            <w:pPr>
              <w:pStyle w:val="25"/>
              <w:spacing w:before="7"/>
              <w:rPr>
                <w:b/>
                <w:i w:val="0"/>
                <w:iCs w:val="0"/>
                <w:color w:val="auto"/>
                <w:sz w:val="23"/>
              </w:rPr>
            </w:pPr>
          </w:p>
          <w:p w14:paraId="7FA284B9">
            <w:pPr>
              <w:pStyle w:val="25"/>
              <w:ind w:left="138"/>
              <w:rPr>
                <w:i w:val="0"/>
                <w:iCs w:val="0"/>
                <w:color w:val="auto"/>
                <w:sz w:val="18"/>
              </w:rPr>
            </w:pPr>
            <w:r>
              <w:rPr>
                <w:i w:val="0"/>
                <w:iCs w:val="0"/>
                <w:color w:val="auto"/>
                <w:spacing w:val="-3"/>
                <w:sz w:val="18"/>
              </w:rPr>
              <w:t>运管管理</w:t>
            </w:r>
          </w:p>
        </w:tc>
        <w:tc>
          <w:tcPr>
            <w:tcW w:w="6259" w:type="dxa"/>
            <w:gridSpan w:val="2"/>
          </w:tcPr>
          <w:p w14:paraId="21B9A1AB">
            <w:pPr>
              <w:pStyle w:val="25"/>
              <w:spacing w:before="26"/>
              <w:ind w:left="2000" w:right="1994"/>
              <w:jc w:val="center"/>
              <w:rPr>
                <w:i w:val="0"/>
                <w:iCs w:val="0"/>
                <w:color w:val="auto"/>
                <w:sz w:val="18"/>
              </w:rPr>
            </w:pPr>
            <w:r>
              <w:rPr>
                <w:i w:val="0"/>
                <w:iCs w:val="0"/>
                <w:color w:val="auto"/>
                <w:spacing w:val="-3"/>
                <w:sz w:val="18"/>
              </w:rPr>
              <w:t>物资管理</w:t>
            </w:r>
          </w:p>
        </w:tc>
        <w:tc>
          <w:tcPr>
            <w:tcW w:w="350" w:type="dxa"/>
          </w:tcPr>
          <w:p w14:paraId="4014DA16">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B33B9F2">
            <w:pPr>
              <w:pStyle w:val="25"/>
              <w:spacing w:line="265" w:lineRule="exact"/>
              <w:ind w:right="98"/>
              <w:jc w:val="right"/>
              <w:rPr>
                <w:i w:val="0"/>
                <w:iCs w:val="0"/>
                <w:color w:val="auto"/>
                <w:sz w:val="18"/>
                <w:szCs w:val="18"/>
              </w:rPr>
            </w:pPr>
            <w:r>
              <w:rPr>
                <w:i w:val="0"/>
                <w:iCs w:val="0"/>
                <w:color w:val="auto"/>
                <w:sz w:val="18"/>
                <w:szCs w:val="18"/>
              </w:rPr>
              <w:t>1</w:t>
            </w:r>
          </w:p>
        </w:tc>
      </w:tr>
      <w:tr w14:paraId="4E1E9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3AB1B83D">
            <w:pPr>
              <w:rPr>
                <w:i w:val="0"/>
                <w:iCs w:val="0"/>
                <w:color w:val="auto"/>
                <w:sz w:val="2"/>
                <w:szCs w:val="2"/>
              </w:rPr>
            </w:pPr>
          </w:p>
        </w:tc>
        <w:tc>
          <w:tcPr>
            <w:tcW w:w="1001" w:type="dxa"/>
            <w:vMerge w:val="continue"/>
            <w:tcBorders>
              <w:top w:val="nil"/>
            </w:tcBorders>
          </w:tcPr>
          <w:p w14:paraId="562B0D0A">
            <w:pPr>
              <w:rPr>
                <w:i w:val="0"/>
                <w:iCs w:val="0"/>
                <w:color w:val="auto"/>
                <w:sz w:val="2"/>
                <w:szCs w:val="2"/>
              </w:rPr>
            </w:pPr>
          </w:p>
        </w:tc>
        <w:tc>
          <w:tcPr>
            <w:tcW w:w="6259" w:type="dxa"/>
            <w:gridSpan w:val="2"/>
          </w:tcPr>
          <w:p w14:paraId="4EB1D225">
            <w:pPr>
              <w:pStyle w:val="25"/>
              <w:spacing w:before="26"/>
              <w:ind w:left="2000" w:right="1994"/>
              <w:jc w:val="center"/>
              <w:rPr>
                <w:i w:val="0"/>
                <w:iCs w:val="0"/>
                <w:color w:val="auto"/>
                <w:sz w:val="18"/>
              </w:rPr>
            </w:pPr>
            <w:r>
              <w:rPr>
                <w:i w:val="0"/>
                <w:iCs w:val="0"/>
                <w:color w:val="auto"/>
                <w:spacing w:val="-2"/>
                <w:sz w:val="18"/>
              </w:rPr>
              <w:t>高值耗材管理</w:t>
            </w:r>
          </w:p>
        </w:tc>
        <w:tc>
          <w:tcPr>
            <w:tcW w:w="350" w:type="dxa"/>
          </w:tcPr>
          <w:p w14:paraId="72910AFF">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4417CD21">
            <w:pPr>
              <w:pStyle w:val="25"/>
              <w:spacing w:line="265" w:lineRule="exact"/>
              <w:ind w:right="98"/>
              <w:jc w:val="right"/>
              <w:rPr>
                <w:i w:val="0"/>
                <w:iCs w:val="0"/>
                <w:color w:val="auto"/>
                <w:sz w:val="18"/>
                <w:szCs w:val="18"/>
              </w:rPr>
            </w:pPr>
            <w:r>
              <w:rPr>
                <w:i w:val="0"/>
                <w:iCs w:val="0"/>
                <w:color w:val="auto"/>
                <w:sz w:val="18"/>
                <w:szCs w:val="18"/>
              </w:rPr>
              <w:t>1</w:t>
            </w:r>
          </w:p>
        </w:tc>
      </w:tr>
      <w:tr w14:paraId="76CAA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A162362">
            <w:pPr>
              <w:rPr>
                <w:i w:val="0"/>
                <w:iCs w:val="0"/>
                <w:color w:val="auto"/>
                <w:sz w:val="2"/>
                <w:szCs w:val="2"/>
              </w:rPr>
            </w:pPr>
          </w:p>
        </w:tc>
        <w:tc>
          <w:tcPr>
            <w:tcW w:w="1001" w:type="dxa"/>
            <w:vMerge w:val="continue"/>
            <w:tcBorders>
              <w:top w:val="nil"/>
            </w:tcBorders>
          </w:tcPr>
          <w:p w14:paraId="6047A867">
            <w:pPr>
              <w:rPr>
                <w:i w:val="0"/>
                <w:iCs w:val="0"/>
                <w:color w:val="auto"/>
                <w:sz w:val="2"/>
                <w:szCs w:val="2"/>
              </w:rPr>
            </w:pPr>
          </w:p>
        </w:tc>
        <w:tc>
          <w:tcPr>
            <w:tcW w:w="6259" w:type="dxa"/>
            <w:gridSpan w:val="2"/>
          </w:tcPr>
          <w:p w14:paraId="04CD7840">
            <w:pPr>
              <w:pStyle w:val="25"/>
              <w:spacing w:before="26"/>
              <w:ind w:left="2000" w:right="1994"/>
              <w:jc w:val="center"/>
              <w:rPr>
                <w:i w:val="0"/>
                <w:iCs w:val="0"/>
                <w:color w:val="auto"/>
                <w:sz w:val="18"/>
              </w:rPr>
            </w:pPr>
            <w:r>
              <w:rPr>
                <w:i w:val="0"/>
                <w:iCs w:val="0"/>
                <w:color w:val="auto"/>
                <w:spacing w:val="-3"/>
                <w:sz w:val="18"/>
              </w:rPr>
              <w:t>资产管理</w:t>
            </w:r>
          </w:p>
        </w:tc>
        <w:tc>
          <w:tcPr>
            <w:tcW w:w="350" w:type="dxa"/>
          </w:tcPr>
          <w:p w14:paraId="4254251A">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A6B671E">
            <w:pPr>
              <w:pStyle w:val="25"/>
              <w:spacing w:line="265" w:lineRule="exact"/>
              <w:ind w:right="98"/>
              <w:jc w:val="right"/>
              <w:rPr>
                <w:i w:val="0"/>
                <w:iCs w:val="0"/>
                <w:color w:val="auto"/>
                <w:sz w:val="18"/>
                <w:szCs w:val="18"/>
              </w:rPr>
            </w:pPr>
            <w:r>
              <w:rPr>
                <w:i w:val="0"/>
                <w:iCs w:val="0"/>
                <w:color w:val="auto"/>
                <w:sz w:val="18"/>
                <w:szCs w:val="18"/>
              </w:rPr>
              <w:t>1</w:t>
            </w:r>
          </w:p>
        </w:tc>
      </w:tr>
      <w:tr w14:paraId="00B2F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4C120DFC">
            <w:pPr>
              <w:rPr>
                <w:i w:val="0"/>
                <w:iCs w:val="0"/>
                <w:color w:val="auto"/>
                <w:sz w:val="2"/>
                <w:szCs w:val="2"/>
              </w:rPr>
            </w:pPr>
          </w:p>
        </w:tc>
        <w:tc>
          <w:tcPr>
            <w:tcW w:w="1001" w:type="dxa"/>
            <w:vMerge w:val="continue"/>
            <w:tcBorders>
              <w:top w:val="nil"/>
            </w:tcBorders>
          </w:tcPr>
          <w:p w14:paraId="066CFABB">
            <w:pPr>
              <w:rPr>
                <w:i w:val="0"/>
                <w:iCs w:val="0"/>
                <w:color w:val="auto"/>
                <w:sz w:val="2"/>
                <w:szCs w:val="2"/>
              </w:rPr>
            </w:pPr>
          </w:p>
        </w:tc>
        <w:tc>
          <w:tcPr>
            <w:tcW w:w="1623" w:type="dxa"/>
            <w:vMerge w:val="restart"/>
          </w:tcPr>
          <w:p w14:paraId="17C8BC69">
            <w:pPr>
              <w:pStyle w:val="25"/>
              <w:spacing w:before="6"/>
              <w:rPr>
                <w:b/>
                <w:i w:val="0"/>
                <w:iCs w:val="0"/>
                <w:color w:val="auto"/>
                <w:sz w:val="13"/>
              </w:rPr>
            </w:pPr>
          </w:p>
          <w:p w14:paraId="741EE3EA">
            <w:pPr>
              <w:pStyle w:val="25"/>
              <w:ind w:left="270"/>
              <w:rPr>
                <w:i w:val="0"/>
                <w:iCs w:val="0"/>
                <w:color w:val="auto"/>
                <w:sz w:val="18"/>
              </w:rPr>
            </w:pPr>
            <w:r>
              <w:rPr>
                <w:i w:val="0"/>
                <w:iCs w:val="0"/>
                <w:color w:val="auto"/>
                <w:spacing w:val="-2"/>
                <w:sz w:val="18"/>
              </w:rPr>
              <w:t>财务管理系统</w:t>
            </w:r>
          </w:p>
        </w:tc>
        <w:tc>
          <w:tcPr>
            <w:tcW w:w="4636" w:type="dxa"/>
          </w:tcPr>
          <w:p w14:paraId="0B4D5E78">
            <w:pPr>
              <w:pStyle w:val="25"/>
              <w:spacing w:before="26"/>
              <w:ind w:left="189" w:right="184"/>
              <w:jc w:val="center"/>
              <w:rPr>
                <w:i w:val="0"/>
                <w:iCs w:val="0"/>
                <w:color w:val="auto"/>
                <w:sz w:val="18"/>
              </w:rPr>
            </w:pPr>
            <w:r>
              <w:rPr>
                <w:i w:val="0"/>
                <w:iCs w:val="0"/>
                <w:color w:val="auto"/>
                <w:spacing w:val="-2"/>
                <w:sz w:val="18"/>
              </w:rPr>
              <w:t>财务管理系统对接</w:t>
            </w:r>
          </w:p>
        </w:tc>
        <w:tc>
          <w:tcPr>
            <w:tcW w:w="350" w:type="dxa"/>
          </w:tcPr>
          <w:p w14:paraId="26FBFD2B">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2CDBB3F4">
            <w:pPr>
              <w:pStyle w:val="25"/>
              <w:spacing w:line="265" w:lineRule="exact"/>
              <w:ind w:right="98"/>
              <w:jc w:val="right"/>
              <w:rPr>
                <w:i w:val="0"/>
                <w:iCs w:val="0"/>
                <w:color w:val="auto"/>
                <w:sz w:val="18"/>
                <w:szCs w:val="18"/>
              </w:rPr>
            </w:pPr>
            <w:r>
              <w:rPr>
                <w:i w:val="0"/>
                <w:iCs w:val="0"/>
                <w:color w:val="auto"/>
                <w:sz w:val="18"/>
                <w:szCs w:val="18"/>
              </w:rPr>
              <w:t>1</w:t>
            </w:r>
          </w:p>
        </w:tc>
      </w:tr>
      <w:tr w14:paraId="34B73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7C96914A">
            <w:pPr>
              <w:rPr>
                <w:i w:val="0"/>
                <w:iCs w:val="0"/>
                <w:color w:val="auto"/>
                <w:sz w:val="2"/>
                <w:szCs w:val="2"/>
              </w:rPr>
            </w:pPr>
          </w:p>
        </w:tc>
        <w:tc>
          <w:tcPr>
            <w:tcW w:w="1001" w:type="dxa"/>
            <w:vMerge w:val="continue"/>
            <w:tcBorders>
              <w:top w:val="nil"/>
            </w:tcBorders>
          </w:tcPr>
          <w:p w14:paraId="1322D94C">
            <w:pPr>
              <w:rPr>
                <w:i w:val="0"/>
                <w:iCs w:val="0"/>
                <w:color w:val="auto"/>
                <w:sz w:val="2"/>
                <w:szCs w:val="2"/>
              </w:rPr>
            </w:pPr>
          </w:p>
        </w:tc>
        <w:tc>
          <w:tcPr>
            <w:tcW w:w="1623" w:type="dxa"/>
            <w:vMerge w:val="continue"/>
            <w:tcBorders>
              <w:top w:val="nil"/>
            </w:tcBorders>
          </w:tcPr>
          <w:p w14:paraId="07DE3FBA">
            <w:pPr>
              <w:rPr>
                <w:i w:val="0"/>
                <w:iCs w:val="0"/>
                <w:color w:val="auto"/>
                <w:sz w:val="2"/>
                <w:szCs w:val="2"/>
              </w:rPr>
            </w:pPr>
          </w:p>
        </w:tc>
        <w:tc>
          <w:tcPr>
            <w:tcW w:w="4636" w:type="dxa"/>
          </w:tcPr>
          <w:p w14:paraId="673A4465">
            <w:pPr>
              <w:pStyle w:val="25"/>
              <w:spacing w:before="26"/>
              <w:ind w:left="189" w:right="184"/>
              <w:jc w:val="center"/>
              <w:rPr>
                <w:i w:val="0"/>
                <w:iCs w:val="0"/>
                <w:color w:val="auto"/>
                <w:sz w:val="18"/>
              </w:rPr>
            </w:pPr>
            <w:r>
              <w:rPr>
                <w:i w:val="0"/>
                <w:iCs w:val="0"/>
                <w:color w:val="auto"/>
                <w:spacing w:val="-1"/>
                <w:sz w:val="18"/>
              </w:rPr>
              <w:t>全成本核算、预算系统</w:t>
            </w:r>
          </w:p>
        </w:tc>
        <w:tc>
          <w:tcPr>
            <w:tcW w:w="350" w:type="dxa"/>
          </w:tcPr>
          <w:p w14:paraId="7F87BA65">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7924B0E8">
            <w:pPr>
              <w:pStyle w:val="25"/>
              <w:spacing w:line="265" w:lineRule="exact"/>
              <w:ind w:right="98"/>
              <w:jc w:val="right"/>
              <w:rPr>
                <w:i w:val="0"/>
                <w:iCs w:val="0"/>
                <w:color w:val="auto"/>
                <w:sz w:val="18"/>
                <w:szCs w:val="18"/>
              </w:rPr>
            </w:pPr>
            <w:r>
              <w:rPr>
                <w:i w:val="0"/>
                <w:iCs w:val="0"/>
                <w:color w:val="auto"/>
                <w:sz w:val="18"/>
                <w:szCs w:val="18"/>
              </w:rPr>
              <w:t>1</w:t>
            </w:r>
          </w:p>
        </w:tc>
      </w:tr>
      <w:tr w14:paraId="30DF9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2F85F9BC">
            <w:pPr>
              <w:rPr>
                <w:i w:val="0"/>
                <w:iCs w:val="0"/>
                <w:color w:val="auto"/>
                <w:sz w:val="2"/>
                <w:szCs w:val="2"/>
              </w:rPr>
            </w:pPr>
          </w:p>
        </w:tc>
        <w:tc>
          <w:tcPr>
            <w:tcW w:w="1001" w:type="dxa"/>
            <w:vMerge w:val="continue"/>
            <w:tcBorders>
              <w:top w:val="nil"/>
            </w:tcBorders>
          </w:tcPr>
          <w:p w14:paraId="40582050">
            <w:pPr>
              <w:rPr>
                <w:i w:val="0"/>
                <w:iCs w:val="0"/>
                <w:color w:val="auto"/>
                <w:sz w:val="2"/>
                <w:szCs w:val="2"/>
              </w:rPr>
            </w:pPr>
          </w:p>
        </w:tc>
        <w:tc>
          <w:tcPr>
            <w:tcW w:w="6259" w:type="dxa"/>
            <w:gridSpan w:val="2"/>
          </w:tcPr>
          <w:p w14:paraId="7760DEAF">
            <w:pPr>
              <w:pStyle w:val="25"/>
              <w:spacing w:before="26"/>
              <w:ind w:left="2002" w:right="1994"/>
              <w:jc w:val="center"/>
              <w:rPr>
                <w:i w:val="0"/>
                <w:iCs w:val="0"/>
                <w:color w:val="auto"/>
                <w:sz w:val="18"/>
              </w:rPr>
            </w:pPr>
            <w:r>
              <w:rPr>
                <w:i w:val="0"/>
                <w:iCs w:val="0"/>
                <w:color w:val="auto"/>
                <w:spacing w:val="-15"/>
                <w:sz w:val="18"/>
              </w:rPr>
              <w:t xml:space="preserve">办公 </w:t>
            </w:r>
            <w:r>
              <w:rPr>
                <w:i w:val="0"/>
                <w:iCs w:val="0"/>
                <w:color w:val="auto"/>
                <w:spacing w:val="-5"/>
                <w:sz w:val="18"/>
              </w:rPr>
              <w:t>OA</w:t>
            </w:r>
          </w:p>
        </w:tc>
        <w:tc>
          <w:tcPr>
            <w:tcW w:w="350" w:type="dxa"/>
          </w:tcPr>
          <w:p w14:paraId="56D49CB6">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6C4F5F51">
            <w:pPr>
              <w:pStyle w:val="25"/>
              <w:spacing w:line="265" w:lineRule="exact"/>
              <w:ind w:right="98"/>
              <w:jc w:val="right"/>
              <w:rPr>
                <w:i w:val="0"/>
                <w:iCs w:val="0"/>
                <w:color w:val="auto"/>
                <w:sz w:val="18"/>
                <w:szCs w:val="18"/>
              </w:rPr>
            </w:pPr>
            <w:r>
              <w:rPr>
                <w:i w:val="0"/>
                <w:iCs w:val="0"/>
                <w:color w:val="auto"/>
                <w:sz w:val="18"/>
                <w:szCs w:val="18"/>
              </w:rPr>
              <w:t>1</w:t>
            </w:r>
          </w:p>
        </w:tc>
      </w:tr>
      <w:tr w14:paraId="6F9D1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456" w:type="dxa"/>
            <w:vMerge w:val="restart"/>
          </w:tcPr>
          <w:p w14:paraId="280B0F70">
            <w:pPr>
              <w:pStyle w:val="25"/>
              <w:rPr>
                <w:b/>
                <w:i w:val="0"/>
                <w:iCs w:val="0"/>
                <w:color w:val="auto"/>
                <w:sz w:val="18"/>
              </w:rPr>
            </w:pPr>
          </w:p>
          <w:p w14:paraId="5FCF11C4">
            <w:pPr>
              <w:pStyle w:val="25"/>
              <w:rPr>
                <w:b/>
                <w:i w:val="0"/>
                <w:iCs w:val="0"/>
                <w:color w:val="auto"/>
                <w:sz w:val="18"/>
              </w:rPr>
            </w:pPr>
          </w:p>
          <w:p w14:paraId="30D118D9">
            <w:pPr>
              <w:pStyle w:val="25"/>
              <w:rPr>
                <w:b/>
                <w:i w:val="0"/>
                <w:iCs w:val="0"/>
                <w:color w:val="auto"/>
                <w:sz w:val="18"/>
              </w:rPr>
            </w:pPr>
          </w:p>
          <w:p w14:paraId="04C98047">
            <w:pPr>
              <w:pStyle w:val="25"/>
              <w:rPr>
                <w:b/>
                <w:i w:val="0"/>
                <w:iCs w:val="0"/>
                <w:color w:val="auto"/>
                <w:sz w:val="18"/>
              </w:rPr>
            </w:pPr>
          </w:p>
          <w:p w14:paraId="7593C69E">
            <w:pPr>
              <w:pStyle w:val="25"/>
              <w:rPr>
                <w:b/>
                <w:i w:val="0"/>
                <w:iCs w:val="0"/>
                <w:color w:val="auto"/>
                <w:sz w:val="18"/>
              </w:rPr>
            </w:pPr>
          </w:p>
          <w:p w14:paraId="561B980E">
            <w:pPr>
              <w:pStyle w:val="25"/>
              <w:rPr>
                <w:b/>
                <w:i w:val="0"/>
                <w:iCs w:val="0"/>
                <w:color w:val="auto"/>
              </w:rPr>
            </w:pPr>
          </w:p>
          <w:p w14:paraId="7B3427F3">
            <w:pPr>
              <w:pStyle w:val="25"/>
              <w:ind w:left="8"/>
              <w:jc w:val="center"/>
              <w:rPr>
                <w:i w:val="0"/>
                <w:iCs w:val="0"/>
                <w:color w:val="auto"/>
                <w:sz w:val="18"/>
              </w:rPr>
            </w:pPr>
            <w:r>
              <w:rPr>
                <w:i w:val="0"/>
                <w:iCs w:val="0"/>
                <w:color w:val="auto"/>
                <w:sz w:val="18"/>
              </w:rPr>
              <w:t>8</w:t>
            </w:r>
          </w:p>
        </w:tc>
        <w:tc>
          <w:tcPr>
            <w:tcW w:w="1001" w:type="dxa"/>
            <w:vMerge w:val="restart"/>
          </w:tcPr>
          <w:p w14:paraId="464039FB">
            <w:pPr>
              <w:pStyle w:val="25"/>
              <w:rPr>
                <w:b/>
                <w:i w:val="0"/>
                <w:iCs w:val="0"/>
                <w:color w:val="auto"/>
                <w:sz w:val="18"/>
              </w:rPr>
            </w:pPr>
          </w:p>
          <w:p w14:paraId="18AD7B55">
            <w:pPr>
              <w:pStyle w:val="25"/>
              <w:rPr>
                <w:b/>
                <w:i w:val="0"/>
                <w:iCs w:val="0"/>
                <w:color w:val="auto"/>
                <w:sz w:val="18"/>
              </w:rPr>
            </w:pPr>
          </w:p>
          <w:p w14:paraId="48961705">
            <w:pPr>
              <w:pStyle w:val="25"/>
              <w:rPr>
                <w:b/>
                <w:i w:val="0"/>
                <w:iCs w:val="0"/>
                <w:color w:val="auto"/>
                <w:sz w:val="18"/>
              </w:rPr>
            </w:pPr>
          </w:p>
          <w:p w14:paraId="467B321B">
            <w:pPr>
              <w:pStyle w:val="25"/>
              <w:rPr>
                <w:b/>
                <w:i w:val="0"/>
                <w:iCs w:val="0"/>
                <w:color w:val="auto"/>
                <w:sz w:val="18"/>
              </w:rPr>
            </w:pPr>
          </w:p>
          <w:p w14:paraId="5A0E2F10">
            <w:pPr>
              <w:pStyle w:val="25"/>
              <w:rPr>
                <w:b/>
                <w:i w:val="0"/>
                <w:iCs w:val="0"/>
                <w:color w:val="auto"/>
                <w:sz w:val="18"/>
              </w:rPr>
            </w:pPr>
          </w:p>
          <w:p w14:paraId="3795564F">
            <w:pPr>
              <w:pStyle w:val="25"/>
              <w:rPr>
                <w:b/>
                <w:i w:val="0"/>
                <w:iCs w:val="0"/>
                <w:color w:val="auto"/>
              </w:rPr>
            </w:pPr>
          </w:p>
          <w:p w14:paraId="51F084B0">
            <w:pPr>
              <w:pStyle w:val="25"/>
              <w:ind w:left="138"/>
              <w:rPr>
                <w:i w:val="0"/>
                <w:iCs w:val="0"/>
                <w:color w:val="auto"/>
                <w:sz w:val="18"/>
              </w:rPr>
            </w:pPr>
            <w:r>
              <w:rPr>
                <w:i w:val="0"/>
                <w:iCs w:val="0"/>
                <w:color w:val="auto"/>
                <w:spacing w:val="-3"/>
                <w:sz w:val="18"/>
              </w:rPr>
              <w:t>统一接口</w:t>
            </w:r>
          </w:p>
        </w:tc>
        <w:tc>
          <w:tcPr>
            <w:tcW w:w="1623" w:type="dxa"/>
          </w:tcPr>
          <w:p w14:paraId="5821FB6C">
            <w:pPr>
              <w:pStyle w:val="25"/>
              <w:rPr>
                <w:b/>
                <w:i w:val="0"/>
                <w:iCs w:val="0"/>
                <w:color w:val="auto"/>
                <w:sz w:val="18"/>
              </w:rPr>
            </w:pPr>
          </w:p>
          <w:p w14:paraId="1C928819">
            <w:pPr>
              <w:pStyle w:val="25"/>
              <w:spacing w:before="119" w:line="244" w:lineRule="auto"/>
              <w:ind w:left="181" w:right="169"/>
              <w:jc w:val="center"/>
              <w:rPr>
                <w:i w:val="0"/>
                <w:iCs w:val="0"/>
                <w:color w:val="auto"/>
                <w:sz w:val="18"/>
              </w:rPr>
            </w:pPr>
            <w:r>
              <w:rPr>
                <w:i w:val="0"/>
                <w:iCs w:val="0"/>
                <w:color w:val="auto"/>
                <w:spacing w:val="-2"/>
                <w:sz w:val="18"/>
              </w:rPr>
              <w:t>医疗协同（中医院中心对接卫健委医网通）</w:t>
            </w:r>
          </w:p>
        </w:tc>
        <w:tc>
          <w:tcPr>
            <w:tcW w:w="4636" w:type="dxa"/>
            <w:vAlign w:val="center"/>
          </w:tcPr>
          <w:p w14:paraId="76CF7C0A">
            <w:pPr>
              <w:pStyle w:val="25"/>
              <w:spacing w:line="242" w:lineRule="auto"/>
              <w:ind w:left="193" w:right="184"/>
              <w:jc w:val="both"/>
              <w:rPr>
                <w:i w:val="0"/>
                <w:iCs w:val="0"/>
                <w:color w:val="auto"/>
                <w:sz w:val="18"/>
              </w:rPr>
            </w:pPr>
            <w:r>
              <w:rPr>
                <w:i w:val="0"/>
                <w:iCs w:val="0"/>
                <w:color w:val="auto"/>
                <w:spacing w:val="-2"/>
                <w:sz w:val="18"/>
              </w:rPr>
              <w:t>双向转诊对接、分级诊疗对接、远程影像对接、远程会诊对接（含远程会诊中心硬件）、集中审方对接、健康随访对接、临床检验对接、网络心电对接、消毒供应对接、药物配供对接、医护调度对接、区域共享</w:t>
            </w:r>
            <w:r>
              <w:rPr>
                <w:i w:val="0"/>
                <w:iCs w:val="0"/>
                <w:color w:val="auto"/>
                <w:sz w:val="18"/>
              </w:rPr>
              <w:t>中药房、其他对接等接口接入区域医共体平台（</w:t>
            </w:r>
            <w:r>
              <w:rPr>
                <w:i w:val="0"/>
                <w:iCs w:val="0"/>
                <w:color w:val="auto"/>
                <w:spacing w:val="-5"/>
                <w:sz w:val="18"/>
              </w:rPr>
              <w:t>符合</w:t>
            </w:r>
          </w:p>
          <w:p w14:paraId="4F598259">
            <w:pPr>
              <w:pStyle w:val="25"/>
              <w:spacing w:before="2" w:line="215" w:lineRule="exact"/>
              <w:ind w:left="1362"/>
              <w:jc w:val="both"/>
              <w:rPr>
                <w:i w:val="0"/>
                <w:iCs w:val="0"/>
                <w:color w:val="auto"/>
                <w:sz w:val="18"/>
              </w:rPr>
            </w:pPr>
            <w:r>
              <w:rPr>
                <w:i w:val="0"/>
                <w:iCs w:val="0"/>
                <w:color w:val="auto"/>
                <w:sz w:val="18"/>
              </w:rPr>
              <w:t>“医网通”建设需求</w:t>
            </w:r>
            <w:r>
              <w:rPr>
                <w:i w:val="0"/>
                <w:iCs w:val="0"/>
                <w:color w:val="auto"/>
                <w:spacing w:val="-10"/>
                <w:sz w:val="18"/>
              </w:rPr>
              <w:t>）</w:t>
            </w:r>
          </w:p>
        </w:tc>
        <w:tc>
          <w:tcPr>
            <w:tcW w:w="350" w:type="dxa"/>
            <w:vAlign w:val="center"/>
          </w:tcPr>
          <w:p w14:paraId="2A488255">
            <w:pPr>
              <w:pStyle w:val="25"/>
              <w:jc w:val="center"/>
              <w:rPr>
                <w:b/>
                <w:i w:val="0"/>
                <w:iCs w:val="0"/>
                <w:color w:val="auto"/>
                <w:sz w:val="18"/>
                <w:szCs w:val="18"/>
              </w:rPr>
            </w:pPr>
          </w:p>
          <w:p w14:paraId="2F7B97F0">
            <w:pPr>
              <w:pStyle w:val="25"/>
              <w:jc w:val="center"/>
              <w:rPr>
                <w:b/>
                <w:i w:val="0"/>
                <w:iCs w:val="0"/>
                <w:color w:val="auto"/>
                <w:sz w:val="18"/>
                <w:szCs w:val="18"/>
              </w:rPr>
            </w:pPr>
          </w:p>
          <w:p w14:paraId="0779776C">
            <w:pPr>
              <w:pStyle w:val="25"/>
              <w:jc w:val="center"/>
              <w:rPr>
                <w:b/>
                <w:i w:val="0"/>
                <w:iCs w:val="0"/>
                <w:color w:val="auto"/>
                <w:sz w:val="18"/>
                <w:szCs w:val="18"/>
              </w:rPr>
            </w:pPr>
          </w:p>
          <w:p w14:paraId="40D557EF">
            <w:pPr>
              <w:pStyle w:val="25"/>
              <w:jc w:val="center"/>
              <w:rPr>
                <w:b/>
                <w:i w:val="0"/>
                <w:iCs w:val="0"/>
                <w:color w:val="auto"/>
                <w:sz w:val="18"/>
                <w:szCs w:val="18"/>
              </w:rPr>
            </w:pPr>
          </w:p>
          <w:p w14:paraId="679FEB9F">
            <w:pPr>
              <w:pStyle w:val="25"/>
              <w:spacing w:line="267" w:lineRule="exact"/>
              <w:ind w:right="8"/>
              <w:jc w:val="center"/>
              <w:rPr>
                <w:i w:val="0"/>
                <w:iCs w:val="0"/>
                <w:color w:val="auto"/>
                <w:sz w:val="18"/>
                <w:szCs w:val="18"/>
              </w:rPr>
            </w:pPr>
            <w:r>
              <w:rPr>
                <w:i w:val="0"/>
                <w:iCs w:val="0"/>
                <w:color w:val="auto"/>
                <w:sz w:val="18"/>
                <w:szCs w:val="18"/>
              </w:rPr>
              <w:t>项</w:t>
            </w:r>
          </w:p>
        </w:tc>
        <w:tc>
          <w:tcPr>
            <w:tcW w:w="458" w:type="dxa"/>
            <w:vAlign w:val="center"/>
          </w:tcPr>
          <w:p w14:paraId="0A64B647">
            <w:pPr>
              <w:pStyle w:val="25"/>
              <w:jc w:val="center"/>
              <w:rPr>
                <w:b/>
                <w:i w:val="0"/>
                <w:iCs w:val="0"/>
                <w:color w:val="auto"/>
                <w:sz w:val="18"/>
                <w:szCs w:val="18"/>
              </w:rPr>
            </w:pPr>
          </w:p>
          <w:p w14:paraId="7DCA3C57">
            <w:pPr>
              <w:pStyle w:val="25"/>
              <w:jc w:val="center"/>
              <w:rPr>
                <w:b/>
                <w:i w:val="0"/>
                <w:iCs w:val="0"/>
                <w:color w:val="auto"/>
                <w:sz w:val="18"/>
                <w:szCs w:val="18"/>
              </w:rPr>
            </w:pPr>
          </w:p>
          <w:p w14:paraId="58796FDF">
            <w:pPr>
              <w:pStyle w:val="25"/>
              <w:jc w:val="center"/>
              <w:rPr>
                <w:b/>
                <w:i w:val="0"/>
                <w:iCs w:val="0"/>
                <w:color w:val="auto"/>
                <w:sz w:val="18"/>
                <w:szCs w:val="18"/>
              </w:rPr>
            </w:pPr>
          </w:p>
          <w:p w14:paraId="073B6CCD">
            <w:pPr>
              <w:pStyle w:val="25"/>
              <w:jc w:val="center"/>
              <w:rPr>
                <w:b/>
                <w:i w:val="0"/>
                <w:iCs w:val="0"/>
                <w:color w:val="auto"/>
                <w:sz w:val="18"/>
                <w:szCs w:val="18"/>
              </w:rPr>
            </w:pPr>
          </w:p>
          <w:p w14:paraId="39B91DEB">
            <w:pPr>
              <w:pStyle w:val="25"/>
              <w:spacing w:line="267" w:lineRule="exact"/>
              <w:ind w:right="98"/>
              <w:jc w:val="center"/>
              <w:rPr>
                <w:i w:val="0"/>
                <w:iCs w:val="0"/>
                <w:color w:val="auto"/>
                <w:sz w:val="18"/>
                <w:szCs w:val="18"/>
              </w:rPr>
            </w:pPr>
            <w:r>
              <w:rPr>
                <w:i w:val="0"/>
                <w:iCs w:val="0"/>
                <w:color w:val="auto"/>
                <w:sz w:val="18"/>
                <w:szCs w:val="18"/>
              </w:rPr>
              <w:t>1</w:t>
            </w:r>
          </w:p>
        </w:tc>
      </w:tr>
      <w:tr w14:paraId="6F797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456" w:type="dxa"/>
            <w:vMerge w:val="continue"/>
          </w:tcPr>
          <w:p w14:paraId="68627214">
            <w:pPr>
              <w:rPr>
                <w:i w:val="0"/>
                <w:iCs w:val="0"/>
                <w:color w:val="auto"/>
                <w:sz w:val="2"/>
                <w:szCs w:val="2"/>
              </w:rPr>
            </w:pPr>
          </w:p>
        </w:tc>
        <w:tc>
          <w:tcPr>
            <w:tcW w:w="1001" w:type="dxa"/>
            <w:vMerge w:val="continue"/>
          </w:tcPr>
          <w:p w14:paraId="7D1CAD03">
            <w:pPr>
              <w:rPr>
                <w:i w:val="0"/>
                <w:iCs w:val="0"/>
                <w:color w:val="auto"/>
                <w:sz w:val="2"/>
                <w:szCs w:val="2"/>
              </w:rPr>
            </w:pPr>
          </w:p>
        </w:tc>
        <w:tc>
          <w:tcPr>
            <w:tcW w:w="1623" w:type="dxa"/>
            <w:vMerge w:val="restart"/>
            <w:vAlign w:val="center"/>
          </w:tcPr>
          <w:p w14:paraId="3F70223C">
            <w:pPr>
              <w:pStyle w:val="25"/>
              <w:spacing w:line="242" w:lineRule="auto"/>
              <w:ind w:left="181" w:right="169"/>
              <w:jc w:val="center"/>
              <w:rPr>
                <w:i w:val="0"/>
                <w:iCs w:val="0"/>
                <w:color w:val="auto"/>
                <w:spacing w:val="-2"/>
                <w:sz w:val="18"/>
              </w:rPr>
            </w:pPr>
            <w:r>
              <w:rPr>
                <w:i w:val="0"/>
                <w:iCs w:val="0"/>
                <w:color w:val="auto"/>
                <w:spacing w:val="-2"/>
                <w:sz w:val="18"/>
              </w:rPr>
              <w:t>上报及接口（包含且不限于所列</w:t>
            </w:r>
            <w:r>
              <w:rPr>
                <w:i w:val="0"/>
                <w:iCs w:val="0"/>
                <w:color w:val="auto"/>
                <w:spacing w:val="-4"/>
                <w:sz w:val="18"/>
              </w:rPr>
              <w:t>接口）</w:t>
            </w:r>
          </w:p>
        </w:tc>
        <w:tc>
          <w:tcPr>
            <w:tcW w:w="4636" w:type="dxa"/>
            <w:vAlign w:val="center"/>
          </w:tcPr>
          <w:p w14:paraId="0ACE1560">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康复管理系统接口</w:t>
            </w:r>
          </w:p>
        </w:tc>
        <w:tc>
          <w:tcPr>
            <w:tcW w:w="350" w:type="dxa"/>
          </w:tcPr>
          <w:p w14:paraId="560CFAB5">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49C6A85A">
            <w:pPr>
              <w:pStyle w:val="25"/>
              <w:spacing w:line="267" w:lineRule="exact"/>
              <w:ind w:right="98"/>
              <w:jc w:val="right"/>
              <w:rPr>
                <w:i w:val="0"/>
                <w:iCs w:val="0"/>
                <w:color w:val="auto"/>
                <w:sz w:val="18"/>
                <w:szCs w:val="18"/>
              </w:rPr>
            </w:pPr>
            <w:r>
              <w:rPr>
                <w:i w:val="0"/>
                <w:iCs w:val="0"/>
                <w:color w:val="auto"/>
                <w:sz w:val="18"/>
                <w:szCs w:val="18"/>
              </w:rPr>
              <w:t>1</w:t>
            </w:r>
          </w:p>
        </w:tc>
      </w:tr>
      <w:tr w14:paraId="443C6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456" w:type="dxa"/>
            <w:vMerge w:val="continue"/>
          </w:tcPr>
          <w:p w14:paraId="6F85CE26">
            <w:pPr>
              <w:rPr>
                <w:i w:val="0"/>
                <w:iCs w:val="0"/>
                <w:color w:val="auto"/>
                <w:sz w:val="2"/>
                <w:szCs w:val="2"/>
              </w:rPr>
            </w:pPr>
          </w:p>
        </w:tc>
        <w:tc>
          <w:tcPr>
            <w:tcW w:w="1001" w:type="dxa"/>
            <w:vMerge w:val="continue"/>
          </w:tcPr>
          <w:p w14:paraId="477862E7">
            <w:pPr>
              <w:rPr>
                <w:i w:val="0"/>
                <w:iCs w:val="0"/>
                <w:color w:val="auto"/>
                <w:sz w:val="2"/>
                <w:szCs w:val="2"/>
              </w:rPr>
            </w:pPr>
          </w:p>
        </w:tc>
        <w:tc>
          <w:tcPr>
            <w:tcW w:w="1623" w:type="dxa"/>
            <w:vMerge w:val="continue"/>
          </w:tcPr>
          <w:p w14:paraId="7515752A">
            <w:pPr>
              <w:pStyle w:val="25"/>
              <w:spacing w:line="242" w:lineRule="auto"/>
              <w:ind w:left="181" w:right="169"/>
              <w:jc w:val="center"/>
              <w:rPr>
                <w:i w:val="0"/>
                <w:iCs w:val="0"/>
                <w:color w:val="auto"/>
                <w:spacing w:val="-2"/>
                <w:sz w:val="18"/>
              </w:rPr>
            </w:pPr>
          </w:p>
        </w:tc>
        <w:tc>
          <w:tcPr>
            <w:tcW w:w="4636" w:type="dxa"/>
            <w:vAlign w:val="center"/>
          </w:tcPr>
          <w:p w14:paraId="67F7D373">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医废管理系统接口</w:t>
            </w:r>
          </w:p>
        </w:tc>
        <w:tc>
          <w:tcPr>
            <w:tcW w:w="350" w:type="dxa"/>
            <w:shd w:val="clear" w:color="auto" w:fill="auto"/>
            <w:vAlign w:val="top"/>
          </w:tcPr>
          <w:p w14:paraId="01D3DFAE">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4E9CD06F">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4E055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E86FD60">
            <w:pPr>
              <w:rPr>
                <w:i w:val="0"/>
                <w:iCs w:val="0"/>
                <w:color w:val="auto"/>
                <w:sz w:val="2"/>
                <w:szCs w:val="2"/>
              </w:rPr>
            </w:pPr>
          </w:p>
        </w:tc>
        <w:tc>
          <w:tcPr>
            <w:tcW w:w="1001" w:type="dxa"/>
            <w:vMerge w:val="continue"/>
          </w:tcPr>
          <w:p w14:paraId="6E091BF7">
            <w:pPr>
              <w:rPr>
                <w:i w:val="0"/>
                <w:iCs w:val="0"/>
                <w:color w:val="auto"/>
                <w:sz w:val="2"/>
                <w:szCs w:val="2"/>
              </w:rPr>
            </w:pPr>
          </w:p>
        </w:tc>
        <w:tc>
          <w:tcPr>
            <w:tcW w:w="1623" w:type="dxa"/>
            <w:vMerge w:val="continue"/>
          </w:tcPr>
          <w:p w14:paraId="1B908D88">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0DA17251">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自助发药机分包机接口</w:t>
            </w:r>
          </w:p>
        </w:tc>
        <w:tc>
          <w:tcPr>
            <w:tcW w:w="350" w:type="dxa"/>
            <w:shd w:val="clear" w:color="auto" w:fill="auto"/>
            <w:vAlign w:val="top"/>
          </w:tcPr>
          <w:p w14:paraId="2507F892">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7A014EDD">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1DB53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DED76A9">
            <w:pPr>
              <w:rPr>
                <w:i w:val="0"/>
                <w:iCs w:val="0"/>
                <w:color w:val="auto"/>
                <w:sz w:val="2"/>
                <w:szCs w:val="2"/>
              </w:rPr>
            </w:pPr>
          </w:p>
        </w:tc>
        <w:tc>
          <w:tcPr>
            <w:tcW w:w="1001" w:type="dxa"/>
            <w:vMerge w:val="continue"/>
          </w:tcPr>
          <w:p w14:paraId="2D3B5218">
            <w:pPr>
              <w:rPr>
                <w:i w:val="0"/>
                <w:iCs w:val="0"/>
                <w:color w:val="auto"/>
                <w:sz w:val="2"/>
                <w:szCs w:val="2"/>
              </w:rPr>
            </w:pPr>
          </w:p>
        </w:tc>
        <w:tc>
          <w:tcPr>
            <w:tcW w:w="1623" w:type="dxa"/>
            <w:vMerge w:val="continue"/>
          </w:tcPr>
          <w:p w14:paraId="62A57B92">
            <w:pPr>
              <w:pStyle w:val="25"/>
              <w:spacing w:line="242" w:lineRule="auto"/>
              <w:ind w:left="181" w:right="169"/>
              <w:jc w:val="center"/>
              <w:rPr>
                <w:i w:val="0"/>
                <w:iCs w:val="0"/>
                <w:color w:val="auto"/>
                <w:spacing w:val="-2"/>
                <w:sz w:val="18"/>
              </w:rPr>
            </w:pPr>
          </w:p>
        </w:tc>
        <w:tc>
          <w:tcPr>
            <w:tcW w:w="4636" w:type="dxa"/>
            <w:vAlign w:val="center"/>
          </w:tcPr>
          <w:p w14:paraId="35BABFE1">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排队叫号接口</w:t>
            </w:r>
          </w:p>
        </w:tc>
        <w:tc>
          <w:tcPr>
            <w:tcW w:w="350" w:type="dxa"/>
            <w:shd w:val="clear" w:color="auto" w:fill="auto"/>
            <w:vAlign w:val="top"/>
          </w:tcPr>
          <w:p w14:paraId="3ECD7429">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1A4E50A7">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5A178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034C4CD1">
            <w:pPr>
              <w:rPr>
                <w:i w:val="0"/>
                <w:iCs w:val="0"/>
                <w:color w:val="auto"/>
                <w:sz w:val="2"/>
                <w:szCs w:val="2"/>
              </w:rPr>
            </w:pPr>
          </w:p>
        </w:tc>
        <w:tc>
          <w:tcPr>
            <w:tcW w:w="1001" w:type="dxa"/>
            <w:vMerge w:val="continue"/>
          </w:tcPr>
          <w:p w14:paraId="1EA9BE2C">
            <w:pPr>
              <w:rPr>
                <w:i w:val="0"/>
                <w:iCs w:val="0"/>
                <w:color w:val="auto"/>
                <w:sz w:val="2"/>
                <w:szCs w:val="2"/>
              </w:rPr>
            </w:pPr>
          </w:p>
        </w:tc>
        <w:tc>
          <w:tcPr>
            <w:tcW w:w="1623" w:type="dxa"/>
            <w:vMerge w:val="continue"/>
          </w:tcPr>
          <w:p w14:paraId="129491AD">
            <w:pPr>
              <w:pStyle w:val="25"/>
              <w:spacing w:line="242" w:lineRule="auto"/>
              <w:ind w:left="181" w:right="169"/>
              <w:jc w:val="center"/>
              <w:rPr>
                <w:i w:val="0"/>
                <w:iCs w:val="0"/>
                <w:color w:val="auto"/>
                <w:spacing w:val="-2"/>
                <w:sz w:val="18"/>
              </w:rPr>
            </w:pPr>
          </w:p>
        </w:tc>
        <w:tc>
          <w:tcPr>
            <w:tcW w:w="4636" w:type="dxa"/>
            <w:vAlign w:val="center"/>
          </w:tcPr>
          <w:p w14:paraId="534046CC">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治未病诊疗系统接口</w:t>
            </w:r>
          </w:p>
        </w:tc>
        <w:tc>
          <w:tcPr>
            <w:tcW w:w="350" w:type="dxa"/>
            <w:shd w:val="clear" w:color="auto" w:fill="auto"/>
            <w:vAlign w:val="top"/>
          </w:tcPr>
          <w:p w14:paraId="78764860">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00978A73">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F700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A97346B">
            <w:pPr>
              <w:rPr>
                <w:i w:val="0"/>
                <w:iCs w:val="0"/>
                <w:color w:val="auto"/>
                <w:sz w:val="2"/>
                <w:szCs w:val="2"/>
              </w:rPr>
            </w:pPr>
          </w:p>
        </w:tc>
        <w:tc>
          <w:tcPr>
            <w:tcW w:w="1001" w:type="dxa"/>
            <w:vMerge w:val="continue"/>
          </w:tcPr>
          <w:p w14:paraId="330BF3C7">
            <w:pPr>
              <w:rPr>
                <w:i w:val="0"/>
                <w:iCs w:val="0"/>
                <w:color w:val="auto"/>
                <w:sz w:val="2"/>
                <w:szCs w:val="2"/>
              </w:rPr>
            </w:pPr>
          </w:p>
        </w:tc>
        <w:tc>
          <w:tcPr>
            <w:tcW w:w="1623" w:type="dxa"/>
            <w:vMerge w:val="continue"/>
          </w:tcPr>
          <w:p w14:paraId="7303756F">
            <w:pPr>
              <w:pStyle w:val="25"/>
              <w:spacing w:line="242" w:lineRule="auto"/>
              <w:ind w:left="181" w:right="169"/>
              <w:jc w:val="center"/>
              <w:rPr>
                <w:i w:val="0"/>
                <w:iCs w:val="0"/>
                <w:color w:val="auto"/>
                <w:spacing w:val="-2"/>
                <w:sz w:val="18"/>
              </w:rPr>
            </w:pPr>
          </w:p>
        </w:tc>
        <w:tc>
          <w:tcPr>
            <w:tcW w:w="4636" w:type="dxa"/>
            <w:vAlign w:val="center"/>
          </w:tcPr>
          <w:p w14:paraId="063B6205">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发热门诊医疗服务监测接口</w:t>
            </w:r>
          </w:p>
        </w:tc>
        <w:tc>
          <w:tcPr>
            <w:tcW w:w="350" w:type="dxa"/>
            <w:shd w:val="clear" w:color="auto" w:fill="auto"/>
            <w:vAlign w:val="top"/>
          </w:tcPr>
          <w:p w14:paraId="7CDE80AC">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528990D0">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08C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B79F397">
            <w:pPr>
              <w:rPr>
                <w:i w:val="0"/>
                <w:iCs w:val="0"/>
                <w:color w:val="auto"/>
                <w:sz w:val="2"/>
                <w:szCs w:val="2"/>
              </w:rPr>
            </w:pPr>
          </w:p>
        </w:tc>
        <w:tc>
          <w:tcPr>
            <w:tcW w:w="1001" w:type="dxa"/>
            <w:vMerge w:val="continue"/>
          </w:tcPr>
          <w:p w14:paraId="7BD9D1DB">
            <w:pPr>
              <w:rPr>
                <w:i w:val="0"/>
                <w:iCs w:val="0"/>
                <w:color w:val="auto"/>
                <w:sz w:val="2"/>
                <w:szCs w:val="2"/>
              </w:rPr>
            </w:pPr>
          </w:p>
        </w:tc>
        <w:tc>
          <w:tcPr>
            <w:tcW w:w="1623" w:type="dxa"/>
            <w:vMerge w:val="continue"/>
          </w:tcPr>
          <w:p w14:paraId="0B4A95FB">
            <w:pPr>
              <w:pStyle w:val="25"/>
              <w:spacing w:line="242" w:lineRule="auto"/>
              <w:ind w:left="181" w:right="169"/>
              <w:jc w:val="center"/>
              <w:rPr>
                <w:i w:val="0"/>
                <w:iCs w:val="0"/>
                <w:color w:val="auto"/>
                <w:spacing w:val="-2"/>
                <w:sz w:val="18"/>
              </w:rPr>
            </w:pPr>
          </w:p>
        </w:tc>
        <w:tc>
          <w:tcPr>
            <w:tcW w:w="4636" w:type="dxa"/>
            <w:vAlign w:val="center"/>
          </w:tcPr>
          <w:p w14:paraId="741155DE">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省阳光采购平台招采子系统（含网采率上报）</w:t>
            </w:r>
          </w:p>
        </w:tc>
        <w:tc>
          <w:tcPr>
            <w:tcW w:w="350" w:type="dxa"/>
            <w:shd w:val="clear" w:color="auto" w:fill="auto"/>
            <w:vAlign w:val="top"/>
          </w:tcPr>
          <w:p w14:paraId="38A9F567">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668AFA2E">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9D93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 w:hRule="atLeast"/>
        </w:trPr>
        <w:tc>
          <w:tcPr>
            <w:tcW w:w="456" w:type="dxa"/>
            <w:vMerge w:val="continue"/>
          </w:tcPr>
          <w:p w14:paraId="646E976D">
            <w:pPr>
              <w:rPr>
                <w:i w:val="0"/>
                <w:iCs w:val="0"/>
                <w:color w:val="auto"/>
                <w:sz w:val="2"/>
                <w:szCs w:val="2"/>
              </w:rPr>
            </w:pPr>
          </w:p>
        </w:tc>
        <w:tc>
          <w:tcPr>
            <w:tcW w:w="1001" w:type="dxa"/>
            <w:vMerge w:val="continue"/>
          </w:tcPr>
          <w:p w14:paraId="0B93F454">
            <w:pPr>
              <w:rPr>
                <w:i w:val="0"/>
                <w:iCs w:val="0"/>
                <w:color w:val="auto"/>
                <w:sz w:val="2"/>
                <w:szCs w:val="2"/>
              </w:rPr>
            </w:pPr>
          </w:p>
        </w:tc>
        <w:tc>
          <w:tcPr>
            <w:tcW w:w="1623" w:type="dxa"/>
            <w:vMerge w:val="continue"/>
          </w:tcPr>
          <w:p w14:paraId="6B2E5EF5">
            <w:pPr>
              <w:pStyle w:val="25"/>
              <w:spacing w:line="242" w:lineRule="auto"/>
              <w:ind w:left="181" w:right="169"/>
              <w:jc w:val="center"/>
              <w:rPr>
                <w:i w:val="0"/>
                <w:iCs w:val="0"/>
                <w:color w:val="auto"/>
                <w:spacing w:val="-2"/>
                <w:sz w:val="18"/>
              </w:rPr>
            </w:pPr>
          </w:p>
        </w:tc>
        <w:tc>
          <w:tcPr>
            <w:tcW w:w="4636" w:type="dxa"/>
            <w:vAlign w:val="center"/>
          </w:tcPr>
          <w:p w14:paraId="59077E50">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省健康信息管理平台</w:t>
            </w:r>
          </w:p>
        </w:tc>
        <w:tc>
          <w:tcPr>
            <w:tcW w:w="350" w:type="dxa"/>
            <w:shd w:val="clear" w:color="auto" w:fill="auto"/>
            <w:vAlign w:val="top"/>
          </w:tcPr>
          <w:p w14:paraId="46E84369">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05CE1CD5">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01FD8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456" w:type="dxa"/>
            <w:vMerge w:val="continue"/>
          </w:tcPr>
          <w:p w14:paraId="1BF7048F">
            <w:pPr>
              <w:rPr>
                <w:i w:val="0"/>
                <w:iCs w:val="0"/>
                <w:color w:val="auto"/>
                <w:sz w:val="2"/>
                <w:szCs w:val="2"/>
              </w:rPr>
            </w:pPr>
          </w:p>
        </w:tc>
        <w:tc>
          <w:tcPr>
            <w:tcW w:w="1001" w:type="dxa"/>
            <w:vMerge w:val="continue"/>
          </w:tcPr>
          <w:p w14:paraId="76BD36F4">
            <w:pPr>
              <w:rPr>
                <w:i w:val="0"/>
                <w:iCs w:val="0"/>
                <w:color w:val="auto"/>
                <w:sz w:val="2"/>
                <w:szCs w:val="2"/>
              </w:rPr>
            </w:pPr>
          </w:p>
        </w:tc>
        <w:tc>
          <w:tcPr>
            <w:tcW w:w="1623" w:type="dxa"/>
            <w:vMerge w:val="continue"/>
          </w:tcPr>
          <w:p w14:paraId="3212E014">
            <w:pPr>
              <w:pStyle w:val="25"/>
              <w:spacing w:line="242" w:lineRule="auto"/>
              <w:ind w:left="181" w:right="169"/>
              <w:jc w:val="center"/>
              <w:rPr>
                <w:i w:val="0"/>
                <w:iCs w:val="0"/>
                <w:color w:val="auto"/>
                <w:spacing w:val="-2"/>
                <w:sz w:val="18"/>
              </w:rPr>
            </w:pPr>
          </w:p>
        </w:tc>
        <w:tc>
          <w:tcPr>
            <w:tcW w:w="4636" w:type="dxa"/>
            <w:vAlign w:val="center"/>
          </w:tcPr>
          <w:p w14:paraId="2F4E745D">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省影像云</w:t>
            </w:r>
          </w:p>
        </w:tc>
        <w:tc>
          <w:tcPr>
            <w:tcW w:w="350" w:type="dxa"/>
            <w:shd w:val="clear" w:color="auto" w:fill="auto"/>
            <w:vAlign w:val="top"/>
          </w:tcPr>
          <w:p w14:paraId="4ABCFACD">
            <w:pPr>
              <w:pStyle w:val="25"/>
              <w:spacing w:line="267" w:lineRule="exact"/>
              <w:ind w:right="8" w:rightChars="0"/>
              <w:jc w:val="center"/>
              <w:rPr>
                <w:rFonts w:ascii="宋体" w:hAnsi="宋体" w:eastAsia="宋体" w:cs="宋体"/>
                <w:i w:val="0"/>
                <w:iCs w:val="0"/>
                <w:color w:val="auto"/>
                <w:sz w:val="18"/>
                <w:szCs w:val="18"/>
                <w:lang w:val="en-US" w:eastAsia="zh-CN" w:bidi="ar-SA"/>
              </w:rPr>
            </w:pPr>
            <w:r>
              <w:rPr>
                <w:i w:val="0"/>
                <w:iCs w:val="0"/>
                <w:color w:val="auto"/>
                <w:sz w:val="18"/>
                <w:szCs w:val="18"/>
              </w:rPr>
              <w:t>项</w:t>
            </w:r>
          </w:p>
        </w:tc>
        <w:tc>
          <w:tcPr>
            <w:tcW w:w="458" w:type="dxa"/>
            <w:shd w:val="clear" w:color="auto" w:fill="auto"/>
            <w:vAlign w:val="top"/>
          </w:tcPr>
          <w:p w14:paraId="51A496FA">
            <w:pPr>
              <w:pStyle w:val="25"/>
              <w:spacing w:line="267" w:lineRule="exact"/>
              <w:ind w:right="98" w:rightChars="0"/>
              <w:jc w:val="right"/>
              <w:rPr>
                <w:rFonts w:ascii="宋体" w:hAnsi="宋体" w:eastAsia="宋体" w:cs="宋体"/>
                <w:i w:val="0"/>
                <w:iCs w:val="0"/>
                <w:color w:val="auto"/>
                <w:sz w:val="18"/>
                <w:szCs w:val="18"/>
                <w:lang w:val="en-US" w:eastAsia="zh-CN" w:bidi="ar-SA"/>
              </w:rPr>
            </w:pPr>
            <w:r>
              <w:rPr>
                <w:i w:val="0"/>
                <w:iCs w:val="0"/>
                <w:color w:val="auto"/>
                <w:sz w:val="18"/>
                <w:szCs w:val="18"/>
              </w:rPr>
              <w:t>1</w:t>
            </w:r>
          </w:p>
        </w:tc>
      </w:tr>
      <w:tr w14:paraId="7CA7E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71B238D">
            <w:pPr>
              <w:rPr>
                <w:i w:val="0"/>
                <w:iCs w:val="0"/>
                <w:color w:val="auto"/>
                <w:sz w:val="2"/>
                <w:szCs w:val="2"/>
              </w:rPr>
            </w:pPr>
          </w:p>
        </w:tc>
        <w:tc>
          <w:tcPr>
            <w:tcW w:w="1001" w:type="dxa"/>
            <w:vMerge w:val="continue"/>
          </w:tcPr>
          <w:p w14:paraId="04CA6302">
            <w:pPr>
              <w:rPr>
                <w:i w:val="0"/>
                <w:iCs w:val="0"/>
                <w:color w:val="auto"/>
                <w:sz w:val="2"/>
                <w:szCs w:val="2"/>
              </w:rPr>
            </w:pPr>
          </w:p>
        </w:tc>
        <w:tc>
          <w:tcPr>
            <w:tcW w:w="1623" w:type="dxa"/>
            <w:vMerge w:val="continue"/>
          </w:tcPr>
          <w:p w14:paraId="544456E0">
            <w:pPr>
              <w:pStyle w:val="25"/>
              <w:spacing w:line="242" w:lineRule="auto"/>
              <w:ind w:left="181" w:right="169"/>
              <w:jc w:val="center"/>
              <w:rPr>
                <w:i w:val="0"/>
                <w:iCs w:val="0"/>
                <w:color w:val="auto"/>
                <w:spacing w:val="-2"/>
                <w:sz w:val="18"/>
              </w:rPr>
            </w:pPr>
          </w:p>
        </w:tc>
        <w:tc>
          <w:tcPr>
            <w:tcW w:w="4636" w:type="dxa"/>
            <w:vAlign w:val="center"/>
          </w:tcPr>
          <w:p w14:paraId="3696E518">
            <w:pPr>
              <w:pStyle w:val="25"/>
              <w:spacing w:before="28" w:line="242" w:lineRule="auto"/>
              <w:ind w:left="126" w:right="116" w:hanging="1"/>
              <w:jc w:val="center"/>
              <w:rPr>
                <w:rFonts w:hint="eastAsia" w:ascii="宋体" w:hAnsi="宋体" w:eastAsia="宋体" w:cs="宋体"/>
                <w:b w:val="0"/>
                <w:bCs w:val="0"/>
                <w:i w:val="0"/>
                <w:iCs w:val="0"/>
                <w:color w:val="auto"/>
                <w:kern w:val="0"/>
                <w:sz w:val="20"/>
                <w:szCs w:val="20"/>
                <w:u w:val="none"/>
                <w:lang w:val="en-US" w:eastAsia="zh-CN" w:bidi="ar"/>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省妇幼系统接口</w:t>
            </w:r>
          </w:p>
        </w:tc>
        <w:tc>
          <w:tcPr>
            <w:tcW w:w="350" w:type="dxa"/>
            <w:vAlign w:val="top"/>
          </w:tcPr>
          <w:p w14:paraId="73B565E7">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0E413FBF">
            <w:pPr>
              <w:pStyle w:val="25"/>
              <w:spacing w:line="267" w:lineRule="exact"/>
              <w:ind w:right="98" w:rightChars="0"/>
              <w:jc w:val="right"/>
              <w:rPr>
                <w:i w:val="0"/>
                <w:iCs w:val="0"/>
                <w:color w:val="auto"/>
                <w:sz w:val="18"/>
                <w:szCs w:val="18"/>
              </w:rPr>
            </w:pPr>
            <w:r>
              <w:rPr>
                <w:i w:val="0"/>
                <w:iCs w:val="0"/>
                <w:color w:val="auto"/>
                <w:sz w:val="18"/>
                <w:szCs w:val="18"/>
              </w:rPr>
              <w:t>1</w:t>
            </w:r>
          </w:p>
        </w:tc>
      </w:tr>
      <w:tr w14:paraId="2D9FB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ED25AE3">
            <w:pPr>
              <w:rPr>
                <w:i w:val="0"/>
                <w:iCs w:val="0"/>
                <w:color w:val="auto"/>
                <w:sz w:val="2"/>
                <w:szCs w:val="2"/>
              </w:rPr>
            </w:pPr>
          </w:p>
        </w:tc>
        <w:tc>
          <w:tcPr>
            <w:tcW w:w="1001" w:type="dxa"/>
            <w:vMerge w:val="continue"/>
          </w:tcPr>
          <w:p w14:paraId="06B83560">
            <w:pPr>
              <w:rPr>
                <w:i w:val="0"/>
                <w:iCs w:val="0"/>
                <w:color w:val="auto"/>
                <w:sz w:val="2"/>
                <w:szCs w:val="2"/>
              </w:rPr>
            </w:pPr>
          </w:p>
        </w:tc>
        <w:tc>
          <w:tcPr>
            <w:tcW w:w="1623" w:type="dxa"/>
            <w:vMerge w:val="continue"/>
          </w:tcPr>
          <w:p w14:paraId="020B3950">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34E6B6FC">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医保结算清单上报</w:t>
            </w:r>
          </w:p>
        </w:tc>
        <w:tc>
          <w:tcPr>
            <w:tcW w:w="350" w:type="dxa"/>
            <w:vAlign w:val="top"/>
          </w:tcPr>
          <w:p w14:paraId="37892970">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6823271A">
            <w:pPr>
              <w:pStyle w:val="25"/>
              <w:spacing w:line="267" w:lineRule="exact"/>
              <w:ind w:right="98" w:rightChars="0"/>
              <w:jc w:val="right"/>
              <w:rPr>
                <w:i w:val="0"/>
                <w:iCs w:val="0"/>
                <w:color w:val="auto"/>
                <w:sz w:val="18"/>
                <w:szCs w:val="18"/>
              </w:rPr>
            </w:pPr>
            <w:r>
              <w:rPr>
                <w:i w:val="0"/>
                <w:iCs w:val="0"/>
                <w:color w:val="auto"/>
                <w:sz w:val="18"/>
                <w:szCs w:val="18"/>
              </w:rPr>
              <w:t>1</w:t>
            </w:r>
          </w:p>
        </w:tc>
      </w:tr>
      <w:tr w14:paraId="1D5FD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FE7905A">
            <w:pPr>
              <w:rPr>
                <w:i w:val="0"/>
                <w:iCs w:val="0"/>
                <w:color w:val="auto"/>
                <w:sz w:val="2"/>
                <w:szCs w:val="2"/>
              </w:rPr>
            </w:pPr>
          </w:p>
        </w:tc>
        <w:tc>
          <w:tcPr>
            <w:tcW w:w="1001" w:type="dxa"/>
            <w:vMerge w:val="continue"/>
          </w:tcPr>
          <w:p w14:paraId="5351259F">
            <w:pPr>
              <w:rPr>
                <w:i w:val="0"/>
                <w:iCs w:val="0"/>
                <w:color w:val="auto"/>
                <w:sz w:val="2"/>
                <w:szCs w:val="2"/>
              </w:rPr>
            </w:pPr>
          </w:p>
        </w:tc>
        <w:tc>
          <w:tcPr>
            <w:tcW w:w="1623" w:type="dxa"/>
            <w:vMerge w:val="continue"/>
          </w:tcPr>
          <w:p w14:paraId="2A15DC2E">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07DD7CE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公立医院绩效考核上报</w:t>
            </w:r>
          </w:p>
        </w:tc>
        <w:tc>
          <w:tcPr>
            <w:tcW w:w="350" w:type="dxa"/>
            <w:vAlign w:val="top"/>
          </w:tcPr>
          <w:p w14:paraId="6B9CC4A8">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65618A49">
            <w:pPr>
              <w:pStyle w:val="25"/>
              <w:spacing w:line="267" w:lineRule="exact"/>
              <w:ind w:right="98" w:rightChars="0"/>
              <w:jc w:val="right"/>
              <w:rPr>
                <w:i w:val="0"/>
                <w:iCs w:val="0"/>
                <w:color w:val="auto"/>
                <w:sz w:val="18"/>
                <w:szCs w:val="18"/>
              </w:rPr>
            </w:pPr>
            <w:r>
              <w:rPr>
                <w:i w:val="0"/>
                <w:iCs w:val="0"/>
                <w:color w:val="auto"/>
                <w:sz w:val="18"/>
                <w:szCs w:val="18"/>
              </w:rPr>
              <w:t>1</w:t>
            </w:r>
          </w:p>
        </w:tc>
      </w:tr>
      <w:tr w14:paraId="08668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F2ED96C">
            <w:pPr>
              <w:rPr>
                <w:i w:val="0"/>
                <w:iCs w:val="0"/>
                <w:color w:val="auto"/>
                <w:sz w:val="2"/>
                <w:szCs w:val="2"/>
              </w:rPr>
            </w:pPr>
          </w:p>
        </w:tc>
        <w:tc>
          <w:tcPr>
            <w:tcW w:w="1001" w:type="dxa"/>
            <w:vMerge w:val="continue"/>
          </w:tcPr>
          <w:p w14:paraId="60923C9E">
            <w:pPr>
              <w:rPr>
                <w:i w:val="0"/>
                <w:iCs w:val="0"/>
                <w:color w:val="auto"/>
                <w:sz w:val="2"/>
                <w:szCs w:val="2"/>
              </w:rPr>
            </w:pPr>
          </w:p>
        </w:tc>
        <w:tc>
          <w:tcPr>
            <w:tcW w:w="1623" w:type="dxa"/>
            <w:vMerge w:val="continue"/>
          </w:tcPr>
          <w:p w14:paraId="39600E6E">
            <w:pPr>
              <w:pStyle w:val="25"/>
              <w:spacing w:line="242" w:lineRule="auto"/>
              <w:ind w:left="181" w:right="169"/>
              <w:jc w:val="center"/>
              <w:rPr>
                <w:i w:val="0"/>
                <w:iCs w:val="0"/>
                <w:color w:val="auto"/>
                <w:spacing w:val="-2"/>
                <w:sz w:val="18"/>
              </w:rPr>
            </w:pPr>
          </w:p>
        </w:tc>
        <w:tc>
          <w:tcPr>
            <w:tcW w:w="4636" w:type="dxa"/>
            <w:shd w:val="clear" w:color="auto" w:fill="auto"/>
            <w:vAlign w:val="center"/>
          </w:tcPr>
          <w:p w14:paraId="5E67139A">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省卫统上报</w:t>
            </w:r>
          </w:p>
        </w:tc>
        <w:tc>
          <w:tcPr>
            <w:tcW w:w="350" w:type="dxa"/>
            <w:vAlign w:val="top"/>
          </w:tcPr>
          <w:p w14:paraId="22505768">
            <w:pPr>
              <w:pStyle w:val="25"/>
              <w:spacing w:line="267" w:lineRule="exact"/>
              <w:ind w:right="8" w:rightChars="0"/>
              <w:jc w:val="center"/>
              <w:rPr>
                <w:i w:val="0"/>
                <w:iCs w:val="0"/>
                <w:color w:val="auto"/>
                <w:sz w:val="18"/>
                <w:szCs w:val="18"/>
              </w:rPr>
            </w:pPr>
            <w:r>
              <w:rPr>
                <w:i w:val="0"/>
                <w:iCs w:val="0"/>
                <w:color w:val="auto"/>
                <w:sz w:val="18"/>
                <w:szCs w:val="18"/>
              </w:rPr>
              <w:t>项</w:t>
            </w:r>
          </w:p>
        </w:tc>
        <w:tc>
          <w:tcPr>
            <w:tcW w:w="458" w:type="dxa"/>
            <w:vAlign w:val="top"/>
          </w:tcPr>
          <w:p w14:paraId="19A8F11E">
            <w:pPr>
              <w:pStyle w:val="25"/>
              <w:spacing w:line="267" w:lineRule="exact"/>
              <w:ind w:right="98" w:rightChars="0"/>
              <w:jc w:val="right"/>
              <w:rPr>
                <w:i w:val="0"/>
                <w:iCs w:val="0"/>
                <w:color w:val="auto"/>
                <w:sz w:val="18"/>
                <w:szCs w:val="18"/>
              </w:rPr>
            </w:pPr>
            <w:r>
              <w:rPr>
                <w:i w:val="0"/>
                <w:iCs w:val="0"/>
                <w:color w:val="auto"/>
                <w:sz w:val="18"/>
                <w:szCs w:val="18"/>
              </w:rPr>
              <w:t>1</w:t>
            </w:r>
          </w:p>
        </w:tc>
      </w:tr>
      <w:tr w14:paraId="570EA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48401C5">
            <w:pPr>
              <w:pStyle w:val="25"/>
              <w:rPr>
                <w:rFonts w:ascii="Times New Roman"/>
                <w:i w:val="0"/>
                <w:iCs w:val="0"/>
                <w:color w:val="auto"/>
                <w:sz w:val="18"/>
              </w:rPr>
            </w:pPr>
          </w:p>
        </w:tc>
        <w:tc>
          <w:tcPr>
            <w:tcW w:w="1001" w:type="dxa"/>
            <w:vMerge w:val="continue"/>
          </w:tcPr>
          <w:p w14:paraId="49F730FC">
            <w:pPr>
              <w:pStyle w:val="25"/>
              <w:rPr>
                <w:rFonts w:ascii="Times New Roman"/>
                <w:i w:val="0"/>
                <w:iCs w:val="0"/>
                <w:color w:val="auto"/>
                <w:sz w:val="18"/>
              </w:rPr>
            </w:pPr>
          </w:p>
        </w:tc>
        <w:tc>
          <w:tcPr>
            <w:tcW w:w="1623" w:type="dxa"/>
            <w:vMerge w:val="continue"/>
          </w:tcPr>
          <w:p w14:paraId="0E0FACE0">
            <w:pPr>
              <w:pStyle w:val="25"/>
              <w:rPr>
                <w:rFonts w:ascii="Times New Roman"/>
                <w:i w:val="0"/>
                <w:iCs w:val="0"/>
                <w:color w:val="auto"/>
                <w:sz w:val="18"/>
              </w:rPr>
            </w:pPr>
          </w:p>
        </w:tc>
        <w:tc>
          <w:tcPr>
            <w:tcW w:w="4636" w:type="dxa"/>
            <w:tcBorders>
              <w:top w:val="nil"/>
            </w:tcBorders>
            <w:vAlign w:val="center"/>
          </w:tcPr>
          <w:p w14:paraId="40A37779">
            <w:pPr>
              <w:keepNext w:val="0"/>
              <w:keepLines w:val="0"/>
              <w:widowControl/>
              <w:suppressLineNumbers w:val="0"/>
              <w:spacing w:after="0" w:line="240" w:lineRule="auto"/>
              <w:ind w:left="0" w:leftChars="0" w:firstLine="0" w:firstLineChars="0"/>
              <w:jc w:val="center"/>
              <w:textAlignment w:val="auto"/>
              <w:rPr>
                <w:i w:val="0"/>
                <w:iCs w:val="0"/>
                <w:color w:val="auto"/>
                <w:sz w:val="18"/>
              </w:rPr>
            </w:pPr>
            <w:r>
              <w:rPr>
                <w:rFonts w:hint="eastAsia" w:ascii="宋体" w:hAnsi="宋体" w:eastAsia="宋体" w:cs="宋体"/>
                <w:b w:val="0"/>
                <w:bCs w:val="0"/>
                <w:i w:val="0"/>
                <w:iCs w:val="0"/>
                <w:color w:val="auto"/>
                <w:kern w:val="0"/>
                <w:sz w:val="20"/>
                <w:szCs w:val="20"/>
                <w:u w:val="none"/>
                <w:lang w:val="en-US" w:eastAsia="zh-CN" w:bidi="ar"/>
                <w14:ligatures w14:val="none"/>
              </w:rPr>
              <w:t>电子发票系统（含医保及财政）</w:t>
            </w:r>
          </w:p>
        </w:tc>
        <w:tc>
          <w:tcPr>
            <w:tcW w:w="350" w:type="dxa"/>
            <w:tcBorders>
              <w:top w:val="nil"/>
            </w:tcBorders>
            <w:vAlign w:val="top"/>
          </w:tcPr>
          <w:p w14:paraId="1A317EA5">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112EC446">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1AB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47EB1CB">
            <w:pPr>
              <w:pStyle w:val="25"/>
              <w:rPr>
                <w:rFonts w:ascii="Times New Roman"/>
                <w:i w:val="0"/>
                <w:iCs w:val="0"/>
                <w:color w:val="auto"/>
                <w:sz w:val="18"/>
              </w:rPr>
            </w:pPr>
          </w:p>
        </w:tc>
        <w:tc>
          <w:tcPr>
            <w:tcW w:w="1001" w:type="dxa"/>
            <w:vMerge w:val="continue"/>
          </w:tcPr>
          <w:p w14:paraId="02A2D2C8">
            <w:pPr>
              <w:pStyle w:val="25"/>
              <w:rPr>
                <w:rFonts w:ascii="Times New Roman"/>
                <w:i w:val="0"/>
                <w:iCs w:val="0"/>
                <w:color w:val="auto"/>
                <w:sz w:val="18"/>
              </w:rPr>
            </w:pPr>
          </w:p>
        </w:tc>
        <w:tc>
          <w:tcPr>
            <w:tcW w:w="1623" w:type="dxa"/>
            <w:vMerge w:val="continue"/>
          </w:tcPr>
          <w:p w14:paraId="3ADBDA06">
            <w:pPr>
              <w:pStyle w:val="25"/>
              <w:rPr>
                <w:rFonts w:ascii="Times New Roman"/>
                <w:i w:val="0"/>
                <w:iCs w:val="0"/>
                <w:color w:val="auto"/>
                <w:sz w:val="18"/>
              </w:rPr>
            </w:pPr>
          </w:p>
        </w:tc>
        <w:tc>
          <w:tcPr>
            <w:tcW w:w="4636" w:type="dxa"/>
            <w:tcBorders>
              <w:top w:val="nil"/>
            </w:tcBorders>
            <w:shd w:val="clear" w:color="auto" w:fill="auto"/>
            <w:vAlign w:val="center"/>
          </w:tcPr>
          <w:p w14:paraId="0473AE7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城市驾驶舱卫生分舱</w:t>
            </w:r>
          </w:p>
        </w:tc>
        <w:tc>
          <w:tcPr>
            <w:tcW w:w="350" w:type="dxa"/>
            <w:tcBorders>
              <w:top w:val="nil"/>
            </w:tcBorders>
            <w:vAlign w:val="top"/>
          </w:tcPr>
          <w:p w14:paraId="1669A2BD">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18DAF6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8C5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7D99B7E">
            <w:pPr>
              <w:pStyle w:val="25"/>
              <w:rPr>
                <w:rFonts w:ascii="Times New Roman"/>
                <w:i w:val="0"/>
                <w:iCs w:val="0"/>
                <w:color w:val="auto"/>
                <w:sz w:val="18"/>
              </w:rPr>
            </w:pPr>
          </w:p>
        </w:tc>
        <w:tc>
          <w:tcPr>
            <w:tcW w:w="1001" w:type="dxa"/>
            <w:vMerge w:val="continue"/>
          </w:tcPr>
          <w:p w14:paraId="61C90EC9">
            <w:pPr>
              <w:pStyle w:val="25"/>
              <w:rPr>
                <w:rFonts w:ascii="Times New Roman"/>
                <w:i w:val="0"/>
                <w:iCs w:val="0"/>
                <w:color w:val="auto"/>
                <w:sz w:val="18"/>
              </w:rPr>
            </w:pPr>
          </w:p>
        </w:tc>
        <w:tc>
          <w:tcPr>
            <w:tcW w:w="1623" w:type="dxa"/>
            <w:vMerge w:val="continue"/>
          </w:tcPr>
          <w:p w14:paraId="16196A16">
            <w:pPr>
              <w:pStyle w:val="25"/>
              <w:rPr>
                <w:rFonts w:ascii="Times New Roman"/>
                <w:i w:val="0"/>
                <w:iCs w:val="0"/>
                <w:color w:val="auto"/>
                <w:sz w:val="18"/>
              </w:rPr>
            </w:pPr>
          </w:p>
        </w:tc>
        <w:tc>
          <w:tcPr>
            <w:tcW w:w="4636" w:type="dxa"/>
            <w:tcBorders>
              <w:top w:val="nil"/>
            </w:tcBorders>
            <w:shd w:val="clear" w:color="auto" w:fill="auto"/>
            <w:vAlign w:val="center"/>
          </w:tcPr>
          <w:p w14:paraId="0E9BFB7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我的盐城APP（更换或含第三方对接软件模块）</w:t>
            </w:r>
          </w:p>
        </w:tc>
        <w:tc>
          <w:tcPr>
            <w:tcW w:w="350" w:type="dxa"/>
            <w:tcBorders>
              <w:top w:val="nil"/>
            </w:tcBorders>
            <w:vAlign w:val="top"/>
          </w:tcPr>
          <w:p w14:paraId="0480BAE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4317F2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580CA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2A5789E">
            <w:pPr>
              <w:pStyle w:val="25"/>
              <w:rPr>
                <w:rFonts w:ascii="Times New Roman"/>
                <w:i w:val="0"/>
                <w:iCs w:val="0"/>
                <w:color w:val="auto"/>
                <w:sz w:val="18"/>
              </w:rPr>
            </w:pPr>
          </w:p>
        </w:tc>
        <w:tc>
          <w:tcPr>
            <w:tcW w:w="1001" w:type="dxa"/>
            <w:vMerge w:val="continue"/>
          </w:tcPr>
          <w:p w14:paraId="00016756">
            <w:pPr>
              <w:pStyle w:val="25"/>
              <w:rPr>
                <w:rFonts w:ascii="Times New Roman"/>
                <w:i w:val="0"/>
                <w:iCs w:val="0"/>
                <w:color w:val="auto"/>
                <w:sz w:val="18"/>
              </w:rPr>
            </w:pPr>
          </w:p>
        </w:tc>
        <w:tc>
          <w:tcPr>
            <w:tcW w:w="1623" w:type="dxa"/>
            <w:vMerge w:val="continue"/>
          </w:tcPr>
          <w:p w14:paraId="2376FAD7">
            <w:pPr>
              <w:pStyle w:val="25"/>
              <w:rPr>
                <w:rFonts w:ascii="Times New Roman"/>
                <w:i w:val="0"/>
                <w:iCs w:val="0"/>
                <w:color w:val="auto"/>
                <w:sz w:val="18"/>
              </w:rPr>
            </w:pPr>
          </w:p>
        </w:tc>
        <w:tc>
          <w:tcPr>
            <w:tcW w:w="4636" w:type="dxa"/>
            <w:tcBorders>
              <w:top w:val="nil"/>
            </w:tcBorders>
            <w:shd w:val="clear" w:color="auto" w:fill="auto"/>
            <w:vAlign w:val="center"/>
          </w:tcPr>
          <w:p w14:paraId="3CD51C37">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江苏医保云（更换或含第三方对接软件模块）</w:t>
            </w:r>
          </w:p>
        </w:tc>
        <w:tc>
          <w:tcPr>
            <w:tcW w:w="350" w:type="dxa"/>
            <w:tcBorders>
              <w:top w:val="nil"/>
            </w:tcBorders>
            <w:vAlign w:val="top"/>
          </w:tcPr>
          <w:p w14:paraId="3EDF926F">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2DBD9D1">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6977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F8CA4C2">
            <w:pPr>
              <w:pStyle w:val="25"/>
              <w:rPr>
                <w:rFonts w:ascii="Times New Roman"/>
                <w:i w:val="0"/>
                <w:iCs w:val="0"/>
                <w:color w:val="auto"/>
                <w:sz w:val="18"/>
              </w:rPr>
            </w:pPr>
          </w:p>
        </w:tc>
        <w:tc>
          <w:tcPr>
            <w:tcW w:w="1001" w:type="dxa"/>
            <w:vMerge w:val="continue"/>
          </w:tcPr>
          <w:p w14:paraId="3CA04A7B">
            <w:pPr>
              <w:pStyle w:val="25"/>
              <w:rPr>
                <w:rFonts w:ascii="Times New Roman"/>
                <w:i w:val="0"/>
                <w:iCs w:val="0"/>
                <w:color w:val="auto"/>
                <w:sz w:val="18"/>
              </w:rPr>
            </w:pPr>
          </w:p>
        </w:tc>
        <w:tc>
          <w:tcPr>
            <w:tcW w:w="1623" w:type="dxa"/>
            <w:vMerge w:val="continue"/>
          </w:tcPr>
          <w:p w14:paraId="46A3AC41">
            <w:pPr>
              <w:pStyle w:val="25"/>
              <w:rPr>
                <w:rFonts w:ascii="Times New Roman"/>
                <w:i w:val="0"/>
                <w:iCs w:val="0"/>
                <w:color w:val="auto"/>
                <w:sz w:val="18"/>
              </w:rPr>
            </w:pPr>
          </w:p>
        </w:tc>
        <w:tc>
          <w:tcPr>
            <w:tcW w:w="4636" w:type="dxa"/>
            <w:tcBorders>
              <w:top w:val="nil"/>
            </w:tcBorders>
            <w:shd w:val="clear" w:color="auto" w:fill="auto"/>
            <w:vAlign w:val="center"/>
          </w:tcPr>
          <w:p w14:paraId="2C86F6FE">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电子处方流转</w:t>
            </w:r>
          </w:p>
        </w:tc>
        <w:tc>
          <w:tcPr>
            <w:tcW w:w="350" w:type="dxa"/>
            <w:tcBorders>
              <w:top w:val="nil"/>
            </w:tcBorders>
            <w:vAlign w:val="top"/>
          </w:tcPr>
          <w:p w14:paraId="3D582906">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A3A55F0">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8D4C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095B2AD">
            <w:pPr>
              <w:pStyle w:val="25"/>
              <w:rPr>
                <w:rFonts w:ascii="Times New Roman"/>
                <w:i w:val="0"/>
                <w:iCs w:val="0"/>
                <w:color w:val="auto"/>
                <w:sz w:val="18"/>
              </w:rPr>
            </w:pPr>
          </w:p>
        </w:tc>
        <w:tc>
          <w:tcPr>
            <w:tcW w:w="1001" w:type="dxa"/>
            <w:vMerge w:val="continue"/>
          </w:tcPr>
          <w:p w14:paraId="37625EFB">
            <w:pPr>
              <w:pStyle w:val="25"/>
              <w:rPr>
                <w:rFonts w:ascii="Times New Roman"/>
                <w:i w:val="0"/>
                <w:iCs w:val="0"/>
                <w:color w:val="auto"/>
                <w:sz w:val="18"/>
              </w:rPr>
            </w:pPr>
          </w:p>
        </w:tc>
        <w:tc>
          <w:tcPr>
            <w:tcW w:w="1623" w:type="dxa"/>
            <w:vMerge w:val="continue"/>
          </w:tcPr>
          <w:p w14:paraId="0DE4F420">
            <w:pPr>
              <w:pStyle w:val="25"/>
              <w:rPr>
                <w:rFonts w:ascii="Times New Roman"/>
                <w:i w:val="0"/>
                <w:iCs w:val="0"/>
                <w:color w:val="auto"/>
                <w:sz w:val="18"/>
              </w:rPr>
            </w:pPr>
          </w:p>
        </w:tc>
        <w:tc>
          <w:tcPr>
            <w:tcW w:w="4636" w:type="dxa"/>
            <w:tcBorders>
              <w:top w:val="nil"/>
            </w:tcBorders>
            <w:shd w:val="clear" w:color="auto" w:fill="auto"/>
            <w:vAlign w:val="center"/>
          </w:tcPr>
          <w:p w14:paraId="219476FA">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医保智能监管平台</w:t>
            </w:r>
          </w:p>
        </w:tc>
        <w:tc>
          <w:tcPr>
            <w:tcW w:w="350" w:type="dxa"/>
            <w:tcBorders>
              <w:top w:val="nil"/>
            </w:tcBorders>
            <w:vAlign w:val="top"/>
          </w:tcPr>
          <w:p w14:paraId="4BED43A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341BC2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5BC52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C14E040">
            <w:pPr>
              <w:pStyle w:val="25"/>
              <w:rPr>
                <w:rFonts w:ascii="Times New Roman"/>
                <w:i w:val="0"/>
                <w:iCs w:val="0"/>
                <w:color w:val="auto"/>
                <w:sz w:val="18"/>
              </w:rPr>
            </w:pPr>
          </w:p>
        </w:tc>
        <w:tc>
          <w:tcPr>
            <w:tcW w:w="1001" w:type="dxa"/>
            <w:vMerge w:val="continue"/>
          </w:tcPr>
          <w:p w14:paraId="31108108">
            <w:pPr>
              <w:pStyle w:val="25"/>
              <w:rPr>
                <w:rFonts w:ascii="Times New Roman"/>
                <w:i w:val="0"/>
                <w:iCs w:val="0"/>
                <w:color w:val="auto"/>
                <w:sz w:val="18"/>
              </w:rPr>
            </w:pPr>
          </w:p>
        </w:tc>
        <w:tc>
          <w:tcPr>
            <w:tcW w:w="1623" w:type="dxa"/>
            <w:vMerge w:val="continue"/>
          </w:tcPr>
          <w:p w14:paraId="612F3B7A">
            <w:pPr>
              <w:pStyle w:val="25"/>
              <w:rPr>
                <w:rFonts w:ascii="Times New Roman"/>
                <w:i w:val="0"/>
                <w:iCs w:val="0"/>
                <w:color w:val="auto"/>
                <w:sz w:val="18"/>
              </w:rPr>
            </w:pPr>
          </w:p>
        </w:tc>
        <w:tc>
          <w:tcPr>
            <w:tcW w:w="4636" w:type="dxa"/>
            <w:tcBorders>
              <w:top w:val="nil"/>
            </w:tcBorders>
            <w:shd w:val="clear" w:color="auto" w:fill="auto"/>
            <w:vAlign w:val="center"/>
          </w:tcPr>
          <w:p w14:paraId="1497C4FD">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食源性慢病上报</w:t>
            </w:r>
          </w:p>
        </w:tc>
        <w:tc>
          <w:tcPr>
            <w:tcW w:w="350" w:type="dxa"/>
            <w:tcBorders>
              <w:top w:val="nil"/>
            </w:tcBorders>
            <w:vAlign w:val="top"/>
          </w:tcPr>
          <w:p w14:paraId="787EB155">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6B7CDC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83D6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95A5974">
            <w:pPr>
              <w:pStyle w:val="25"/>
              <w:rPr>
                <w:rFonts w:ascii="Times New Roman"/>
                <w:i w:val="0"/>
                <w:iCs w:val="0"/>
                <w:color w:val="auto"/>
                <w:sz w:val="18"/>
              </w:rPr>
            </w:pPr>
          </w:p>
        </w:tc>
        <w:tc>
          <w:tcPr>
            <w:tcW w:w="1001" w:type="dxa"/>
            <w:vMerge w:val="continue"/>
          </w:tcPr>
          <w:p w14:paraId="707E14DD">
            <w:pPr>
              <w:pStyle w:val="25"/>
              <w:rPr>
                <w:rFonts w:ascii="Times New Roman"/>
                <w:i w:val="0"/>
                <w:iCs w:val="0"/>
                <w:color w:val="auto"/>
                <w:sz w:val="18"/>
              </w:rPr>
            </w:pPr>
          </w:p>
        </w:tc>
        <w:tc>
          <w:tcPr>
            <w:tcW w:w="1623" w:type="dxa"/>
            <w:vMerge w:val="continue"/>
          </w:tcPr>
          <w:p w14:paraId="39754A3C">
            <w:pPr>
              <w:pStyle w:val="25"/>
              <w:rPr>
                <w:rFonts w:ascii="Times New Roman"/>
                <w:i w:val="0"/>
                <w:iCs w:val="0"/>
                <w:color w:val="auto"/>
                <w:sz w:val="18"/>
              </w:rPr>
            </w:pPr>
          </w:p>
        </w:tc>
        <w:tc>
          <w:tcPr>
            <w:tcW w:w="4636" w:type="dxa"/>
            <w:tcBorders>
              <w:top w:val="nil"/>
            </w:tcBorders>
            <w:shd w:val="clear" w:color="auto" w:fill="auto"/>
            <w:vAlign w:val="center"/>
          </w:tcPr>
          <w:p w14:paraId="6C6C98B2">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传染病上报（含国家传染病智能监测预警对接）</w:t>
            </w:r>
          </w:p>
        </w:tc>
        <w:tc>
          <w:tcPr>
            <w:tcW w:w="350" w:type="dxa"/>
            <w:tcBorders>
              <w:top w:val="nil"/>
            </w:tcBorders>
            <w:vAlign w:val="top"/>
          </w:tcPr>
          <w:p w14:paraId="51EF91D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B85E729">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D456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2E4C8D49">
            <w:pPr>
              <w:pStyle w:val="25"/>
              <w:rPr>
                <w:rFonts w:ascii="Times New Roman"/>
                <w:i w:val="0"/>
                <w:iCs w:val="0"/>
                <w:color w:val="auto"/>
                <w:sz w:val="18"/>
              </w:rPr>
            </w:pPr>
          </w:p>
        </w:tc>
        <w:tc>
          <w:tcPr>
            <w:tcW w:w="1001" w:type="dxa"/>
            <w:vMerge w:val="continue"/>
          </w:tcPr>
          <w:p w14:paraId="1B02A8CC">
            <w:pPr>
              <w:pStyle w:val="25"/>
              <w:rPr>
                <w:rFonts w:ascii="Times New Roman"/>
                <w:i w:val="0"/>
                <w:iCs w:val="0"/>
                <w:color w:val="auto"/>
                <w:sz w:val="18"/>
              </w:rPr>
            </w:pPr>
          </w:p>
        </w:tc>
        <w:tc>
          <w:tcPr>
            <w:tcW w:w="1623" w:type="dxa"/>
            <w:vMerge w:val="continue"/>
          </w:tcPr>
          <w:p w14:paraId="5F29D651">
            <w:pPr>
              <w:pStyle w:val="25"/>
              <w:rPr>
                <w:rFonts w:ascii="Times New Roman"/>
                <w:i w:val="0"/>
                <w:iCs w:val="0"/>
                <w:color w:val="auto"/>
                <w:sz w:val="18"/>
              </w:rPr>
            </w:pPr>
          </w:p>
        </w:tc>
        <w:tc>
          <w:tcPr>
            <w:tcW w:w="4636" w:type="dxa"/>
            <w:tcBorders>
              <w:top w:val="nil"/>
            </w:tcBorders>
            <w:shd w:val="clear" w:color="auto" w:fill="auto"/>
            <w:vAlign w:val="center"/>
          </w:tcPr>
          <w:p w14:paraId="471F53FD">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慢性阻塞性肺疾病上报</w:t>
            </w:r>
          </w:p>
        </w:tc>
        <w:tc>
          <w:tcPr>
            <w:tcW w:w="350" w:type="dxa"/>
            <w:tcBorders>
              <w:top w:val="nil"/>
            </w:tcBorders>
            <w:vAlign w:val="top"/>
          </w:tcPr>
          <w:p w14:paraId="49DC5D57">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824BB22">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2694A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5B87CDA">
            <w:pPr>
              <w:pStyle w:val="25"/>
              <w:rPr>
                <w:rFonts w:ascii="Times New Roman"/>
                <w:i w:val="0"/>
                <w:iCs w:val="0"/>
                <w:color w:val="auto"/>
                <w:sz w:val="18"/>
              </w:rPr>
            </w:pPr>
          </w:p>
        </w:tc>
        <w:tc>
          <w:tcPr>
            <w:tcW w:w="1001" w:type="dxa"/>
            <w:vMerge w:val="continue"/>
          </w:tcPr>
          <w:p w14:paraId="2DA90782">
            <w:pPr>
              <w:pStyle w:val="25"/>
              <w:rPr>
                <w:rFonts w:ascii="Times New Roman"/>
                <w:i w:val="0"/>
                <w:iCs w:val="0"/>
                <w:color w:val="auto"/>
                <w:sz w:val="18"/>
              </w:rPr>
            </w:pPr>
          </w:p>
        </w:tc>
        <w:tc>
          <w:tcPr>
            <w:tcW w:w="1623" w:type="dxa"/>
            <w:vMerge w:val="continue"/>
          </w:tcPr>
          <w:p w14:paraId="6B69E0C5">
            <w:pPr>
              <w:pStyle w:val="25"/>
              <w:rPr>
                <w:rFonts w:ascii="Times New Roman"/>
                <w:i w:val="0"/>
                <w:iCs w:val="0"/>
                <w:color w:val="auto"/>
                <w:sz w:val="18"/>
              </w:rPr>
            </w:pPr>
          </w:p>
        </w:tc>
        <w:tc>
          <w:tcPr>
            <w:tcW w:w="4636" w:type="dxa"/>
            <w:tcBorders>
              <w:top w:val="nil"/>
            </w:tcBorders>
            <w:shd w:val="clear" w:color="auto" w:fill="auto"/>
            <w:vAlign w:val="center"/>
          </w:tcPr>
          <w:p w14:paraId="4085AF2D">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死亡医学证明书报告卡</w:t>
            </w:r>
          </w:p>
        </w:tc>
        <w:tc>
          <w:tcPr>
            <w:tcW w:w="350" w:type="dxa"/>
            <w:tcBorders>
              <w:top w:val="nil"/>
            </w:tcBorders>
            <w:vAlign w:val="top"/>
          </w:tcPr>
          <w:p w14:paraId="3CCCEEAE">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90313BF">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8FFC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54E324F">
            <w:pPr>
              <w:pStyle w:val="25"/>
              <w:rPr>
                <w:rFonts w:ascii="Times New Roman"/>
                <w:i w:val="0"/>
                <w:iCs w:val="0"/>
                <w:color w:val="auto"/>
                <w:sz w:val="18"/>
              </w:rPr>
            </w:pPr>
          </w:p>
        </w:tc>
        <w:tc>
          <w:tcPr>
            <w:tcW w:w="1001" w:type="dxa"/>
            <w:vMerge w:val="continue"/>
          </w:tcPr>
          <w:p w14:paraId="189DCE49">
            <w:pPr>
              <w:pStyle w:val="25"/>
              <w:rPr>
                <w:rFonts w:ascii="Times New Roman"/>
                <w:i w:val="0"/>
                <w:iCs w:val="0"/>
                <w:color w:val="auto"/>
                <w:sz w:val="18"/>
              </w:rPr>
            </w:pPr>
          </w:p>
        </w:tc>
        <w:tc>
          <w:tcPr>
            <w:tcW w:w="1623" w:type="dxa"/>
            <w:vMerge w:val="continue"/>
          </w:tcPr>
          <w:p w14:paraId="5636962C">
            <w:pPr>
              <w:pStyle w:val="25"/>
              <w:rPr>
                <w:rFonts w:ascii="Times New Roman"/>
                <w:i w:val="0"/>
                <w:iCs w:val="0"/>
                <w:color w:val="auto"/>
                <w:sz w:val="18"/>
              </w:rPr>
            </w:pPr>
          </w:p>
        </w:tc>
        <w:tc>
          <w:tcPr>
            <w:tcW w:w="4636" w:type="dxa"/>
            <w:tcBorders>
              <w:top w:val="nil"/>
            </w:tcBorders>
            <w:shd w:val="clear" w:color="auto" w:fill="auto"/>
            <w:vAlign w:val="center"/>
          </w:tcPr>
          <w:p w14:paraId="52E6FCA1">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中暑报告卡</w:t>
            </w:r>
          </w:p>
        </w:tc>
        <w:tc>
          <w:tcPr>
            <w:tcW w:w="350" w:type="dxa"/>
            <w:tcBorders>
              <w:top w:val="nil"/>
            </w:tcBorders>
            <w:vAlign w:val="top"/>
          </w:tcPr>
          <w:p w14:paraId="27B2CA65">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4E838E9">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9687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27F0C13">
            <w:pPr>
              <w:pStyle w:val="25"/>
              <w:rPr>
                <w:rFonts w:ascii="Times New Roman"/>
                <w:i w:val="0"/>
                <w:iCs w:val="0"/>
                <w:color w:val="auto"/>
                <w:sz w:val="18"/>
              </w:rPr>
            </w:pPr>
          </w:p>
        </w:tc>
        <w:tc>
          <w:tcPr>
            <w:tcW w:w="1001" w:type="dxa"/>
            <w:vMerge w:val="continue"/>
          </w:tcPr>
          <w:p w14:paraId="0040CEF1">
            <w:pPr>
              <w:pStyle w:val="25"/>
              <w:rPr>
                <w:rFonts w:ascii="Times New Roman"/>
                <w:i w:val="0"/>
                <w:iCs w:val="0"/>
                <w:color w:val="auto"/>
                <w:sz w:val="18"/>
              </w:rPr>
            </w:pPr>
          </w:p>
        </w:tc>
        <w:tc>
          <w:tcPr>
            <w:tcW w:w="1623" w:type="dxa"/>
            <w:vMerge w:val="continue"/>
          </w:tcPr>
          <w:p w14:paraId="7B84AD1F">
            <w:pPr>
              <w:pStyle w:val="25"/>
              <w:rPr>
                <w:rFonts w:ascii="Times New Roman"/>
                <w:i w:val="0"/>
                <w:iCs w:val="0"/>
                <w:color w:val="auto"/>
                <w:sz w:val="18"/>
              </w:rPr>
            </w:pPr>
          </w:p>
        </w:tc>
        <w:tc>
          <w:tcPr>
            <w:tcW w:w="4636" w:type="dxa"/>
            <w:tcBorders>
              <w:top w:val="nil"/>
            </w:tcBorders>
            <w:shd w:val="clear" w:color="auto" w:fill="auto"/>
            <w:vAlign w:val="center"/>
          </w:tcPr>
          <w:p w14:paraId="4F0E76B9">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农药中毒报告卡</w:t>
            </w:r>
          </w:p>
        </w:tc>
        <w:tc>
          <w:tcPr>
            <w:tcW w:w="350" w:type="dxa"/>
            <w:tcBorders>
              <w:top w:val="nil"/>
            </w:tcBorders>
            <w:vAlign w:val="top"/>
          </w:tcPr>
          <w:p w14:paraId="665E1A2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AD8BBC5">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4484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13901E45">
            <w:pPr>
              <w:pStyle w:val="25"/>
              <w:rPr>
                <w:rFonts w:ascii="Times New Roman"/>
                <w:i w:val="0"/>
                <w:iCs w:val="0"/>
                <w:color w:val="auto"/>
                <w:sz w:val="18"/>
              </w:rPr>
            </w:pPr>
          </w:p>
        </w:tc>
        <w:tc>
          <w:tcPr>
            <w:tcW w:w="1001" w:type="dxa"/>
            <w:vMerge w:val="continue"/>
          </w:tcPr>
          <w:p w14:paraId="20BCC525">
            <w:pPr>
              <w:pStyle w:val="25"/>
              <w:rPr>
                <w:rFonts w:ascii="Times New Roman"/>
                <w:i w:val="0"/>
                <w:iCs w:val="0"/>
                <w:color w:val="auto"/>
                <w:sz w:val="18"/>
              </w:rPr>
            </w:pPr>
          </w:p>
        </w:tc>
        <w:tc>
          <w:tcPr>
            <w:tcW w:w="1623" w:type="dxa"/>
            <w:vMerge w:val="continue"/>
          </w:tcPr>
          <w:p w14:paraId="394FD7C3">
            <w:pPr>
              <w:pStyle w:val="25"/>
              <w:rPr>
                <w:rFonts w:ascii="Times New Roman"/>
                <w:i w:val="0"/>
                <w:iCs w:val="0"/>
                <w:color w:val="auto"/>
                <w:sz w:val="18"/>
              </w:rPr>
            </w:pPr>
          </w:p>
        </w:tc>
        <w:tc>
          <w:tcPr>
            <w:tcW w:w="4636" w:type="dxa"/>
            <w:tcBorders>
              <w:top w:val="nil"/>
            </w:tcBorders>
            <w:shd w:val="clear" w:color="auto" w:fill="auto"/>
            <w:vAlign w:val="center"/>
          </w:tcPr>
          <w:p w14:paraId="31889BE2">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慢五病上传</w:t>
            </w:r>
          </w:p>
        </w:tc>
        <w:tc>
          <w:tcPr>
            <w:tcW w:w="350" w:type="dxa"/>
            <w:tcBorders>
              <w:top w:val="nil"/>
            </w:tcBorders>
            <w:vAlign w:val="top"/>
          </w:tcPr>
          <w:p w14:paraId="5FFE5282">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BD1277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BFF6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0D86FD1C">
            <w:pPr>
              <w:pStyle w:val="25"/>
              <w:rPr>
                <w:rFonts w:ascii="Times New Roman"/>
                <w:i w:val="0"/>
                <w:iCs w:val="0"/>
                <w:color w:val="auto"/>
                <w:sz w:val="18"/>
              </w:rPr>
            </w:pPr>
          </w:p>
        </w:tc>
        <w:tc>
          <w:tcPr>
            <w:tcW w:w="1001" w:type="dxa"/>
            <w:vMerge w:val="continue"/>
          </w:tcPr>
          <w:p w14:paraId="6D5C84D9">
            <w:pPr>
              <w:pStyle w:val="25"/>
              <w:rPr>
                <w:rFonts w:ascii="Times New Roman"/>
                <w:i w:val="0"/>
                <w:iCs w:val="0"/>
                <w:color w:val="auto"/>
                <w:sz w:val="18"/>
              </w:rPr>
            </w:pPr>
          </w:p>
        </w:tc>
        <w:tc>
          <w:tcPr>
            <w:tcW w:w="1623" w:type="dxa"/>
            <w:vMerge w:val="continue"/>
          </w:tcPr>
          <w:p w14:paraId="060C80B5">
            <w:pPr>
              <w:pStyle w:val="25"/>
              <w:rPr>
                <w:rFonts w:ascii="Times New Roman"/>
                <w:i w:val="0"/>
                <w:iCs w:val="0"/>
                <w:color w:val="auto"/>
                <w:sz w:val="18"/>
              </w:rPr>
            </w:pPr>
          </w:p>
        </w:tc>
        <w:tc>
          <w:tcPr>
            <w:tcW w:w="4636" w:type="dxa"/>
            <w:tcBorders>
              <w:top w:val="nil"/>
            </w:tcBorders>
            <w:shd w:val="clear" w:color="auto" w:fill="auto"/>
            <w:vAlign w:val="center"/>
          </w:tcPr>
          <w:p w14:paraId="5D07AC4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医保DRG接口</w:t>
            </w:r>
          </w:p>
        </w:tc>
        <w:tc>
          <w:tcPr>
            <w:tcW w:w="350" w:type="dxa"/>
            <w:tcBorders>
              <w:top w:val="nil"/>
            </w:tcBorders>
            <w:vAlign w:val="top"/>
          </w:tcPr>
          <w:p w14:paraId="17326930">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1F01F46">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8AA8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9B84460">
            <w:pPr>
              <w:pStyle w:val="25"/>
              <w:rPr>
                <w:rFonts w:ascii="Times New Roman"/>
                <w:i w:val="0"/>
                <w:iCs w:val="0"/>
                <w:color w:val="auto"/>
                <w:sz w:val="18"/>
              </w:rPr>
            </w:pPr>
          </w:p>
        </w:tc>
        <w:tc>
          <w:tcPr>
            <w:tcW w:w="1001" w:type="dxa"/>
            <w:vMerge w:val="continue"/>
          </w:tcPr>
          <w:p w14:paraId="2BAE16E8">
            <w:pPr>
              <w:pStyle w:val="25"/>
              <w:rPr>
                <w:rFonts w:ascii="Times New Roman"/>
                <w:i w:val="0"/>
                <w:iCs w:val="0"/>
                <w:color w:val="auto"/>
                <w:sz w:val="18"/>
              </w:rPr>
            </w:pPr>
          </w:p>
        </w:tc>
        <w:tc>
          <w:tcPr>
            <w:tcW w:w="1623" w:type="dxa"/>
            <w:vMerge w:val="continue"/>
          </w:tcPr>
          <w:p w14:paraId="3D4850E1">
            <w:pPr>
              <w:pStyle w:val="25"/>
              <w:rPr>
                <w:rFonts w:ascii="Times New Roman"/>
                <w:i w:val="0"/>
                <w:iCs w:val="0"/>
                <w:color w:val="auto"/>
                <w:sz w:val="18"/>
              </w:rPr>
            </w:pPr>
          </w:p>
        </w:tc>
        <w:tc>
          <w:tcPr>
            <w:tcW w:w="4636" w:type="dxa"/>
            <w:tcBorders>
              <w:top w:val="nil"/>
            </w:tcBorders>
            <w:shd w:val="clear" w:color="auto" w:fill="auto"/>
            <w:vAlign w:val="center"/>
          </w:tcPr>
          <w:p w14:paraId="4DF3492C">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电子处方流转</w:t>
            </w:r>
          </w:p>
        </w:tc>
        <w:tc>
          <w:tcPr>
            <w:tcW w:w="350" w:type="dxa"/>
            <w:tcBorders>
              <w:top w:val="nil"/>
            </w:tcBorders>
            <w:vAlign w:val="top"/>
          </w:tcPr>
          <w:p w14:paraId="74CD09FD">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820644C">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C1C6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FB9379C">
            <w:pPr>
              <w:pStyle w:val="25"/>
              <w:rPr>
                <w:rFonts w:ascii="Times New Roman"/>
                <w:i w:val="0"/>
                <w:iCs w:val="0"/>
                <w:color w:val="auto"/>
                <w:sz w:val="18"/>
              </w:rPr>
            </w:pPr>
          </w:p>
        </w:tc>
        <w:tc>
          <w:tcPr>
            <w:tcW w:w="1001" w:type="dxa"/>
            <w:vMerge w:val="continue"/>
          </w:tcPr>
          <w:p w14:paraId="752D82AB">
            <w:pPr>
              <w:pStyle w:val="25"/>
              <w:rPr>
                <w:rFonts w:ascii="Times New Roman"/>
                <w:i w:val="0"/>
                <w:iCs w:val="0"/>
                <w:color w:val="auto"/>
                <w:sz w:val="18"/>
              </w:rPr>
            </w:pPr>
          </w:p>
        </w:tc>
        <w:tc>
          <w:tcPr>
            <w:tcW w:w="1623" w:type="dxa"/>
            <w:vMerge w:val="continue"/>
          </w:tcPr>
          <w:p w14:paraId="191C7CBF">
            <w:pPr>
              <w:pStyle w:val="25"/>
              <w:rPr>
                <w:rFonts w:ascii="Times New Roman"/>
                <w:i w:val="0"/>
                <w:iCs w:val="0"/>
                <w:color w:val="auto"/>
                <w:sz w:val="18"/>
              </w:rPr>
            </w:pPr>
          </w:p>
        </w:tc>
        <w:tc>
          <w:tcPr>
            <w:tcW w:w="4636" w:type="dxa"/>
            <w:tcBorders>
              <w:top w:val="nil"/>
            </w:tcBorders>
            <w:shd w:val="clear" w:color="auto" w:fill="auto"/>
            <w:vAlign w:val="center"/>
          </w:tcPr>
          <w:p w14:paraId="37A805EB">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双通道药品流转</w:t>
            </w:r>
          </w:p>
        </w:tc>
        <w:tc>
          <w:tcPr>
            <w:tcW w:w="350" w:type="dxa"/>
            <w:tcBorders>
              <w:top w:val="nil"/>
            </w:tcBorders>
            <w:vAlign w:val="top"/>
          </w:tcPr>
          <w:p w14:paraId="4BA8D2BB">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23EACF17">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50178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59E0827">
            <w:pPr>
              <w:pStyle w:val="25"/>
              <w:rPr>
                <w:rFonts w:ascii="Times New Roman"/>
                <w:i w:val="0"/>
                <w:iCs w:val="0"/>
                <w:color w:val="auto"/>
                <w:sz w:val="18"/>
              </w:rPr>
            </w:pPr>
          </w:p>
        </w:tc>
        <w:tc>
          <w:tcPr>
            <w:tcW w:w="1001" w:type="dxa"/>
            <w:vMerge w:val="continue"/>
          </w:tcPr>
          <w:p w14:paraId="1480632A">
            <w:pPr>
              <w:pStyle w:val="25"/>
              <w:rPr>
                <w:rFonts w:ascii="Times New Roman"/>
                <w:i w:val="0"/>
                <w:iCs w:val="0"/>
                <w:color w:val="auto"/>
                <w:sz w:val="18"/>
              </w:rPr>
            </w:pPr>
          </w:p>
        </w:tc>
        <w:tc>
          <w:tcPr>
            <w:tcW w:w="1623" w:type="dxa"/>
            <w:vMerge w:val="continue"/>
          </w:tcPr>
          <w:p w14:paraId="6EC6367E">
            <w:pPr>
              <w:pStyle w:val="25"/>
              <w:rPr>
                <w:rFonts w:ascii="Times New Roman"/>
                <w:i w:val="0"/>
                <w:iCs w:val="0"/>
                <w:color w:val="auto"/>
                <w:sz w:val="18"/>
              </w:rPr>
            </w:pPr>
          </w:p>
        </w:tc>
        <w:tc>
          <w:tcPr>
            <w:tcW w:w="4636" w:type="dxa"/>
            <w:tcBorders>
              <w:top w:val="nil"/>
            </w:tcBorders>
            <w:shd w:val="clear" w:color="auto" w:fill="auto"/>
            <w:vAlign w:val="center"/>
          </w:tcPr>
          <w:p w14:paraId="715A7FE6">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医保平台接口（含工伤、计划生育、医保追溯码等）</w:t>
            </w:r>
          </w:p>
        </w:tc>
        <w:tc>
          <w:tcPr>
            <w:tcW w:w="350" w:type="dxa"/>
            <w:tcBorders>
              <w:top w:val="nil"/>
            </w:tcBorders>
            <w:vAlign w:val="top"/>
          </w:tcPr>
          <w:p w14:paraId="7496C9A4">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61CC25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09A1C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7BFDEBF1">
            <w:pPr>
              <w:pStyle w:val="25"/>
              <w:rPr>
                <w:rFonts w:ascii="Times New Roman"/>
                <w:i w:val="0"/>
                <w:iCs w:val="0"/>
                <w:color w:val="auto"/>
                <w:sz w:val="18"/>
              </w:rPr>
            </w:pPr>
          </w:p>
        </w:tc>
        <w:tc>
          <w:tcPr>
            <w:tcW w:w="1001" w:type="dxa"/>
            <w:vMerge w:val="continue"/>
          </w:tcPr>
          <w:p w14:paraId="703A8BAF">
            <w:pPr>
              <w:pStyle w:val="25"/>
              <w:rPr>
                <w:rFonts w:ascii="Times New Roman"/>
                <w:i w:val="0"/>
                <w:iCs w:val="0"/>
                <w:color w:val="auto"/>
                <w:sz w:val="18"/>
              </w:rPr>
            </w:pPr>
          </w:p>
        </w:tc>
        <w:tc>
          <w:tcPr>
            <w:tcW w:w="1623" w:type="dxa"/>
            <w:vMerge w:val="continue"/>
          </w:tcPr>
          <w:p w14:paraId="41CF8489">
            <w:pPr>
              <w:pStyle w:val="25"/>
              <w:rPr>
                <w:rFonts w:ascii="Times New Roman"/>
                <w:i w:val="0"/>
                <w:iCs w:val="0"/>
                <w:color w:val="auto"/>
                <w:sz w:val="18"/>
              </w:rPr>
            </w:pPr>
          </w:p>
        </w:tc>
        <w:tc>
          <w:tcPr>
            <w:tcW w:w="4636" w:type="dxa"/>
            <w:tcBorders>
              <w:top w:val="nil"/>
            </w:tcBorders>
            <w:shd w:val="clear" w:color="auto" w:fill="auto"/>
            <w:vAlign w:val="center"/>
          </w:tcPr>
          <w:p w14:paraId="3516FF84">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血糖监测</w:t>
            </w:r>
          </w:p>
        </w:tc>
        <w:tc>
          <w:tcPr>
            <w:tcW w:w="350" w:type="dxa"/>
            <w:tcBorders>
              <w:top w:val="nil"/>
            </w:tcBorders>
            <w:vAlign w:val="top"/>
          </w:tcPr>
          <w:p w14:paraId="6FEBC9D7">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874B05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09DA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3181476">
            <w:pPr>
              <w:pStyle w:val="25"/>
              <w:rPr>
                <w:rFonts w:ascii="Times New Roman"/>
                <w:i w:val="0"/>
                <w:iCs w:val="0"/>
                <w:color w:val="auto"/>
                <w:sz w:val="18"/>
              </w:rPr>
            </w:pPr>
          </w:p>
        </w:tc>
        <w:tc>
          <w:tcPr>
            <w:tcW w:w="1001" w:type="dxa"/>
            <w:vMerge w:val="continue"/>
          </w:tcPr>
          <w:p w14:paraId="64F01C41">
            <w:pPr>
              <w:pStyle w:val="25"/>
              <w:rPr>
                <w:rFonts w:ascii="Times New Roman"/>
                <w:i w:val="0"/>
                <w:iCs w:val="0"/>
                <w:color w:val="auto"/>
                <w:sz w:val="18"/>
              </w:rPr>
            </w:pPr>
          </w:p>
        </w:tc>
        <w:tc>
          <w:tcPr>
            <w:tcW w:w="1623" w:type="dxa"/>
            <w:vMerge w:val="continue"/>
          </w:tcPr>
          <w:p w14:paraId="4A69B0D0">
            <w:pPr>
              <w:pStyle w:val="25"/>
              <w:rPr>
                <w:rFonts w:ascii="Times New Roman"/>
                <w:i w:val="0"/>
                <w:iCs w:val="0"/>
                <w:color w:val="auto"/>
                <w:sz w:val="18"/>
              </w:rPr>
            </w:pPr>
          </w:p>
        </w:tc>
        <w:tc>
          <w:tcPr>
            <w:tcW w:w="4636" w:type="dxa"/>
            <w:tcBorders>
              <w:top w:val="nil"/>
            </w:tcBorders>
            <w:shd w:val="clear" w:color="auto" w:fill="auto"/>
            <w:vAlign w:val="center"/>
          </w:tcPr>
          <w:p w14:paraId="4EB41944">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自助挂号缴费报告机（含影像、检验）</w:t>
            </w:r>
          </w:p>
        </w:tc>
        <w:tc>
          <w:tcPr>
            <w:tcW w:w="350" w:type="dxa"/>
            <w:tcBorders>
              <w:top w:val="nil"/>
            </w:tcBorders>
            <w:vAlign w:val="top"/>
          </w:tcPr>
          <w:p w14:paraId="1609F9FC">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4838E648">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DE96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8996155">
            <w:pPr>
              <w:pStyle w:val="25"/>
              <w:rPr>
                <w:rFonts w:ascii="Times New Roman"/>
                <w:i w:val="0"/>
                <w:iCs w:val="0"/>
                <w:color w:val="auto"/>
                <w:sz w:val="18"/>
              </w:rPr>
            </w:pPr>
          </w:p>
        </w:tc>
        <w:tc>
          <w:tcPr>
            <w:tcW w:w="1001" w:type="dxa"/>
            <w:vMerge w:val="continue"/>
          </w:tcPr>
          <w:p w14:paraId="5CFD79CD">
            <w:pPr>
              <w:pStyle w:val="25"/>
              <w:rPr>
                <w:rFonts w:ascii="Times New Roman"/>
                <w:i w:val="0"/>
                <w:iCs w:val="0"/>
                <w:color w:val="auto"/>
                <w:sz w:val="18"/>
              </w:rPr>
            </w:pPr>
          </w:p>
        </w:tc>
        <w:tc>
          <w:tcPr>
            <w:tcW w:w="1623" w:type="dxa"/>
            <w:vMerge w:val="continue"/>
          </w:tcPr>
          <w:p w14:paraId="2A60E3A4">
            <w:pPr>
              <w:pStyle w:val="25"/>
              <w:rPr>
                <w:rFonts w:ascii="Times New Roman"/>
                <w:i w:val="0"/>
                <w:iCs w:val="0"/>
                <w:color w:val="auto"/>
                <w:sz w:val="18"/>
              </w:rPr>
            </w:pPr>
          </w:p>
        </w:tc>
        <w:tc>
          <w:tcPr>
            <w:tcW w:w="4636" w:type="dxa"/>
            <w:tcBorders>
              <w:top w:val="nil"/>
            </w:tcBorders>
            <w:shd w:val="clear" w:color="auto" w:fill="auto"/>
            <w:vAlign w:val="center"/>
          </w:tcPr>
          <w:p w14:paraId="7FEF5A91">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县区域健康信息平台对接</w:t>
            </w:r>
          </w:p>
        </w:tc>
        <w:tc>
          <w:tcPr>
            <w:tcW w:w="350" w:type="dxa"/>
            <w:tcBorders>
              <w:top w:val="nil"/>
            </w:tcBorders>
            <w:vAlign w:val="top"/>
          </w:tcPr>
          <w:p w14:paraId="1A1FD427">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265CDF9">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DEB2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0231F4B9">
            <w:pPr>
              <w:pStyle w:val="25"/>
              <w:rPr>
                <w:rFonts w:ascii="Times New Roman"/>
                <w:i w:val="0"/>
                <w:iCs w:val="0"/>
                <w:color w:val="auto"/>
                <w:sz w:val="18"/>
              </w:rPr>
            </w:pPr>
          </w:p>
        </w:tc>
        <w:tc>
          <w:tcPr>
            <w:tcW w:w="1001" w:type="dxa"/>
            <w:vMerge w:val="continue"/>
          </w:tcPr>
          <w:p w14:paraId="48721F91">
            <w:pPr>
              <w:pStyle w:val="25"/>
              <w:rPr>
                <w:rFonts w:ascii="Times New Roman"/>
                <w:i w:val="0"/>
                <w:iCs w:val="0"/>
                <w:color w:val="auto"/>
                <w:sz w:val="18"/>
              </w:rPr>
            </w:pPr>
          </w:p>
        </w:tc>
        <w:tc>
          <w:tcPr>
            <w:tcW w:w="1623" w:type="dxa"/>
            <w:vMerge w:val="continue"/>
          </w:tcPr>
          <w:p w14:paraId="05040D85">
            <w:pPr>
              <w:pStyle w:val="25"/>
              <w:rPr>
                <w:rFonts w:ascii="Times New Roman"/>
                <w:i w:val="0"/>
                <w:iCs w:val="0"/>
                <w:color w:val="auto"/>
                <w:sz w:val="18"/>
              </w:rPr>
            </w:pPr>
          </w:p>
        </w:tc>
        <w:tc>
          <w:tcPr>
            <w:tcW w:w="4636" w:type="dxa"/>
            <w:tcBorders>
              <w:top w:val="nil"/>
            </w:tcBorders>
            <w:shd w:val="clear" w:color="auto" w:fill="auto"/>
            <w:vAlign w:val="center"/>
          </w:tcPr>
          <w:p w14:paraId="4E578338">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银联接口（含数字人民币）</w:t>
            </w:r>
          </w:p>
        </w:tc>
        <w:tc>
          <w:tcPr>
            <w:tcW w:w="350" w:type="dxa"/>
            <w:tcBorders>
              <w:top w:val="nil"/>
            </w:tcBorders>
            <w:vAlign w:val="top"/>
          </w:tcPr>
          <w:p w14:paraId="04DE696D">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7DBA504D">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9148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4494A0E">
            <w:pPr>
              <w:pStyle w:val="25"/>
              <w:rPr>
                <w:rFonts w:ascii="Times New Roman"/>
                <w:i w:val="0"/>
                <w:iCs w:val="0"/>
                <w:color w:val="auto"/>
                <w:sz w:val="18"/>
              </w:rPr>
            </w:pPr>
          </w:p>
        </w:tc>
        <w:tc>
          <w:tcPr>
            <w:tcW w:w="1001" w:type="dxa"/>
            <w:vMerge w:val="continue"/>
          </w:tcPr>
          <w:p w14:paraId="37F3639D">
            <w:pPr>
              <w:pStyle w:val="25"/>
              <w:rPr>
                <w:rFonts w:ascii="Times New Roman"/>
                <w:i w:val="0"/>
                <w:iCs w:val="0"/>
                <w:color w:val="auto"/>
                <w:sz w:val="18"/>
              </w:rPr>
            </w:pPr>
          </w:p>
        </w:tc>
        <w:tc>
          <w:tcPr>
            <w:tcW w:w="1623" w:type="dxa"/>
            <w:vMerge w:val="continue"/>
          </w:tcPr>
          <w:p w14:paraId="51B4C9A6">
            <w:pPr>
              <w:pStyle w:val="25"/>
              <w:rPr>
                <w:rFonts w:ascii="Times New Roman"/>
                <w:i w:val="0"/>
                <w:iCs w:val="0"/>
                <w:color w:val="auto"/>
                <w:sz w:val="18"/>
              </w:rPr>
            </w:pPr>
          </w:p>
        </w:tc>
        <w:tc>
          <w:tcPr>
            <w:tcW w:w="4636" w:type="dxa"/>
            <w:tcBorders>
              <w:top w:val="nil"/>
            </w:tcBorders>
            <w:shd w:val="clear" w:color="auto" w:fill="auto"/>
            <w:vAlign w:val="center"/>
          </w:tcPr>
          <w:p w14:paraId="499D781E">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远程医疗接口</w:t>
            </w:r>
          </w:p>
        </w:tc>
        <w:tc>
          <w:tcPr>
            <w:tcW w:w="350" w:type="dxa"/>
            <w:tcBorders>
              <w:top w:val="nil"/>
            </w:tcBorders>
            <w:vAlign w:val="top"/>
          </w:tcPr>
          <w:p w14:paraId="798B5FFF">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39EFC48">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6CB5B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525D98F4">
            <w:pPr>
              <w:pStyle w:val="25"/>
              <w:rPr>
                <w:rFonts w:ascii="Times New Roman"/>
                <w:i w:val="0"/>
                <w:iCs w:val="0"/>
                <w:color w:val="auto"/>
                <w:sz w:val="18"/>
              </w:rPr>
            </w:pPr>
          </w:p>
        </w:tc>
        <w:tc>
          <w:tcPr>
            <w:tcW w:w="1001" w:type="dxa"/>
            <w:vMerge w:val="continue"/>
          </w:tcPr>
          <w:p w14:paraId="5D3BE2B7">
            <w:pPr>
              <w:pStyle w:val="25"/>
              <w:rPr>
                <w:rFonts w:ascii="Times New Roman"/>
                <w:i w:val="0"/>
                <w:iCs w:val="0"/>
                <w:color w:val="auto"/>
                <w:sz w:val="18"/>
              </w:rPr>
            </w:pPr>
          </w:p>
        </w:tc>
        <w:tc>
          <w:tcPr>
            <w:tcW w:w="1623" w:type="dxa"/>
            <w:vMerge w:val="continue"/>
          </w:tcPr>
          <w:p w14:paraId="03FFB711">
            <w:pPr>
              <w:pStyle w:val="25"/>
              <w:rPr>
                <w:rFonts w:ascii="Times New Roman"/>
                <w:i w:val="0"/>
                <w:iCs w:val="0"/>
                <w:color w:val="auto"/>
                <w:sz w:val="18"/>
              </w:rPr>
            </w:pPr>
          </w:p>
        </w:tc>
        <w:tc>
          <w:tcPr>
            <w:tcW w:w="4636" w:type="dxa"/>
            <w:tcBorders>
              <w:top w:val="nil"/>
            </w:tcBorders>
            <w:shd w:val="clear" w:color="auto" w:fill="auto"/>
            <w:vAlign w:val="center"/>
          </w:tcPr>
          <w:p w14:paraId="172D170C">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离休接口（含第三方对接软件模块）</w:t>
            </w:r>
          </w:p>
        </w:tc>
        <w:tc>
          <w:tcPr>
            <w:tcW w:w="350" w:type="dxa"/>
            <w:tcBorders>
              <w:top w:val="nil"/>
            </w:tcBorders>
            <w:vAlign w:val="top"/>
          </w:tcPr>
          <w:p w14:paraId="19FBE3CE">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661D181F">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78C58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49486F19">
            <w:pPr>
              <w:pStyle w:val="25"/>
              <w:rPr>
                <w:rFonts w:ascii="Times New Roman"/>
                <w:i w:val="0"/>
                <w:iCs w:val="0"/>
                <w:color w:val="auto"/>
                <w:sz w:val="18"/>
              </w:rPr>
            </w:pPr>
          </w:p>
        </w:tc>
        <w:tc>
          <w:tcPr>
            <w:tcW w:w="1001" w:type="dxa"/>
            <w:vMerge w:val="continue"/>
          </w:tcPr>
          <w:p w14:paraId="70DDF56B">
            <w:pPr>
              <w:pStyle w:val="25"/>
              <w:rPr>
                <w:rFonts w:ascii="Times New Roman"/>
                <w:i w:val="0"/>
                <w:iCs w:val="0"/>
                <w:color w:val="auto"/>
                <w:sz w:val="18"/>
              </w:rPr>
            </w:pPr>
          </w:p>
        </w:tc>
        <w:tc>
          <w:tcPr>
            <w:tcW w:w="1623" w:type="dxa"/>
            <w:vMerge w:val="continue"/>
          </w:tcPr>
          <w:p w14:paraId="0E087A5C">
            <w:pPr>
              <w:pStyle w:val="25"/>
              <w:rPr>
                <w:rFonts w:ascii="Times New Roman"/>
                <w:i w:val="0"/>
                <w:iCs w:val="0"/>
                <w:color w:val="auto"/>
                <w:sz w:val="18"/>
              </w:rPr>
            </w:pPr>
          </w:p>
        </w:tc>
        <w:tc>
          <w:tcPr>
            <w:tcW w:w="4636" w:type="dxa"/>
            <w:tcBorders>
              <w:top w:val="nil"/>
            </w:tcBorders>
            <w:shd w:val="clear" w:color="auto" w:fill="auto"/>
            <w:vAlign w:val="center"/>
          </w:tcPr>
          <w:p w14:paraId="41DAA018">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省检验共享平台对接</w:t>
            </w:r>
          </w:p>
        </w:tc>
        <w:tc>
          <w:tcPr>
            <w:tcW w:w="350" w:type="dxa"/>
            <w:tcBorders>
              <w:top w:val="nil"/>
            </w:tcBorders>
            <w:vAlign w:val="top"/>
          </w:tcPr>
          <w:p w14:paraId="026D0FFE">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1FCCED74">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8631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6481A25E">
            <w:pPr>
              <w:pStyle w:val="25"/>
              <w:rPr>
                <w:rFonts w:ascii="Times New Roman"/>
                <w:i w:val="0"/>
                <w:iCs w:val="0"/>
                <w:color w:val="auto"/>
                <w:sz w:val="18"/>
              </w:rPr>
            </w:pPr>
          </w:p>
        </w:tc>
        <w:tc>
          <w:tcPr>
            <w:tcW w:w="1001" w:type="dxa"/>
            <w:vMerge w:val="continue"/>
          </w:tcPr>
          <w:p w14:paraId="18C9FB35">
            <w:pPr>
              <w:pStyle w:val="25"/>
              <w:rPr>
                <w:rFonts w:ascii="Times New Roman"/>
                <w:i w:val="0"/>
                <w:iCs w:val="0"/>
                <w:color w:val="auto"/>
                <w:sz w:val="18"/>
              </w:rPr>
            </w:pPr>
          </w:p>
        </w:tc>
        <w:tc>
          <w:tcPr>
            <w:tcW w:w="1623" w:type="dxa"/>
            <w:vMerge w:val="continue"/>
          </w:tcPr>
          <w:p w14:paraId="3A1F50A6">
            <w:pPr>
              <w:pStyle w:val="25"/>
              <w:rPr>
                <w:rFonts w:ascii="Times New Roman"/>
                <w:i w:val="0"/>
                <w:iCs w:val="0"/>
                <w:color w:val="auto"/>
                <w:sz w:val="18"/>
              </w:rPr>
            </w:pPr>
          </w:p>
        </w:tc>
        <w:tc>
          <w:tcPr>
            <w:tcW w:w="4636" w:type="dxa"/>
            <w:tcBorders>
              <w:top w:val="nil"/>
            </w:tcBorders>
            <w:shd w:val="clear" w:color="auto" w:fill="auto"/>
            <w:vAlign w:val="center"/>
          </w:tcPr>
          <w:p w14:paraId="4725A0E3">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门（急）诊诊疗信息页质量上传</w:t>
            </w:r>
          </w:p>
        </w:tc>
        <w:tc>
          <w:tcPr>
            <w:tcW w:w="350" w:type="dxa"/>
            <w:tcBorders>
              <w:top w:val="nil"/>
            </w:tcBorders>
            <w:vAlign w:val="top"/>
          </w:tcPr>
          <w:p w14:paraId="1174F408">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007F1C10">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1FF21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56" w:type="dxa"/>
            <w:vMerge w:val="continue"/>
          </w:tcPr>
          <w:p w14:paraId="3399C07A">
            <w:pPr>
              <w:pStyle w:val="25"/>
              <w:rPr>
                <w:rFonts w:ascii="Times New Roman"/>
                <w:i w:val="0"/>
                <w:iCs w:val="0"/>
                <w:color w:val="auto"/>
                <w:sz w:val="18"/>
              </w:rPr>
            </w:pPr>
          </w:p>
        </w:tc>
        <w:tc>
          <w:tcPr>
            <w:tcW w:w="1001" w:type="dxa"/>
            <w:vMerge w:val="continue"/>
          </w:tcPr>
          <w:p w14:paraId="0D953E88">
            <w:pPr>
              <w:pStyle w:val="25"/>
              <w:rPr>
                <w:rFonts w:ascii="Times New Roman"/>
                <w:i w:val="0"/>
                <w:iCs w:val="0"/>
                <w:color w:val="auto"/>
                <w:sz w:val="18"/>
              </w:rPr>
            </w:pPr>
          </w:p>
        </w:tc>
        <w:tc>
          <w:tcPr>
            <w:tcW w:w="1623" w:type="dxa"/>
            <w:vMerge w:val="continue"/>
          </w:tcPr>
          <w:p w14:paraId="72E16F8B">
            <w:pPr>
              <w:pStyle w:val="25"/>
              <w:rPr>
                <w:rFonts w:ascii="Times New Roman"/>
                <w:i w:val="0"/>
                <w:iCs w:val="0"/>
                <w:color w:val="auto"/>
                <w:sz w:val="18"/>
              </w:rPr>
            </w:pPr>
          </w:p>
        </w:tc>
        <w:tc>
          <w:tcPr>
            <w:tcW w:w="4636" w:type="dxa"/>
            <w:tcBorders>
              <w:top w:val="nil"/>
            </w:tcBorders>
            <w:shd w:val="clear" w:color="auto" w:fill="auto"/>
            <w:vAlign w:val="bottom"/>
          </w:tcPr>
          <w:p w14:paraId="3EA111CF">
            <w:pPr>
              <w:keepNext w:val="0"/>
              <w:keepLines w:val="0"/>
              <w:widowControl/>
              <w:suppressLineNumbers w:val="0"/>
              <w:spacing w:after="0" w:line="240" w:lineRule="auto"/>
              <w:ind w:left="0" w:leftChars="0" w:firstLine="0" w:firstLineChars="0"/>
              <w:jc w:val="center"/>
              <w:textAlignment w:val="auto"/>
              <w:rPr>
                <w:rFonts w:hint="eastAsia" w:ascii="宋体" w:hAnsi="宋体" w:eastAsia="宋体" w:cs="宋体"/>
                <w:b w:val="0"/>
                <w:bCs w:val="0"/>
                <w:i w:val="0"/>
                <w:iCs w:val="0"/>
                <w:color w:val="auto"/>
                <w:kern w:val="0"/>
                <w:sz w:val="20"/>
                <w:szCs w:val="20"/>
                <w:u w:val="none"/>
                <w:lang w:val="en-US" w:eastAsia="zh-CN" w:bidi="ar-SA"/>
                <w14:ligatures w14:val="none"/>
              </w:rPr>
            </w:pPr>
            <w:r>
              <w:rPr>
                <w:rFonts w:hint="eastAsia" w:ascii="宋体" w:hAnsi="宋体" w:eastAsia="宋体" w:cs="宋体"/>
                <w:b w:val="0"/>
                <w:bCs w:val="0"/>
                <w:i w:val="0"/>
                <w:iCs w:val="0"/>
                <w:color w:val="auto"/>
                <w:kern w:val="0"/>
                <w:sz w:val="20"/>
                <w:szCs w:val="20"/>
                <w:u w:val="none"/>
                <w:lang w:val="en-US" w:eastAsia="zh-CN" w:bidi="ar"/>
                <w14:ligatures w14:val="none"/>
              </w:rPr>
              <w:t>政策性接口及其他接口</w:t>
            </w:r>
          </w:p>
        </w:tc>
        <w:tc>
          <w:tcPr>
            <w:tcW w:w="350" w:type="dxa"/>
            <w:tcBorders>
              <w:top w:val="nil"/>
            </w:tcBorders>
            <w:vAlign w:val="top"/>
          </w:tcPr>
          <w:p w14:paraId="517D8CCA">
            <w:pPr>
              <w:pStyle w:val="25"/>
              <w:spacing w:line="267" w:lineRule="exact"/>
              <w:ind w:right="8" w:rightChars="0"/>
              <w:jc w:val="center"/>
              <w:rPr>
                <w:rFonts w:ascii="Times New Roman"/>
                <w:i w:val="0"/>
                <w:iCs w:val="0"/>
                <w:color w:val="auto"/>
                <w:sz w:val="18"/>
                <w:szCs w:val="18"/>
              </w:rPr>
            </w:pPr>
            <w:r>
              <w:rPr>
                <w:i w:val="0"/>
                <w:iCs w:val="0"/>
                <w:color w:val="auto"/>
                <w:sz w:val="18"/>
                <w:szCs w:val="18"/>
              </w:rPr>
              <w:t>项</w:t>
            </w:r>
          </w:p>
        </w:tc>
        <w:tc>
          <w:tcPr>
            <w:tcW w:w="458" w:type="dxa"/>
            <w:tcBorders>
              <w:top w:val="nil"/>
            </w:tcBorders>
            <w:vAlign w:val="top"/>
          </w:tcPr>
          <w:p w14:paraId="5AD17C1A">
            <w:pPr>
              <w:pStyle w:val="25"/>
              <w:spacing w:line="267" w:lineRule="exact"/>
              <w:ind w:right="98" w:rightChars="0"/>
              <w:jc w:val="right"/>
              <w:rPr>
                <w:rFonts w:ascii="Times New Roman"/>
                <w:i w:val="0"/>
                <w:iCs w:val="0"/>
                <w:color w:val="auto"/>
                <w:sz w:val="18"/>
                <w:szCs w:val="18"/>
              </w:rPr>
            </w:pPr>
            <w:r>
              <w:rPr>
                <w:i w:val="0"/>
                <w:iCs w:val="0"/>
                <w:color w:val="auto"/>
                <w:sz w:val="18"/>
                <w:szCs w:val="18"/>
              </w:rPr>
              <w:t>1</w:t>
            </w:r>
          </w:p>
        </w:tc>
      </w:tr>
      <w:tr w14:paraId="354F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56" w:type="dxa"/>
            <w:vMerge w:val="continue"/>
          </w:tcPr>
          <w:p w14:paraId="508625F6">
            <w:pPr>
              <w:rPr>
                <w:i w:val="0"/>
                <w:iCs w:val="0"/>
                <w:color w:val="auto"/>
                <w:sz w:val="2"/>
                <w:szCs w:val="2"/>
              </w:rPr>
            </w:pPr>
          </w:p>
        </w:tc>
        <w:tc>
          <w:tcPr>
            <w:tcW w:w="1001" w:type="dxa"/>
            <w:vMerge w:val="continue"/>
          </w:tcPr>
          <w:p w14:paraId="5E71849B">
            <w:pPr>
              <w:rPr>
                <w:i w:val="0"/>
                <w:iCs w:val="0"/>
                <w:color w:val="auto"/>
                <w:sz w:val="2"/>
                <w:szCs w:val="2"/>
              </w:rPr>
            </w:pPr>
          </w:p>
        </w:tc>
        <w:tc>
          <w:tcPr>
            <w:tcW w:w="6259" w:type="dxa"/>
            <w:gridSpan w:val="2"/>
          </w:tcPr>
          <w:p w14:paraId="3C9F0C38">
            <w:pPr>
              <w:pStyle w:val="25"/>
              <w:spacing w:before="26"/>
              <w:ind w:left="2000" w:right="1994"/>
              <w:jc w:val="center"/>
              <w:rPr>
                <w:i w:val="0"/>
                <w:iCs w:val="0"/>
                <w:color w:val="auto"/>
                <w:sz w:val="18"/>
              </w:rPr>
            </w:pPr>
            <w:r>
              <w:rPr>
                <w:i w:val="0"/>
                <w:iCs w:val="0"/>
                <w:color w:val="auto"/>
                <w:spacing w:val="-2"/>
                <w:sz w:val="18"/>
              </w:rPr>
              <w:t>离休前置服务开发</w:t>
            </w:r>
          </w:p>
        </w:tc>
        <w:tc>
          <w:tcPr>
            <w:tcW w:w="350" w:type="dxa"/>
          </w:tcPr>
          <w:p w14:paraId="365680E8">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2FA935DD">
            <w:pPr>
              <w:pStyle w:val="25"/>
              <w:spacing w:line="267" w:lineRule="exact"/>
              <w:ind w:right="98"/>
              <w:jc w:val="right"/>
              <w:rPr>
                <w:i w:val="0"/>
                <w:iCs w:val="0"/>
                <w:color w:val="auto"/>
                <w:sz w:val="18"/>
                <w:szCs w:val="18"/>
              </w:rPr>
            </w:pPr>
            <w:r>
              <w:rPr>
                <w:i w:val="0"/>
                <w:iCs w:val="0"/>
                <w:color w:val="auto"/>
                <w:sz w:val="18"/>
                <w:szCs w:val="18"/>
              </w:rPr>
              <w:t>1</w:t>
            </w:r>
          </w:p>
        </w:tc>
      </w:tr>
      <w:tr w14:paraId="71A1B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Pr>
          <w:p w14:paraId="2C754099">
            <w:pPr>
              <w:rPr>
                <w:i w:val="0"/>
                <w:iCs w:val="0"/>
                <w:color w:val="auto"/>
                <w:sz w:val="2"/>
                <w:szCs w:val="2"/>
              </w:rPr>
            </w:pPr>
          </w:p>
        </w:tc>
        <w:tc>
          <w:tcPr>
            <w:tcW w:w="1001" w:type="dxa"/>
            <w:vMerge w:val="continue"/>
          </w:tcPr>
          <w:p w14:paraId="261A2758">
            <w:pPr>
              <w:rPr>
                <w:i w:val="0"/>
                <w:iCs w:val="0"/>
                <w:color w:val="auto"/>
                <w:sz w:val="2"/>
                <w:szCs w:val="2"/>
              </w:rPr>
            </w:pPr>
          </w:p>
        </w:tc>
        <w:tc>
          <w:tcPr>
            <w:tcW w:w="6259" w:type="dxa"/>
            <w:gridSpan w:val="2"/>
          </w:tcPr>
          <w:p w14:paraId="2F00CFC7">
            <w:pPr>
              <w:pStyle w:val="25"/>
              <w:spacing w:before="24"/>
              <w:ind w:left="2004" w:right="1994"/>
              <w:jc w:val="center"/>
              <w:rPr>
                <w:i w:val="0"/>
                <w:iCs w:val="0"/>
                <w:color w:val="auto"/>
                <w:sz w:val="18"/>
              </w:rPr>
            </w:pPr>
            <w:r>
              <w:rPr>
                <w:i w:val="0"/>
                <w:iCs w:val="0"/>
                <w:color w:val="auto"/>
                <w:spacing w:val="-9"/>
                <w:sz w:val="18"/>
              </w:rPr>
              <w:t xml:space="preserve">我的盐城 </w:t>
            </w:r>
            <w:r>
              <w:rPr>
                <w:i w:val="0"/>
                <w:iCs w:val="0"/>
                <w:color w:val="auto"/>
                <w:sz w:val="18"/>
              </w:rPr>
              <w:t>app（业务开发</w:t>
            </w:r>
            <w:r>
              <w:rPr>
                <w:i w:val="0"/>
                <w:iCs w:val="0"/>
                <w:color w:val="auto"/>
                <w:spacing w:val="-10"/>
                <w:sz w:val="18"/>
              </w:rPr>
              <w:t>）</w:t>
            </w:r>
          </w:p>
        </w:tc>
        <w:tc>
          <w:tcPr>
            <w:tcW w:w="350" w:type="dxa"/>
          </w:tcPr>
          <w:p w14:paraId="251EF522">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1D82C2CB">
            <w:pPr>
              <w:pStyle w:val="25"/>
              <w:spacing w:line="265" w:lineRule="exact"/>
              <w:ind w:right="98"/>
              <w:jc w:val="right"/>
              <w:rPr>
                <w:i w:val="0"/>
                <w:iCs w:val="0"/>
                <w:color w:val="auto"/>
                <w:sz w:val="18"/>
                <w:szCs w:val="18"/>
              </w:rPr>
            </w:pPr>
            <w:r>
              <w:rPr>
                <w:i w:val="0"/>
                <w:iCs w:val="0"/>
                <w:color w:val="auto"/>
                <w:sz w:val="18"/>
                <w:szCs w:val="18"/>
              </w:rPr>
              <w:t>1</w:t>
            </w:r>
          </w:p>
        </w:tc>
      </w:tr>
      <w:tr w14:paraId="14C2E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Pr>
          <w:p w14:paraId="2D8A65DD">
            <w:pPr>
              <w:rPr>
                <w:i w:val="0"/>
                <w:iCs w:val="0"/>
                <w:color w:val="auto"/>
                <w:sz w:val="2"/>
                <w:szCs w:val="2"/>
              </w:rPr>
            </w:pPr>
          </w:p>
        </w:tc>
        <w:tc>
          <w:tcPr>
            <w:tcW w:w="1001" w:type="dxa"/>
            <w:vMerge w:val="continue"/>
          </w:tcPr>
          <w:p w14:paraId="75C9BDB7">
            <w:pPr>
              <w:rPr>
                <w:i w:val="0"/>
                <w:iCs w:val="0"/>
                <w:color w:val="auto"/>
                <w:sz w:val="2"/>
                <w:szCs w:val="2"/>
              </w:rPr>
            </w:pPr>
          </w:p>
        </w:tc>
        <w:tc>
          <w:tcPr>
            <w:tcW w:w="6259" w:type="dxa"/>
            <w:gridSpan w:val="2"/>
            <w:vAlign w:val="center"/>
          </w:tcPr>
          <w:p w14:paraId="6A492084">
            <w:pPr>
              <w:pStyle w:val="25"/>
              <w:spacing w:before="26"/>
              <w:ind w:right="1994"/>
              <w:jc w:val="right"/>
              <w:rPr>
                <w:i w:val="0"/>
                <w:iCs w:val="0"/>
                <w:color w:val="auto"/>
                <w:sz w:val="18"/>
              </w:rPr>
            </w:pPr>
            <w:r>
              <w:rPr>
                <w:rFonts w:hint="eastAsia"/>
                <w:i w:val="0"/>
                <w:iCs w:val="0"/>
                <w:color w:val="auto"/>
                <w:spacing w:val="-9"/>
                <w:sz w:val="18"/>
                <w:lang w:val="en-US" w:eastAsia="zh-CN"/>
              </w:rPr>
              <w:t xml:space="preserve">   </w:t>
            </w:r>
            <w:r>
              <w:rPr>
                <w:rFonts w:hint="eastAsia"/>
                <w:i w:val="0"/>
                <w:iCs w:val="0"/>
                <w:color w:val="auto"/>
                <w:spacing w:val="-9"/>
                <w:sz w:val="18"/>
              </w:rPr>
              <w:t>省医保云移动APP小程序（江苏医保云（业务开发））</w:t>
            </w:r>
          </w:p>
        </w:tc>
        <w:tc>
          <w:tcPr>
            <w:tcW w:w="350" w:type="dxa"/>
          </w:tcPr>
          <w:p w14:paraId="38205006">
            <w:pPr>
              <w:pStyle w:val="25"/>
              <w:spacing w:line="266" w:lineRule="exact"/>
              <w:ind w:right="8"/>
              <w:jc w:val="center"/>
              <w:rPr>
                <w:i w:val="0"/>
                <w:iCs w:val="0"/>
                <w:color w:val="auto"/>
                <w:sz w:val="18"/>
                <w:szCs w:val="18"/>
              </w:rPr>
            </w:pPr>
            <w:r>
              <w:rPr>
                <w:i w:val="0"/>
                <w:iCs w:val="0"/>
                <w:color w:val="auto"/>
                <w:sz w:val="18"/>
                <w:szCs w:val="18"/>
              </w:rPr>
              <w:t>项</w:t>
            </w:r>
          </w:p>
        </w:tc>
        <w:tc>
          <w:tcPr>
            <w:tcW w:w="458" w:type="dxa"/>
          </w:tcPr>
          <w:p w14:paraId="4DE733EC">
            <w:pPr>
              <w:pStyle w:val="25"/>
              <w:spacing w:line="266" w:lineRule="exact"/>
              <w:ind w:right="98"/>
              <w:jc w:val="right"/>
              <w:rPr>
                <w:i w:val="0"/>
                <w:iCs w:val="0"/>
                <w:color w:val="auto"/>
                <w:sz w:val="18"/>
                <w:szCs w:val="18"/>
              </w:rPr>
            </w:pPr>
            <w:r>
              <w:rPr>
                <w:i w:val="0"/>
                <w:iCs w:val="0"/>
                <w:color w:val="auto"/>
                <w:sz w:val="18"/>
                <w:szCs w:val="18"/>
              </w:rPr>
              <w:t>1</w:t>
            </w:r>
          </w:p>
        </w:tc>
      </w:tr>
      <w:tr w14:paraId="3D6D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456" w:type="dxa"/>
            <w:vMerge w:val="continue"/>
          </w:tcPr>
          <w:p w14:paraId="6202736F">
            <w:pPr>
              <w:rPr>
                <w:i w:val="0"/>
                <w:iCs w:val="0"/>
                <w:color w:val="auto"/>
                <w:sz w:val="2"/>
                <w:szCs w:val="2"/>
              </w:rPr>
            </w:pPr>
          </w:p>
        </w:tc>
        <w:tc>
          <w:tcPr>
            <w:tcW w:w="1001" w:type="dxa"/>
            <w:vMerge w:val="continue"/>
          </w:tcPr>
          <w:p w14:paraId="50F194DD">
            <w:pPr>
              <w:rPr>
                <w:i w:val="0"/>
                <w:iCs w:val="0"/>
                <w:color w:val="auto"/>
                <w:sz w:val="2"/>
                <w:szCs w:val="2"/>
              </w:rPr>
            </w:pPr>
          </w:p>
        </w:tc>
        <w:tc>
          <w:tcPr>
            <w:tcW w:w="1623" w:type="dxa"/>
          </w:tcPr>
          <w:p w14:paraId="3E082411">
            <w:pPr>
              <w:pStyle w:val="25"/>
              <w:rPr>
                <w:b/>
                <w:i w:val="0"/>
                <w:iCs w:val="0"/>
                <w:color w:val="auto"/>
                <w:sz w:val="18"/>
              </w:rPr>
            </w:pPr>
          </w:p>
          <w:p w14:paraId="68D1E6F3">
            <w:pPr>
              <w:pStyle w:val="25"/>
              <w:rPr>
                <w:b/>
                <w:i w:val="0"/>
                <w:iCs w:val="0"/>
                <w:color w:val="auto"/>
                <w:sz w:val="18"/>
              </w:rPr>
            </w:pPr>
          </w:p>
          <w:p w14:paraId="1FD36E2D">
            <w:pPr>
              <w:pStyle w:val="25"/>
              <w:rPr>
                <w:b/>
                <w:i w:val="0"/>
                <w:iCs w:val="0"/>
                <w:color w:val="auto"/>
                <w:sz w:val="18"/>
              </w:rPr>
            </w:pPr>
          </w:p>
          <w:p w14:paraId="208D8EB8">
            <w:pPr>
              <w:pStyle w:val="25"/>
              <w:spacing w:before="124"/>
              <w:ind w:left="177" w:right="169"/>
              <w:jc w:val="center"/>
              <w:rPr>
                <w:i w:val="0"/>
                <w:iCs w:val="0"/>
                <w:color w:val="auto"/>
                <w:sz w:val="18"/>
              </w:rPr>
            </w:pPr>
            <w:r>
              <w:rPr>
                <w:i w:val="0"/>
                <w:iCs w:val="0"/>
                <w:color w:val="auto"/>
                <w:spacing w:val="-3"/>
                <w:sz w:val="18"/>
              </w:rPr>
              <w:t>接口服务</w:t>
            </w:r>
          </w:p>
        </w:tc>
        <w:tc>
          <w:tcPr>
            <w:tcW w:w="4636" w:type="dxa"/>
          </w:tcPr>
          <w:p w14:paraId="2C3E0106">
            <w:pPr>
              <w:pStyle w:val="25"/>
              <w:spacing w:line="242" w:lineRule="auto"/>
              <w:ind w:left="107" w:right="267"/>
              <w:jc w:val="both"/>
              <w:rPr>
                <w:i w:val="0"/>
                <w:iCs w:val="0"/>
                <w:color w:val="auto"/>
                <w:spacing w:val="-2"/>
                <w:sz w:val="18"/>
                <w:highlight w:val="yellow"/>
              </w:rPr>
            </w:pPr>
            <w:r>
              <w:rPr>
                <w:i w:val="0"/>
                <w:iCs w:val="0"/>
                <w:color w:val="auto"/>
                <w:spacing w:val="-5"/>
                <w:sz w:val="18"/>
                <w:highlight w:val="yellow"/>
              </w:rPr>
              <w:t xml:space="preserve">要求供应商供应的产品所有接口保证 </w:t>
            </w:r>
            <w:r>
              <w:rPr>
                <w:i w:val="0"/>
                <w:iCs w:val="0"/>
                <w:color w:val="auto"/>
                <w:spacing w:val="-4"/>
                <w:sz w:val="18"/>
                <w:highlight w:val="yellow"/>
              </w:rPr>
              <w:t>3</w:t>
            </w:r>
            <w:r>
              <w:rPr>
                <w:i w:val="0"/>
                <w:iCs w:val="0"/>
                <w:color w:val="auto"/>
                <w:spacing w:val="-7"/>
                <w:sz w:val="18"/>
                <w:highlight w:val="yellow"/>
              </w:rPr>
              <w:t xml:space="preserve"> 年使用期内满</w:t>
            </w:r>
            <w:r>
              <w:rPr>
                <w:i w:val="0"/>
                <w:iCs w:val="0"/>
                <w:color w:val="auto"/>
                <w:spacing w:val="-2"/>
                <w:sz w:val="18"/>
                <w:highlight w:val="yellow"/>
              </w:rPr>
              <w:t>足医院业务需求及免费对接（包含接口升级等），维保期内免费升级。</w:t>
            </w:r>
            <w:r>
              <w:rPr>
                <w:rFonts w:hint="eastAsia"/>
                <w:i w:val="0"/>
                <w:iCs w:val="0"/>
                <w:color w:val="FF0000"/>
                <w:spacing w:val="-2"/>
                <w:sz w:val="18"/>
                <w:highlight w:val="yellow"/>
                <w:lang w:val="en-US" w:eastAsia="zh-CN"/>
              </w:rPr>
              <w:t>时间自系统上线通过验收之日起计算，</w:t>
            </w:r>
            <w:r>
              <w:rPr>
                <w:i w:val="0"/>
                <w:iCs w:val="0"/>
                <w:color w:val="auto"/>
                <w:spacing w:val="-2"/>
                <w:sz w:val="18"/>
                <w:highlight w:val="yellow"/>
              </w:rPr>
              <w:t>提供承诺函。</w:t>
            </w:r>
          </w:p>
          <w:p w14:paraId="7AAB7904">
            <w:pPr>
              <w:pStyle w:val="25"/>
              <w:spacing w:before="2" w:line="242" w:lineRule="auto"/>
              <w:ind w:left="107" w:right="270"/>
              <w:jc w:val="both"/>
              <w:rPr>
                <w:i w:val="0"/>
                <w:iCs w:val="0"/>
                <w:color w:val="auto"/>
                <w:sz w:val="18"/>
              </w:rPr>
            </w:pPr>
            <w:r>
              <w:rPr>
                <w:i w:val="0"/>
                <w:iCs w:val="0"/>
                <w:color w:val="auto"/>
                <w:spacing w:val="-2"/>
                <w:sz w:val="18"/>
              </w:rPr>
              <w:t>维保期内免费升级，如后期第三方软件公司需接入或抓取数据，涉及到接口工作量的，工作量不大，乙方不再收取费用，维保期外增加新的接口如确实工作量</w:t>
            </w:r>
            <w:r>
              <w:rPr>
                <w:i w:val="0"/>
                <w:iCs w:val="0"/>
                <w:color w:val="auto"/>
                <w:spacing w:val="-1"/>
                <w:sz w:val="18"/>
              </w:rPr>
              <w:t>较大，可与甲方协商收取一定的费用，院内系统接口</w:t>
            </w:r>
          </w:p>
          <w:p w14:paraId="7E06FBF0">
            <w:pPr>
              <w:pStyle w:val="25"/>
              <w:spacing w:before="1" w:line="213" w:lineRule="exact"/>
              <w:ind w:left="107"/>
              <w:jc w:val="both"/>
              <w:rPr>
                <w:i w:val="0"/>
                <w:iCs w:val="0"/>
                <w:color w:val="auto"/>
                <w:sz w:val="18"/>
              </w:rPr>
            </w:pPr>
            <w:r>
              <w:rPr>
                <w:i w:val="0"/>
                <w:iCs w:val="0"/>
                <w:color w:val="auto"/>
                <w:spacing w:val="-8"/>
                <w:sz w:val="18"/>
              </w:rPr>
              <w:t xml:space="preserve">原则上限价 </w:t>
            </w:r>
            <w:r>
              <w:rPr>
                <w:i w:val="0"/>
                <w:iCs w:val="0"/>
                <w:color w:val="auto"/>
                <w:sz w:val="18"/>
              </w:rPr>
              <w:t>3</w:t>
            </w:r>
            <w:r>
              <w:rPr>
                <w:i w:val="0"/>
                <w:iCs w:val="0"/>
                <w:color w:val="auto"/>
                <w:spacing w:val="-18"/>
                <w:sz w:val="18"/>
              </w:rPr>
              <w:t xml:space="preserve"> 万。</w:t>
            </w:r>
          </w:p>
        </w:tc>
        <w:tc>
          <w:tcPr>
            <w:tcW w:w="350" w:type="dxa"/>
          </w:tcPr>
          <w:p w14:paraId="0F4C9E1F">
            <w:pPr>
              <w:pStyle w:val="25"/>
              <w:rPr>
                <w:b/>
                <w:i w:val="0"/>
                <w:iCs w:val="0"/>
                <w:color w:val="auto"/>
                <w:sz w:val="18"/>
                <w:szCs w:val="18"/>
              </w:rPr>
            </w:pPr>
          </w:p>
          <w:p w14:paraId="21C83D91">
            <w:pPr>
              <w:pStyle w:val="25"/>
              <w:rPr>
                <w:b/>
                <w:i w:val="0"/>
                <w:iCs w:val="0"/>
                <w:color w:val="auto"/>
                <w:sz w:val="18"/>
                <w:szCs w:val="18"/>
              </w:rPr>
            </w:pPr>
          </w:p>
          <w:p w14:paraId="541BBD10">
            <w:pPr>
              <w:pStyle w:val="25"/>
              <w:rPr>
                <w:b/>
                <w:i w:val="0"/>
                <w:iCs w:val="0"/>
                <w:color w:val="auto"/>
                <w:sz w:val="18"/>
                <w:szCs w:val="18"/>
              </w:rPr>
            </w:pPr>
          </w:p>
          <w:p w14:paraId="300B4479">
            <w:pPr>
              <w:pStyle w:val="25"/>
              <w:rPr>
                <w:b/>
                <w:i w:val="0"/>
                <w:iCs w:val="0"/>
                <w:color w:val="auto"/>
                <w:sz w:val="18"/>
                <w:szCs w:val="18"/>
              </w:rPr>
            </w:pPr>
          </w:p>
          <w:p w14:paraId="76AED34F">
            <w:pPr>
              <w:pStyle w:val="25"/>
              <w:rPr>
                <w:b/>
                <w:i w:val="0"/>
                <w:iCs w:val="0"/>
                <w:color w:val="auto"/>
                <w:sz w:val="18"/>
                <w:szCs w:val="18"/>
              </w:rPr>
            </w:pPr>
          </w:p>
          <w:p w14:paraId="779E050F">
            <w:pPr>
              <w:pStyle w:val="25"/>
              <w:spacing w:before="170" w:line="267" w:lineRule="exact"/>
              <w:ind w:right="8"/>
              <w:jc w:val="center"/>
              <w:rPr>
                <w:i w:val="0"/>
                <w:iCs w:val="0"/>
                <w:color w:val="auto"/>
                <w:sz w:val="18"/>
                <w:szCs w:val="18"/>
              </w:rPr>
            </w:pPr>
            <w:r>
              <w:rPr>
                <w:i w:val="0"/>
                <w:iCs w:val="0"/>
                <w:color w:val="auto"/>
                <w:sz w:val="18"/>
                <w:szCs w:val="18"/>
              </w:rPr>
              <w:t>项</w:t>
            </w:r>
          </w:p>
        </w:tc>
        <w:tc>
          <w:tcPr>
            <w:tcW w:w="458" w:type="dxa"/>
          </w:tcPr>
          <w:p w14:paraId="721C01D6">
            <w:pPr>
              <w:pStyle w:val="25"/>
              <w:rPr>
                <w:b/>
                <w:i w:val="0"/>
                <w:iCs w:val="0"/>
                <w:color w:val="auto"/>
                <w:sz w:val="18"/>
                <w:szCs w:val="18"/>
              </w:rPr>
            </w:pPr>
          </w:p>
          <w:p w14:paraId="558EE28A">
            <w:pPr>
              <w:pStyle w:val="25"/>
              <w:rPr>
                <w:b/>
                <w:i w:val="0"/>
                <w:iCs w:val="0"/>
                <w:color w:val="auto"/>
                <w:sz w:val="18"/>
                <w:szCs w:val="18"/>
              </w:rPr>
            </w:pPr>
          </w:p>
          <w:p w14:paraId="338CB1F9">
            <w:pPr>
              <w:pStyle w:val="25"/>
              <w:rPr>
                <w:b/>
                <w:i w:val="0"/>
                <w:iCs w:val="0"/>
                <w:color w:val="auto"/>
                <w:sz w:val="18"/>
                <w:szCs w:val="18"/>
              </w:rPr>
            </w:pPr>
          </w:p>
          <w:p w14:paraId="54B0B4CA">
            <w:pPr>
              <w:pStyle w:val="25"/>
              <w:rPr>
                <w:b/>
                <w:i w:val="0"/>
                <w:iCs w:val="0"/>
                <w:color w:val="auto"/>
                <w:sz w:val="18"/>
                <w:szCs w:val="18"/>
              </w:rPr>
            </w:pPr>
          </w:p>
          <w:p w14:paraId="0C1FFB9E">
            <w:pPr>
              <w:pStyle w:val="25"/>
              <w:rPr>
                <w:b/>
                <w:i w:val="0"/>
                <w:iCs w:val="0"/>
                <w:color w:val="auto"/>
                <w:sz w:val="18"/>
                <w:szCs w:val="18"/>
              </w:rPr>
            </w:pPr>
          </w:p>
          <w:p w14:paraId="3468CD01">
            <w:pPr>
              <w:pStyle w:val="25"/>
              <w:spacing w:before="170" w:line="267" w:lineRule="exact"/>
              <w:ind w:right="98"/>
              <w:jc w:val="right"/>
              <w:rPr>
                <w:i w:val="0"/>
                <w:iCs w:val="0"/>
                <w:color w:val="auto"/>
                <w:sz w:val="18"/>
                <w:szCs w:val="18"/>
              </w:rPr>
            </w:pPr>
            <w:r>
              <w:rPr>
                <w:i w:val="0"/>
                <w:iCs w:val="0"/>
                <w:color w:val="auto"/>
                <w:sz w:val="18"/>
                <w:szCs w:val="18"/>
              </w:rPr>
              <w:t>1</w:t>
            </w:r>
          </w:p>
        </w:tc>
      </w:tr>
      <w:tr w14:paraId="18B5A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restart"/>
          </w:tcPr>
          <w:p w14:paraId="5F8B1896">
            <w:pPr>
              <w:pStyle w:val="25"/>
              <w:rPr>
                <w:b/>
                <w:i w:val="0"/>
                <w:iCs w:val="0"/>
                <w:color w:val="auto"/>
                <w:sz w:val="18"/>
              </w:rPr>
            </w:pPr>
          </w:p>
          <w:p w14:paraId="293A3087">
            <w:pPr>
              <w:pStyle w:val="25"/>
              <w:rPr>
                <w:b/>
                <w:i w:val="0"/>
                <w:iCs w:val="0"/>
                <w:color w:val="auto"/>
                <w:sz w:val="18"/>
              </w:rPr>
            </w:pPr>
          </w:p>
          <w:p w14:paraId="2A342241">
            <w:pPr>
              <w:pStyle w:val="25"/>
              <w:rPr>
                <w:b/>
                <w:i w:val="0"/>
                <w:iCs w:val="0"/>
                <w:color w:val="auto"/>
                <w:sz w:val="18"/>
              </w:rPr>
            </w:pPr>
          </w:p>
          <w:p w14:paraId="262C7FCC">
            <w:pPr>
              <w:pStyle w:val="25"/>
              <w:rPr>
                <w:b/>
                <w:i w:val="0"/>
                <w:iCs w:val="0"/>
                <w:color w:val="auto"/>
                <w:sz w:val="18"/>
              </w:rPr>
            </w:pPr>
          </w:p>
          <w:p w14:paraId="062147B6">
            <w:pPr>
              <w:pStyle w:val="25"/>
              <w:rPr>
                <w:b/>
                <w:i w:val="0"/>
                <w:iCs w:val="0"/>
                <w:color w:val="auto"/>
                <w:sz w:val="18"/>
              </w:rPr>
            </w:pPr>
          </w:p>
          <w:p w14:paraId="24A3D7C4">
            <w:pPr>
              <w:pStyle w:val="25"/>
              <w:rPr>
                <w:b/>
                <w:i w:val="0"/>
                <w:iCs w:val="0"/>
                <w:color w:val="auto"/>
                <w:sz w:val="18"/>
              </w:rPr>
            </w:pPr>
          </w:p>
          <w:p w14:paraId="4D294C4B">
            <w:pPr>
              <w:pStyle w:val="25"/>
              <w:rPr>
                <w:b/>
                <w:i w:val="0"/>
                <w:iCs w:val="0"/>
                <w:color w:val="auto"/>
                <w:sz w:val="18"/>
              </w:rPr>
            </w:pPr>
          </w:p>
          <w:p w14:paraId="62761853">
            <w:pPr>
              <w:pStyle w:val="25"/>
              <w:rPr>
                <w:b/>
                <w:i w:val="0"/>
                <w:iCs w:val="0"/>
                <w:color w:val="auto"/>
                <w:sz w:val="18"/>
              </w:rPr>
            </w:pPr>
          </w:p>
          <w:p w14:paraId="05CE4A14">
            <w:pPr>
              <w:pStyle w:val="25"/>
              <w:rPr>
                <w:b/>
                <w:i w:val="0"/>
                <w:iCs w:val="0"/>
                <w:color w:val="auto"/>
                <w:sz w:val="18"/>
              </w:rPr>
            </w:pPr>
          </w:p>
          <w:p w14:paraId="57DF460C">
            <w:pPr>
              <w:pStyle w:val="25"/>
              <w:rPr>
                <w:b/>
                <w:i w:val="0"/>
                <w:iCs w:val="0"/>
                <w:color w:val="auto"/>
                <w:sz w:val="18"/>
              </w:rPr>
            </w:pPr>
          </w:p>
          <w:p w14:paraId="10E91D81">
            <w:pPr>
              <w:pStyle w:val="25"/>
              <w:rPr>
                <w:b/>
                <w:i w:val="0"/>
                <w:iCs w:val="0"/>
                <w:color w:val="auto"/>
                <w:sz w:val="18"/>
              </w:rPr>
            </w:pPr>
          </w:p>
          <w:p w14:paraId="2FCD22BE">
            <w:pPr>
              <w:pStyle w:val="25"/>
              <w:rPr>
                <w:b/>
                <w:i w:val="0"/>
                <w:iCs w:val="0"/>
                <w:color w:val="auto"/>
                <w:sz w:val="18"/>
              </w:rPr>
            </w:pPr>
          </w:p>
          <w:p w14:paraId="4825D8BE">
            <w:pPr>
              <w:pStyle w:val="25"/>
              <w:rPr>
                <w:b/>
                <w:i w:val="0"/>
                <w:iCs w:val="0"/>
                <w:color w:val="auto"/>
                <w:sz w:val="18"/>
              </w:rPr>
            </w:pPr>
          </w:p>
          <w:p w14:paraId="06364344">
            <w:pPr>
              <w:pStyle w:val="25"/>
              <w:rPr>
                <w:b/>
                <w:i w:val="0"/>
                <w:iCs w:val="0"/>
                <w:color w:val="auto"/>
                <w:sz w:val="18"/>
              </w:rPr>
            </w:pPr>
          </w:p>
          <w:p w14:paraId="598D0DD8">
            <w:pPr>
              <w:pStyle w:val="25"/>
              <w:spacing w:before="7"/>
              <w:rPr>
                <w:b/>
                <w:i w:val="0"/>
                <w:iCs w:val="0"/>
                <w:color w:val="auto"/>
                <w:sz w:val="25"/>
              </w:rPr>
            </w:pPr>
          </w:p>
          <w:p w14:paraId="5E48CD6F">
            <w:pPr>
              <w:pStyle w:val="25"/>
              <w:spacing w:before="1"/>
              <w:ind w:left="8"/>
              <w:jc w:val="center"/>
              <w:rPr>
                <w:i w:val="0"/>
                <w:iCs w:val="0"/>
                <w:color w:val="auto"/>
                <w:sz w:val="18"/>
              </w:rPr>
            </w:pPr>
            <w:r>
              <w:rPr>
                <w:i w:val="0"/>
                <w:iCs w:val="0"/>
                <w:color w:val="auto"/>
                <w:sz w:val="18"/>
              </w:rPr>
              <w:t>9</w:t>
            </w:r>
          </w:p>
        </w:tc>
        <w:tc>
          <w:tcPr>
            <w:tcW w:w="1001" w:type="dxa"/>
            <w:vMerge w:val="restart"/>
          </w:tcPr>
          <w:p w14:paraId="3E6F6D4D">
            <w:pPr>
              <w:pStyle w:val="25"/>
              <w:rPr>
                <w:b/>
                <w:i w:val="0"/>
                <w:iCs w:val="0"/>
                <w:color w:val="auto"/>
                <w:sz w:val="18"/>
              </w:rPr>
            </w:pPr>
          </w:p>
          <w:p w14:paraId="468E21E6">
            <w:pPr>
              <w:pStyle w:val="25"/>
              <w:rPr>
                <w:b/>
                <w:i w:val="0"/>
                <w:iCs w:val="0"/>
                <w:color w:val="auto"/>
                <w:sz w:val="18"/>
              </w:rPr>
            </w:pPr>
          </w:p>
          <w:p w14:paraId="05055B88">
            <w:pPr>
              <w:pStyle w:val="25"/>
              <w:rPr>
                <w:b/>
                <w:i w:val="0"/>
                <w:iCs w:val="0"/>
                <w:color w:val="auto"/>
                <w:sz w:val="18"/>
              </w:rPr>
            </w:pPr>
          </w:p>
          <w:p w14:paraId="7018B39D">
            <w:pPr>
              <w:pStyle w:val="25"/>
              <w:rPr>
                <w:b/>
                <w:i w:val="0"/>
                <w:iCs w:val="0"/>
                <w:color w:val="auto"/>
                <w:sz w:val="18"/>
              </w:rPr>
            </w:pPr>
          </w:p>
          <w:p w14:paraId="34EB3090">
            <w:pPr>
              <w:pStyle w:val="25"/>
              <w:rPr>
                <w:b/>
                <w:i w:val="0"/>
                <w:iCs w:val="0"/>
                <w:color w:val="auto"/>
                <w:sz w:val="18"/>
              </w:rPr>
            </w:pPr>
          </w:p>
          <w:p w14:paraId="0DBDF719">
            <w:pPr>
              <w:pStyle w:val="25"/>
              <w:rPr>
                <w:b/>
                <w:i w:val="0"/>
                <w:iCs w:val="0"/>
                <w:color w:val="auto"/>
                <w:sz w:val="18"/>
              </w:rPr>
            </w:pPr>
          </w:p>
          <w:p w14:paraId="1B9103AC">
            <w:pPr>
              <w:pStyle w:val="25"/>
              <w:rPr>
                <w:b/>
                <w:i w:val="0"/>
                <w:iCs w:val="0"/>
                <w:color w:val="auto"/>
                <w:sz w:val="18"/>
              </w:rPr>
            </w:pPr>
          </w:p>
          <w:p w14:paraId="3ED904B5">
            <w:pPr>
              <w:pStyle w:val="25"/>
              <w:rPr>
                <w:b/>
                <w:i w:val="0"/>
                <w:iCs w:val="0"/>
                <w:color w:val="auto"/>
                <w:sz w:val="18"/>
              </w:rPr>
            </w:pPr>
          </w:p>
          <w:p w14:paraId="6F15C020">
            <w:pPr>
              <w:pStyle w:val="25"/>
              <w:rPr>
                <w:b/>
                <w:i w:val="0"/>
                <w:iCs w:val="0"/>
                <w:color w:val="auto"/>
                <w:sz w:val="18"/>
              </w:rPr>
            </w:pPr>
          </w:p>
          <w:p w14:paraId="176C7AC6">
            <w:pPr>
              <w:pStyle w:val="25"/>
              <w:rPr>
                <w:b/>
                <w:i w:val="0"/>
                <w:iCs w:val="0"/>
                <w:color w:val="auto"/>
                <w:sz w:val="18"/>
              </w:rPr>
            </w:pPr>
          </w:p>
          <w:p w14:paraId="4577C679">
            <w:pPr>
              <w:pStyle w:val="25"/>
              <w:rPr>
                <w:b/>
                <w:i w:val="0"/>
                <w:iCs w:val="0"/>
                <w:color w:val="auto"/>
                <w:sz w:val="18"/>
              </w:rPr>
            </w:pPr>
          </w:p>
          <w:p w14:paraId="30D1E59E">
            <w:pPr>
              <w:pStyle w:val="25"/>
              <w:rPr>
                <w:b/>
                <w:i w:val="0"/>
                <w:iCs w:val="0"/>
                <w:color w:val="auto"/>
                <w:sz w:val="18"/>
              </w:rPr>
            </w:pPr>
          </w:p>
          <w:p w14:paraId="08240619">
            <w:pPr>
              <w:pStyle w:val="25"/>
              <w:rPr>
                <w:b/>
                <w:i w:val="0"/>
                <w:iCs w:val="0"/>
                <w:color w:val="auto"/>
                <w:sz w:val="18"/>
              </w:rPr>
            </w:pPr>
          </w:p>
          <w:p w14:paraId="7D04042F">
            <w:pPr>
              <w:pStyle w:val="25"/>
              <w:rPr>
                <w:b/>
                <w:i w:val="0"/>
                <w:iCs w:val="0"/>
                <w:color w:val="auto"/>
                <w:sz w:val="18"/>
              </w:rPr>
            </w:pPr>
          </w:p>
          <w:p w14:paraId="30D96A1C">
            <w:pPr>
              <w:pStyle w:val="25"/>
              <w:spacing w:before="7"/>
              <w:rPr>
                <w:b/>
                <w:i w:val="0"/>
                <w:iCs w:val="0"/>
                <w:color w:val="auto"/>
                <w:sz w:val="25"/>
              </w:rPr>
            </w:pPr>
          </w:p>
          <w:p w14:paraId="557902E4">
            <w:pPr>
              <w:pStyle w:val="25"/>
              <w:spacing w:before="1"/>
              <w:ind w:left="138"/>
              <w:rPr>
                <w:i w:val="0"/>
                <w:iCs w:val="0"/>
                <w:color w:val="auto"/>
                <w:sz w:val="18"/>
              </w:rPr>
            </w:pPr>
            <w:r>
              <w:rPr>
                <w:i w:val="0"/>
                <w:iCs w:val="0"/>
                <w:color w:val="auto"/>
                <w:spacing w:val="-3"/>
                <w:sz w:val="18"/>
              </w:rPr>
              <w:t>软件服务</w:t>
            </w:r>
          </w:p>
        </w:tc>
        <w:tc>
          <w:tcPr>
            <w:tcW w:w="1623" w:type="dxa"/>
          </w:tcPr>
          <w:p w14:paraId="287575AE">
            <w:pPr>
              <w:pStyle w:val="25"/>
              <w:spacing w:before="117"/>
              <w:ind w:left="177" w:right="169"/>
              <w:jc w:val="center"/>
              <w:rPr>
                <w:i w:val="0"/>
                <w:iCs w:val="0"/>
                <w:color w:val="auto"/>
                <w:sz w:val="18"/>
              </w:rPr>
            </w:pPr>
            <w:r>
              <w:rPr>
                <w:i w:val="0"/>
                <w:iCs w:val="0"/>
                <w:color w:val="auto"/>
                <w:spacing w:val="-3"/>
                <w:sz w:val="18"/>
              </w:rPr>
              <w:t>驻场服务</w:t>
            </w:r>
          </w:p>
        </w:tc>
        <w:tc>
          <w:tcPr>
            <w:tcW w:w="4636" w:type="dxa"/>
          </w:tcPr>
          <w:p w14:paraId="57F73C54">
            <w:pPr>
              <w:pStyle w:val="25"/>
              <w:spacing w:before="2" w:line="215" w:lineRule="exact"/>
              <w:ind w:left="107"/>
              <w:rPr>
                <w:i w:val="0"/>
                <w:iCs w:val="0"/>
                <w:color w:val="auto"/>
                <w:sz w:val="18"/>
              </w:rPr>
            </w:pPr>
            <w:r>
              <w:rPr>
                <w:rFonts w:hint="eastAsia"/>
                <w:i w:val="0"/>
                <w:iCs w:val="0"/>
                <w:color w:val="auto"/>
                <w:spacing w:val="-4"/>
                <w:sz w:val="18"/>
                <w:highlight w:val="yellow"/>
              </w:rPr>
              <w:t>验收合格后要求供应商提供</w:t>
            </w:r>
            <w:r>
              <w:rPr>
                <w:i w:val="0"/>
                <w:iCs w:val="0"/>
                <w:color w:val="auto"/>
                <w:spacing w:val="-4"/>
                <w:sz w:val="18"/>
                <w:highlight w:val="yellow"/>
              </w:rPr>
              <w:t>3名医院驻场人员进行驻场技术支撑服务，服务期3年。提供承诺函。</w:t>
            </w:r>
          </w:p>
        </w:tc>
        <w:tc>
          <w:tcPr>
            <w:tcW w:w="350" w:type="dxa"/>
          </w:tcPr>
          <w:p w14:paraId="228F5572">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3E3DBB22">
            <w:pPr>
              <w:pStyle w:val="25"/>
              <w:spacing w:before="180" w:line="267" w:lineRule="exact"/>
              <w:ind w:right="98"/>
              <w:jc w:val="right"/>
              <w:rPr>
                <w:i w:val="0"/>
                <w:iCs w:val="0"/>
                <w:color w:val="auto"/>
                <w:sz w:val="18"/>
                <w:szCs w:val="18"/>
              </w:rPr>
            </w:pPr>
            <w:r>
              <w:rPr>
                <w:i w:val="0"/>
                <w:iCs w:val="0"/>
                <w:color w:val="auto"/>
                <w:sz w:val="18"/>
                <w:szCs w:val="18"/>
              </w:rPr>
              <w:t>1</w:t>
            </w:r>
          </w:p>
        </w:tc>
      </w:tr>
      <w:tr w14:paraId="0B49B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456" w:type="dxa"/>
            <w:vMerge w:val="continue"/>
            <w:tcBorders>
              <w:top w:val="nil"/>
            </w:tcBorders>
          </w:tcPr>
          <w:p w14:paraId="124F966C">
            <w:pPr>
              <w:rPr>
                <w:i w:val="0"/>
                <w:iCs w:val="0"/>
                <w:color w:val="auto"/>
                <w:sz w:val="2"/>
                <w:szCs w:val="2"/>
              </w:rPr>
            </w:pPr>
          </w:p>
        </w:tc>
        <w:tc>
          <w:tcPr>
            <w:tcW w:w="1001" w:type="dxa"/>
            <w:vMerge w:val="continue"/>
            <w:tcBorders>
              <w:top w:val="nil"/>
            </w:tcBorders>
          </w:tcPr>
          <w:p w14:paraId="42B44E31">
            <w:pPr>
              <w:rPr>
                <w:i w:val="0"/>
                <w:iCs w:val="0"/>
                <w:color w:val="auto"/>
                <w:sz w:val="2"/>
                <w:szCs w:val="2"/>
              </w:rPr>
            </w:pPr>
          </w:p>
        </w:tc>
        <w:tc>
          <w:tcPr>
            <w:tcW w:w="1623" w:type="dxa"/>
          </w:tcPr>
          <w:p w14:paraId="45202274">
            <w:pPr>
              <w:pStyle w:val="25"/>
              <w:rPr>
                <w:b/>
                <w:i w:val="0"/>
                <w:iCs w:val="0"/>
                <w:color w:val="auto"/>
                <w:sz w:val="18"/>
              </w:rPr>
            </w:pPr>
          </w:p>
          <w:p w14:paraId="719D6D79">
            <w:pPr>
              <w:pStyle w:val="25"/>
              <w:rPr>
                <w:b/>
                <w:i w:val="0"/>
                <w:iCs w:val="0"/>
                <w:color w:val="auto"/>
                <w:sz w:val="18"/>
              </w:rPr>
            </w:pPr>
          </w:p>
          <w:p w14:paraId="1B04C566">
            <w:pPr>
              <w:pStyle w:val="25"/>
              <w:spacing w:before="121"/>
              <w:ind w:left="177" w:right="169"/>
              <w:jc w:val="center"/>
              <w:rPr>
                <w:i w:val="0"/>
                <w:iCs w:val="0"/>
                <w:color w:val="auto"/>
                <w:sz w:val="18"/>
              </w:rPr>
            </w:pPr>
            <w:r>
              <w:rPr>
                <w:i w:val="0"/>
                <w:iCs w:val="0"/>
                <w:color w:val="auto"/>
                <w:spacing w:val="-2"/>
                <w:sz w:val="18"/>
              </w:rPr>
              <w:t>软件升级服务</w:t>
            </w:r>
          </w:p>
        </w:tc>
        <w:tc>
          <w:tcPr>
            <w:tcW w:w="4636" w:type="dxa"/>
          </w:tcPr>
          <w:p w14:paraId="1EE2ED60">
            <w:pPr>
              <w:pStyle w:val="25"/>
              <w:ind w:left="107"/>
              <w:rPr>
                <w:i w:val="0"/>
                <w:iCs w:val="0"/>
                <w:color w:val="auto"/>
                <w:sz w:val="18"/>
              </w:rPr>
            </w:pPr>
            <w:r>
              <w:rPr>
                <w:i w:val="0"/>
                <w:iCs w:val="0"/>
                <w:color w:val="auto"/>
                <w:spacing w:val="-3"/>
                <w:sz w:val="18"/>
              </w:rPr>
              <w:t xml:space="preserve">要求中标单位提供最新版本的标准产品，且在 </w:t>
            </w:r>
            <w:r>
              <w:rPr>
                <w:i w:val="0"/>
                <w:iCs w:val="0"/>
                <w:color w:val="auto"/>
                <w:sz w:val="18"/>
              </w:rPr>
              <w:t>3</w:t>
            </w:r>
            <w:r>
              <w:rPr>
                <w:i w:val="0"/>
                <w:iCs w:val="0"/>
                <w:color w:val="auto"/>
                <w:spacing w:val="-18"/>
                <w:sz w:val="18"/>
              </w:rPr>
              <w:t xml:space="preserve"> 年内</w:t>
            </w:r>
          </w:p>
          <w:p w14:paraId="112FEFFA">
            <w:pPr>
              <w:pStyle w:val="25"/>
              <w:spacing w:before="2" w:line="242" w:lineRule="auto"/>
              <w:ind w:left="107" w:right="270"/>
              <w:rPr>
                <w:i w:val="0"/>
                <w:iCs w:val="0"/>
                <w:color w:val="auto"/>
                <w:sz w:val="18"/>
              </w:rPr>
            </w:pPr>
            <w:r>
              <w:rPr>
                <w:i w:val="0"/>
                <w:iCs w:val="0"/>
                <w:color w:val="auto"/>
                <w:spacing w:val="-6"/>
                <w:sz w:val="18"/>
              </w:rPr>
              <w:t xml:space="preserve">免费升级，若采购人 </w:t>
            </w:r>
            <w:r>
              <w:rPr>
                <w:i w:val="0"/>
                <w:iCs w:val="0"/>
                <w:color w:val="auto"/>
                <w:spacing w:val="-2"/>
                <w:sz w:val="18"/>
              </w:rPr>
              <w:t>3</w:t>
            </w:r>
            <w:r>
              <w:rPr>
                <w:i w:val="0"/>
                <w:iCs w:val="0"/>
                <w:color w:val="auto"/>
                <w:spacing w:val="-9"/>
                <w:sz w:val="18"/>
              </w:rPr>
              <w:t xml:space="preserve"> 年使用期后对软件有新的功能</w:t>
            </w:r>
            <w:r>
              <w:rPr>
                <w:i w:val="0"/>
                <w:iCs w:val="0"/>
                <w:color w:val="auto"/>
                <w:spacing w:val="-2"/>
                <w:sz w:val="18"/>
              </w:rPr>
              <w:t>需求，费用另行商议。</w:t>
            </w:r>
          </w:p>
          <w:p w14:paraId="13599186">
            <w:pPr>
              <w:pStyle w:val="25"/>
              <w:spacing w:line="213" w:lineRule="exact"/>
              <w:ind w:left="107"/>
              <w:rPr>
                <w:i w:val="0"/>
                <w:iCs w:val="0"/>
                <w:color w:val="auto"/>
                <w:sz w:val="18"/>
              </w:rPr>
            </w:pPr>
            <w:r>
              <w:rPr>
                <w:rFonts w:hint="eastAsia"/>
                <w:i w:val="0"/>
                <w:iCs w:val="0"/>
                <w:color w:val="auto"/>
                <w:spacing w:val="-2"/>
                <w:sz w:val="18"/>
                <w:highlight w:val="yellow"/>
              </w:rPr>
              <w:t>要求供应商供应的产品需满足 7*24小时质保服务，要求故障 1小时内响应、24 小时内处理。提供承诺函。</w:t>
            </w:r>
          </w:p>
        </w:tc>
        <w:tc>
          <w:tcPr>
            <w:tcW w:w="350" w:type="dxa"/>
          </w:tcPr>
          <w:p w14:paraId="61FEABEC">
            <w:pPr>
              <w:pStyle w:val="25"/>
              <w:rPr>
                <w:b/>
                <w:i w:val="0"/>
                <w:iCs w:val="0"/>
                <w:color w:val="auto"/>
                <w:sz w:val="18"/>
                <w:szCs w:val="18"/>
              </w:rPr>
            </w:pPr>
          </w:p>
          <w:p w14:paraId="4A6A4D2C">
            <w:pPr>
              <w:pStyle w:val="25"/>
              <w:rPr>
                <w:b/>
                <w:i w:val="0"/>
                <w:iCs w:val="0"/>
                <w:color w:val="auto"/>
                <w:sz w:val="18"/>
                <w:szCs w:val="18"/>
              </w:rPr>
            </w:pPr>
          </w:p>
          <w:p w14:paraId="00D2EE7B">
            <w:pPr>
              <w:pStyle w:val="25"/>
              <w:rPr>
                <w:b/>
                <w:i w:val="0"/>
                <w:iCs w:val="0"/>
                <w:color w:val="auto"/>
                <w:sz w:val="18"/>
                <w:szCs w:val="18"/>
              </w:rPr>
            </w:pPr>
          </w:p>
          <w:p w14:paraId="4B6CD5EE">
            <w:pPr>
              <w:pStyle w:val="25"/>
              <w:spacing w:before="10"/>
              <w:rPr>
                <w:b/>
                <w:i w:val="0"/>
                <w:iCs w:val="0"/>
                <w:color w:val="auto"/>
                <w:sz w:val="18"/>
                <w:szCs w:val="18"/>
              </w:rPr>
            </w:pPr>
          </w:p>
          <w:p w14:paraId="3F1B995D">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3C28A200">
            <w:pPr>
              <w:pStyle w:val="25"/>
              <w:rPr>
                <w:b/>
                <w:i w:val="0"/>
                <w:iCs w:val="0"/>
                <w:color w:val="auto"/>
                <w:sz w:val="18"/>
                <w:szCs w:val="18"/>
              </w:rPr>
            </w:pPr>
          </w:p>
          <w:p w14:paraId="5BF1E6BF">
            <w:pPr>
              <w:pStyle w:val="25"/>
              <w:rPr>
                <w:b/>
                <w:i w:val="0"/>
                <w:iCs w:val="0"/>
                <w:color w:val="auto"/>
                <w:sz w:val="18"/>
                <w:szCs w:val="18"/>
              </w:rPr>
            </w:pPr>
          </w:p>
          <w:p w14:paraId="1D4E90B9">
            <w:pPr>
              <w:pStyle w:val="25"/>
              <w:rPr>
                <w:b/>
                <w:i w:val="0"/>
                <w:iCs w:val="0"/>
                <w:color w:val="auto"/>
                <w:sz w:val="18"/>
                <w:szCs w:val="18"/>
              </w:rPr>
            </w:pPr>
          </w:p>
          <w:p w14:paraId="68049CC9">
            <w:pPr>
              <w:pStyle w:val="25"/>
              <w:spacing w:before="10"/>
              <w:rPr>
                <w:b/>
                <w:i w:val="0"/>
                <w:iCs w:val="0"/>
                <w:color w:val="auto"/>
                <w:sz w:val="18"/>
                <w:szCs w:val="18"/>
              </w:rPr>
            </w:pPr>
          </w:p>
          <w:p w14:paraId="1DC3A5F7">
            <w:pPr>
              <w:pStyle w:val="25"/>
              <w:spacing w:line="267" w:lineRule="exact"/>
              <w:ind w:right="98"/>
              <w:jc w:val="right"/>
              <w:rPr>
                <w:i w:val="0"/>
                <w:iCs w:val="0"/>
                <w:color w:val="auto"/>
                <w:sz w:val="18"/>
                <w:szCs w:val="18"/>
              </w:rPr>
            </w:pPr>
            <w:r>
              <w:rPr>
                <w:i w:val="0"/>
                <w:iCs w:val="0"/>
                <w:color w:val="auto"/>
                <w:sz w:val="18"/>
                <w:szCs w:val="18"/>
              </w:rPr>
              <w:t>1</w:t>
            </w:r>
          </w:p>
        </w:tc>
      </w:tr>
      <w:tr w14:paraId="4EC54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continue"/>
            <w:tcBorders>
              <w:top w:val="nil"/>
            </w:tcBorders>
          </w:tcPr>
          <w:p w14:paraId="061D0E4B">
            <w:pPr>
              <w:rPr>
                <w:i w:val="0"/>
                <w:iCs w:val="0"/>
                <w:color w:val="auto"/>
                <w:sz w:val="2"/>
                <w:szCs w:val="2"/>
              </w:rPr>
            </w:pPr>
          </w:p>
        </w:tc>
        <w:tc>
          <w:tcPr>
            <w:tcW w:w="1001" w:type="dxa"/>
            <w:vMerge w:val="continue"/>
            <w:tcBorders>
              <w:top w:val="nil"/>
            </w:tcBorders>
          </w:tcPr>
          <w:p w14:paraId="5D90FEB3">
            <w:pPr>
              <w:rPr>
                <w:i w:val="0"/>
                <w:iCs w:val="0"/>
                <w:color w:val="auto"/>
                <w:sz w:val="2"/>
                <w:szCs w:val="2"/>
              </w:rPr>
            </w:pPr>
          </w:p>
        </w:tc>
        <w:tc>
          <w:tcPr>
            <w:tcW w:w="1623" w:type="dxa"/>
          </w:tcPr>
          <w:p w14:paraId="0D75410E">
            <w:pPr>
              <w:pStyle w:val="25"/>
              <w:spacing w:before="117"/>
              <w:ind w:left="177" w:right="169"/>
              <w:jc w:val="center"/>
              <w:rPr>
                <w:i w:val="0"/>
                <w:iCs w:val="0"/>
                <w:color w:val="auto"/>
                <w:sz w:val="18"/>
              </w:rPr>
            </w:pPr>
            <w:r>
              <w:rPr>
                <w:i w:val="0"/>
                <w:iCs w:val="0"/>
                <w:color w:val="auto"/>
                <w:spacing w:val="-3"/>
                <w:sz w:val="18"/>
              </w:rPr>
              <w:t>数据服务</w:t>
            </w:r>
          </w:p>
        </w:tc>
        <w:tc>
          <w:tcPr>
            <w:tcW w:w="4636" w:type="dxa"/>
          </w:tcPr>
          <w:p w14:paraId="7AF4A8A5">
            <w:pPr>
              <w:pStyle w:val="25"/>
              <w:spacing w:line="230" w:lineRule="atLeast"/>
              <w:ind w:left="107" w:right="270"/>
              <w:rPr>
                <w:i w:val="0"/>
                <w:iCs w:val="0"/>
                <w:color w:val="auto"/>
                <w:sz w:val="18"/>
              </w:rPr>
            </w:pPr>
            <w:r>
              <w:rPr>
                <w:i w:val="0"/>
                <w:iCs w:val="0"/>
                <w:color w:val="auto"/>
                <w:spacing w:val="-2"/>
                <w:sz w:val="18"/>
                <w:highlight w:val="yellow"/>
              </w:rPr>
              <w:t>对过渡期原系统维护及历史数据归档导入，满足医院业务需求及设计要求。提供承诺函。</w:t>
            </w:r>
          </w:p>
        </w:tc>
        <w:tc>
          <w:tcPr>
            <w:tcW w:w="350" w:type="dxa"/>
          </w:tcPr>
          <w:p w14:paraId="33419EB5">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45EA0A6F">
            <w:pPr>
              <w:pStyle w:val="25"/>
              <w:spacing w:before="180" w:line="267" w:lineRule="exact"/>
              <w:ind w:right="98"/>
              <w:jc w:val="right"/>
              <w:rPr>
                <w:i w:val="0"/>
                <w:iCs w:val="0"/>
                <w:color w:val="auto"/>
                <w:sz w:val="18"/>
                <w:szCs w:val="18"/>
              </w:rPr>
            </w:pPr>
            <w:r>
              <w:rPr>
                <w:i w:val="0"/>
                <w:iCs w:val="0"/>
                <w:color w:val="auto"/>
                <w:sz w:val="18"/>
                <w:szCs w:val="18"/>
              </w:rPr>
              <w:t>1</w:t>
            </w:r>
          </w:p>
        </w:tc>
      </w:tr>
      <w:tr w14:paraId="6EBEE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vMerge w:val="continue"/>
            <w:tcBorders>
              <w:top w:val="nil"/>
            </w:tcBorders>
          </w:tcPr>
          <w:p w14:paraId="0817FD22">
            <w:pPr>
              <w:rPr>
                <w:i w:val="0"/>
                <w:iCs w:val="0"/>
                <w:color w:val="auto"/>
                <w:sz w:val="2"/>
                <w:szCs w:val="2"/>
              </w:rPr>
            </w:pPr>
          </w:p>
        </w:tc>
        <w:tc>
          <w:tcPr>
            <w:tcW w:w="1001" w:type="dxa"/>
            <w:vMerge w:val="continue"/>
            <w:tcBorders>
              <w:top w:val="nil"/>
            </w:tcBorders>
          </w:tcPr>
          <w:p w14:paraId="171546A1">
            <w:pPr>
              <w:rPr>
                <w:i w:val="0"/>
                <w:iCs w:val="0"/>
                <w:color w:val="auto"/>
                <w:sz w:val="2"/>
                <w:szCs w:val="2"/>
              </w:rPr>
            </w:pPr>
          </w:p>
        </w:tc>
        <w:tc>
          <w:tcPr>
            <w:tcW w:w="1623" w:type="dxa"/>
          </w:tcPr>
          <w:p w14:paraId="096E3E9B">
            <w:pPr>
              <w:pStyle w:val="25"/>
              <w:spacing w:before="1"/>
              <w:rPr>
                <w:b/>
                <w:i w:val="0"/>
                <w:iCs w:val="0"/>
                <w:color w:val="auto"/>
                <w:sz w:val="18"/>
              </w:rPr>
            </w:pPr>
          </w:p>
          <w:p w14:paraId="2EE7B41B">
            <w:pPr>
              <w:pStyle w:val="25"/>
              <w:spacing w:before="1" w:line="244" w:lineRule="auto"/>
              <w:ind w:left="450" w:right="169" w:hanging="269"/>
              <w:rPr>
                <w:i w:val="0"/>
                <w:iCs w:val="0"/>
                <w:color w:val="auto"/>
                <w:sz w:val="18"/>
              </w:rPr>
            </w:pPr>
            <w:r>
              <w:rPr>
                <w:i w:val="0"/>
                <w:iCs w:val="0"/>
                <w:color w:val="auto"/>
                <w:spacing w:val="-2"/>
                <w:sz w:val="18"/>
              </w:rPr>
              <w:t>数据上报服务及</w:t>
            </w:r>
            <w:r>
              <w:rPr>
                <w:i w:val="0"/>
                <w:iCs w:val="0"/>
                <w:color w:val="auto"/>
                <w:spacing w:val="-4"/>
                <w:sz w:val="18"/>
              </w:rPr>
              <w:t>维护工作</w:t>
            </w:r>
          </w:p>
        </w:tc>
        <w:tc>
          <w:tcPr>
            <w:tcW w:w="4636" w:type="dxa"/>
          </w:tcPr>
          <w:p w14:paraId="3A8B27B9">
            <w:pPr>
              <w:pStyle w:val="25"/>
              <w:spacing w:line="242" w:lineRule="auto"/>
              <w:ind w:left="107" w:right="270"/>
              <w:jc w:val="both"/>
              <w:rPr>
                <w:i w:val="0"/>
                <w:iCs w:val="0"/>
                <w:color w:val="auto"/>
                <w:sz w:val="18"/>
              </w:rPr>
            </w:pPr>
            <w:r>
              <w:rPr>
                <w:i w:val="0"/>
                <w:iCs w:val="0"/>
                <w:color w:val="auto"/>
                <w:spacing w:val="-2"/>
                <w:sz w:val="18"/>
              </w:rPr>
              <w:t>免费为医院提供省全民健康信息平台、省影像平台、省检验平台、国家传染病上报平台、网采率、药耗追</w:t>
            </w:r>
            <w:r>
              <w:rPr>
                <w:i w:val="0"/>
                <w:iCs w:val="0"/>
                <w:color w:val="auto"/>
                <w:spacing w:val="-1"/>
                <w:sz w:val="18"/>
              </w:rPr>
              <w:t>溯率等国家省市县政策要求的平台数据上传及维护工</w:t>
            </w:r>
          </w:p>
          <w:p w14:paraId="791B0F21">
            <w:pPr>
              <w:pStyle w:val="25"/>
              <w:spacing w:before="2" w:line="213" w:lineRule="exact"/>
              <w:ind w:left="107"/>
              <w:rPr>
                <w:i w:val="0"/>
                <w:iCs w:val="0"/>
                <w:color w:val="auto"/>
                <w:sz w:val="18"/>
              </w:rPr>
            </w:pPr>
            <w:r>
              <w:rPr>
                <w:i w:val="0"/>
                <w:iCs w:val="0"/>
                <w:color w:val="auto"/>
                <w:spacing w:val="-1"/>
                <w:sz w:val="18"/>
              </w:rPr>
              <w:t>作，同时质控达到相关标准要求。</w:t>
            </w:r>
          </w:p>
        </w:tc>
        <w:tc>
          <w:tcPr>
            <w:tcW w:w="350" w:type="dxa"/>
          </w:tcPr>
          <w:p w14:paraId="4314F636">
            <w:pPr>
              <w:pStyle w:val="25"/>
              <w:rPr>
                <w:b/>
                <w:i w:val="0"/>
                <w:iCs w:val="0"/>
                <w:color w:val="auto"/>
                <w:sz w:val="18"/>
                <w:szCs w:val="18"/>
              </w:rPr>
            </w:pPr>
          </w:p>
          <w:p w14:paraId="5CB51B22">
            <w:pPr>
              <w:pStyle w:val="25"/>
              <w:spacing w:before="5"/>
              <w:rPr>
                <w:b/>
                <w:i w:val="0"/>
                <w:iCs w:val="0"/>
                <w:color w:val="auto"/>
                <w:sz w:val="18"/>
                <w:szCs w:val="18"/>
              </w:rPr>
            </w:pPr>
          </w:p>
          <w:p w14:paraId="41BC3BD5">
            <w:pPr>
              <w:pStyle w:val="25"/>
              <w:spacing w:line="267" w:lineRule="exact"/>
              <w:ind w:right="8"/>
              <w:jc w:val="center"/>
              <w:rPr>
                <w:i w:val="0"/>
                <w:iCs w:val="0"/>
                <w:color w:val="auto"/>
                <w:sz w:val="18"/>
                <w:szCs w:val="18"/>
              </w:rPr>
            </w:pPr>
            <w:r>
              <w:rPr>
                <w:i w:val="0"/>
                <w:iCs w:val="0"/>
                <w:color w:val="auto"/>
                <w:sz w:val="18"/>
                <w:szCs w:val="18"/>
              </w:rPr>
              <w:t>项</w:t>
            </w:r>
          </w:p>
        </w:tc>
        <w:tc>
          <w:tcPr>
            <w:tcW w:w="458" w:type="dxa"/>
          </w:tcPr>
          <w:p w14:paraId="08867D2F">
            <w:pPr>
              <w:pStyle w:val="25"/>
              <w:rPr>
                <w:b/>
                <w:i w:val="0"/>
                <w:iCs w:val="0"/>
                <w:color w:val="auto"/>
                <w:sz w:val="18"/>
                <w:szCs w:val="18"/>
              </w:rPr>
            </w:pPr>
          </w:p>
          <w:p w14:paraId="5822CA3A">
            <w:pPr>
              <w:pStyle w:val="25"/>
              <w:spacing w:before="5"/>
              <w:rPr>
                <w:b/>
                <w:i w:val="0"/>
                <w:iCs w:val="0"/>
                <w:color w:val="auto"/>
                <w:sz w:val="18"/>
                <w:szCs w:val="18"/>
              </w:rPr>
            </w:pPr>
          </w:p>
          <w:p w14:paraId="5182EE22">
            <w:pPr>
              <w:pStyle w:val="25"/>
              <w:spacing w:line="267" w:lineRule="exact"/>
              <w:ind w:right="98"/>
              <w:jc w:val="right"/>
              <w:rPr>
                <w:i w:val="0"/>
                <w:iCs w:val="0"/>
                <w:color w:val="auto"/>
                <w:sz w:val="18"/>
                <w:szCs w:val="18"/>
              </w:rPr>
            </w:pPr>
            <w:r>
              <w:rPr>
                <w:i w:val="0"/>
                <w:iCs w:val="0"/>
                <w:color w:val="auto"/>
                <w:sz w:val="18"/>
                <w:szCs w:val="18"/>
              </w:rPr>
              <w:t>1</w:t>
            </w:r>
          </w:p>
        </w:tc>
      </w:tr>
      <w:tr w14:paraId="77BC6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56" w:type="dxa"/>
            <w:vMerge w:val="continue"/>
            <w:tcBorders>
              <w:top w:val="nil"/>
            </w:tcBorders>
          </w:tcPr>
          <w:p w14:paraId="6D84290E">
            <w:pPr>
              <w:rPr>
                <w:i w:val="0"/>
                <w:iCs w:val="0"/>
                <w:color w:val="auto"/>
                <w:sz w:val="2"/>
                <w:szCs w:val="2"/>
              </w:rPr>
            </w:pPr>
          </w:p>
        </w:tc>
        <w:tc>
          <w:tcPr>
            <w:tcW w:w="1001" w:type="dxa"/>
            <w:vMerge w:val="continue"/>
            <w:tcBorders>
              <w:top w:val="nil"/>
            </w:tcBorders>
          </w:tcPr>
          <w:p w14:paraId="37C0F93B">
            <w:pPr>
              <w:rPr>
                <w:i w:val="0"/>
                <w:iCs w:val="0"/>
                <w:color w:val="auto"/>
                <w:sz w:val="2"/>
                <w:szCs w:val="2"/>
              </w:rPr>
            </w:pPr>
          </w:p>
        </w:tc>
        <w:tc>
          <w:tcPr>
            <w:tcW w:w="1623" w:type="dxa"/>
          </w:tcPr>
          <w:p w14:paraId="4E12A1D8">
            <w:pPr>
              <w:pStyle w:val="25"/>
              <w:spacing w:before="26"/>
              <w:ind w:left="178" w:right="169"/>
              <w:jc w:val="center"/>
              <w:rPr>
                <w:i w:val="0"/>
                <w:iCs w:val="0"/>
                <w:color w:val="auto"/>
                <w:sz w:val="18"/>
              </w:rPr>
            </w:pPr>
            <w:r>
              <w:rPr>
                <w:i w:val="0"/>
                <w:iCs w:val="0"/>
                <w:color w:val="auto"/>
                <w:spacing w:val="-3"/>
                <w:sz w:val="18"/>
              </w:rPr>
              <w:t>测评服务</w:t>
            </w:r>
          </w:p>
        </w:tc>
        <w:tc>
          <w:tcPr>
            <w:tcW w:w="4636" w:type="dxa"/>
          </w:tcPr>
          <w:p w14:paraId="3BDA843B">
            <w:pPr>
              <w:pStyle w:val="25"/>
              <w:spacing w:before="26"/>
              <w:ind w:left="107"/>
              <w:rPr>
                <w:i w:val="0"/>
                <w:iCs w:val="0"/>
                <w:color w:val="auto"/>
                <w:sz w:val="18"/>
              </w:rPr>
            </w:pPr>
            <w:r>
              <w:rPr>
                <w:i w:val="0"/>
                <w:iCs w:val="0"/>
                <w:color w:val="auto"/>
                <w:spacing w:val="-1"/>
                <w:sz w:val="18"/>
                <w:highlight w:val="yellow"/>
              </w:rPr>
              <w:t>四级电子病历、四甲互联互通等测评。提供承诺函。</w:t>
            </w:r>
          </w:p>
        </w:tc>
        <w:tc>
          <w:tcPr>
            <w:tcW w:w="350" w:type="dxa"/>
          </w:tcPr>
          <w:p w14:paraId="1466181E">
            <w:pPr>
              <w:pStyle w:val="25"/>
              <w:spacing w:line="265" w:lineRule="exact"/>
              <w:ind w:right="8"/>
              <w:jc w:val="center"/>
              <w:rPr>
                <w:i w:val="0"/>
                <w:iCs w:val="0"/>
                <w:color w:val="auto"/>
                <w:sz w:val="18"/>
                <w:szCs w:val="18"/>
              </w:rPr>
            </w:pPr>
            <w:r>
              <w:rPr>
                <w:i w:val="0"/>
                <w:iCs w:val="0"/>
                <w:color w:val="auto"/>
                <w:sz w:val="18"/>
                <w:szCs w:val="18"/>
              </w:rPr>
              <w:t>项</w:t>
            </w:r>
          </w:p>
        </w:tc>
        <w:tc>
          <w:tcPr>
            <w:tcW w:w="458" w:type="dxa"/>
          </w:tcPr>
          <w:p w14:paraId="56707A91">
            <w:pPr>
              <w:pStyle w:val="25"/>
              <w:spacing w:line="265" w:lineRule="exact"/>
              <w:ind w:right="98"/>
              <w:jc w:val="right"/>
              <w:rPr>
                <w:i w:val="0"/>
                <w:iCs w:val="0"/>
                <w:color w:val="auto"/>
                <w:sz w:val="18"/>
                <w:szCs w:val="18"/>
              </w:rPr>
            </w:pPr>
            <w:r>
              <w:rPr>
                <w:i w:val="0"/>
                <w:iCs w:val="0"/>
                <w:color w:val="auto"/>
                <w:sz w:val="18"/>
                <w:szCs w:val="18"/>
              </w:rPr>
              <w:t>1</w:t>
            </w:r>
          </w:p>
        </w:tc>
      </w:tr>
      <w:tr w14:paraId="01D82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456" w:type="dxa"/>
            <w:vMerge w:val="continue"/>
            <w:tcBorders>
              <w:top w:val="nil"/>
            </w:tcBorders>
          </w:tcPr>
          <w:p w14:paraId="64C7D875">
            <w:pPr>
              <w:rPr>
                <w:i w:val="0"/>
                <w:iCs w:val="0"/>
                <w:color w:val="auto"/>
                <w:sz w:val="2"/>
                <w:szCs w:val="2"/>
              </w:rPr>
            </w:pPr>
          </w:p>
        </w:tc>
        <w:tc>
          <w:tcPr>
            <w:tcW w:w="1001" w:type="dxa"/>
            <w:vMerge w:val="continue"/>
            <w:tcBorders>
              <w:top w:val="nil"/>
            </w:tcBorders>
          </w:tcPr>
          <w:p w14:paraId="38EFE3EF">
            <w:pPr>
              <w:rPr>
                <w:i w:val="0"/>
                <w:iCs w:val="0"/>
                <w:color w:val="auto"/>
                <w:sz w:val="2"/>
                <w:szCs w:val="2"/>
              </w:rPr>
            </w:pPr>
          </w:p>
        </w:tc>
        <w:tc>
          <w:tcPr>
            <w:tcW w:w="1623" w:type="dxa"/>
          </w:tcPr>
          <w:p w14:paraId="7F27FC96">
            <w:pPr>
              <w:pStyle w:val="25"/>
              <w:rPr>
                <w:b/>
                <w:i w:val="0"/>
                <w:iCs w:val="0"/>
                <w:color w:val="auto"/>
                <w:sz w:val="18"/>
              </w:rPr>
            </w:pPr>
          </w:p>
          <w:p w14:paraId="60CE06C3">
            <w:pPr>
              <w:pStyle w:val="25"/>
              <w:rPr>
                <w:b/>
                <w:i w:val="0"/>
                <w:iCs w:val="0"/>
                <w:color w:val="auto"/>
                <w:sz w:val="18"/>
              </w:rPr>
            </w:pPr>
          </w:p>
          <w:p w14:paraId="4E3C7524">
            <w:pPr>
              <w:pStyle w:val="25"/>
              <w:rPr>
                <w:b/>
                <w:i w:val="0"/>
                <w:iCs w:val="0"/>
                <w:color w:val="auto"/>
                <w:sz w:val="18"/>
              </w:rPr>
            </w:pPr>
          </w:p>
          <w:p w14:paraId="21E7E52B">
            <w:pPr>
              <w:pStyle w:val="25"/>
              <w:rPr>
                <w:b/>
                <w:i w:val="0"/>
                <w:iCs w:val="0"/>
                <w:color w:val="auto"/>
                <w:sz w:val="18"/>
              </w:rPr>
            </w:pPr>
          </w:p>
          <w:p w14:paraId="47779E78">
            <w:pPr>
              <w:pStyle w:val="25"/>
              <w:rPr>
                <w:b/>
                <w:i w:val="0"/>
                <w:iCs w:val="0"/>
                <w:color w:val="auto"/>
                <w:sz w:val="18"/>
              </w:rPr>
            </w:pPr>
          </w:p>
          <w:p w14:paraId="40CD9E8F">
            <w:pPr>
              <w:pStyle w:val="25"/>
              <w:spacing w:before="4"/>
              <w:rPr>
                <w:b/>
                <w:i w:val="0"/>
                <w:iCs w:val="0"/>
                <w:color w:val="auto"/>
                <w:sz w:val="19"/>
              </w:rPr>
            </w:pPr>
          </w:p>
          <w:p w14:paraId="62783A84">
            <w:pPr>
              <w:pStyle w:val="25"/>
              <w:spacing w:before="1" w:line="242" w:lineRule="auto"/>
              <w:ind w:left="361" w:right="169" w:hanging="180"/>
              <w:rPr>
                <w:i w:val="0"/>
                <w:iCs w:val="0"/>
                <w:color w:val="auto"/>
                <w:sz w:val="18"/>
              </w:rPr>
            </w:pPr>
            <w:r>
              <w:rPr>
                <w:i w:val="0"/>
                <w:iCs w:val="0"/>
                <w:color w:val="auto"/>
                <w:spacing w:val="-2"/>
                <w:sz w:val="18"/>
              </w:rPr>
              <w:t>操作系统及数据库软件服务</w:t>
            </w:r>
          </w:p>
        </w:tc>
        <w:tc>
          <w:tcPr>
            <w:tcW w:w="4636" w:type="dxa"/>
          </w:tcPr>
          <w:p w14:paraId="530BF522">
            <w:pPr>
              <w:pStyle w:val="25"/>
              <w:spacing w:line="242" w:lineRule="auto"/>
              <w:ind w:left="107" w:right="270"/>
              <w:rPr>
                <w:i w:val="0"/>
                <w:iCs w:val="0"/>
                <w:color w:val="auto"/>
                <w:sz w:val="18"/>
              </w:rPr>
            </w:pPr>
            <w:r>
              <w:rPr>
                <w:i w:val="0"/>
                <w:iCs w:val="0"/>
                <w:color w:val="auto"/>
                <w:spacing w:val="-2"/>
                <w:sz w:val="18"/>
                <w:highlight w:val="yellow"/>
              </w:rPr>
              <w:t>要求软件供应商提供满足软件使用需求的操作系统软件及数据库并保证射阳县中医院的业务正常使用，无版权纠纷。提供承诺函。</w:t>
            </w:r>
            <w:r>
              <w:rPr>
                <w:i w:val="0"/>
                <w:iCs w:val="0"/>
                <w:color w:val="auto"/>
                <w:spacing w:val="-2"/>
                <w:sz w:val="18"/>
              </w:rPr>
              <w:t>数据库功能：可在无插槽限制的单台服务器和集群服务器上使用。它为任务关键型事务应用程序、查询密集型大数据仓库以及混合负</w:t>
            </w:r>
            <w:r>
              <w:rPr>
                <w:i w:val="0"/>
                <w:iCs w:val="0"/>
                <w:color w:val="auto"/>
                <w:spacing w:val="-3"/>
                <w:sz w:val="18"/>
              </w:rPr>
              <w:t xml:space="preserve">载提供高效、可靠且安全的数据管理;支持 </w:t>
            </w:r>
            <w:r>
              <w:rPr>
                <w:i w:val="0"/>
                <w:iCs w:val="0"/>
                <w:color w:val="auto"/>
                <w:sz w:val="18"/>
              </w:rPr>
              <w:t xml:space="preserve">Oracle </w:t>
            </w:r>
            <w:r>
              <w:rPr>
                <w:i w:val="0"/>
                <w:iCs w:val="0"/>
                <w:color w:val="auto"/>
                <w:spacing w:val="-2"/>
                <w:sz w:val="18"/>
              </w:rPr>
              <w:t xml:space="preserve">RAC；支持当前最流行的数据库技术标准，如： </w:t>
            </w:r>
            <w:r>
              <w:rPr>
                <w:i w:val="0"/>
                <w:iCs w:val="0"/>
                <w:color w:val="auto"/>
                <w:sz w:val="18"/>
              </w:rPr>
              <w:t>ANSI/ISO</w:t>
            </w:r>
            <w:r>
              <w:rPr>
                <w:i w:val="0"/>
                <w:iCs w:val="0"/>
                <w:color w:val="auto"/>
                <w:spacing w:val="40"/>
                <w:sz w:val="18"/>
              </w:rPr>
              <w:t xml:space="preserve"> </w:t>
            </w:r>
            <w:r>
              <w:rPr>
                <w:i w:val="0"/>
                <w:iCs w:val="0"/>
                <w:color w:val="auto"/>
                <w:sz w:val="18"/>
              </w:rPr>
              <w:t>SQL89、ANSI/ISO</w:t>
            </w:r>
            <w:r>
              <w:rPr>
                <w:i w:val="0"/>
                <w:iCs w:val="0"/>
                <w:color w:val="auto"/>
                <w:spacing w:val="40"/>
                <w:sz w:val="18"/>
              </w:rPr>
              <w:t xml:space="preserve"> </w:t>
            </w:r>
            <w:r>
              <w:rPr>
                <w:i w:val="0"/>
                <w:iCs w:val="0"/>
                <w:color w:val="auto"/>
                <w:sz w:val="18"/>
              </w:rPr>
              <w:t>SQL92、ANSI/ISO SQL99、SQL 2003，ODBC3.0、X/Open、CLI、JDBC，</w:t>
            </w:r>
          </w:p>
          <w:p w14:paraId="71DB8982">
            <w:pPr>
              <w:pStyle w:val="25"/>
              <w:spacing w:before="6" w:line="242" w:lineRule="auto"/>
              <w:ind w:left="107" w:right="176"/>
              <w:jc w:val="both"/>
              <w:rPr>
                <w:i w:val="0"/>
                <w:iCs w:val="0"/>
                <w:color w:val="auto"/>
                <w:sz w:val="18"/>
              </w:rPr>
            </w:pPr>
            <w:r>
              <w:rPr>
                <w:i w:val="0"/>
                <w:iCs w:val="0"/>
                <w:color w:val="auto"/>
                <w:sz w:val="18"/>
              </w:rPr>
              <w:t>XQuery</w:t>
            </w:r>
            <w:r>
              <w:rPr>
                <w:i w:val="0"/>
                <w:iCs w:val="0"/>
                <w:color w:val="auto"/>
                <w:spacing w:val="-6"/>
                <w:sz w:val="18"/>
              </w:rPr>
              <w:t xml:space="preserve"> 等; 集群应具有极佳的可扩展，可以从两个节</w:t>
            </w:r>
            <w:r>
              <w:rPr>
                <w:i w:val="0"/>
                <w:iCs w:val="0"/>
                <w:color w:val="auto"/>
                <w:spacing w:val="-4"/>
                <w:sz w:val="18"/>
              </w:rPr>
              <w:t xml:space="preserve">点开始，可以支持多达 </w:t>
            </w:r>
            <w:r>
              <w:rPr>
                <w:i w:val="0"/>
                <w:iCs w:val="0"/>
                <w:color w:val="auto"/>
                <w:spacing w:val="-2"/>
                <w:sz w:val="18"/>
              </w:rPr>
              <w:t>100</w:t>
            </w:r>
            <w:r>
              <w:rPr>
                <w:i w:val="0"/>
                <w:iCs w:val="0"/>
                <w:color w:val="auto"/>
                <w:spacing w:val="-7"/>
                <w:sz w:val="18"/>
              </w:rPr>
              <w:t xml:space="preserve"> 个节点部署；配置 </w:t>
            </w:r>
            <w:r>
              <w:rPr>
                <w:i w:val="0"/>
                <w:iCs w:val="0"/>
                <w:color w:val="auto"/>
                <w:spacing w:val="-2"/>
                <w:sz w:val="18"/>
              </w:rPr>
              <w:t>1</w:t>
            </w:r>
            <w:r>
              <w:rPr>
                <w:i w:val="0"/>
                <w:iCs w:val="0"/>
                <w:color w:val="auto"/>
                <w:spacing w:val="-11"/>
                <w:sz w:val="18"/>
              </w:rPr>
              <w:t xml:space="preserve"> 套</w:t>
            </w:r>
            <w:r>
              <w:rPr>
                <w:i w:val="0"/>
                <w:iCs w:val="0"/>
                <w:color w:val="auto"/>
                <w:spacing w:val="-2"/>
                <w:sz w:val="18"/>
              </w:rPr>
              <w:t>数据库企业版使用授权，支持真实应用集群（RAC）功</w:t>
            </w:r>
            <w:r>
              <w:rPr>
                <w:i w:val="0"/>
                <w:iCs w:val="0"/>
                <w:color w:val="auto"/>
                <w:sz w:val="18"/>
              </w:rPr>
              <w:t>能及活动数据卫士功能（ADG）</w:t>
            </w:r>
            <w:r>
              <w:rPr>
                <w:i w:val="0"/>
                <w:iCs w:val="0"/>
                <w:color w:val="auto"/>
                <w:spacing w:val="-1"/>
                <w:sz w:val="18"/>
              </w:rPr>
              <w:t>功能，以上最终授权用</w:t>
            </w:r>
          </w:p>
          <w:p w14:paraId="57EA2A6D">
            <w:pPr>
              <w:pStyle w:val="25"/>
              <w:spacing w:before="2" w:line="213" w:lineRule="exact"/>
              <w:ind w:left="107"/>
              <w:rPr>
                <w:i w:val="0"/>
                <w:iCs w:val="0"/>
                <w:color w:val="auto"/>
                <w:sz w:val="18"/>
              </w:rPr>
            </w:pPr>
            <w:r>
              <w:rPr>
                <w:i w:val="0"/>
                <w:iCs w:val="0"/>
                <w:color w:val="auto"/>
                <w:spacing w:val="-1"/>
                <w:sz w:val="18"/>
              </w:rPr>
              <w:t>户须为“射阳县中医院”，提供</w:t>
            </w:r>
            <w:r>
              <w:rPr>
                <w:rFonts w:hint="eastAsia"/>
                <w:i w:val="0"/>
                <w:iCs w:val="0"/>
                <w:color w:val="auto"/>
                <w:spacing w:val="-1"/>
                <w:sz w:val="18"/>
                <w:lang w:val="en-US" w:eastAsia="zh-CN"/>
              </w:rPr>
              <w:t>三</w:t>
            </w:r>
            <w:r>
              <w:rPr>
                <w:i w:val="0"/>
                <w:iCs w:val="0"/>
                <w:color w:val="auto"/>
                <w:spacing w:val="-1"/>
                <w:sz w:val="18"/>
              </w:rPr>
              <w:t>年原厂标准服务。</w:t>
            </w:r>
          </w:p>
        </w:tc>
        <w:tc>
          <w:tcPr>
            <w:tcW w:w="350" w:type="dxa"/>
          </w:tcPr>
          <w:p w14:paraId="44B195A2">
            <w:pPr>
              <w:pStyle w:val="25"/>
              <w:rPr>
                <w:b/>
                <w:i w:val="0"/>
                <w:iCs w:val="0"/>
                <w:color w:val="auto"/>
                <w:sz w:val="18"/>
                <w:szCs w:val="18"/>
              </w:rPr>
            </w:pPr>
          </w:p>
          <w:p w14:paraId="5EA0C3A8">
            <w:pPr>
              <w:pStyle w:val="25"/>
              <w:rPr>
                <w:b/>
                <w:i w:val="0"/>
                <w:iCs w:val="0"/>
                <w:color w:val="auto"/>
                <w:sz w:val="18"/>
                <w:szCs w:val="18"/>
              </w:rPr>
            </w:pPr>
          </w:p>
          <w:p w14:paraId="587550C1">
            <w:pPr>
              <w:pStyle w:val="25"/>
              <w:rPr>
                <w:b/>
                <w:i w:val="0"/>
                <w:iCs w:val="0"/>
                <w:color w:val="auto"/>
                <w:sz w:val="18"/>
                <w:szCs w:val="18"/>
              </w:rPr>
            </w:pPr>
          </w:p>
          <w:p w14:paraId="0AF9211B">
            <w:pPr>
              <w:pStyle w:val="25"/>
              <w:rPr>
                <w:b/>
                <w:i w:val="0"/>
                <w:iCs w:val="0"/>
                <w:color w:val="auto"/>
                <w:sz w:val="18"/>
                <w:szCs w:val="18"/>
              </w:rPr>
            </w:pPr>
          </w:p>
          <w:p w14:paraId="617CF0A4">
            <w:pPr>
              <w:pStyle w:val="25"/>
              <w:rPr>
                <w:b/>
                <w:i w:val="0"/>
                <w:iCs w:val="0"/>
                <w:color w:val="auto"/>
                <w:sz w:val="18"/>
                <w:szCs w:val="18"/>
              </w:rPr>
            </w:pPr>
          </w:p>
          <w:p w14:paraId="0539F81F">
            <w:pPr>
              <w:pStyle w:val="25"/>
              <w:rPr>
                <w:b/>
                <w:i w:val="0"/>
                <w:iCs w:val="0"/>
                <w:color w:val="auto"/>
                <w:sz w:val="18"/>
                <w:szCs w:val="18"/>
              </w:rPr>
            </w:pPr>
          </w:p>
          <w:p w14:paraId="71BA5312">
            <w:pPr>
              <w:pStyle w:val="25"/>
              <w:rPr>
                <w:b/>
                <w:i w:val="0"/>
                <w:iCs w:val="0"/>
                <w:color w:val="auto"/>
                <w:sz w:val="18"/>
                <w:szCs w:val="18"/>
              </w:rPr>
            </w:pPr>
          </w:p>
          <w:p w14:paraId="18D3D18E">
            <w:pPr>
              <w:pStyle w:val="25"/>
              <w:rPr>
                <w:b/>
                <w:i w:val="0"/>
                <w:iCs w:val="0"/>
                <w:color w:val="auto"/>
                <w:sz w:val="18"/>
                <w:szCs w:val="18"/>
              </w:rPr>
            </w:pPr>
          </w:p>
          <w:p w14:paraId="0FB6B54F">
            <w:pPr>
              <w:pStyle w:val="25"/>
              <w:rPr>
                <w:b/>
                <w:i w:val="0"/>
                <w:iCs w:val="0"/>
                <w:color w:val="auto"/>
                <w:sz w:val="18"/>
                <w:szCs w:val="18"/>
              </w:rPr>
            </w:pPr>
          </w:p>
          <w:p w14:paraId="5355C64A">
            <w:pPr>
              <w:pStyle w:val="25"/>
              <w:rPr>
                <w:b/>
                <w:i w:val="0"/>
                <w:iCs w:val="0"/>
                <w:color w:val="auto"/>
                <w:sz w:val="18"/>
                <w:szCs w:val="18"/>
              </w:rPr>
            </w:pPr>
          </w:p>
          <w:p w14:paraId="0F4AD049">
            <w:pPr>
              <w:pStyle w:val="25"/>
              <w:spacing w:before="163" w:line="267" w:lineRule="exact"/>
              <w:ind w:right="8"/>
              <w:jc w:val="center"/>
              <w:rPr>
                <w:i w:val="0"/>
                <w:iCs w:val="0"/>
                <w:color w:val="auto"/>
                <w:sz w:val="18"/>
                <w:szCs w:val="18"/>
              </w:rPr>
            </w:pPr>
            <w:r>
              <w:rPr>
                <w:i w:val="0"/>
                <w:iCs w:val="0"/>
                <w:color w:val="auto"/>
                <w:sz w:val="18"/>
                <w:szCs w:val="18"/>
              </w:rPr>
              <w:t>项</w:t>
            </w:r>
          </w:p>
        </w:tc>
        <w:tc>
          <w:tcPr>
            <w:tcW w:w="458" w:type="dxa"/>
          </w:tcPr>
          <w:p w14:paraId="5E2409F8">
            <w:pPr>
              <w:pStyle w:val="25"/>
              <w:rPr>
                <w:b/>
                <w:i w:val="0"/>
                <w:iCs w:val="0"/>
                <w:color w:val="auto"/>
                <w:sz w:val="18"/>
                <w:szCs w:val="18"/>
              </w:rPr>
            </w:pPr>
          </w:p>
          <w:p w14:paraId="6D799C04">
            <w:pPr>
              <w:pStyle w:val="25"/>
              <w:rPr>
                <w:b/>
                <w:i w:val="0"/>
                <w:iCs w:val="0"/>
                <w:color w:val="auto"/>
                <w:sz w:val="18"/>
                <w:szCs w:val="18"/>
              </w:rPr>
            </w:pPr>
          </w:p>
          <w:p w14:paraId="08DB0D84">
            <w:pPr>
              <w:pStyle w:val="25"/>
              <w:rPr>
                <w:b/>
                <w:i w:val="0"/>
                <w:iCs w:val="0"/>
                <w:color w:val="auto"/>
                <w:sz w:val="18"/>
                <w:szCs w:val="18"/>
              </w:rPr>
            </w:pPr>
          </w:p>
          <w:p w14:paraId="566DEEA8">
            <w:pPr>
              <w:pStyle w:val="25"/>
              <w:rPr>
                <w:b/>
                <w:i w:val="0"/>
                <w:iCs w:val="0"/>
                <w:color w:val="auto"/>
                <w:sz w:val="18"/>
                <w:szCs w:val="18"/>
              </w:rPr>
            </w:pPr>
          </w:p>
          <w:p w14:paraId="655A8214">
            <w:pPr>
              <w:pStyle w:val="25"/>
              <w:rPr>
                <w:b/>
                <w:i w:val="0"/>
                <w:iCs w:val="0"/>
                <w:color w:val="auto"/>
                <w:sz w:val="18"/>
                <w:szCs w:val="18"/>
              </w:rPr>
            </w:pPr>
          </w:p>
          <w:p w14:paraId="03B93D74">
            <w:pPr>
              <w:pStyle w:val="25"/>
              <w:rPr>
                <w:b/>
                <w:i w:val="0"/>
                <w:iCs w:val="0"/>
                <w:color w:val="auto"/>
                <w:sz w:val="18"/>
                <w:szCs w:val="18"/>
              </w:rPr>
            </w:pPr>
          </w:p>
          <w:p w14:paraId="0E6CD8FD">
            <w:pPr>
              <w:pStyle w:val="25"/>
              <w:rPr>
                <w:b/>
                <w:i w:val="0"/>
                <w:iCs w:val="0"/>
                <w:color w:val="auto"/>
                <w:sz w:val="18"/>
                <w:szCs w:val="18"/>
              </w:rPr>
            </w:pPr>
          </w:p>
          <w:p w14:paraId="3AE5AAA0">
            <w:pPr>
              <w:pStyle w:val="25"/>
              <w:rPr>
                <w:b/>
                <w:i w:val="0"/>
                <w:iCs w:val="0"/>
                <w:color w:val="auto"/>
                <w:sz w:val="18"/>
                <w:szCs w:val="18"/>
              </w:rPr>
            </w:pPr>
          </w:p>
          <w:p w14:paraId="69A32406">
            <w:pPr>
              <w:pStyle w:val="25"/>
              <w:rPr>
                <w:b/>
                <w:i w:val="0"/>
                <w:iCs w:val="0"/>
                <w:color w:val="auto"/>
                <w:sz w:val="18"/>
                <w:szCs w:val="18"/>
              </w:rPr>
            </w:pPr>
          </w:p>
          <w:p w14:paraId="2CBE9FC2">
            <w:pPr>
              <w:pStyle w:val="25"/>
              <w:rPr>
                <w:b/>
                <w:i w:val="0"/>
                <w:iCs w:val="0"/>
                <w:color w:val="auto"/>
                <w:sz w:val="18"/>
                <w:szCs w:val="18"/>
              </w:rPr>
            </w:pPr>
          </w:p>
          <w:p w14:paraId="7666D295">
            <w:pPr>
              <w:pStyle w:val="25"/>
              <w:spacing w:before="163" w:line="267" w:lineRule="exact"/>
              <w:ind w:right="98"/>
              <w:jc w:val="right"/>
              <w:rPr>
                <w:i w:val="0"/>
                <w:iCs w:val="0"/>
                <w:color w:val="auto"/>
                <w:sz w:val="18"/>
                <w:szCs w:val="18"/>
              </w:rPr>
            </w:pPr>
            <w:r>
              <w:rPr>
                <w:i w:val="0"/>
                <w:iCs w:val="0"/>
                <w:color w:val="auto"/>
                <w:sz w:val="18"/>
                <w:szCs w:val="18"/>
              </w:rPr>
              <w:t>1</w:t>
            </w:r>
          </w:p>
        </w:tc>
      </w:tr>
      <w:tr w14:paraId="02825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56" w:type="dxa"/>
            <w:vMerge w:val="continue"/>
            <w:tcBorders>
              <w:top w:val="nil"/>
            </w:tcBorders>
          </w:tcPr>
          <w:p w14:paraId="76BE5DA8">
            <w:pPr>
              <w:rPr>
                <w:i w:val="0"/>
                <w:iCs w:val="0"/>
                <w:color w:val="auto"/>
                <w:sz w:val="2"/>
                <w:szCs w:val="2"/>
              </w:rPr>
            </w:pPr>
          </w:p>
        </w:tc>
        <w:tc>
          <w:tcPr>
            <w:tcW w:w="1001" w:type="dxa"/>
            <w:vMerge w:val="continue"/>
            <w:tcBorders>
              <w:top w:val="nil"/>
            </w:tcBorders>
          </w:tcPr>
          <w:p w14:paraId="2C551696">
            <w:pPr>
              <w:rPr>
                <w:i w:val="0"/>
                <w:iCs w:val="0"/>
                <w:color w:val="auto"/>
                <w:sz w:val="2"/>
                <w:szCs w:val="2"/>
              </w:rPr>
            </w:pPr>
          </w:p>
        </w:tc>
        <w:tc>
          <w:tcPr>
            <w:tcW w:w="1623" w:type="dxa"/>
          </w:tcPr>
          <w:p w14:paraId="2B45A303">
            <w:pPr>
              <w:pStyle w:val="25"/>
              <w:spacing w:before="117"/>
              <w:ind w:left="177" w:right="169"/>
              <w:jc w:val="center"/>
              <w:rPr>
                <w:i w:val="0"/>
                <w:iCs w:val="0"/>
                <w:color w:val="auto"/>
                <w:sz w:val="18"/>
              </w:rPr>
            </w:pPr>
            <w:r>
              <w:rPr>
                <w:i w:val="0"/>
                <w:iCs w:val="0"/>
                <w:color w:val="auto"/>
                <w:spacing w:val="-3"/>
                <w:sz w:val="18"/>
              </w:rPr>
              <w:t>数据迁移</w:t>
            </w:r>
          </w:p>
        </w:tc>
        <w:tc>
          <w:tcPr>
            <w:tcW w:w="4636" w:type="dxa"/>
          </w:tcPr>
          <w:p w14:paraId="3418444F">
            <w:pPr>
              <w:pStyle w:val="25"/>
              <w:spacing w:line="230" w:lineRule="exact"/>
              <w:ind w:left="107"/>
              <w:rPr>
                <w:i w:val="0"/>
                <w:iCs w:val="0"/>
                <w:color w:val="auto"/>
                <w:sz w:val="18"/>
              </w:rPr>
            </w:pPr>
            <w:r>
              <w:rPr>
                <w:i w:val="0"/>
                <w:iCs w:val="0"/>
                <w:color w:val="auto"/>
                <w:spacing w:val="-1"/>
                <w:sz w:val="18"/>
              </w:rPr>
              <w:t>核心数据库的迁移、影像归档数据迁移、全院虚拟化</w:t>
            </w:r>
          </w:p>
          <w:p w14:paraId="3758DDE0">
            <w:pPr>
              <w:pStyle w:val="25"/>
              <w:spacing w:before="4" w:line="213" w:lineRule="exact"/>
              <w:ind w:left="107"/>
              <w:rPr>
                <w:i w:val="0"/>
                <w:iCs w:val="0"/>
                <w:color w:val="auto"/>
                <w:sz w:val="18"/>
              </w:rPr>
            </w:pPr>
            <w:r>
              <w:rPr>
                <w:i w:val="0"/>
                <w:iCs w:val="0"/>
                <w:color w:val="auto"/>
                <w:spacing w:val="-1"/>
                <w:sz w:val="18"/>
              </w:rPr>
              <w:t>平台系统升级，业务系统的迁移</w:t>
            </w:r>
          </w:p>
        </w:tc>
        <w:tc>
          <w:tcPr>
            <w:tcW w:w="350" w:type="dxa"/>
          </w:tcPr>
          <w:p w14:paraId="240BE609">
            <w:pPr>
              <w:pStyle w:val="25"/>
              <w:spacing w:before="180" w:line="267" w:lineRule="exact"/>
              <w:ind w:right="8"/>
              <w:jc w:val="center"/>
              <w:rPr>
                <w:i w:val="0"/>
                <w:iCs w:val="0"/>
                <w:color w:val="auto"/>
                <w:sz w:val="18"/>
                <w:szCs w:val="18"/>
              </w:rPr>
            </w:pPr>
            <w:r>
              <w:rPr>
                <w:i w:val="0"/>
                <w:iCs w:val="0"/>
                <w:color w:val="auto"/>
                <w:sz w:val="18"/>
                <w:szCs w:val="18"/>
              </w:rPr>
              <w:t>项</w:t>
            </w:r>
          </w:p>
        </w:tc>
        <w:tc>
          <w:tcPr>
            <w:tcW w:w="458" w:type="dxa"/>
          </w:tcPr>
          <w:p w14:paraId="40E7D1BD">
            <w:pPr>
              <w:pStyle w:val="25"/>
              <w:spacing w:before="180" w:line="267" w:lineRule="exact"/>
              <w:ind w:right="98"/>
              <w:jc w:val="right"/>
              <w:rPr>
                <w:i w:val="0"/>
                <w:iCs w:val="0"/>
                <w:color w:val="auto"/>
                <w:sz w:val="18"/>
                <w:szCs w:val="18"/>
              </w:rPr>
            </w:pPr>
            <w:r>
              <w:rPr>
                <w:i w:val="0"/>
                <w:iCs w:val="0"/>
                <w:color w:val="auto"/>
                <w:sz w:val="18"/>
                <w:szCs w:val="18"/>
              </w:rPr>
              <w:t>1</w:t>
            </w:r>
          </w:p>
        </w:tc>
      </w:tr>
    </w:tbl>
    <w:p w14:paraId="77F5197E">
      <w:pPr>
        <w:pStyle w:val="4"/>
        <w:spacing w:before="0"/>
        <w:ind w:left="107"/>
        <w:rPr>
          <w:i w:val="0"/>
          <w:iCs w:val="0"/>
          <w:color w:val="auto"/>
          <w:sz w:val="20"/>
        </w:rPr>
      </w:pPr>
      <w:r>
        <w:rPr>
          <w:i w:val="0"/>
          <w:iCs w:val="0"/>
          <w:color w:val="auto"/>
          <w:sz w:val="20"/>
        </w:rPr>
        <mc:AlternateContent>
          <mc:Choice Requires="wps">
            <w:drawing>
              <wp:inline distT="0" distB="0" distL="114300" distR="114300">
                <wp:extent cx="5412740" cy="1456055"/>
                <wp:effectExtent l="5080" t="4445" r="5080" b="12700"/>
                <wp:docPr id="5" name="文本框 4"/>
                <wp:cNvGraphicFramePr/>
                <a:graphic xmlns:a="http://schemas.openxmlformats.org/drawingml/2006/main">
                  <a:graphicData uri="http://schemas.microsoft.com/office/word/2010/wordprocessingShape">
                    <wps:wsp>
                      <wps:cNvSpPr txBox="1"/>
                      <wps:spPr>
                        <a:xfrm>
                          <a:off x="0" y="0"/>
                          <a:ext cx="5412740" cy="1456055"/>
                        </a:xfrm>
                        <a:prstGeom prst="rect">
                          <a:avLst/>
                        </a:prstGeom>
                        <a:noFill/>
                        <a:ln w="6096" cap="flat" cmpd="sng">
                          <a:solidFill>
                            <a:srgbClr val="000000"/>
                          </a:solidFill>
                          <a:prstDash val="solid"/>
                          <a:miter/>
                          <a:headEnd type="none" w="med" len="med"/>
                          <a:tailEnd type="none" w="med" len="med"/>
                        </a:ln>
                      </wps:spPr>
                      <wps:txbx>
                        <w:txbxContent>
                          <w:p w14:paraId="7DA333A1">
                            <w:pPr>
                              <w:spacing w:line="280" w:lineRule="exact"/>
                              <w:ind w:left="103"/>
                              <w:rPr>
                                <w:i w:val="0"/>
                                <w:iCs w:val="0"/>
                              </w:rPr>
                            </w:pPr>
                            <w:r>
                              <w:rPr>
                                <w:i w:val="0"/>
                                <w:iCs w:val="0"/>
                                <w:spacing w:val="-6"/>
                              </w:rPr>
                              <w:t>清单说明：</w:t>
                            </w:r>
                          </w:p>
                          <w:p w14:paraId="440DC5EC">
                            <w:pPr>
                              <w:spacing w:before="4" w:line="242" w:lineRule="auto"/>
                              <w:ind w:left="103" w:right="158"/>
                              <w:rPr>
                                <w:i w:val="0"/>
                                <w:iCs w:val="0"/>
                              </w:rPr>
                            </w:pPr>
                            <w:r>
                              <w:rPr>
                                <w:i w:val="0"/>
                                <w:iCs w:val="0"/>
                                <w:spacing w:val="-2"/>
                              </w:rPr>
                              <w:t>1、本项目为交钥匙工程。请各投标的供应商充分考虑项目所需的软硬件内容，及时提出或确认有无遗漏的软件模块或硬件设备及配件，未提出或确认无遗漏的软件模块或硬件设备及配件的，视为认同软件和硬件清单内容，供应商将自行承担因遗漏的软件模块或硬件设备及配件所造成的损失。</w:t>
                            </w:r>
                          </w:p>
                          <w:p w14:paraId="21F78543">
                            <w:pPr>
                              <w:spacing w:before="3" w:line="242" w:lineRule="auto"/>
                              <w:ind w:left="103" w:right="158"/>
                              <w:rPr>
                                <w:i w:val="0"/>
                                <w:iCs w:val="0"/>
                              </w:rPr>
                            </w:pPr>
                            <w:r>
                              <w:rPr>
                                <w:i w:val="0"/>
                                <w:iCs w:val="0"/>
                                <w:spacing w:val="-2"/>
                              </w:rPr>
                              <w:t>2、各参加投标的供应商投标前必须以技术工程师为主导到采购单位了解详细的应用需求，如供应商未按上述要求办理，不了解采购单位应用需求的将自行承担所产生的风</w:t>
                            </w:r>
                            <w:r>
                              <w:rPr>
                                <w:i w:val="0"/>
                                <w:iCs w:val="0"/>
                                <w:spacing w:val="-6"/>
                              </w:rPr>
                              <w:t>险。</w:t>
                            </w:r>
                          </w:p>
                        </w:txbxContent>
                      </wps:txbx>
                      <wps:bodyPr lIns="0" tIns="0" rIns="0" bIns="0" upright="1"/>
                    </wps:wsp>
                  </a:graphicData>
                </a:graphic>
              </wp:inline>
            </w:drawing>
          </mc:Choice>
          <mc:Fallback>
            <w:pict>
              <v:shape id="文本框 4" o:spid="_x0000_s1026" o:spt="202" type="#_x0000_t202" style="height:114.65pt;width:426.2pt;" filled="f" stroked="t" coordsize="21600,21600" o:gfxdata="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vhMpi1AAAAAUBAAAPAAAAAAAAAAEA&#10;IAAAACIAAABkcnMvZG93bnJldi54bWxQSwECFAAUAAAACACHTuJARUKnTxMCAAAyBAAADgAAAAAA&#10;AAABACAAAAAjAQAAZHJzL2Uyb0RvYy54bWxQSwUGAAAAAAYABgBZAQAAqAUAAAAA&#10;">
                <v:fill on="f" focussize="0,0"/>
                <v:stroke weight="0.48pt" color="#000000" joinstyle="miter"/>
                <v:imagedata o:title=""/>
                <o:lock v:ext="edit" aspectratio="f"/>
                <v:textbox inset="0mm,0mm,0mm,0mm">
                  <w:txbxContent>
                    <w:p w14:paraId="7DA333A1">
                      <w:pPr>
                        <w:spacing w:line="280" w:lineRule="exact"/>
                        <w:ind w:left="103"/>
                        <w:rPr>
                          <w:i w:val="0"/>
                          <w:iCs w:val="0"/>
                        </w:rPr>
                      </w:pPr>
                      <w:r>
                        <w:rPr>
                          <w:i w:val="0"/>
                          <w:iCs w:val="0"/>
                          <w:spacing w:val="-6"/>
                        </w:rPr>
                        <w:t>清单说明：</w:t>
                      </w:r>
                    </w:p>
                    <w:p w14:paraId="440DC5EC">
                      <w:pPr>
                        <w:spacing w:before="4" w:line="242" w:lineRule="auto"/>
                        <w:ind w:left="103" w:right="158"/>
                        <w:rPr>
                          <w:i w:val="0"/>
                          <w:iCs w:val="0"/>
                        </w:rPr>
                      </w:pPr>
                      <w:r>
                        <w:rPr>
                          <w:i w:val="0"/>
                          <w:iCs w:val="0"/>
                          <w:spacing w:val="-2"/>
                        </w:rPr>
                        <w:t>1、本项目为交钥匙工程。请各投标的供应商充分考虑项目所需的软硬件内容，及时提出或确认有无遗漏的软件模块或硬件设备及配件，未提出或确认无遗漏的软件模块或硬件设备及配件的，视为认同软件和硬件清单内容，供应商将自行承担因遗漏的软件模块或硬件设备及配件所造成的损失。</w:t>
                      </w:r>
                    </w:p>
                    <w:p w14:paraId="21F78543">
                      <w:pPr>
                        <w:spacing w:before="3" w:line="242" w:lineRule="auto"/>
                        <w:ind w:left="103" w:right="158"/>
                        <w:rPr>
                          <w:i w:val="0"/>
                          <w:iCs w:val="0"/>
                        </w:rPr>
                      </w:pPr>
                      <w:r>
                        <w:rPr>
                          <w:i w:val="0"/>
                          <w:iCs w:val="0"/>
                          <w:spacing w:val="-2"/>
                        </w:rPr>
                        <w:t>2、各参加投标的供应商投标前必须以技术工程师为主导到采购单位了解详细的应用需求，如供应商未按上述要求办理，不了解采购单位应用需求的将自行承担所产生的风</w:t>
                      </w:r>
                      <w:r>
                        <w:rPr>
                          <w:i w:val="0"/>
                          <w:iCs w:val="0"/>
                          <w:spacing w:val="-6"/>
                        </w:rPr>
                        <w:t>险。</w:t>
                      </w:r>
                    </w:p>
                  </w:txbxContent>
                </v:textbox>
                <w10:wrap type="none"/>
                <w10:anchorlock/>
              </v:shape>
            </w:pict>
          </mc:Fallback>
        </mc:AlternateContent>
      </w:r>
    </w:p>
    <w:p w14:paraId="5336C32B">
      <w:pPr>
        <w:pStyle w:val="4"/>
        <w:spacing w:before="0"/>
        <w:ind w:left="0"/>
        <w:rPr>
          <w:b/>
          <w:i w:val="0"/>
          <w:iCs w:val="0"/>
          <w:color w:val="auto"/>
          <w:sz w:val="20"/>
        </w:rPr>
      </w:pPr>
    </w:p>
    <w:p w14:paraId="385409CC">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六、</w:t>
      </w:r>
      <w:r>
        <w:rPr>
          <w:rFonts w:hint="eastAsia" w:cs="Times New Roman"/>
          <w:b/>
          <w:bCs/>
          <w:color w:val="auto"/>
          <w:sz w:val="24"/>
          <w:szCs w:val="24"/>
        </w:rPr>
        <w:t>项目总体要求</w:t>
      </w:r>
    </w:p>
    <w:p w14:paraId="7C0CAE03">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w:t>
      </w:r>
      <w:r>
        <w:rPr>
          <w:rFonts w:hint="eastAsia" w:cs="Times New Roman"/>
          <w:b/>
          <w:bCs/>
          <w:color w:val="auto"/>
          <w:sz w:val="24"/>
          <w:szCs w:val="24"/>
        </w:rPr>
        <w:t>工期要求</w:t>
      </w:r>
    </w:p>
    <w:p w14:paraId="6451CB84">
      <w:pPr>
        <w:spacing w:line="360" w:lineRule="auto"/>
        <w:ind w:firstLine="482"/>
        <w:rPr>
          <w:rFonts w:hint="eastAsia" w:cs="Times New Roman"/>
          <w:color w:val="auto"/>
          <w:sz w:val="24"/>
          <w:szCs w:val="24"/>
        </w:rPr>
      </w:pPr>
      <w:r>
        <w:rPr>
          <w:rFonts w:hint="eastAsia" w:cs="Times New Roman"/>
          <w:color w:val="auto"/>
          <w:sz w:val="24"/>
          <w:szCs w:val="24"/>
        </w:rPr>
        <w:t>在考虑医院实际信息化水平及医院整体需求的基础上并结合医院信息系统实施客观规律，整体项目实施能够划分成多个阶段进行，以保障项目的平稳实施。要求中标人从整体项目实施角度出发，保证质量控制实施周期，必须在合同签订后软件部分</w:t>
      </w:r>
      <w:r>
        <w:rPr>
          <w:rFonts w:hint="eastAsia" w:cs="Times New Roman"/>
          <w:color w:val="auto"/>
          <w:sz w:val="24"/>
          <w:szCs w:val="24"/>
          <w:lang w:val="en-US" w:eastAsia="zh-CN"/>
        </w:rPr>
        <w:t>在</w:t>
      </w:r>
      <w:r>
        <w:rPr>
          <w:rFonts w:hint="eastAsia" w:cs="Times New Roman"/>
          <w:color w:val="auto"/>
          <w:sz w:val="24"/>
          <w:szCs w:val="24"/>
        </w:rPr>
        <w:t xml:space="preserve"> 6 个月内完成主体框架上线（由第三方监理公司监督实施过程），并完成 1 期项目的验收。本项目将充分按照 “以评促建”的核心理念，通过本项目的建设，医院的整体信息系统建设水平能够达到电子病历系统应用水平分级评价 4 级并拓展至 5 级，医院信息互联互通标准化成熟度 4 级甲等，初步达到智慧医院评价标准，医院综合能力能够达到三级中医医院的建设要求。</w:t>
      </w:r>
    </w:p>
    <w:p w14:paraId="4A022A3F">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2、</w:t>
      </w:r>
      <w:r>
        <w:rPr>
          <w:rFonts w:hint="eastAsia" w:cs="Times New Roman"/>
          <w:b/>
          <w:bCs/>
          <w:color w:val="auto"/>
          <w:sz w:val="24"/>
          <w:szCs w:val="24"/>
        </w:rPr>
        <w:t>先进性要求</w:t>
      </w:r>
    </w:p>
    <w:p w14:paraId="493C88B4">
      <w:pPr>
        <w:spacing w:line="360" w:lineRule="auto"/>
        <w:ind w:firstLine="482"/>
        <w:rPr>
          <w:rFonts w:hint="eastAsia" w:cs="Times New Roman"/>
          <w:color w:val="auto"/>
          <w:sz w:val="24"/>
          <w:szCs w:val="24"/>
        </w:rPr>
      </w:pPr>
      <w:r>
        <w:rPr>
          <w:rFonts w:hint="eastAsia" w:cs="Times New Roman"/>
          <w:color w:val="auto"/>
          <w:sz w:val="24"/>
          <w:szCs w:val="24"/>
        </w:rPr>
        <w:t>必须充分考虑医疗行业发展趋势，采用先进的体系结构和软硬件技术，满 足目前 4 级电子病历系统、4 级甲等互联互通、智慧医院三级、医共体建设、 三级中医医院评审测评要求、且还能够满足将来相当一段时间对系统的需求。 从而达到既满足医疗机构或组织应用整合现阶段工作对系统水平和能力的要求，推动计算机应用向更高级阶段发展，又能够在今后数年内保持其技术的先进性 和实用性，从而保护投资的有效性。</w:t>
      </w:r>
    </w:p>
    <w:p w14:paraId="606370F2">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3、整体架构要求</w:t>
      </w:r>
    </w:p>
    <w:p w14:paraId="3F6874DD">
      <w:pPr>
        <w:spacing w:line="360" w:lineRule="auto"/>
        <w:ind w:firstLine="482"/>
        <w:rPr>
          <w:rFonts w:hint="eastAsia" w:cs="Times New Roman"/>
          <w:color w:val="auto"/>
          <w:sz w:val="24"/>
          <w:szCs w:val="24"/>
        </w:rPr>
      </w:pPr>
      <w:r>
        <w:rPr>
          <w:rFonts w:hint="eastAsia" w:cs="Times New Roman"/>
          <w:color w:val="auto"/>
          <w:sz w:val="24"/>
          <w:szCs w:val="24"/>
        </w:rPr>
        <w:t>整体架构规划设计能够满足医院未来三到五年的医院信息化建设需求，能 够采用国际主流 SOA 架构，采用分布式、多层次和松耦合结构。通过制定全院 的数据标准、传输标准、安全体系，对医院的各个业务系统进行流程梳理并提 出相应的改造建议，完成符合国家标准、共享交换、安全体系。从而实现 5 级 电子病历测评中面向患者、面向医护及面向管理部门的多维度应用要求，体现 病人服务精细化，以病人为中心，面向病人优化业务流程，加强病人就诊体验，提升医院整体服务质量。</w:t>
      </w:r>
    </w:p>
    <w:p w14:paraId="0D3787DF">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4、</w:t>
      </w:r>
      <w:r>
        <w:rPr>
          <w:rFonts w:hint="eastAsia" w:cs="Times New Roman"/>
          <w:b/>
          <w:bCs/>
          <w:color w:val="auto"/>
          <w:sz w:val="24"/>
          <w:szCs w:val="24"/>
        </w:rPr>
        <w:t>交互标准要求</w:t>
      </w:r>
    </w:p>
    <w:p w14:paraId="5D03B8FE">
      <w:pPr>
        <w:spacing w:line="360" w:lineRule="auto"/>
        <w:ind w:firstLine="482"/>
        <w:rPr>
          <w:rFonts w:hint="eastAsia" w:cs="Times New Roman"/>
          <w:color w:val="auto"/>
          <w:sz w:val="24"/>
          <w:szCs w:val="24"/>
        </w:rPr>
      </w:pPr>
      <w:r>
        <w:rPr>
          <w:rFonts w:hint="eastAsia" w:cs="Times New Roman"/>
          <w:color w:val="auto"/>
          <w:sz w:val="24"/>
          <w:szCs w:val="24"/>
        </w:rPr>
        <w:t>本次医院信息化建设项目，借助电子病历 4 级、互联互通四级甲等测评的契机，不断深化和完善医院标准化交互体系、开放性设计，在数据通信协议、数据标准、数据库系统、应用界面开发、接口设计等方面采用开放性设计，支持 XML、SOAP、WebServices 等当前受到普遍支持的开放标准，从生产系统、分析系统、接口交换等各层面都能够产生并使用标准化的数据和消息，将医院所有信息系统以灵活的方式进行互联互通。</w:t>
      </w:r>
    </w:p>
    <w:p w14:paraId="07B32D59">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5、</w:t>
      </w:r>
      <w:r>
        <w:rPr>
          <w:rFonts w:hint="eastAsia" w:cs="Times New Roman"/>
          <w:b/>
          <w:bCs/>
          <w:color w:val="auto"/>
          <w:sz w:val="24"/>
          <w:szCs w:val="24"/>
        </w:rPr>
        <w:t>业务流程要求</w:t>
      </w:r>
    </w:p>
    <w:p w14:paraId="2EF51EF4">
      <w:pPr>
        <w:spacing w:line="360" w:lineRule="auto"/>
        <w:ind w:firstLine="482"/>
        <w:rPr>
          <w:rFonts w:hint="eastAsia" w:cs="Times New Roman"/>
          <w:color w:val="auto"/>
          <w:sz w:val="24"/>
          <w:szCs w:val="24"/>
        </w:rPr>
      </w:pPr>
      <w:r>
        <w:rPr>
          <w:rFonts w:hint="eastAsia" w:cs="Times New Roman"/>
          <w:color w:val="auto"/>
          <w:sz w:val="24"/>
          <w:szCs w:val="24"/>
        </w:rPr>
        <w:t>协助医院通过电子病历系统应用水平分级评价 4 级、互联互通 4 甲测评。</w:t>
      </w:r>
    </w:p>
    <w:p w14:paraId="6CD97BE3">
      <w:pPr>
        <w:spacing w:line="360" w:lineRule="auto"/>
        <w:ind w:firstLine="482"/>
        <w:rPr>
          <w:rFonts w:hint="eastAsia" w:cs="Times New Roman"/>
          <w:color w:val="auto"/>
          <w:sz w:val="24"/>
          <w:szCs w:val="24"/>
        </w:rPr>
      </w:pPr>
      <w:r>
        <w:rPr>
          <w:rFonts w:hint="eastAsia" w:cs="Times New Roman"/>
          <w:color w:val="auto"/>
          <w:sz w:val="24"/>
          <w:szCs w:val="24"/>
        </w:rPr>
        <w:t>投标人应通过本次项目建设，可扩展支撑 5 级电子病历系统测评过程中的各项闭环流程要求，实现临床信息系统以安全与质量为核心实现闭环管理。可扩展支撑 5 级电子病历系统测评过程中的各项结构化病历应用，能够给医生提供更全面的诊断依据，减少医疗差错的发生概率，使医疗工作更为规范。</w:t>
      </w:r>
    </w:p>
    <w:p w14:paraId="66F8EBC4">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6、</w:t>
      </w:r>
      <w:r>
        <w:rPr>
          <w:rFonts w:hint="eastAsia" w:cs="Times New Roman"/>
          <w:b/>
          <w:bCs/>
          <w:color w:val="auto"/>
          <w:sz w:val="24"/>
          <w:szCs w:val="24"/>
        </w:rPr>
        <w:t>基础设施要求</w:t>
      </w:r>
    </w:p>
    <w:p w14:paraId="10E31243">
      <w:pPr>
        <w:spacing w:line="360" w:lineRule="auto"/>
        <w:ind w:firstLine="482"/>
        <w:rPr>
          <w:rFonts w:hint="eastAsia" w:cs="Times New Roman"/>
          <w:color w:val="auto"/>
          <w:sz w:val="24"/>
          <w:szCs w:val="24"/>
        </w:rPr>
      </w:pPr>
      <w:r>
        <w:rPr>
          <w:rFonts w:hint="eastAsia" w:cs="Times New Roman"/>
          <w:color w:val="auto"/>
          <w:sz w:val="24"/>
          <w:szCs w:val="24"/>
        </w:rPr>
        <w:t>符合电子病历 4 级测评、互联互通四级甲等测评中基础设施与安全管控要 求。从网络安全、运维制度、服务器时间一致管理、数据审查机制、灾难恢复、数据备份等维度支撑。</w:t>
      </w:r>
    </w:p>
    <w:p w14:paraId="41D9A4A1">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7、</w:t>
      </w:r>
      <w:r>
        <w:rPr>
          <w:rFonts w:hint="eastAsia" w:cs="Times New Roman"/>
          <w:b/>
          <w:bCs/>
          <w:color w:val="auto"/>
          <w:sz w:val="24"/>
          <w:szCs w:val="24"/>
        </w:rPr>
        <w:t>个性化改造要求</w:t>
      </w:r>
    </w:p>
    <w:p w14:paraId="0635EBF1">
      <w:pPr>
        <w:spacing w:line="360" w:lineRule="auto"/>
        <w:ind w:firstLine="482"/>
        <w:rPr>
          <w:rFonts w:hint="eastAsia" w:cs="Times New Roman"/>
          <w:color w:val="auto"/>
          <w:sz w:val="24"/>
          <w:szCs w:val="24"/>
        </w:rPr>
      </w:pPr>
      <w:r>
        <w:rPr>
          <w:rFonts w:hint="eastAsia" w:cs="Times New Roman"/>
          <w:color w:val="auto"/>
          <w:sz w:val="24"/>
          <w:szCs w:val="24"/>
        </w:rPr>
        <w:t>本次项目是医院的顶层设计项目，项目的建设将支撑医院三到五年的信息化发展。项目开展过程中会涉及部分个性化的业务流程，如果存在与投标人产品流程不符的情况下，投标人承诺能够根据医院的实际业务流程、评估个性化开发工作量，为医院提供进行个性化需求的定制与改造。</w:t>
      </w:r>
    </w:p>
    <w:p w14:paraId="1E5F8C74">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8、</w:t>
      </w:r>
      <w:r>
        <w:rPr>
          <w:rFonts w:hint="eastAsia" w:cs="Times New Roman"/>
          <w:b/>
          <w:bCs/>
          <w:color w:val="auto"/>
          <w:sz w:val="24"/>
          <w:szCs w:val="24"/>
        </w:rPr>
        <w:t>信创要求</w:t>
      </w:r>
    </w:p>
    <w:p w14:paraId="502F5020">
      <w:pPr>
        <w:spacing w:line="360" w:lineRule="auto"/>
        <w:ind w:firstLine="482"/>
        <w:rPr>
          <w:rFonts w:hint="eastAsia" w:cs="Times New Roman"/>
          <w:color w:val="auto"/>
          <w:sz w:val="24"/>
          <w:szCs w:val="24"/>
        </w:rPr>
      </w:pPr>
      <w:r>
        <w:rPr>
          <w:rFonts w:hint="eastAsia" w:cs="Times New Roman"/>
          <w:color w:val="auto"/>
          <w:sz w:val="24"/>
          <w:szCs w:val="24"/>
        </w:rPr>
        <w:t>根据卫健委联合多部门出台的信创工作实施方案通知中明确要求，信创医院在2027年底前完成信创升级工作。通知明确要求医院应用软件分为: 1、诊疗核心业务系统(HIS、EMR、LIS、PACS、RIS 等)，暂不全面实施信创工作，但要求完成信创潜在方案评估;2、支撑诊疗的外围业务系统(如 CDR、ODR、互联网医院、远程诊疗等)，除部分与核心诊疗业务系统交互的功能模块。经论证后可保留使用非信创技术，其余部分应进行信创改造; 3、与诊疗无关的业务应用系统(OA、网站、邮件、财务、后勤、安防、教学、HRP 等)应全部完成信创升级。</w:t>
      </w:r>
    </w:p>
    <w:p w14:paraId="5DD20610">
      <w:pPr>
        <w:spacing w:line="360" w:lineRule="auto"/>
        <w:ind w:firstLine="482"/>
        <w:rPr>
          <w:rFonts w:hint="eastAsia" w:cs="Times New Roman"/>
          <w:color w:val="auto"/>
          <w:sz w:val="24"/>
          <w:szCs w:val="24"/>
        </w:rPr>
      </w:pPr>
      <w:r>
        <w:rPr>
          <w:rFonts w:hint="eastAsia" w:cs="Times New Roman"/>
          <w:color w:val="auto"/>
          <w:sz w:val="24"/>
          <w:szCs w:val="24"/>
        </w:rPr>
        <w:t>上述政策要求医院在建设和升级应用系统时，须严格遵守以下几点信创工作要求：1、医院在采购选择新建应用系统时，不管是诊疗核心业务系统，还是诊疗外围支撑业务系统，或者是与诊疗无关的应用系统必须选择符合信创技术要求的产品，即非信创产品不得入围;2、原有不符合信创技术要求的诊疗外围支撑应用业务系统和与诊疗无关的应用系统必须进行重新翻新，即更换为符合信创技术要求的产品;3、应用系统架构上要求选择 JAVA 开发的产品。</w:t>
      </w:r>
    </w:p>
    <w:p w14:paraId="31D6E17F">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9、</w:t>
      </w:r>
      <w:r>
        <w:rPr>
          <w:rFonts w:hint="eastAsia" w:cs="Times New Roman"/>
          <w:b/>
          <w:bCs/>
          <w:color w:val="auto"/>
          <w:sz w:val="24"/>
          <w:szCs w:val="24"/>
        </w:rPr>
        <w:t>等保要求</w:t>
      </w:r>
    </w:p>
    <w:p w14:paraId="0196589E">
      <w:pPr>
        <w:spacing w:line="360" w:lineRule="auto"/>
        <w:ind w:firstLine="482"/>
        <w:rPr>
          <w:rFonts w:hint="eastAsia" w:cs="Times New Roman"/>
          <w:color w:val="auto"/>
          <w:sz w:val="24"/>
          <w:szCs w:val="24"/>
        </w:rPr>
      </w:pPr>
      <w:r>
        <w:rPr>
          <w:rFonts w:hint="eastAsia" w:cs="Times New Roman"/>
          <w:color w:val="auto"/>
          <w:sz w:val="24"/>
          <w:szCs w:val="24"/>
        </w:rPr>
        <w:t>等保是指对信息和信息载体按照重要性等级分级别进行保护的一种工作，广泛应用于中国、美国等很多国家的信息安全领域。在中国，信息安全等级保护包括涉及到该工作的标准、产品、系统、信息等均依据等级保护思想的安全工作。狭义上，信息安全等级保护主要指信息系统安全等级保护，其保护工作一般包括定级、备案、安全建设和整改、信息安全等级测评、信息安全检查五个阶段。</w:t>
      </w:r>
    </w:p>
    <w:p w14:paraId="30D4177B">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10、</w:t>
      </w:r>
      <w:r>
        <w:rPr>
          <w:rFonts w:hint="eastAsia" w:cs="Times New Roman"/>
          <w:b/>
          <w:bCs/>
          <w:color w:val="auto"/>
          <w:sz w:val="24"/>
          <w:szCs w:val="24"/>
        </w:rPr>
        <w:t>软件正版及数据库使用许可要求</w:t>
      </w:r>
    </w:p>
    <w:p w14:paraId="37B3CBC5">
      <w:pPr>
        <w:spacing w:line="360" w:lineRule="auto"/>
        <w:ind w:firstLine="482"/>
        <w:rPr>
          <w:rFonts w:hint="eastAsia" w:cs="Times New Roman"/>
          <w:color w:val="auto"/>
          <w:sz w:val="24"/>
          <w:szCs w:val="24"/>
          <w:highlight w:val="yellow"/>
        </w:rPr>
      </w:pPr>
      <w:r>
        <w:rPr>
          <w:rFonts w:hint="eastAsia" w:cs="Times New Roman"/>
          <w:color w:val="auto"/>
          <w:sz w:val="24"/>
          <w:szCs w:val="24"/>
          <w:highlight w:val="yellow"/>
        </w:rPr>
        <w:t>我院此次信息化建设项目涉及的软件（含操作系统及数据库等）投标人承诺本次投标软件及数据库为正版，并提供承诺函。</w:t>
      </w:r>
    </w:p>
    <w:p w14:paraId="58208FC9">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11、</w:t>
      </w:r>
      <w:r>
        <w:rPr>
          <w:rFonts w:hint="eastAsia" w:cs="Times New Roman"/>
          <w:b/>
          <w:bCs/>
          <w:color w:val="auto"/>
          <w:sz w:val="24"/>
          <w:szCs w:val="24"/>
        </w:rPr>
        <w:t>维保服务</w:t>
      </w:r>
    </w:p>
    <w:p w14:paraId="4C0195F2">
      <w:pPr>
        <w:spacing w:line="360" w:lineRule="auto"/>
        <w:ind w:firstLine="482"/>
        <w:rPr>
          <w:rFonts w:hint="eastAsia" w:cs="Times New Roman"/>
          <w:color w:val="auto"/>
          <w:sz w:val="24"/>
          <w:szCs w:val="24"/>
        </w:rPr>
      </w:pPr>
      <w:r>
        <w:rPr>
          <w:rFonts w:hint="eastAsia" w:cs="Times New Roman"/>
          <w:color w:val="auto"/>
          <w:sz w:val="24"/>
          <w:szCs w:val="24"/>
        </w:rPr>
        <w:t>进入维保期后，维保费不超过总合同金额的 5.5%。</w:t>
      </w:r>
    </w:p>
    <w:p w14:paraId="62AA3040">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12、</w:t>
      </w:r>
      <w:r>
        <w:rPr>
          <w:rFonts w:hint="eastAsia" w:cs="Times New Roman"/>
          <w:b/>
          <w:bCs/>
          <w:color w:val="auto"/>
          <w:sz w:val="24"/>
          <w:szCs w:val="24"/>
        </w:rPr>
        <w:t>接口服务</w:t>
      </w:r>
    </w:p>
    <w:p w14:paraId="3FC31713">
      <w:pPr>
        <w:spacing w:line="360" w:lineRule="auto"/>
        <w:ind w:firstLine="482"/>
        <w:rPr>
          <w:rFonts w:hint="eastAsia" w:cs="Times New Roman"/>
          <w:color w:val="auto"/>
          <w:sz w:val="24"/>
          <w:szCs w:val="24"/>
        </w:rPr>
      </w:pPr>
      <w:r>
        <w:rPr>
          <w:rFonts w:hint="eastAsia" w:cs="Times New Roman"/>
          <w:color w:val="auto"/>
          <w:sz w:val="24"/>
          <w:szCs w:val="24"/>
        </w:rPr>
        <w:t>要求供应商供应的产品提供的产品所有接口保证 3 年使用期内满足医院业务需求及免费对接（包含接口升级等），维保期内免费升级。</w:t>
      </w:r>
      <w:r>
        <w:rPr>
          <w:rFonts w:hint="eastAsia" w:cs="Times New Roman"/>
          <w:color w:val="auto"/>
          <w:sz w:val="24"/>
          <w:szCs w:val="24"/>
          <w:lang w:val="en-US" w:eastAsia="zh-CN"/>
        </w:rPr>
        <w:t>时间自系统上线通过验收之日起计算，</w:t>
      </w:r>
      <w:r>
        <w:rPr>
          <w:rFonts w:hint="eastAsia" w:cs="Times New Roman"/>
          <w:color w:val="auto"/>
          <w:sz w:val="24"/>
          <w:szCs w:val="24"/>
        </w:rPr>
        <w:t>提供承诺函。</w:t>
      </w:r>
    </w:p>
    <w:p w14:paraId="18B88FAA">
      <w:pPr>
        <w:spacing w:line="360" w:lineRule="auto"/>
        <w:ind w:firstLine="482"/>
        <w:rPr>
          <w:rFonts w:hint="eastAsia" w:cs="Times New Roman"/>
          <w:color w:val="auto"/>
          <w:sz w:val="24"/>
          <w:szCs w:val="24"/>
        </w:rPr>
      </w:pPr>
      <w:r>
        <w:rPr>
          <w:rFonts w:hint="eastAsia" w:cs="Times New Roman"/>
          <w:color w:val="auto"/>
          <w:sz w:val="24"/>
          <w:szCs w:val="24"/>
        </w:rPr>
        <w:t>维保期内免费升级，如后期第三方软件公司需接入或抓取数据，涉及到接口工作量的，工作量不大，乙方不再收取费用，维保期外增加新的接口如确实工作量较大，可与甲方协商收取一定的费用，院内系统接口原则上限价 3 万。</w:t>
      </w:r>
    </w:p>
    <w:p w14:paraId="6F834FD6">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13、</w:t>
      </w:r>
      <w:r>
        <w:rPr>
          <w:rFonts w:hint="eastAsia" w:cs="Times New Roman"/>
          <w:b/>
          <w:bCs/>
          <w:color w:val="auto"/>
          <w:sz w:val="24"/>
          <w:szCs w:val="24"/>
        </w:rPr>
        <w:t>软件服务</w:t>
      </w:r>
    </w:p>
    <w:p w14:paraId="26DE7B09">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1</w:t>
      </w:r>
      <w:r>
        <w:rPr>
          <w:rFonts w:hint="eastAsia" w:cs="Times New Roman"/>
          <w:b/>
          <w:bCs/>
          <w:color w:val="auto"/>
          <w:sz w:val="24"/>
          <w:szCs w:val="24"/>
          <w:lang w:eastAsia="zh-CN"/>
        </w:rPr>
        <w:t>）</w:t>
      </w:r>
      <w:r>
        <w:rPr>
          <w:rFonts w:hint="eastAsia" w:cs="Times New Roman"/>
          <w:b/>
          <w:bCs/>
          <w:color w:val="auto"/>
          <w:sz w:val="24"/>
          <w:szCs w:val="24"/>
        </w:rPr>
        <w:t>驻场服务</w:t>
      </w:r>
    </w:p>
    <w:p w14:paraId="4A0B1C5C">
      <w:pPr>
        <w:spacing w:line="360" w:lineRule="auto"/>
        <w:ind w:firstLine="482"/>
        <w:rPr>
          <w:rFonts w:hint="eastAsia" w:cs="Times New Roman"/>
          <w:color w:val="auto"/>
          <w:sz w:val="24"/>
          <w:szCs w:val="24"/>
        </w:rPr>
      </w:pPr>
      <w:r>
        <w:rPr>
          <w:rFonts w:hint="eastAsia" w:cs="Times New Roman"/>
          <w:color w:val="auto"/>
          <w:sz w:val="24"/>
          <w:szCs w:val="24"/>
        </w:rPr>
        <w:t>驻场服务要求3人，免费质保期为三年，质保期自甲、乙双方代表在项目验收单上签字之日起开始计算，工作经验要求，中标人需派3名相关人员提供全天24小时驻场技术服务，包括1名项目经理，1名开发人员及1名实施人员，这些人员必须拥有丰富的项目技术服务经验和能力（不少于3年的工作经验），并来自项目核心团队，以确保服务的连续性和质量。</w:t>
      </w:r>
    </w:p>
    <w:p w14:paraId="670A3214">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2</w:t>
      </w:r>
      <w:r>
        <w:rPr>
          <w:rFonts w:hint="eastAsia" w:cs="Times New Roman"/>
          <w:b/>
          <w:bCs/>
          <w:color w:val="auto"/>
          <w:sz w:val="24"/>
          <w:szCs w:val="24"/>
          <w:lang w:eastAsia="zh-CN"/>
        </w:rPr>
        <w:t>）</w:t>
      </w:r>
      <w:r>
        <w:rPr>
          <w:rFonts w:hint="eastAsia" w:cs="Times New Roman"/>
          <w:b/>
          <w:bCs/>
          <w:color w:val="auto"/>
          <w:sz w:val="24"/>
          <w:szCs w:val="24"/>
        </w:rPr>
        <w:t>售后要求</w:t>
      </w:r>
    </w:p>
    <w:p w14:paraId="4AE9FEAC">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①</w:t>
      </w:r>
      <w:r>
        <w:rPr>
          <w:rFonts w:hint="eastAsia" w:cs="Times New Roman"/>
          <w:color w:val="auto"/>
          <w:sz w:val="24"/>
          <w:szCs w:val="24"/>
        </w:rPr>
        <w:t>软件产品质保期为</w:t>
      </w:r>
      <w:r>
        <w:rPr>
          <w:rFonts w:hint="eastAsia" w:cs="Times New Roman"/>
          <w:color w:val="auto"/>
          <w:sz w:val="24"/>
          <w:szCs w:val="24"/>
          <w:lang w:val="en-US" w:eastAsia="zh-CN"/>
        </w:rPr>
        <w:t>三</w:t>
      </w:r>
      <w:r>
        <w:rPr>
          <w:rFonts w:hint="eastAsia" w:cs="Times New Roman"/>
          <w:color w:val="auto"/>
          <w:sz w:val="24"/>
          <w:szCs w:val="24"/>
        </w:rPr>
        <w:t>年。质保期自甲、乙双方代表在项目验收单上签字之日起开始计算。</w:t>
      </w:r>
    </w:p>
    <w:p w14:paraId="4FC88338">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②</w:t>
      </w:r>
      <w:r>
        <w:rPr>
          <w:rFonts w:hint="eastAsia" w:cs="Times New Roman"/>
          <w:color w:val="auto"/>
          <w:sz w:val="24"/>
          <w:szCs w:val="24"/>
        </w:rPr>
        <w:t>供应商应保证在质保期间提供至少</w:t>
      </w:r>
      <w:r>
        <w:rPr>
          <w:rFonts w:hint="eastAsia" w:cs="Times New Roman"/>
          <w:color w:val="auto"/>
          <w:sz w:val="24"/>
          <w:szCs w:val="24"/>
          <w:lang w:eastAsia="zh-CN"/>
        </w:rPr>
        <w:t>3</w:t>
      </w:r>
      <w:r>
        <w:rPr>
          <w:rFonts w:hint="eastAsia" w:cs="Times New Roman"/>
          <w:color w:val="auto"/>
          <w:sz w:val="24"/>
          <w:szCs w:val="24"/>
        </w:rPr>
        <w:t>名驻场技术服务人员，包括1名项目经理、</w:t>
      </w:r>
      <w:r>
        <w:rPr>
          <w:rFonts w:hint="eastAsia" w:cs="Times New Roman"/>
          <w:color w:val="auto"/>
          <w:sz w:val="24"/>
          <w:szCs w:val="24"/>
          <w:lang w:eastAsia="zh-CN"/>
        </w:rPr>
        <w:t>1</w:t>
      </w:r>
      <w:r>
        <w:rPr>
          <w:rFonts w:hint="eastAsia" w:cs="Times New Roman"/>
          <w:color w:val="auto"/>
          <w:sz w:val="24"/>
          <w:szCs w:val="24"/>
        </w:rPr>
        <w:t>名开发人员及</w:t>
      </w:r>
      <w:r>
        <w:rPr>
          <w:rFonts w:hint="eastAsia" w:cs="Times New Roman"/>
          <w:color w:val="auto"/>
          <w:sz w:val="24"/>
          <w:szCs w:val="24"/>
          <w:lang w:eastAsia="zh-CN"/>
        </w:rPr>
        <w:t>1</w:t>
      </w:r>
      <w:r>
        <w:rPr>
          <w:rFonts w:hint="eastAsia" w:cs="Times New Roman"/>
          <w:color w:val="auto"/>
          <w:sz w:val="24"/>
          <w:szCs w:val="24"/>
        </w:rPr>
        <w:t>名实施人员。这些人员必须拥有丰富的项目技术服务经验和能力，并来自项目核心团队，以确保服务的连续性和质量。需明确各技术人员的职责，以便用户沟通并协助制定系统操作规章制度。</w:t>
      </w:r>
    </w:p>
    <w:p w14:paraId="0F1CFA3B">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③</w:t>
      </w:r>
      <w:r>
        <w:rPr>
          <w:rFonts w:hint="eastAsia" w:cs="Times New Roman"/>
          <w:color w:val="auto"/>
          <w:sz w:val="24"/>
          <w:szCs w:val="24"/>
        </w:rPr>
        <w:t>供应商应在质保期过期前三个月内与医院接洽商讨，并在质保期过期前签订下一期的技术售后服务合同，保障技术售后服务的连续性，售后服务费用按照双方协议价格收取。如本合同到期后，因客观因素导致尚未签订新一年采购合同，乙方应在合理期间内保证在甲方签订新合同前持续提供服务，直至新合同签订为止。</w:t>
      </w:r>
    </w:p>
    <w:p w14:paraId="456C57C1">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④</w:t>
      </w:r>
      <w:r>
        <w:rPr>
          <w:rFonts w:hint="eastAsia" w:cs="Times New Roman"/>
          <w:color w:val="auto"/>
          <w:sz w:val="24"/>
          <w:szCs w:val="24"/>
        </w:rPr>
        <w:t>在质保期内，供应商须无偿提供本次采购的软件系统与医院现有系统间的对接服务，期间内若医院更换任何系统，供应商不得收取额外接口费用。</w:t>
      </w:r>
    </w:p>
    <w:p w14:paraId="5AA0C101">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⑤</w:t>
      </w:r>
      <w:r>
        <w:rPr>
          <w:rFonts w:hint="eastAsia" w:cs="Times New Roman"/>
          <w:color w:val="auto"/>
          <w:sz w:val="24"/>
          <w:szCs w:val="24"/>
        </w:rPr>
        <w:t>软件产品质保期内，供应商应提供系统扩充、升级方面的技术支持服务。</w:t>
      </w:r>
    </w:p>
    <w:p w14:paraId="23A180E7">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⑥</w:t>
      </w:r>
      <w:r>
        <w:rPr>
          <w:rFonts w:hint="eastAsia" w:cs="Times New Roman"/>
          <w:color w:val="auto"/>
          <w:sz w:val="24"/>
          <w:szCs w:val="24"/>
        </w:rPr>
        <w:t>供应商应该在项目的实施过程中提供软件支持的服务，这些服务应该包括:</w:t>
      </w:r>
    </w:p>
    <w:p w14:paraId="68298C2A">
      <w:pPr>
        <w:spacing w:line="360" w:lineRule="auto"/>
        <w:ind w:firstLine="482"/>
        <w:rPr>
          <w:rFonts w:hint="eastAsia" w:cs="Times New Roman"/>
          <w:color w:val="auto"/>
          <w:sz w:val="24"/>
          <w:szCs w:val="24"/>
        </w:rPr>
      </w:pPr>
      <w:r>
        <w:rPr>
          <w:rFonts w:hint="eastAsia" w:cs="Times New Roman"/>
          <w:color w:val="auto"/>
          <w:sz w:val="24"/>
          <w:szCs w:val="24"/>
        </w:rPr>
        <w:t>◆对影响到应用系统平稳作业的问题解答与分析，并提出解决方案;</w:t>
      </w:r>
    </w:p>
    <w:p w14:paraId="5676E90B">
      <w:pPr>
        <w:spacing w:line="360" w:lineRule="auto"/>
        <w:ind w:firstLine="482"/>
        <w:rPr>
          <w:rFonts w:hint="eastAsia" w:cs="Times New Roman"/>
          <w:color w:val="auto"/>
          <w:sz w:val="24"/>
          <w:szCs w:val="24"/>
        </w:rPr>
      </w:pPr>
      <w:r>
        <w:rPr>
          <w:rFonts w:hint="eastAsia" w:cs="Times New Roman"/>
          <w:color w:val="auto"/>
          <w:sz w:val="24"/>
          <w:szCs w:val="24"/>
        </w:rPr>
        <w:t>◆定期进行程序错误的修改、维护、实施;</w:t>
      </w:r>
    </w:p>
    <w:p w14:paraId="2C090A0E">
      <w:pPr>
        <w:spacing w:line="360" w:lineRule="auto"/>
        <w:ind w:firstLine="482"/>
        <w:rPr>
          <w:rFonts w:hint="eastAsia" w:cs="Times New Roman"/>
          <w:color w:val="auto"/>
          <w:sz w:val="24"/>
          <w:szCs w:val="24"/>
        </w:rPr>
      </w:pPr>
      <w:r>
        <w:rPr>
          <w:rFonts w:hint="eastAsia" w:cs="Times New Roman"/>
          <w:color w:val="auto"/>
          <w:sz w:val="24"/>
          <w:szCs w:val="24"/>
        </w:rPr>
        <w:t>◆信息系统的服务关联到软硬件的各个方面，因此必须对所有相关的变化进行实时的更新;</w:t>
      </w:r>
    </w:p>
    <w:p w14:paraId="5965D4A8">
      <w:pPr>
        <w:spacing w:line="360" w:lineRule="auto"/>
        <w:ind w:firstLine="482"/>
        <w:rPr>
          <w:rFonts w:hint="eastAsia" w:cs="Times New Roman"/>
          <w:color w:val="auto"/>
          <w:sz w:val="24"/>
          <w:szCs w:val="24"/>
        </w:rPr>
      </w:pPr>
      <w:r>
        <w:rPr>
          <w:rFonts w:hint="eastAsia" w:cs="Times New Roman"/>
          <w:color w:val="auto"/>
          <w:sz w:val="24"/>
          <w:szCs w:val="24"/>
        </w:rPr>
        <w:t>◆对所有的维护活动进行记录，并形成规范的文档，例如记录时间、地点、原因等，最后还要注明完成的时间和人员.</w:t>
      </w:r>
    </w:p>
    <w:p w14:paraId="1C5EA246">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⑦</w:t>
      </w:r>
      <w:r>
        <w:rPr>
          <w:rFonts w:hint="eastAsia" w:cs="Times New Roman"/>
          <w:color w:val="auto"/>
          <w:sz w:val="24"/>
          <w:szCs w:val="24"/>
        </w:rPr>
        <w:t>供应商应提供系统的维护服务，维护服务包含但不局限于以下几点:</w:t>
      </w:r>
    </w:p>
    <w:p w14:paraId="12FD588F">
      <w:pPr>
        <w:spacing w:line="360" w:lineRule="auto"/>
        <w:ind w:firstLine="482"/>
        <w:rPr>
          <w:rFonts w:hint="eastAsia" w:cs="Times New Roman"/>
          <w:color w:val="auto"/>
          <w:sz w:val="24"/>
          <w:szCs w:val="24"/>
        </w:rPr>
      </w:pPr>
      <w:r>
        <w:rPr>
          <w:rFonts w:hint="eastAsia" w:cs="Times New Roman"/>
          <w:color w:val="auto"/>
          <w:sz w:val="24"/>
          <w:szCs w:val="24"/>
        </w:rPr>
        <w:t>◆管理、维护系统以及与其他系统的接口;</w:t>
      </w:r>
    </w:p>
    <w:p w14:paraId="3F87EB1F">
      <w:pPr>
        <w:spacing w:line="360" w:lineRule="auto"/>
        <w:ind w:firstLine="482"/>
        <w:rPr>
          <w:rFonts w:hint="eastAsia" w:cs="Times New Roman"/>
          <w:color w:val="auto"/>
          <w:sz w:val="24"/>
          <w:szCs w:val="24"/>
        </w:rPr>
      </w:pPr>
      <w:r>
        <w:rPr>
          <w:rFonts w:hint="eastAsia" w:cs="Times New Roman"/>
          <w:color w:val="auto"/>
          <w:sz w:val="24"/>
          <w:szCs w:val="24"/>
        </w:rPr>
        <w:t>◆问题解答、问题分析、与其他合作方的协作;</w:t>
      </w:r>
    </w:p>
    <w:p w14:paraId="1290E3CB">
      <w:pPr>
        <w:spacing w:line="360" w:lineRule="auto"/>
        <w:ind w:firstLine="482"/>
        <w:rPr>
          <w:rFonts w:hint="eastAsia" w:cs="Times New Roman"/>
          <w:color w:val="auto"/>
          <w:sz w:val="24"/>
          <w:szCs w:val="24"/>
        </w:rPr>
      </w:pPr>
      <w:r>
        <w:rPr>
          <w:rFonts w:hint="eastAsia" w:cs="Times New Roman"/>
          <w:color w:val="auto"/>
          <w:sz w:val="24"/>
          <w:szCs w:val="24"/>
        </w:rPr>
        <w:t>◆修正应用软件的错误；</w:t>
      </w:r>
    </w:p>
    <w:p w14:paraId="2F8C767D">
      <w:pPr>
        <w:spacing w:line="360" w:lineRule="auto"/>
        <w:ind w:firstLine="482"/>
        <w:rPr>
          <w:rFonts w:hint="eastAsia" w:cs="Times New Roman"/>
          <w:color w:val="auto"/>
          <w:sz w:val="24"/>
          <w:szCs w:val="24"/>
        </w:rPr>
      </w:pPr>
      <w:r>
        <w:rPr>
          <w:rFonts w:hint="eastAsia" w:cs="Times New Roman"/>
          <w:color w:val="auto"/>
          <w:sz w:val="24"/>
          <w:szCs w:val="24"/>
        </w:rPr>
        <w:t>◆维护和执行的服务必须满足系统的操作;</w:t>
      </w:r>
    </w:p>
    <w:p w14:paraId="03386DF8">
      <w:pPr>
        <w:spacing w:line="360" w:lineRule="auto"/>
        <w:ind w:firstLine="482"/>
        <w:rPr>
          <w:rFonts w:hint="eastAsia" w:cs="Times New Roman"/>
          <w:color w:val="auto"/>
          <w:sz w:val="24"/>
          <w:szCs w:val="24"/>
        </w:rPr>
      </w:pPr>
      <w:r>
        <w:rPr>
          <w:rFonts w:hint="eastAsia" w:cs="Times New Roman"/>
          <w:color w:val="auto"/>
          <w:sz w:val="24"/>
          <w:szCs w:val="24"/>
        </w:rPr>
        <w:t>◆信息系统的服务是与整个系统相关的，维护服务必须保证系统的一致性与稳定性;</w:t>
      </w:r>
    </w:p>
    <w:p w14:paraId="6D17EAB4">
      <w:pPr>
        <w:spacing w:line="360" w:lineRule="auto"/>
        <w:ind w:firstLine="482"/>
        <w:rPr>
          <w:rFonts w:hint="eastAsia" w:cs="Times New Roman"/>
          <w:color w:val="auto"/>
          <w:sz w:val="24"/>
          <w:szCs w:val="24"/>
        </w:rPr>
      </w:pPr>
      <w:r>
        <w:rPr>
          <w:rFonts w:hint="eastAsia" w:cs="Times New Roman"/>
          <w:color w:val="auto"/>
          <w:sz w:val="24"/>
          <w:szCs w:val="24"/>
        </w:rPr>
        <w:t>◆对医院系统的每一次改变或是升级都必须对需求进行检查;</w:t>
      </w:r>
    </w:p>
    <w:p w14:paraId="36EE272E">
      <w:pPr>
        <w:spacing w:line="360" w:lineRule="auto"/>
        <w:ind w:firstLine="482"/>
        <w:rPr>
          <w:rFonts w:hint="eastAsia" w:cs="Times New Roman"/>
          <w:color w:val="auto"/>
          <w:sz w:val="24"/>
          <w:szCs w:val="24"/>
        </w:rPr>
      </w:pPr>
      <w:r>
        <w:rPr>
          <w:rFonts w:hint="eastAsia" w:cs="Times New Roman"/>
          <w:color w:val="auto"/>
          <w:sz w:val="24"/>
          <w:szCs w:val="24"/>
        </w:rPr>
        <w:t>◆评估并保证建议的解决方案是完全符合目前的操作模式，并对系统的正常运作没有影响，所有的调优或修改建议不能够降低系统操作性能。</w:t>
      </w:r>
    </w:p>
    <w:p w14:paraId="4F2E8EE3">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（3）</w:t>
      </w:r>
      <w:r>
        <w:rPr>
          <w:rFonts w:hint="eastAsia" w:cs="Times New Roman"/>
          <w:b/>
          <w:bCs/>
          <w:color w:val="auto"/>
          <w:sz w:val="24"/>
          <w:szCs w:val="24"/>
        </w:rPr>
        <w:t>软件升级服务</w:t>
      </w:r>
    </w:p>
    <w:p w14:paraId="00A5286C">
      <w:pPr>
        <w:spacing w:line="360" w:lineRule="auto"/>
        <w:ind w:firstLine="482"/>
        <w:rPr>
          <w:rFonts w:hint="eastAsia" w:cs="Times New Roman"/>
          <w:color w:val="auto"/>
          <w:sz w:val="24"/>
          <w:szCs w:val="24"/>
        </w:rPr>
      </w:pPr>
      <w:r>
        <w:rPr>
          <w:rFonts w:hint="eastAsia" w:cs="Times New Roman"/>
          <w:color w:val="auto"/>
          <w:sz w:val="24"/>
          <w:szCs w:val="24"/>
        </w:rPr>
        <w:t>要求中标单位提供最新版本的标准产品，且在3年内免费升级，若采购人3 年使用期后对软件有新的功能需求，费用另行商议。</w:t>
      </w:r>
    </w:p>
    <w:p w14:paraId="38822A6F">
      <w:pPr>
        <w:spacing w:line="360" w:lineRule="auto"/>
        <w:ind w:firstLine="482"/>
        <w:rPr>
          <w:rFonts w:hint="eastAsia" w:cs="Times New Roman"/>
          <w:color w:val="auto"/>
          <w:sz w:val="24"/>
          <w:szCs w:val="24"/>
        </w:rPr>
      </w:pPr>
      <w:r>
        <w:rPr>
          <w:rFonts w:hint="eastAsia" w:cs="Times New Roman"/>
          <w:color w:val="auto"/>
          <w:sz w:val="24"/>
          <w:szCs w:val="24"/>
        </w:rPr>
        <w:t>要求供应商供应的产品需满足 7*24小时质保服务，要求故障 1小时内响应、24 小时内处理。提供承诺函。</w:t>
      </w:r>
    </w:p>
    <w:p w14:paraId="534A9199">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4</w:t>
      </w:r>
      <w:r>
        <w:rPr>
          <w:rFonts w:hint="eastAsia" w:cs="Times New Roman"/>
          <w:b/>
          <w:bCs/>
          <w:color w:val="auto"/>
          <w:sz w:val="24"/>
          <w:szCs w:val="24"/>
          <w:lang w:eastAsia="zh-CN"/>
        </w:rPr>
        <w:t>）</w:t>
      </w:r>
      <w:r>
        <w:rPr>
          <w:rFonts w:hint="eastAsia" w:cs="Times New Roman"/>
          <w:b/>
          <w:bCs/>
          <w:color w:val="auto"/>
          <w:sz w:val="24"/>
          <w:szCs w:val="24"/>
        </w:rPr>
        <w:t>数据服务</w:t>
      </w:r>
    </w:p>
    <w:p w14:paraId="5822A5B1">
      <w:pPr>
        <w:spacing w:line="360" w:lineRule="auto"/>
        <w:ind w:firstLine="482"/>
        <w:rPr>
          <w:rFonts w:hint="eastAsia" w:cs="Times New Roman"/>
          <w:color w:val="auto"/>
          <w:sz w:val="24"/>
          <w:szCs w:val="24"/>
        </w:rPr>
      </w:pPr>
      <w:r>
        <w:rPr>
          <w:rFonts w:hint="eastAsia" w:cs="Times New Roman"/>
          <w:color w:val="auto"/>
          <w:sz w:val="24"/>
          <w:szCs w:val="24"/>
        </w:rPr>
        <w:t>对过渡期原系统维护及历史数据归档导入，满足医院业务需求及设计要求。提供承诺函。</w:t>
      </w:r>
    </w:p>
    <w:p w14:paraId="29DBDFC9">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5</w:t>
      </w:r>
      <w:r>
        <w:rPr>
          <w:rFonts w:hint="eastAsia" w:cs="Times New Roman"/>
          <w:b/>
          <w:bCs/>
          <w:color w:val="auto"/>
          <w:sz w:val="24"/>
          <w:szCs w:val="24"/>
          <w:lang w:eastAsia="zh-CN"/>
        </w:rPr>
        <w:t>）</w:t>
      </w:r>
      <w:r>
        <w:rPr>
          <w:rFonts w:hint="eastAsia" w:cs="Times New Roman"/>
          <w:b/>
          <w:bCs/>
          <w:color w:val="auto"/>
          <w:sz w:val="24"/>
          <w:szCs w:val="24"/>
        </w:rPr>
        <w:t>数据上报服务及维护工作</w:t>
      </w:r>
    </w:p>
    <w:p w14:paraId="6B724320">
      <w:pPr>
        <w:spacing w:line="360" w:lineRule="auto"/>
        <w:ind w:firstLine="482"/>
        <w:rPr>
          <w:rFonts w:hint="eastAsia" w:cs="Times New Roman"/>
          <w:color w:val="auto"/>
          <w:sz w:val="24"/>
          <w:szCs w:val="24"/>
        </w:rPr>
      </w:pPr>
      <w:r>
        <w:rPr>
          <w:rFonts w:hint="eastAsia" w:cs="Times New Roman"/>
          <w:color w:val="auto"/>
          <w:sz w:val="24"/>
          <w:szCs w:val="24"/>
        </w:rPr>
        <w:t>免费为医院提供省全民健康信息平台、省影像平台、省检验平台、国家传染病上报平台、网采率、药耗追溯率等国家省市县政策要求的平台数据上传及维护工作，同时质控达到相关标准要求。</w:t>
      </w:r>
    </w:p>
    <w:p w14:paraId="28C4A2A3">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6</w:t>
      </w:r>
      <w:r>
        <w:rPr>
          <w:rFonts w:hint="eastAsia" w:cs="Times New Roman"/>
          <w:b/>
          <w:bCs/>
          <w:color w:val="auto"/>
          <w:sz w:val="24"/>
          <w:szCs w:val="24"/>
          <w:lang w:eastAsia="zh-CN"/>
        </w:rPr>
        <w:t>）</w:t>
      </w:r>
      <w:r>
        <w:rPr>
          <w:rFonts w:hint="eastAsia" w:cs="Times New Roman"/>
          <w:b/>
          <w:bCs/>
          <w:color w:val="auto"/>
          <w:sz w:val="24"/>
          <w:szCs w:val="24"/>
        </w:rPr>
        <w:t>测评服务</w:t>
      </w:r>
    </w:p>
    <w:p w14:paraId="2428173B">
      <w:pPr>
        <w:spacing w:line="360" w:lineRule="auto"/>
        <w:ind w:firstLine="482"/>
        <w:rPr>
          <w:rFonts w:hint="eastAsia" w:cs="Times New Roman"/>
          <w:color w:val="auto"/>
          <w:sz w:val="24"/>
          <w:szCs w:val="24"/>
        </w:rPr>
      </w:pPr>
      <w:r>
        <w:rPr>
          <w:rFonts w:hint="eastAsia" w:cs="Times New Roman"/>
          <w:color w:val="auto"/>
          <w:sz w:val="24"/>
          <w:szCs w:val="24"/>
        </w:rPr>
        <w:t>电子病历系统功能应用水平分级评价四级、互联互通标准化成熟度评测四级甲等。提供承诺函。</w:t>
      </w:r>
    </w:p>
    <w:p w14:paraId="681F89F8">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7</w:t>
      </w:r>
      <w:r>
        <w:rPr>
          <w:rFonts w:hint="eastAsia" w:cs="Times New Roman"/>
          <w:b/>
          <w:bCs/>
          <w:color w:val="auto"/>
          <w:sz w:val="24"/>
          <w:szCs w:val="24"/>
          <w:lang w:eastAsia="zh-CN"/>
        </w:rPr>
        <w:t>）</w:t>
      </w:r>
      <w:r>
        <w:rPr>
          <w:rFonts w:hint="eastAsia" w:cs="Times New Roman"/>
          <w:b/>
          <w:bCs/>
          <w:color w:val="auto"/>
          <w:sz w:val="24"/>
          <w:szCs w:val="24"/>
        </w:rPr>
        <w:t>操作系统及数据库软件服务</w:t>
      </w:r>
    </w:p>
    <w:p w14:paraId="76707BAD">
      <w:pPr>
        <w:spacing w:line="360" w:lineRule="auto"/>
        <w:ind w:firstLine="482"/>
        <w:rPr>
          <w:rFonts w:hint="eastAsia" w:cs="Times New Roman"/>
          <w:color w:val="auto"/>
          <w:sz w:val="24"/>
          <w:szCs w:val="24"/>
        </w:rPr>
      </w:pPr>
      <w:r>
        <w:rPr>
          <w:rFonts w:hint="eastAsia" w:cs="Times New Roman"/>
          <w:color w:val="auto"/>
          <w:sz w:val="24"/>
          <w:szCs w:val="24"/>
        </w:rPr>
        <w:t>要求软件供应商提供满足软件使用需求的操作系统软件及数据库并保证射阳县中医院的业务正常使用，无版权纠纷。提供承诺函。数据库功能：可在无插槽限制的单台服务器和集群服务器上使用。它为任务关键型事务应用程序、查询密集型大数据仓库以及混合负载提供高效、可靠且安全的数据管理;支持 Oracle RAC ；支持当前最流行的数据库技术标准，如：ANSI/ISO SQL89 、 ANSI/ISO SQL92、ANSI/ISO SQL99、SQL 2003，ODBC3.0、X/Open、CLI、JDBC，XQuery 等; 集群应具有极佳的可扩展，可以从两个节点开始，可以支持多达100 个节点部署；配置1套数据库企业版使用授权，支持真实应用集群（RAC）功能及活动数据卫士功能（ADG）功能，以上最终授权用户须为“射阳县中医院”，提供一年原厂标准服务。</w:t>
      </w:r>
    </w:p>
    <w:p w14:paraId="35A5303D">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8</w:t>
      </w:r>
      <w:r>
        <w:rPr>
          <w:rFonts w:hint="eastAsia" w:cs="Times New Roman"/>
          <w:b/>
          <w:bCs/>
          <w:color w:val="auto"/>
          <w:sz w:val="24"/>
          <w:szCs w:val="24"/>
          <w:lang w:eastAsia="zh-CN"/>
        </w:rPr>
        <w:t>）</w:t>
      </w:r>
      <w:r>
        <w:rPr>
          <w:rFonts w:hint="eastAsia" w:cs="Times New Roman"/>
          <w:b/>
          <w:bCs/>
          <w:color w:val="auto"/>
          <w:sz w:val="24"/>
          <w:szCs w:val="24"/>
        </w:rPr>
        <w:t>数据迁移</w:t>
      </w:r>
    </w:p>
    <w:p w14:paraId="68460A36">
      <w:pPr>
        <w:spacing w:line="360" w:lineRule="auto"/>
        <w:ind w:firstLine="482"/>
        <w:rPr>
          <w:rFonts w:hint="eastAsia" w:cs="Times New Roman"/>
          <w:color w:val="auto"/>
          <w:sz w:val="24"/>
          <w:szCs w:val="24"/>
        </w:rPr>
      </w:pPr>
      <w:r>
        <w:rPr>
          <w:rFonts w:hint="eastAsia" w:cs="Times New Roman"/>
          <w:color w:val="auto"/>
          <w:sz w:val="24"/>
          <w:szCs w:val="24"/>
        </w:rPr>
        <w:t>要求软件供应商保证核心数据库的迁移、影像归档数据迁移、全院虚拟化平台系统升级、业务系统的迁移等工作。提供承诺函。</w:t>
      </w:r>
    </w:p>
    <w:p w14:paraId="245AED80">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七、</w:t>
      </w:r>
      <w:r>
        <w:rPr>
          <w:rFonts w:hint="eastAsia" w:cs="Times New Roman"/>
          <w:b/>
          <w:bCs/>
          <w:color w:val="auto"/>
          <w:sz w:val="24"/>
          <w:szCs w:val="24"/>
        </w:rPr>
        <w:t>实施与服务要求</w:t>
      </w:r>
    </w:p>
    <w:p w14:paraId="7B0CFD41">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1</w:t>
      </w:r>
      <w:r>
        <w:rPr>
          <w:rFonts w:hint="eastAsia" w:cs="Times New Roman"/>
          <w:b/>
          <w:bCs/>
          <w:color w:val="auto"/>
          <w:sz w:val="24"/>
          <w:szCs w:val="24"/>
          <w:lang w:eastAsia="zh-CN"/>
        </w:rPr>
        <w:t>）</w:t>
      </w:r>
      <w:r>
        <w:rPr>
          <w:rFonts w:hint="eastAsia" w:cs="Times New Roman"/>
          <w:b/>
          <w:bCs/>
          <w:color w:val="auto"/>
          <w:sz w:val="24"/>
          <w:szCs w:val="24"/>
        </w:rPr>
        <w:t>项目实施要求</w:t>
      </w:r>
    </w:p>
    <w:p w14:paraId="6FF8FCB2">
      <w:pPr>
        <w:spacing w:line="360" w:lineRule="auto"/>
        <w:ind w:firstLine="482"/>
        <w:rPr>
          <w:rFonts w:hint="eastAsia" w:cs="Times New Roman"/>
          <w:color w:val="auto"/>
          <w:sz w:val="24"/>
          <w:szCs w:val="24"/>
        </w:rPr>
      </w:pPr>
      <w:r>
        <w:rPr>
          <w:rFonts w:hint="eastAsia" w:cs="Times New Roman"/>
          <w:color w:val="auto"/>
          <w:sz w:val="24"/>
          <w:szCs w:val="24"/>
        </w:rPr>
        <w:t>医院信息化的建设是一个庞大的系统工程，不可能一蹴而就，其是一个复杂的过程，是医院从传统模式走向数字化，信息化，智能化，现代化的磨合过程。医院信息化建设的过程是一个不会结束的过程，它将随着医院的发展，医学技术的发展，医院管理的发展而不断发展。</w:t>
      </w:r>
    </w:p>
    <w:p w14:paraId="58DEF756">
      <w:pPr>
        <w:spacing w:line="360" w:lineRule="auto"/>
        <w:ind w:firstLine="482"/>
        <w:rPr>
          <w:rFonts w:hint="eastAsia" w:cs="Times New Roman"/>
          <w:color w:val="auto"/>
          <w:sz w:val="24"/>
          <w:szCs w:val="24"/>
        </w:rPr>
      </w:pPr>
      <w:r>
        <w:rPr>
          <w:rFonts w:hint="eastAsia" w:cs="Times New Roman"/>
          <w:color w:val="auto"/>
          <w:sz w:val="24"/>
          <w:szCs w:val="24"/>
        </w:rPr>
        <w:t>投标厂商需要根据项目建设内容和进度需要，派驻项目小组对医院信息系统进行实施及服务。期间可能由于用户的需要及政策的变化而对系统进行相应的客户化修改，投标厂商必须无条件满足。</w:t>
      </w:r>
    </w:p>
    <w:p w14:paraId="579D1FF7">
      <w:pPr>
        <w:spacing w:line="360" w:lineRule="auto"/>
        <w:ind w:firstLine="482"/>
        <w:rPr>
          <w:rFonts w:hint="eastAsia" w:cs="Times New Roman"/>
          <w:color w:val="auto"/>
          <w:sz w:val="24"/>
          <w:szCs w:val="24"/>
        </w:rPr>
      </w:pPr>
      <w:r>
        <w:rPr>
          <w:rFonts w:hint="eastAsia" w:cs="Times New Roman"/>
          <w:color w:val="auto"/>
          <w:sz w:val="24"/>
          <w:szCs w:val="24"/>
        </w:rPr>
        <w:t>投标人应充分考虑医疗卫生信息化项目质量管理、信息安全管理、信息技 术服务管理、业务连续性管理、隐私信息管理等，提供信息化工程与技术服务、信息系统建设和服务等。</w:t>
      </w:r>
    </w:p>
    <w:p w14:paraId="2148876A">
      <w:pPr>
        <w:spacing w:line="360" w:lineRule="auto"/>
        <w:ind w:firstLine="482"/>
        <w:rPr>
          <w:rFonts w:hint="eastAsia" w:cs="Times New Roman"/>
          <w:color w:val="auto"/>
          <w:sz w:val="24"/>
          <w:szCs w:val="24"/>
        </w:rPr>
      </w:pPr>
      <w:r>
        <w:rPr>
          <w:rFonts w:hint="eastAsia" w:cs="Times New Roman"/>
          <w:color w:val="auto"/>
          <w:sz w:val="24"/>
          <w:szCs w:val="24"/>
        </w:rPr>
        <w:t>本项目需要签订项目合同后 6 个月内完成系统调研、安装、调试和系统上线工作,12 个月内完成验收。</w:t>
      </w:r>
    </w:p>
    <w:p w14:paraId="7A730006">
      <w:pPr>
        <w:spacing w:line="360" w:lineRule="auto"/>
        <w:ind w:firstLine="482"/>
        <w:rPr>
          <w:rFonts w:hint="eastAsia" w:cs="Times New Roman"/>
          <w:color w:val="auto"/>
          <w:sz w:val="24"/>
          <w:szCs w:val="24"/>
        </w:rPr>
      </w:pPr>
      <w:r>
        <w:rPr>
          <w:rFonts w:hint="eastAsia" w:cs="Times New Roman"/>
          <w:color w:val="auto"/>
          <w:sz w:val="24"/>
          <w:szCs w:val="24"/>
        </w:rPr>
        <w:t>期间可能由于用户的需要及政策的变化而对系统进行相应的客户化修改， 中标人必须无条件满足。投标人应承诺在项目建设及维护过程中，如医院需要，中标人应与医院共同定制开发信息系统产品，并承诺完成软件著作权登记证书 的申请和办理等工作。</w:t>
      </w:r>
    </w:p>
    <w:p w14:paraId="16E05201">
      <w:pPr>
        <w:spacing w:line="360" w:lineRule="auto"/>
        <w:ind w:firstLine="482"/>
        <w:rPr>
          <w:rFonts w:hint="eastAsia" w:cs="Times New Roman"/>
          <w:color w:val="auto"/>
          <w:sz w:val="24"/>
          <w:szCs w:val="24"/>
        </w:rPr>
      </w:pPr>
      <w:r>
        <w:rPr>
          <w:rFonts w:hint="eastAsia" w:cs="Times New Roman"/>
          <w:color w:val="auto"/>
          <w:sz w:val="24"/>
          <w:szCs w:val="24"/>
        </w:rPr>
        <w:t>投标人需承诺本项目建设的系统能够与医院现有业务系统做到无缝对接，对接费用包含在项目总体报价中，医院不需要额外支付该费用。</w:t>
      </w:r>
    </w:p>
    <w:p w14:paraId="2EE94FB0">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2</w:t>
      </w:r>
      <w:r>
        <w:rPr>
          <w:rFonts w:hint="eastAsia" w:cs="Times New Roman"/>
          <w:b/>
          <w:bCs/>
          <w:color w:val="auto"/>
          <w:sz w:val="24"/>
          <w:szCs w:val="24"/>
          <w:lang w:eastAsia="zh-CN"/>
        </w:rPr>
        <w:t>）</w:t>
      </w:r>
      <w:r>
        <w:rPr>
          <w:rFonts w:hint="eastAsia" w:cs="Times New Roman"/>
          <w:b/>
          <w:bCs/>
          <w:color w:val="auto"/>
          <w:sz w:val="24"/>
          <w:szCs w:val="24"/>
        </w:rPr>
        <w:t>验收要求</w:t>
      </w:r>
    </w:p>
    <w:p w14:paraId="412D82B0">
      <w:pPr>
        <w:spacing w:line="360" w:lineRule="auto"/>
        <w:ind w:firstLine="482"/>
        <w:rPr>
          <w:rFonts w:hint="eastAsia" w:cs="Times New Roman"/>
          <w:color w:val="auto"/>
          <w:sz w:val="24"/>
          <w:szCs w:val="24"/>
        </w:rPr>
      </w:pPr>
      <w:r>
        <w:rPr>
          <w:rFonts w:hint="eastAsia" w:cs="Times New Roman"/>
          <w:color w:val="auto"/>
          <w:sz w:val="24"/>
          <w:szCs w:val="24"/>
        </w:rPr>
        <w:t>中标人应按照招标人的要求，如期将软件送达指定的使用单位和场地进行安装调试并培训有关人员。</w:t>
      </w:r>
    </w:p>
    <w:p w14:paraId="2F20680A">
      <w:pPr>
        <w:spacing w:line="360" w:lineRule="auto"/>
        <w:ind w:firstLine="482"/>
        <w:rPr>
          <w:rFonts w:hint="eastAsia" w:cs="Times New Roman"/>
          <w:color w:val="auto"/>
          <w:sz w:val="24"/>
          <w:szCs w:val="24"/>
        </w:rPr>
      </w:pPr>
      <w:r>
        <w:rPr>
          <w:rFonts w:hint="eastAsia" w:cs="Times New Roman"/>
          <w:color w:val="auto"/>
          <w:sz w:val="24"/>
          <w:szCs w:val="24"/>
        </w:rPr>
        <w:t>中标人完成全部应用软件交货安装调试完毕并完成试运行，取得上述书面报告，并提交有关产品文件材料，可向招标人书面申请验收付款。如无合理理由，采购人应接到中标人系统软件书面验收申请 7 个工作日内应组织本项目内容进行验收确认。</w:t>
      </w:r>
    </w:p>
    <w:p w14:paraId="7FB45FC6">
      <w:pPr>
        <w:spacing w:line="360" w:lineRule="auto"/>
        <w:ind w:firstLine="482"/>
        <w:rPr>
          <w:rFonts w:hint="eastAsia" w:cs="Times New Roman"/>
          <w:color w:val="auto"/>
          <w:sz w:val="24"/>
          <w:szCs w:val="24"/>
        </w:rPr>
      </w:pPr>
      <w:r>
        <w:rPr>
          <w:rFonts w:hint="eastAsia" w:cs="Times New Roman"/>
          <w:color w:val="auto"/>
          <w:sz w:val="24"/>
          <w:szCs w:val="24"/>
        </w:rPr>
        <w:t>采购人应组织其各使用单位与管理单位提供必要的场地和部署工作条件。应组织各使用单位与管理单位责任人及时配合安装调试培训与验收工作。</w:t>
      </w:r>
    </w:p>
    <w:p w14:paraId="6E3FCA7A">
      <w:pPr>
        <w:spacing w:line="360" w:lineRule="auto"/>
        <w:ind w:firstLine="482"/>
        <w:rPr>
          <w:rFonts w:hint="eastAsia" w:cs="Times New Roman"/>
          <w:color w:val="auto"/>
          <w:sz w:val="24"/>
          <w:szCs w:val="24"/>
        </w:rPr>
      </w:pPr>
      <w:r>
        <w:rPr>
          <w:rFonts w:hint="eastAsia" w:cs="Times New Roman"/>
          <w:color w:val="auto"/>
          <w:sz w:val="24"/>
          <w:szCs w:val="24"/>
        </w:rPr>
        <w:t>验收标准按照国家、地区相关标准，招投标文件、合同条款具体执行。</w:t>
      </w:r>
    </w:p>
    <w:p w14:paraId="10B2F54B">
      <w:pPr>
        <w:spacing w:line="360" w:lineRule="auto"/>
        <w:ind w:firstLine="482"/>
        <w:rPr>
          <w:rFonts w:hint="eastAsia" w:cs="Times New Roman"/>
          <w:b/>
          <w:bCs/>
          <w:color w:val="auto"/>
          <w:sz w:val="24"/>
          <w:szCs w:val="24"/>
        </w:rPr>
      </w:pPr>
      <w:r>
        <w:rPr>
          <w:rFonts w:hint="eastAsia" w:cs="Times New Roman"/>
          <w:b/>
          <w:bCs/>
          <w:color w:val="auto"/>
          <w:sz w:val="24"/>
          <w:szCs w:val="24"/>
          <w:lang w:eastAsia="zh-CN"/>
        </w:rPr>
        <w:t>（</w:t>
      </w:r>
      <w:r>
        <w:rPr>
          <w:rFonts w:hint="eastAsia" w:cs="Times New Roman"/>
          <w:b/>
          <w:bCs/>
          <w:color w:val="auto"/>
          <w:sz w:val="24"/>
          <w:szCs w:val="24"/>
          <w:lang w:val="en-US" w:eastAsia="zh-CN"/>
        </w:rPr>
        <w:t>3</w:t>
      </w:r>
      <w:r>
        <w:rPr>
          <w:rFonts w:hint="eastAsia" w:cs="Times New Roman"/>
          <w:b/>
          <w:bCs/>
          <w:color w:val="auto"/>
          <w:sz w:val="24"/>
          <w:szCs w:val="24"/>
          <w:lang w:eastAsia="zh-CN"/>
        </w:rPr>
        <w:t>）</w:t>
      </w:r>
      <w:r>
        <w:rPr>
          <w:rFonts w:hint="eastAsia" w:cs="Times New Roman"/>
          <w:b/>
          <w:bCs/>
          <w:color w:val="auto"/>
          <w:sz w:val="24"/>
          <w:szCs w:val="24"/>
        </w:rPr>
        <w:t>培训要求</w:t>
      </w:r>
    </w:p>
    <w:p w14:paraId="58FF9AC2">
      <w:pPr>
        <w:spacing w:line="360" w:lineRule="auto"/>
        <w:ind w:firstLine="482"/>
        <w:rPr>
          <w:rFonts w:hint="eastAsia" w:cs="Times New Roman"/>
          <w:color w:val="auto"/>
          <w:sz w:val="24"/>
          <w:szCs w:val="24"/>
        </w:rPr>
      </w:pPr>
      <w:r>
        <w:rPr>
          <w:rFonts w:hint="eastAsia" w:cs="Times New Roman"/>
          <w:color w:val="auto"/>
          <w:sz w:val="24"/>
          <w:szCs w:val="24"/>
        </w:rPr>
        <w:t>培训是项目顺利进行的保证。在项目的不同阶段要求提供相关的培训课程，面向系统开发和管理员、各级领导、系统操作人员等不同群体提供系统化、定制化和有针对性的培训。</w:t>
      </w:r>
    </w:p>
    <w:p w14:paraId="5151309E">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①</w:t>
      </w:r>
      <w:r>
        <w:rPr>
          <w:rFonts w:hint="eastAsia" w:cs="Times New Roman"/>
          <w:color w:val="auto"/>
          <w:sz w:val="24"/>
          <w:szCs w:val="24"/>
        </w:rPr>
        <w:t>培训内容要求分为三类，分别为系统开发和管理培训、运行与维护管理培训和用户使用培训。通过培训应使各类用户能独立进行相应应用与管理、故障处理、日常维护等工作，确保系统能正常安全运行；</w:t>
      </w:r>
    </w:p>
    <w:p w14:paraId="0ED2AC27">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②</w:t>
      </w:r>
      <w:r>
        <w:rPr>
          <w:rFonts w:hint="eastAsia" w:cs="Times New Roman"/>
          <w:color w:val="auto"/>
          <w:sz w:val="24"/>
          <w:szCs w:val="24"/>
        </w:rPr>
        <w:t>供应商应在投标文件中提出培训计划，计划包括培训项目、人数、地点等详细内容；</w:t>
      </w:r>
    </w:p>
    <w:p w14:paraId="653285B9">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③</w:t>
      </w:r>
      <w:r>
        <w:rPr>
          <w:rFonts w:hint="eastAsia" w:cs="Times New Roman"/>
          <w:color w:val="auto"/>
          <w:sz w:val="24"/>
          <w:szCs w:val="24"/>
        </w:rPr>
        <w:t>培训人员必须是供应商的正式雇员或专业的授权培训机构雇员。</w:t>
      </w:r>
    </w:p>
    <w:p w14:paraId="582A0DF2">
      <w:pPr>
        <w:spacing w:line="360" w:lineRule="auto"/>
        <w:ind w:firstLine="482"/>
        <w:rPr>
          <w:rFonts w:hint="eastAsia" w:cs="Times New Roman"/>
          <w:color w:val="auto"/>
          <w:sz w:val="24"/>
          <w:szCs w:val="24"/>
        </w:rPr>
      </w:pPr>
      <w:r>
        <w:rPr>
          <w:rFonts w:hint="eastAsia" w:cs="Times New Roman"/>
          <w:color w:val="auto"/>
          <w:sz w:val="24"/>
          <w:szCs w:val="24"/>
          <w:lang w:val="en-US" w:eastAsia="zh-CN"/>
        </w:rPr>
        <w:t>④</w:t>
      </w:r>
      <w:r>
        <w:rPr>
          <w:rFonts w:hint="eastAsia" w:cs="Times New Roman"/>
          <w:color w:val="auto"/>
          <w:sz w:val="24"/>
          <w:szCs w:val="24"/>
        </w:rPr>
        <w:t>其中要求对系统管理员进行充分的技术培训和教育，保证管理人员掌握必要的管理工具，通晓管理规范；</w:t>
      </w:r>
    </w:p>
    <w:p w14:paraId="1E4087A3">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（4）项目总体</w:t>
      </w:r>
      <w:r>
        <w:rPr>
          <w:rFonts w:hint="eastAsia" w:cs="Times New Roman"/>
          <w:b/>
          <w:bCs/>
          <w:color w:val="auto"/>
          <w:sz w:val="24"/>
          <w:szCs w:val="24"/>
        </w:rPr>
        <w:t>售后要求</w:t>
      </w:r>
    </w:p>
    <w:p w14:paraId="560BEF62">
      <w:pPr>
        <w:spacing w:line="360" w:lineRule="auto"/>
        <w:ind w:firstLine="482"/>
        <w:rPr>
          <w:rFonts w:hint="eastAsia" w:cs="Times New Roman"/>
          <w:color w:val="auto"/>
          <w:sz w:val="24"/>
          <w:szCs w:val="24"/>
        </w:rPr>
      </w:pPr>
      <w:r>
        <w:rPr>
          <w:rFonts w:hint="eastAsia" w:cs="Times New Roman"/>
          <w:color w:val="auto"/>
          <w:sz w:val="24"/>
          <w:szCs w:val="24"/>
        </w:rPr>
        <w:t>投标人应具备与本项目匹配的服务能力，以响应招标人的技术服务要求。工程建设期间及质保期均属于免费服务期，该期限内的所有售后服务，包括软件维护所产生的费用均由中标人承担。</w:t>
      </w:r>
    </w:p>
    <w:p w14:paraId="7C59C594">
      <w:pPr>
        <w:spacing w:line="360" w:lineRule="auto"/>
        <w:ind w:firstLine="482"/>
        <w:rPr>
          <w:rFonts w:hint="eastAsia" w:cs="Times New Roman"/>
          <w:color w:val="auto"/>
          <w:sz w:val="24"/>
          <w:szCs w:val="24"/>
        </w:rPr>
      </w:pPr>
      <w:r>
        <w:rPr>
          <w:rFonts w:hint="eastAsia" w:cs="Times New Roman"/>
          <w:color w:val="auto"/>
          <w:sz w:val="24"/>
          <w:szCs w:val="24"/>
        </w:rPr>
        <w:t>响应时间：投标人在投标书中必须明确承诺售后服务响应时间，并不得低于以下标准：提供 7×24 电话或电子邮件服务，接到招标人报修通知 2 小时内做出明确响应和安排，8 小时内做出故障诊断报告。如需现场服务的，具有解决故障能力的工程师应在接到报修通知次日到达现场。</w:t>
      </w:r>
    </w:p>
    <w:p w14:paraId="2FA87E19">
      <w:pPr>
        <w:spacing w:line="360" w:lineRule="auto"/>
        <w:ind w:firstLine="482"/>
        <w:rPr>
          <w:rFonts w:hint="eastAsia" w:cs="Times New Roman"/>
          <w:color w:val="auto"/>
          <w:sz w:val="24"/>
          <w:szCs w:val="24"/>
        </w:rPr>
      </w:pPr>
      <w:r>
        <w:rPr>
          <w:rFonts w:hint="eastAsia" w:cs="Times New Roman"/>
          <w:color w:val="auto"/>
          <w:sz w:val="24"/>
          <w:szCs w:val="24"/>
        </w:rPr>
        <w:t>投标人在质保期满后向招标人提供如质保期内的售后服务，并经双方协商后收取相应费用。</w:t>
      </w:r>
    </w:p>
    <w:p w14:paraId="554576D7">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（5）实施要求</w:t>
      </w:r>
    </w:p>
    <w:p w14:paraId="016F2040">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实施后，中标人应定期向采购人汇报项目进展状况,参加与项目有关的各类会议，提交项目周报、项目月报以及阶段性进展报告;项目验收方案，包括技术文档移交等内容的阐述。应提供项目组人员组成及人员简介、其体工作内容等。项目组人员调整须提前1周与采购人协商，并征得采购人同意。</w:t>
      </w:r>
    </w:p>
    <w:p w14:paraId="710F3BB1">
      <w:pPr>
        <w:spacing w:line="360" w:lineRule="auto"/>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（6）项目应提交的成果和电子文档</w:t>
      </w:r>
    </w:p>
    <w:p w14:paraId="10FC71A8">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项目应提交的成果，包括但不限于：需求分析报告；</w:t>
      </w:r>
    </w:p>
    <w:p w14:paraId="56B20E8C">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系统测试方案；</w:t>
      </w:r>
    </w:p>
    <w:p w14:paraId="4471A4E2">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系统测试分析报告；安装维护手册；</w:t>
      </w:r>
    </w:p>
    <w:p w14:paraId="2A705857">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使用操作手册；培训资料；</w:t>
      </w:r>
    </w:p>
    <w:p w14:paraId="73856F44">
      <w:pPr>
        <w:spacing w:line="360" w:lineRule="auto"/>
        <w:ind w:firstLine="482"/>
        <w:rPr>
          <w:rFonts w:hint="eastAsia" w:cs="Times New Roman"/>
          <w:color w:val="auto"/>
          <w:sz w:val="24"/>
          <w:szCs w:val="24"/>
          <w:lang w:val="en-US" w:eastAsia="zh-CN"/>
        </w:rPr>
      </w:pPr>
      <w:r>
        <w:rPr>
          <w:rFonts w:hint="eastAsia" w:cs="Times New Roman"/>
          <w:color w:val="auto"/>
          <w:sz w:val="24"/>
          <w:szCs w:val="24"/>
          <w:lang w:val="en-US" w:eastAsia="zh-CN"/>
        </w:rPr>
        <w:t>数据结构说明文档。</w:t>
      </w:r>
    </w:p>
    <w:p w14:paraId="01760D75">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八、</w:t>
      </w:r>
      <w:r>
        <w:rPr>
          <w:rFonts w:hint="eastAsia" w:cs="Times New Roman"/>
          <w:b/>
          <w:bCs/>
          <w:color w:val="auto"/>
          <w:sz w:val="24"/>
          <w:szCs w:val="24"/>
        </w:rPr>
        <w:t>合同履行期限和地点</w:t>
      </w:r>
    </w:p>
    <w:p w14:paraId="34623DF3">
      <w:pPr>
        <w:spacing w:line="360" w:lineRule="auto"/>
        <w:ind w:firstLine="482"/>
        <w:jc w:val="both"/>
        <w:rPr>
          <w:rFonts w:hint="eastAsia" w:cs="Times New Roman"/>
          <w:color w:val="auto"/>
          <w:sz w:val="24"/>
          <w:szCs w:val="24"/>
          <w:lang w:val="en-US" w:eastAsia="zh-CN"/>
        </w:rPr>
      </w:pPr>
      <w:r>
        <w:rPr>
          <w:rFonts w:hint="eastAsia" w:cs="Times New Roman"/>
          <w:color w:val="auto"/>
          <w:sz w:val="24"/>
          <w:szCs w:val="24"/>
        </w:rPr>
        <w:t>1、本项目软件系统建设周期为 18 个月</w:t>
      </w:r>
      <w:r>
        <w:rPr>
          <w:rFonts w:hint="eastAsia" w:cs="Times New Roman"/>
          <w:color w:val="auto"/>
          <w:sz w:val="24"/>
          <w:szCs w:val="24"/>
          <w:lang w:eastAsia="zh-CN"/>
        </w:rPr>
        <w:t>；</w:t>
      </w:r>
      <w:r>
        <w:rPr>
          <w:rFonts w:hint="eastAsia" w:cs="Times New Roman"/>
          <w:color w:val="auto"/>
          <w:sz w:val="24"/>
          <w:szCs w:val="24"/>
        </w:rPr>
        <w:t>自合同签订之日起</w:t>
      </w:r>
      <w:r>
        <w:rPr>
          <w:rFonts w:hint="eastAsia" w:cs="Times New Roman"/>
          <w:color w:val="auto"/>
          <w:sz w:val="24"/>
          <w:szCs w:val="24"/>
          <w:lang w:eastAsia="zh-CN"/>
        </w:rPr>
        <w:t>，</w:t>
      </w:r>
      <w:r>
        <w:rPr>
          <w:rFonts w:hint="eastAsia" w:cs="Times New Roman"/>
          <w:color w:val="auto"/>
          <w:sz w:val="24"/>
          <w:szCs w:val="24"/>
          <w:lang w:val="en-US" w:eastAsia="zh-CN"/>
        </w:rPr>
        <w:t>须</w:t>
      </w:r>
      <w:r>
        <w:rPr>
          <w:rFonts w:hint="eastAsia" w:cs="Times New Roman"/>
          <w:color w:val="auto"/>
          <w:sz w:val="24"/>
          <w:szCs w:val="24"/>
        </w:rPr>
        <w:t>在 2025 年7月前完成主要系统</w:t>
      </w:r>
      <w:r>
        <w:rPr>
          <w:rFonts w:hint="default" w:cs="Times New Roman"/>
          <w:color w:val="auto"/>
          <w:sz w:val="24"/>
          <w:szCs w:val="24"/>
        </w:rPr>
        <w:t>（医院集成平台、医院数据中心、药品管理系统、医务管理（病案管理系统、病案首页数据质量管理）、临床医生、临床护理（住院护士工作站、护理记录、门急诊输液管理）、医技业务（检验信息系统对接、影像信息系统、电生理信息管理、治疗信息管理）、就诊管理、结算管理、财务管理、统一接口）</w:t>
      </w:r>
      <w:r>
        <w:rPr>
          <w:rFonts w:hint="eastAsia" w:cs="Times New Roman"/>
          <w:color w:val="auto"/>
          <w:sz w:val="24"/>
          <w:szCs w:val="24"/>
        </w:rPr>
        <w:t>的安装调试并交付采购人投入使用</w:t>
      </w:r>
      <w:r>
        <w:rPr>
          <w:rFonts w:hint="eastAsia" w:cs="Times New Roman"/>
          <w:color w:val="auto"/>
          <w:sz w:val="24"/>
          <w:szCs w:val="24"/>
          <w:lang w:eastAsia="zh-CN"/>
        </w:rPr>
        <w:t>，</w:t>
      </w:r>
      <w:r>
        <w:rPr>
          <w:rFonts w:hint="eastAsia" w:cs="Times New Roman"/>
          <w:color w:val="auto"/>
          <w:sz w:val="24"/>
          <w:szCs w:val="24"/>
        </w:rPr>
        <w:t>且</w:t>
      </w:r>
      <w:r>
        <w:rPr>
          <w:rFonts w:hint="eastAsia" w:cs="Times New Roman"/>
          <w:color w:val="auto"/>
          <w:sz w:val="24"/>
          <w:szCs w:val="24"/>
          <w:lang w:val="en-US" w:eastAsia="zh-CN"/>
        </w:rPr>
        <w:t>在</w:t>
      </w:r>
      <w:r>
        <w:rPr>
          <w:rFonts w:hint="eastAsia" w:cs="Times New Roman"/>
          <w:color w:val="auto"/>
          <w:sz w:val="24"/>
          <w:szCs w:val="24"/>
        </w:rPr>
        <w:t>2025 年内通过国家电子病历分级评价4级测评</w:t>
      </w:r>
      <w:r>
        <w:rPr>
          <w:rFonts w:hint="eastAsia" w:cs="Times New Roman"/>
          <w:color w:val="auto"/>
          <w:sz w:val="24"/>
          <w:szCs w:val="24"/>
          <w:lang w:eastAsia="zh-CN"/>
        </w:rPr>
        <w:t>；</w:t>
      </w:r>
      <w:r>
        <w:rPr>
          <w:rFonts w:hint="eastAsia" w:cs="Times New Roman"/>
          <w:color w:val="auto"/>
          <w:sz w:val="24"/>
          <w:szCs w:val="24"/>
        </w:rPr>
        <w:t>18 个月内完成全部软件模块的安装调试并交付采购人投入</w:t>
      </w:r>
      <w:r>
        <w:rPr>
          <w:rFonts w:hint="eastAsia" w:cs="Times New Roman"/>
          <w:color w:val="auto"/>
          <w:sz w:val="24"/>
          <w:szCs w:val="24"/>
          <w:lang w:val="en-US" w:eastAsia="zh-CN"/>
        </w:rPr>
        <w:t>使用。并经采购人（或委托有资质的第三方）验收合格。</w:t>
      </w:r>
    </w:p>
    <w:p w14:paraId="6E4D1D8B">
      <w:pPr>
        <w:spacing w:line="360" w:lineRule="auto"/>
        <w:ind w:firstLine="482"/>
        <w:rPr>
          <w:rFonts w:hint="eastAsia" w:cs="Times New Roman"/>
          <w:color w:val="auto"/>
          <w:sz w:val="24"/>
          <w:szCs w:val="24"/>
        </w:rPr>
      </w:pPr>
      <w:r>
        <w:rPr>
          <w:rFonts w:hint="eastAsia" w:cs="Times New Roman"/>
          <w:color w:val="auto"/>
          <w:sz w:val="24"/>
          <w:szCs w:val="24"/>
        </w:rPr>
        <w:t>2、履约地点：采购人指定地点。</w:t>
      </w:r>
    </w:p>
    <w:p w14:paraId="7A263F2E">
      <w:pPr>
        <w:spacing w:line="360" w:lineRule="auto"/>
        <w:ind w:firstLine="482"/>
        <w:rPr>
          <w:rFonts w:hint="eastAsia" w:cs="Times New Roman"/>
          <w:b/>
          <w:bCs/>
          <w:color w:val="auto"/>
          <w:sz w:val="24"/>
          <w:szCs w:val="24"/>
        </w:rPr>
      </w:pPr>
      <w:r>
        <w:rPr>
          <w:rFonts w:hint="eastAsia" w:cs="Times New Roman"/>
          <w:b/>
          <w:bCs/>
          <w:color w:val="auto"/>
          <w:sz w:val="24"/>
          <w:szCs w:val="24"/>
          <w:lang w:val="en-US" w:eastAsia="zh-CN"/>
        </w:rPr>
        <w:t>九、</w:t>
      </w:r>
      <w:r>
        <w:rPr>
          <w:rFonts w:hint="eastAsia" w:cs="Times New Roman"/>
          <w:b/>
          <w:bCs/>
          <w:color w:val="auto"/>
          <w:sz w:val="24"/>
          <w:szCs w:val="24"/>
        </w:rPr>
        <w:t>付款方式</w:t>
      </w:r>
    </w:p>
    <w:p w14:paraId="29A61617">
      <w:pPr>
        <w:spacing w:line="360" w:lineRule="auto"/>
        <w:ind w:firstLine="482"/>
        <w:rPr>
          <w:rFonts w:hint="eastAsia" w:cs="Times New Roman"/>
          <w:color w:val="auto"/>
          <w:sz w:val="24"/>
          <w:szCs w:val="24"/>
        </w:rPr>
      </w:pPr>
      <w:r>
        <w:rPr>
          <w:rFonts w:hint="eastAsia" w:cs="Times New Roman"/>
          <w:color w:val="auto"/>
          <w:sz w:val="24"/>
          <w:szCs w:val="24"/>
          <w:lang w:val="en-US" w:eastAsia="zh-CN"/>
        </w:rPr>
        <w:t>1.</w:t>
      </w:r>
      <w:r>
        <w:rPr>
          <w:rFonts w:hint="eastAsia" w:cs="Times New Roman"/>
          <w:color w:val="auto"/>
          <w:sz w:val="24"/>
          <w:szCs w:val="24"/>
        </w:rPr>
        <w:t>合同签订时，采购单位支付合同总价的30%作为项目启动预付款。预付款支付比例（或中标单位是否需要采购单位支付预付款）由采购人与中标人根据实际情况协商一致在合同中作说明。</w:t>
      </w:r>
    </w:p>
    <w:p w14:paraId="12A48105">
      <w:pPr>
        <w:spacing w:line="360" w:lineRule="auto"/>
        <w:ind w:firstLine="482"/>
        <w:rPr>
          <w:rFonts w:hint="eastAsia" w:cs="Times New Roman"/>
          <w:color w:val="auto"/>
          <w:sz w:val="24"/>
          <w:szCs w:val="24"/>
          <w:lang w:eastAsia="zh-CN"/>
        </w:rPr>
      </w:pPr>
      <w:r>
        <w:rPr>
          <w:rFonts w:hint="eastAsia" w:cs="Times New Roman"/>
          <w:color w:val="auto"/>
          <w:sz w:val="24"/>
          <w:szCs w:val="24"/>
        </w:rPr>
        <w:t>2</w:t>
      </w:r>
      <w:r>
        <w:rPr>
          <w:rFonts w:hint="eastAsia" w:cs="Times New Roman"/>
          <w:color w:val="auto"/>
          <w:sz w:val="24"/>
          <w:szCs w:val="24"/>
          <w:lang w:eastAsia="zh-CN"/>
        </w:rPr>
        <w:t>、</w:t>
      </w:r>
      <w:r>
        <w:rPr>
          <w:rFonts w:hint="eastAsia" w:cs="Times New Roman"/>
          <w:color w:val="auto"/>
          <w:sz w:val="24"/>
          <w:szCs w:val="24"/>
        </w:rPr>
        <w:t>项目验收合格正式运行后付</w:t>
      </w:r>
      <w:r>
        <w:rPr>
          <w:rFonts w:hint="eastAsia" w:cs="Times New Roman"/>
          <w:color w:val="auto"/>
          <w:sz w:val="24"/>
          <w:szCs w:val="24"/>
          <w:lang w:val="en-US" w:eastAsia="zh-CN"/>
        </w:rPr>
        <w:t>至</w:t>
      </w:r>
      <w:r>
        <w:rPr>
          <w:rFonts w:hint="eastAsia" w:cs="Times New Roman"/>
          <w:color w:val="auto"/>
          <w:sz w:val="24"/>
          <w:szCs w:val="24"/>
        </w:rPr>
        <w:t>合同</w:t>
      </w:r>
      <w:r>
        <w:rPr>
          <w:rFonts w:hint="eastAsia" w:cs="Times New Roman"/>
          <w:color w:val="auto"/>
          <w:sz w:val="24"/>
          <w:szCs w:val="24"/>
          <w:lang w:val="en-US" w:eastAsia="zh-CN"/>
        </w:rPr>
        <w:t>总</w:t>
      </w:r>
      <w:r>
        <w:rPr>
          <w:rFonts w:hint="eastAsia" w:cs="Times New Roman"/>
          <w:color w:val="auto"/>
          <w:sz w:val="24"/>
          <w:szCs w:val="24"/>
        </w:rPr>
        <w:t>价的 70%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68F62DF9">
      <w:pPr>
        <w:spacing w:line="360" w:lineRule="auto"/>
        <w:ind w:firstLine="482"/>
        <w:rPr>
          <w:rFonts w:hint="eastAsia" w:cs="Times New Roman"/>
          <w:color w:val="auto"/>
          <w:sz w:val="24"/>
          <w:szCs w:val="24"/>
          <w:lang w:eastAsia="zh-CN"/>
        </w:rPr>
      </w:pPr>
      <w:r>
        <w:rPr>
          <w:rFonts w:hint="eastAsia" w:cs="Times New Roman"/>
          <w:color w:val="auto"/>
          <w:sz w:val="24"/>
          <w:szCs w:val="24"/>
          <w:lang w:val="en-US" w:eastAsia="zh-CN"/>
        </w:rPr>
        <w:t>备注：</w:t>
      </w:r>
      <w:r>
        <w:rPr>
          <w:rFonts w:hint="eastAsia" w:cs="Times New Roman"/>
          <w:color w:val="auto"/>
          <w:sz w:val="24"/>
          <w:szCs w:val="24"/>
        </w:rPr>
        <w:t>其中软件项目完成进度的 80%，付至合同</w:t>
      </w:r>
      <w:r>
        <w:rPr>
          <w:rFonts w:hint="eastAsia" w:cs="Times New Roman"/>
          <w:color w:val="auto"/>
          <w:sz w:val="24"/>
          <w:szCs w:val="24"/>
          <w:lang w:val="en-US" w:eastAsia="zh-CN"/>
        </w:rPr>
        <w:t>总</w:t>
      </w:r>
      <w:r>
        <w:rPr>
          <w:rFonts w:hint="eastAsia" w:cs="Times New Roman"/>
          <w:color w:val="auto"/>
          <w:sz w:val="24"/>
          <w:szCs w:val="24"/>
        </w:rPr>
        <w:t>价的50%</w:t>
      </w:r>
      <w:r>
        <w:rPr>
          <w:rFonts w:hint="eastAsia" w:cs="Times New Roman"/>
          <w:color w:val="auto"/>
          <w:sz w:val="24"/>
          <w:szCs w:val="24"/>
          <w:lang w:eastAsia="zh-CN"/>
        </w:rPr>
        <w:t>（</w:t>
      </w:r>
      <w:r>
        <w:rPr>
          <w:rFonts w:hint="eastAsia" w:cs="Times New Roman"/>
          <w:color w:val="auto"/>
          <w:sz w:val="24"/>
          <w:szCs w:val="24"/>
          <w:lang w:val="en-US" w:eastAsia="zh-CN"/>
        </w:rPr>
        <w:t>包括之前支付的预付款</w:t>
      </w:r>
      <w:r>
        <w:rPr>
          <w:rFonts w:hint="eastAsia" w:cs="Times New Roman"/>
          <w:color w:val="auto"/>
          <w:sz w:val="24"/>
          <w:szCs w:val="24"/>
          <w:lang w:eastAsia="zh-CN"/>
        </w:rPr>
        <w:t>）；</w:t>
      </w:r>
    </w:p>
    <w:p w14:paraId="79DD5FE3">
      <w:pPr>
        <w:spacing w:line="360" w:lineRule="auto"/>
        <w:ind w:firstLine="482"/>
        <w:rPr>
          <w:rFonts w:hint="eastAsia" w:cs="Times New Roman"/>
          <w:color w:val="auto"/>
          <w:sz w:val="24"/>
          <w:szCs w:val="24"/>
          <w:lang w:eastAsia="zh-CN"/>
        </w:rPr>
      </w:pPr>
      <w:r>
        <w:rPr>
          <w:rFonts w:hint="eastAsia" w:cs="Times New Roman"/>
          <w:color w:val="auto"/>
          <w:sz w:val="24"/>
          <w:szCs w:val="24"/>
        </w:rPr>
        <w:t>3、项目正式运行起一年后付至合同价的 80%</w:t>
      </w:r>
      <w:r>
        <w:rPr>
          <w:rFonts w:hint="eastAsia" w:cs="Times New Roman"/>
          <w:color w:val="auto"/>
          <w:sz w:val="24"/>
          <w:szCs w:val="24"/>
          <w:lang w:eastAsia="zh-CN"/>
        </w:rPr>
        <w:t>；</w:t>
      </w:r>
    </w:p>
    <w:p w14:paraId="21356FFB">
      <w:pPr>
        <w:spacing w:line="360" w:lineRule="auto"/>
        <w:ind w:firstLine="482"/>
        <w:rPr>
          <w:rFonts w:hint="eastAsia" w:cs="Times New Roman"/>
          <w:color w:val="auto"/>
          <w:sz w:val="24"/>
          <w:szCs w:val="24"/>
        </w:rPr>
      </w:pPr>
      <w:r>
        <w:rPr>
          <w:rFonts w:hint="eastAsia" w:cs="Times New Roman"/>
          <w:color w:val="auto"/>
          <w:sz w:val="24"/>
          <w:szCs w:val="24"/>
        </w:rPr>
        <w:t>4、项目正式运行起二年后付至合同价的 100%;</w:t>
      </w:r>
    </w:p>
    <w:p w14:paraId="604618EE">
      <w:pPr>
        <w:pStyle w:val="9"/>
        <w:spacing w:beforeAutospacing="0" w:afterAutospacing="0"/>
        <w:jc w:val="both"/>
        <w:rPr>
          <w:color w:val="auto"/>
        </w:rPr>
      </w:pPr>
    </w:p>
    <w:p w14:paraId="0ADDF669">
      <w:pPr>
        <w:pStyle w:val="9"/>
        <w:spacing w:beforeAutospacing="0" w:afterAutospacing="0"/>
        <w:jc w:val="both"/>
        <w:rPr>
          <w:color w:val="auto"/>
        </w:rPr>
      </w:pPr>
    </w:p>
    <w:p w14:paraId="2228F823">
      <w:pPr>
        <w:pStyle w:val="9"/>
        <w:spacing w:beforeAutospacing="0" w:afterAutospacing="0" w:line="460" w:lineRule="exact"/>
        <w:ind w:firstLine="480"/>
        <w:jc w:val="both"/>
        <w:rPr>
          <w:rFonts w:hint="eastAsia" w:ascii="宋体" w:hAnsi="宋体" w:eastAsia="宋体" w:cs="Times New Roman"/>
          <w:b/>
          <w:bCs/>
          <w:color w:val="auto"/>
          <w:sz w:val="28"/>
          <w:szCs w:val="28"/>
          <w:lang w:val="en-US" w:eastAsia="zh-CN" w:bidi="ar-SA"/>
        </w:rPr>
      </w:pPr>
    </w:p>
    <w:p w14:paraId="6EDC2494">
      <w:pPr>
        <w:pStyle w:val="9"/>
        <w:spacing w:beforeAutospacing="0" w:afterAutospacing="0" w:line="460" w:lineRule="exact"/>
        <w:ind w:firstLine="480"/>
        <w:jc w:val="both"/>
        <w:rPr>
          <w:rFonts w:hint="eastAsia" w:ascii="宋体" w:hAnsi="宋体" w:eastAsia="宋体" w:cs="Times New Roman"/>
          <w:b/>
          <w:bCs/>
          <w:color w:val="auto"/>
          <w:sz w:val="28"/>
          <w:szCs w:val="28"/>
          <w:lang w:val="en-US" w:eastAsia="zh-CN" w:bidi="ar-SA"/>
        </w:rPr>
      </w:pPr>
    </w:p>
    <w:p w14:paraId="4B1FD8E1">
      <w:pPr>
        <w:pStyle w:val="9"/>
        <w:spacing w:beforeAutospacing="0" w:afterAutospacing="0" w:line="460" w:lineRule="exact"/>
        <w:ind w:firstLine="480"/>
        <w:jc w:val="both"/>
        <w:rPr>
          <w:rFonts w:hint="eastAsia" w:ascii="宋体" w:hAnsi="宋体" w:eastAsia="宋体" w:cs="Times New Roman"/>
          <w:b/>
          <w:bCs/>
          <w:color w:val="auto"/>
          <w:sz w:val="28"/>
          <w:szCs w:val="28"/>
          <w:lang w:val="en-US" w:eastAsia="zh-CN" w:bidi="ar-SA"/>
        </w:rPr>
      </w:pPr>
      <w:r>
        <w:rPr>
          <w:rFonts w:hint="eastAsia" w:ascii="宋体" w:hAnsi="宋体" w:eastAsia="宋体" w:cs="Times New Roman"/>
          <w:b/>
          <w:bCs/>
          <w:color w:val="auto"/>
          <w:sz w:val="28"/>
          <w:szCs w:val="28"/>
          <w:lang w:val="en-US" w:eastAsia="zh-CN" w:bidi="ar-SA"/>
        </w:rPr>
        <w:t>我公司承诺响应上述项目需求内容。</w:t>
      </w:r>
    </w:p>
    <w:p w14:paraId="31D50B53">
      <w:pPr>
        <w:pStyle w:val="9"/>
        <w:spacing w:beforeAutospacing="0" w:afterAutospacing="0" w:line="460" w:lineRule="exact"/>
        <w:ind w:firstLine="480"/>
        <w:jc w:val="both"/>
        <w:rPr>
          <w:rFonts w:ascii="宋体" w:hAnsi="宋体" w:eastAsia="宋体" w:cs="宋体"/>
          <w:color w:val="000000"/>
        </w:rPr>
      </w:pPr>
    </w:p>
    <w:p w14:paraId="00A728F9">
      <w:pPr>
        <w:pStyle w:val="33"/>
        <w:ind w:firstLine="420"/>
        <w:rPr>
          <w:rFonts w:hAnsi="宋体" w:eastAsia="宋体" w:cs="Times New Roman"/>
          <w:szCs w:val="28"/>
        </w:rPr>
      </w:pPr>
    </w:p>
    <w:p w14:paraId="25323688">
      <w:pPr>
        <w:spacing w:line="560" w:lineRule="exact"/>
        <w:ind w:firstLine="2835"/>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62FB53A7">
      <w:pPr>
        <w:pStyle w:val="7"/>
        <w:spacing w:line="560" w:lineRule="exact"/>
        <w:ind w:left="0" w:right="0" w:firstLine="434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1A2009A9">
      <w:pPr>
        <w:pStyle w:val="9"/>
        <w:spacing w:beforeAutospacing="0" w:afterAutospacing="0"/>
        <w:jc w:val="both"/>
        <w:rPr>
          <w:color w:val="auto"/>
        </w:rPr>
      </w:pPr>
    </w:p>
    <w:p w14:paraId="56159090">
      <w:pPr>
        <w:jc w:val="center"/>
        <w:rPr>
          <w:rFonts w:hint="eastAsia" w:ascii="黑体" w:hAnsi="黑体" w:eastAsia="黑体"/>
          <w:b/>
          <w:i/>
          <w:color w:val="auto"/>
          <w:sz w:val="32"/>
          <w:szCs w:val="32"/>
          <w:u w:val="single"/>
        </w:rPr>
      </w:pPr>
    </w:p>
    <w:p w14:paraId="65606C9A">
      <w:pPr>
        <w:jc w:val="center"/>
        <w:rPr>
          <w:rFonts w:hint="eastAsia" w:ascii="黑体" w:hAnsi="黑体" w:eastAsia="黑体"/>
          <w:b/>
          <w:i/>
          <w:color w:val="auto"/>
          <w:sz w:val="32"/>
          <w:szCs w:val="32"/>
          <w:u w:val="single"/>
        </w:rPr>
      </w:pPr>
    </w:p>
    <w:p w14:paraId="6A8DE252">
      <w:pPr>
        <w:jc w:val="center"/>
        <w:rPr>
          <w:rFonts w:hint="eastAsia" w:ascii="黑体" w:hAnsi="黑体" w:eastAsia="黑体"/>
          <w:b/>
          <w:i/>
          <w:color w:val="auto"/>
          <w:sz w:val="32"/>
          <w:szCs w:val="32"/>
          <w:u w:val="single"/>
        </w:rPr>
      </w:pPr>
    </w:p>
    <w:p w14:paraId="61A1EAEE">
      <w:pPr>
        <w:jc w:val="center"/>
        <w:rPr>
          <w:rFonts w:hint="eastAsia" w:ascii="黑体" w:hAnsi="黑体" w:eastAsia="黑体"/>
          <w:b/>
          <w:i/>
          <w:color w:val="auto"/>
          <w:sz w:val="32"/>
          <w:szCs w:val="32"/>
          <w:u w:val="single"/>
        </w:rPr>
      </w:pPr>
    </w:p>
    <w:p w14:paraId="6A92C5F5">
      <w:pPr>
        <w:jc w:val="center"/>
        <w:rPr>
          <w:rFonts w:hint="eastAsia" w:ascii="黑体" w:hAnsi="黑体" w:eastAsia="黑体"/>
          <w:b/>
          <w:i/>
          <w:color w:val="auto"/>
          <w:sz w:val="32"/>
          <w:szCs w:val="32"/>
          <w:u w:val="single"/>
        </w:rPr>
      </w:pPr>
    </w:p>
    <w:p w14:paraId="75E36A56">
      <w:pPr>
        <w:jc w:val="center"/>
        <w:rPr>
          <w:rFonts w:hint="eastAsia" w:ascii="黑体" w:hAnsi="黑体" w:eastAsia="黑体"/>
          <w:b/>
          <w:i/>
          <w:color w:val="auto"/>
          <w:sz w:val="32"/>
          <w:szCs w:val="32"/>
          <w:u w:val="single"/>
        </w:rPr>
      </w:pPr>
    </w:p>
    <w:p w14:paraId="370C7EB2">
      <w:pPr>
        <w:jc w:val="both"/>
        <w:rPr>
          <w:rFonts w:hint="eastAsia" w:ascii="黑体" w:hAnsi="黑体" w:eastAsia="黑体"/>
          <w:b/>
          <w:i/>
          <w:color w:val="auto"/>
          <w:sz w:val="32"/>
          <w:szCs w:val="32"/>
          <w:u w:val="single"/>
        </w:rPr>
      </w:pPr>
    </w:p>
    <w:p w14:paraId="18FA7FFC">
      <w:pPr>
        <w:jc w:val="center"/>
        <w:rPr>
          <w:rFonts w:hint="default" w:ascii="Times New Roman" w:hAnsi="Times New Roman" w:eastAsia="黑体"/>
          <w:color w:val="auto"/>
          <w:sz w:val="24"/>
          <w:szCs w:val="20"/>
          <w:lang w:val="en-US" w:eastAsia="zh-CN"/>
        </w:rPr>
      </w:pPr>
      <w:r>
        <w:rPr>
          <w:rFonts w:hint="eastAsia" w:ascii="黑体" w:hAnsi="黑体" w:eastAsia="黑体"/>
          <w:b/>
          <w:i/>
          <w:color w:val="auto"/>
          <w:sz w:val="32"/>
          <w:szCs w:val="32"/>
          <w:u w:val="single"/>
        </w:rPr>
        <w:t>十</w:t>
      </w:r>
      <w:r>
        <w:rPr>
          <w:rFonts w:hint="eastAsia" w:ascii="黑体" w:hAnsi="黑体" w:eastAsia="黑体"/>
          <w:b/>
          <w:i/>
          <w:color w:val="auto"/>
          <w:sz w:val="32"/>
          <w:szCs w:val="32"/>
          <w:u w:val="single"/>
          <w:lang w:val="en-US" w:eastAsia="zh-CN"/>
        </w:rPr>
        <w:t>五</w:t>
      </w:r>
      <w:r>
        <w:rPr>
          <w:rFonts w:hint="eastAsia" w:ascii="黑体" w:hAnsi="黑体" w:eastAsia="黑体"/>
          <w:b/>
          <w:i/>
          <w:color w:val="auto"/>
          <w:sz w:val="32"/>
          <w:szCs w:val="32"/>
          <w:u w:val="single"/>
        </w:rPr>
        <w:t>、</w:t>
      </w:r>
      <w:r>
        <w:rPr>
          <w:rFonts w:hint="eastAsia" w:ascii="黑体" w:hAnsi="黑体" w:eastAsia="黑体" w:cs="宋体"/>
          <w:b/>
          <w:i/>
          <w:color w:val="auto"/>
          <w:sz w:val="32"/>
          <w:szCs w:val="32"/>
          <w:u w:val="single"/>
          <w:lang w:val="en-US" w:eastAsia="zh-CN"/>
        </w:rPr>
        <w:t>投标人须提供项目需求中的相关承诺函</w:t>
      </w:r>
    </w:p>
    <w:p w14:paraId="332A39F0">
      <w:pPr>
        <w:pStyle w:val="9"/>
        <w:spacing w:beforeAutospacing="0" w:afterAutospacing="0"/>
        <w:jc w:val="both"/>
        <w:rPr>
          <w:color w:val="auto"/>
        </w:rPr>
      </w:pPr>
    </w:p>
    <w:p w14:paraId="3B68068E">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cs="Times New Roman"/>
          <w:color w:val="auto"/>
          <w:sz w:val="24"/>
          <w:szCs w:val="24"/>
          <w:u w:val="single"/>
          <w:lang w:val="en-US" w:eastAsia="zh-CN" w:bidi="ar-SA"/>
        </w:rPr>
        <w:t>1、</w:t>
      </w:r>
      <w:r>
        <w:rPr>
          <w:rFonts w:hint="eastAsia" w:ascii="宋体" w:hAnsi="宋体" w:eastAsia="宋体" w:cs="Times New Roman"/>
          <w:color w:val="auto"/>
          <w:sz w:val="24"/>
          <w:szCs w:val="24"/>
          <w:u w:val="single"/>
          <w:lang w:val="en-US" w:eastAsia="zh-CN" w:bidi="ar-SA"/>
        </w:rPr>
        <w:t>要求供应商供应的产品所有接口保证 3 年使用期内满足医院业务需求及免费对接（包含接口升级等），维保期内免费升级，时间自系统上线通过验收之日起计算。提供承诺函。</w:t>
      </w:r>
    </w:p>
    <w:p w14:paraId="7C757582">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2、验收合格后要求供应商免费提供3名医院驻场人员进行驻场技术支撑服务，服务期3年。提供承诺函。</w:t>
      </w:r>
    </w:p>
    <w:p w14:paraId="242BFD30">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3、要求供应商供应的产品需满足 7*24小时质保服务，要求故障 1小时内响应、24 小时内处理。提供承诺函。</w:t>
      </w:r>
    </w:p>
    <w:p w14:paraId="2FF0F4E7">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4、对过渡期原系统维护及历史数据归档导入，满足医院业务需求及设计要求。提供承诺函。</w:t>
      </w:r>
    </w:p>
    <w:p w14:paraId="1BF78153">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5、电子病历系统功能应用水平分级评价四级、互联互通标准化成熟度评测四级甲。提供承诺函。</w:t>
      </w:r>
    </w:p>
    <w:p w14:paraId="0F4018A5">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default"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6、要求软件供应商提供满足软件使用需求的操作系统软件及数据库并保证射阳县中医院的业务正常使用，无版权纠纷。提供承诺函。</w:t>
      </w:r>
    </w:p>
    <w:p w14:paraId="16F177C8">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7、要求软件供应商保证核心数据库的迁移、影像归档数据迁移、全院虚拟化平台系统升级、业务系统的迁移等工作。提供承诺函。</w:t>
      </w:r>
    </w:p>
    <w:p w14:paraId="03B5E4B1">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8、我院此次信息化建设项目涉及的软件（含操作系统及数据库等）投标人承诺本次投标软件及数据库为正版。提供承诺函。</w:t>
      </w:r>
    </w:p>
    <w:p w14:paraId="6EBD824E">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default" w:ascii="宋体" w:hAnsi="宋体" w:eastAsia="宋体" w:cs="Times New Roman"/>
          <w:color w:val="auto"/>
          <w:sz w:val="24"/>
          <w:szCs w:val="24"/>
          <w:u w:val="single"/>
          <w:lang w:val="en-US" w:eastAsia="zh-CN" w:bidi="ar-SA"/>
        </w:rPr>
      </w:pPr>
      <w:r>
        <w:rPr>
          <w:rFonts w:hint="eastAsia" w:ascii="宋体" w:hAnsi="宋体" w:eastAsia="宋体" w:cs="Times New Roman"/>
          <w:color w:val="auto"/>
          <w:sz w:val="24"/>
          <w:szCs w:val="24"/>
          <w:u w:val="single"/>
          <w:lang w:val="en-US" w:eastAsia="zh-CN" w:bidi="ar-SA"/>
        </w:rPr>
        <w:t>9、项目建设过程中所需接口及为落实国家、省、市、县政策要求改造费用等（3 年内），应全部包含在投标人的总价中，医院后续不承担额外的系统接口费用，按照信创（承诺免费进行适配升级）、密保及等保要求建设。提供承诺函。</w:t>
      </w:r>
    </w:p>
    <w:p w14:paraId="14CF9FFE">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p>
    <w:p w14:paraId="5365F64C">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default" w:ascii="宋体" w:hAnsi="宋体" w:eastAsia="宋体" w:cs="Times New Roman"/>
          <w:color w:val="auto"/>
          <w:sz w:val="24"/>
          <w:szCs w:val="24"/>
          <w:u w:val="single"/>
          <w:lang w:val="en-US" w:eastAsia="zh-CN" w:bidi="ar-SA"/>
        </w:rPr>
      </w:pPr>
    </w:p>
    <w:p w14:paraId="129A2822">
      <w:pPr>
        <w:pStyle w:val="9"/>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outlineLvl w:val="9"/>
        <w:rPr>
          <w:rFonts w:hint="eastAsia" w:ascii="宋体" w:hAnsi="宋体" w:eastAsia="宋体" w:cs="Times New Roman"/>
          <w:color w:val="auto"/>
          <w:sz w:val="24"/>
          <w:szCs w:val="24"/>
          <w:u w:val="single"/>
          <w:lang w:val="en-US" w:eastAsia="zh-CN" w:bidi="ar-SA"/>
        </w:rPr>
      </w:pPr>
    </w:p>
    <w:p w14:paraId="686C468C">
      <w:pPr>
        <w:pStyle w:val="9"/>
        <w:spacing w:beforeAutospacing="0" w:afterAutospacing="0"/>
        <w:jc w:val="both"/>
        <w:rPr>
          <w:color w:val="auto"/>
        </w:rPr>
      </w:pPr>
    </w:p>
    <w:p w14:paraId="3FD13CC2">
      <w:pPr>
        <w:pStyle w:val="9"/>
        <w:spacing w:beforeAutospacing="0" w:afterAutospacing="0"/>
        <w:jc w:val="both"/>
        <w:rPr>
          <w:color w:val="auto"/>
        </w:rPr>
      </w:pPr>
    </w:p>
    <w:p w14:paraId="125D5815">
      <w:pPr>
        <w:pStyle w:val="9"/>
        <w:spacing w:beforeAutospacing="0" w:afterAutospacing="0"/>
        <w:jc w:val="both"/>
        <w:rPr>
          <w:color w:val="auto"/>
        </w:rPr>
      </w:pPr>
    </w:p>
    <w:p w14:paraId="07CA7BEF">
      <w:pPr>
        <w:pStyle w:val="9"/>
        <w:spacing w:beforeAutospacing="0" w:afterAutospacing="0"/>
        <w:jc w:val="both"/>
        <w:rPr>
          <w:color w:val="auto"/>
        </w:rPr>
      </w:pPr>
    </w:p>
    <w:p w14:paraId="2A1A0687">
      <w:pPr>
        <w:pStyle w:val="9"/>
        <w:spacing w:beforeAutospacing="0" w:afterAutospacing="0"/>
        <w:jc w:val="both"/>
        <w:rPr>
          <w:color w:val="auto"/>
        </w:rPr>
      </w:pPr>
    </w:p>
    <w:p w14:paraId="755693CF">
      <w:pPr>
        <w:pStyle w:val="9"/>
        <w:spacing w:beforeAutospacing="0" w:afterAutospacing="0"/>
        <w:jc w:val="both"/>
        <w:rPr>
          <w:color w:val="auto"/>
        </w:rPr>
      </w:pPr>
    </w:p>
    <w:p w14:paraId="4A7F254C">
      <w:pPr>
        <w:pStyle w:val="9"/>
        <w:spacing w:beforeAutospacing="0" w:afterAutospacing="0"/>
        <w:jc w:val="both"/>
        <w:rPr>
          <w:color w:val="auto"/>
        </w:rPr>
      </w:pPr>
    </w:p>
    <w:p w14:paraId="5509D7B9">
      <w:pPr>
        <w:pStyle w:val="9"/>
        <w:spacing w:beforeAutospacing="0" w:afterAutospacing="0"/>
        <w:jc w:val="both"/>
        <w:rPr>
          <w:color w:val="auto"/>
        </w:rPr>
      </w:pPr>
    </w:p>
    <w:p w14:paraId="327CF28F">
      <w:pPr>
        <w:pStyle w:val="9"/>
        <w:spacing w:beforeAutospacing="0" w:afterAutospacing="0"/>
        <w:jc w:val="both"/>
        <w:rPr>
          <w:color w:val="auto"/>
        </w:rPr>
      </w:pPr>
    </w:p>
    <w:p w14:paraId="1F8FF403">
      <w:pPr>
        <w:pStyle w:val="9"/>
        <w:spacing w:beforeAutospacing="0" w:afterAutospacing="0"/>
        <w:jc w:val="both"/>
        <w:rPr>
          <w:color w:val="auto"/>
        </w:rPr>
      </w:pPr>
    </w:p>
    <w:p w14:paraId="06074AF2">
      <w:pPr>
        <w:pStyle w:val="9"/>
        <w:spacing w:beforeAutospacing="0" w:afterAutospacing="0"/>
        <w:jc w:val="both"/>
        <w:rPr>
          <w:color w:val="auto"/>
        </w:rPr>
      </w:pPr>
    </w:p>
    <w:p w14:paraId="50123C1D">
      <w:pPr>
        <w:pStyle w:val="9"/>
        <w:spacing w:beforeAutospacing="0" w:afterAutospacing="0"/>
        <w:jc w:val="both"/>
        <w:rPr>
          <w:color w:val="auto"/>
        </w:rPr>
      </w:pPr>
    </w:p>
    <w:p w14:paraId="4E966601">
      <w:pPr>
        <w:rPr>
          <w:rFonts w:ascii="黑体" w:hAnsi="黑体" w:eastAsia="黑体"/>
          <w:b/>
          <w:i/>
          <w:color w:val="auto"/>
          <w:sz w:val="32"/>
          <w:szCs w:val="32"/>
          <w:u w:val="single"/>
        </w:rPr>
      </w:pPr>
    </w:p>
    <w:p w14:paraId="3A84C176">
      <w:pPr>
        <w:jc w:val="center"/>
        <w:rPr>
          <w:rFonts w:ascii="Times New Roman" w:hAnsi="Times New Roman" w:eastAsia="仿宋_GB2312"/>
          <w:color w:val="auto"/>
          <w:sz w:val="24"/>
          <w:szCs w:val="20"/>
        </w:rPr>
      </w:pPr>
      <w:r>
        <w:rPr>
          <w:rFonts w:hint="eastAsia" w:ascii="黑体" w:hAnsi="黑体" w:eastAsia="黑体"/>
          <w:b/>
          <w:i/>
          <w:color w:val="auto"/>
          <w:sz w:val="32"/>
          <w:szCs w:val="32"/>
          <w:u w:val="single"/>
        </w:rPr>
        <w:t>十</w:t>
      </w:r>
      <w:r>
        <w:rPr>
          <w:rFonts w:hint="eastAsia" w:ascii="黑体" w:hAnsi="黑体" w:eastAsia="黑体"/>
          <w:b/>
          <w:i/>
          <w:color w:val="auto"/>
          <w:sz w:val="32"/>
          <w:szCs w:val="32"/>
          <w:u w:val="single"/>
          <w:lang w:val="en-US" w:eastAsia="zh-CN"/>
        </w:rPr>
        <w:t>六</w:t>
      </w:r>
      <w:r>
        <w:rPr>
          <w:rFonts w:hint="eastAsia" w:ascii="黑体" w:hAnsi="黑体" w:eastAsia="黑体"/>
          <w:b/>
          <w:i/>
          <w:color w:val="auto"/>
          <w:sz w:val="32"/>
          <w:szCs w:val="32"/>
          <w:u w:val="single"/>
        </w:rPr>
        <w:t>、开标一览表</w:t>
      </w:r>
    </w:p>
    <w:p w14:paraId="50D57DE0">
      <w:pPr>
        <w:ind w:firstLine="480"/>
        <w:rPr>
          <w:color w:val="auto"/>
          <w:sz w:val="24"/>
          <w:szCs w:val="24"/>
        </w:rPr>
      </w:pPr>
    </w:p>
    <w:p w14:paraId="26822245">
      <w:pPr>
        <w:ind w:firstLine="480"/>
        <w:rPr>
          <w:color w:val="auto"/>
          <w:sz w:val="24"/>
          <w:szCs w:val="24"/>
        </w:rPr>
      </w:pPr>
      <w:r>
        <w:rPr>
          <w:rFonts w:hint="eastAsia"/>
          <w:color w:val="auto"/>
          <w:sz w:val="24"/>
          <w:szCs w:val="24"/>
        </w:rPr>
        <w:t>投标人全称（加盖CA电子签章）：</w:t>
      </w:r>
    </w:p>
    <w:p w14:paraId="5F583043">
      <w:pPr>
        <w:ind w:firstLine="480"/>
        <w:rPr>
          <w:rFonts w:ascii="Times New Roman" w:hAnsi="Times New Roman"/>
          <w:color w:val="auto"/>
          <w:sz w:val="24"/>
          <w:szCs w:val="24"/>
        </w:rPr>
      </w:pPr>
      <w:r>
        <w:rPr>
          <w:rFonts w:hint="eastAsia"/>
          <w:color w:val="auto"/>
          <w:sz w:val="24"/>
          <w:szCs w:val="24"/>
        </w:rPr>
        <w:t>项目名称：</w:t>
      </w:r>
    </w:p>
    <w:p w14:paraId="2474490B">
      <w:pPr>
        <w:ind w:firstLine="480"/>
        <w:rPr>
          <w:color w:val="auto"/>
          <w:sz w:val="24"/>
          <w:szCs w:val="24"/>
        </w:rPr>
      </w:pPr>
      <w:r>
        <w:rPr>
          <w:rFonts w:hint="eastAsia"/>
          <w:color w:val="auto"/>
          <w:sz w:val="24"/>
          <w:szCs w:val="24"/>
        </w:rPr>
        <w:t xml:space="preserve">招标编号：                                 </w:t>
      </w:r>
    </w:p>
    <w:tbl>
      <w:tblPr>
        <w:tblStyle w:val="13"/>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384B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vAlign w:val="center"/>
          </w:tcPr>
          <w:p w14:paraId="67B10139">
            <w:pPr>
              <w:rPr>
                <w:color w:val="auto"/>
                <w:sz w:val="24"/>
                <w:szCs w:val="24"/>
              </w:rPr>
            </w:pPr>
            <w:r>
              <w:rPr>
                <w:rFonts w:hint="eastAsia"/>
                <w:color w:val="auto"/>
                <w:sz w:val="24"/>
                <w:szCs w:val="24"/>
              </w:rPr>
              <w:t>投标总报价</w:t>
            </w:r>
          </w:p>
        </w:tc>
      </w:tr>
      <w:tr w14:paraId="1082E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vAlign w:val="center"/>
          </w:tcPr>
          <w:p w14:paraId="22B88F37">
            <w:pPr>
              <w:spacing w:line="500" w:lineRule="exact"/>
              <w:rPr>
                <w:color w:val="auto"/>
                <w:sz w:val="24"/>
                <w:szCs w:val="21"/>
              </w:rPr>
            </w:pPr>
            <w:r>
              <w:rPr>
                <w:rFonts w:hint="eastAsia"/>
                <w:color w:val="auto"/>
                <w:sz w:val="24"/>
                <w:szCs w:val="24"/>
              </w:rPr>
              <w:t>小写：                             （人民币：元）</w:t>
            </w:r>
          </w:p>
        </w:tc>
      </w:tr>
    </w:tbl>
    <w:p w14:paraId="469D6CCE">
      <w:pPr>
        <w:rPr>
          <w:color w:val="auto"/>
          <w:sz w:val="24"/>
          <w:szCs w:val="24"/>
        </w:rPr>
      </w:pPr>
    </w:p>
    <w:p w14:paraId="4F4BF2F1">
      <w:pPr>
        <w:ind w:firstLine="480"/>
        <w:rPr>
          <w:color w:val="auto"/>
          <w:sz w:val="24"/>
          <w:szCs w:val="24"/>
        </w:rPr>
      </w:pPr>
      <w:r>
        <w:rPr>
          <w:rFonts w:hint="eastAsia"/>
          <w:color w:val="auto"/>
          <w:sz w:val="24"/>
          <w:szCs w:val="24"/>
        </w:rPr>
        <w:t xml:space="preserve">                                         日期：  </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w:t>
      </w:r>
    </w:p>
    <w:p w14:paraId="184FFC85">
      <w:pPr>
        <w:ind w:firstLine="480"/>
        <w:rPr>
          <w:color w:val="auto"/>
          <w:sz w:val="24"/>
          <w:szCs w:val="24"/>
        </w:rPr>
      </w:pPr>
    </w:p>
    <w:p w14:paraId="05A7F47F">
      <w:pPr>
        <w:ind w:firstLine="480"/>
        <w:rPr>
          <w:color w:val="auto"/>
          <w:sz w:val="24"/>
          <w:szCs w:val="24"/>
        </w:rPr>
      </w:pPr>
    </w:p>
    <w:p w14:paraId="0FC84B9F">
      <w:pPr>
        <w:rPr>
          <w:color w:val="auto"/>
        </w:rPr>
      </w:pPr>
    </w:p>
    <w:p w14:paraId="4D5EA943">
      <w:pPr>
        <w:rPr>
          <w:color w:val="auto"/>
        </w:rPr>
      </w:pPr>
    </w:p>
    <w:p w14:paraId="3ECE93FC">
      <w:pPr>
        <w:pStyle w:val="12"/>
        <w:ind w:left="440" w:firstLine="440"/>
        <w:rPr>
          <w:color w:val="auto"/>
        </w:rPr>
      </w:pPr>
    </w:p>
    <w:p w14:paraId="61C91B4C">
      <w:pPr>
        <w:rPr>
          <w:color w:val="auto"/>
        </w:rPr>
      </w:pPr>
    </w:p>
    <w:p w14:paraId="30744647">
      <w:pPr>
        <w:pStyle w:val="12"/>
        <w:ind w:left="440" w:firstLine="440"/>
        <w:rPr>
          <w:color w:val="auto"/>
        </w:rPr>
      </w:pPr>
    </w:p>
    <w:p w14:paraId="0E09091C">
      <w:pPr>
        <w:rPr>
          <w:color w:val="auto"/>
        </w:rPr>
      </w:pPr>
    </w:p>
    <w:p w14:paraId="37AE894F">
      <w:pPr>
        <w:pStyle w:val="12"/>
        <w:ind w:left="440" w:firstLine="440"/>
        <w:rPr>
          <w:color w:val="auto"/>
        </w:rPr>
      </w:pPr>
    </w:p>
    <w:p w14:paraId="0625C994">
      <w:pPr>
        <w:rPr>
          <w:color w:val="auto"/>
        </w:rPr>
      </w:pPr>
    </w:p>
    <w:p w14:paraId="0BF24589">
      <w:pPr>
        <w:pStyle w:val="12"/>
        <w:ind w:left="440" w:firstLine="440"/>
        <w:rPr>
          <w:color w:val="auto"/>
        </w:rPr>
      </w:pPr>
    </w:p>
    <w:p w14:paraId="048D7378">
      <w:pPr>
        <w:rPr>
          <w:color w:val="auto"/>
        </w:rPr>
      </w:pPr>
    </w:p>
    <w:p w14:paraId="0153F156">
      <w:pPr>
        <w:pStyle w:val="12"/>
        <w:ind w:left="440" w:firstLine="440"/>
        <w:rPr>
          <w:color w:val="auto"/>
        </w:rPr>
      </w:pPr>
    </w:p>
    <w:p w14:paraId="69C42401">
      <w:pPr>
        <w:rPr>
          <w:color w:val="auto"/>
        </w:rPr>
      </w:pPr>
    </w:p>
    <w:p w14:paraId="3128DDB4">
      <w:pPr>
        <w:pStyle w:val="12"/>
        <w:ind w:left="440" w:firstLine="440"/>
        <w:rPr>
          <w:color w:val="auto"/>
        </w:rPr>
      </w:pPr>
    </w:p>
    <w:p w14:paraId="39282BCB">
      <w:pPr>
        <w:rPr>
          <w:color w:val="auto"/>
        </w:rPr>
      </w:pPr>
    </w:p>
    <w:p w14:paraId="50F236F5">
      <w:pPr>
        <w:pStyle w:val="12"/>
        <w:ind w:left="440" w:firstLine="440"/>
        <w:rPr>
          <w:color w:val="auto"/>
        </w:rPr>
      </w:pPr>
    </w:p>
    <w:p w14:paraId="04F986F8">
      <w:pPr>
        <w:rPr>
          <w:color w:val="auto"/>
        </w:rPr>
      </w:pPr>
    </w:p>
    <w:p w14:paraId="0F01C967">
      <w:pPr>
        <w:pStyle w:val="12"/>
        <w:ind w:left="440" w:firstLine="440"/>
        <w:rPr>
          <w:color w:val="auto"/>
        </w:rPr>
      </w:pPr>
    </w:p>
    <w:p w14:paraId="0AB9FE2D">
      <w:pPr>
        <w:widowControl/>
        <w:spacing w:before="50" w:after="50"/>
        <w:jc w:val="center"/>
        <w:rPr>
          <w:b/>
          <w:bCs/>
          <w:color w:val="auto"/>
          <w:sz w:val="24"/>
        </w:rPr>
      </w:pPr>
      <w:r>
        <w:rPr>
          <w:rFonts w:hint="eastAsia"/>
          <w:b/>
          <w:bCs/>
          <w:color w:val="auto"/>
          <w:sz w:val="32"/>
          <w:szCs w:val="32"/>
        </w:rPr>
        <w:t>十</w:t>
      </w:r>
      <w:r>
        <w:rPr>
          <w:rFonts w:hint="eastAsia"/>
          <w:b/>
          <w:bCs/>
          <w:color w:val="auto"/>
          <w:sz w:val="32"/>
          <w:szCs w:val="32"/>
          <w:lang w:val="en-US" w:eastAsia="zh-CN"/>
        </w:rPr>
        <w:t>七</w:t>
      </w:r>
      <w:r>
        <w:rPr>
          <w:rFonts w:hint="eastAsia"/>
          <w:b/>
          <w:bCs/>
          <w:color w:val="auto"/>
          <w:sz w:val="32"/>
          <w:szCs w:val="32"/>
        </w:rPr>
        <w:t>、技术方案、服务承诺、培训承诺等</w:t>
      </w:r>
    </w:p>
    <w:p w14:paraId="01952EED">
      <w:pPr>
        <w:widowControl/>
        <w:spacing w:line="499" w:lineRule="atLeast"/>
        <w:ind w:firstLine="1928"/>
        <w:rPr>
          <w:rFonts w:hint="eastAsia"/>
          <w:b/>
          <w:bCs/>
          <w:color w:val="auto"/>
          <w:sz w:val="32"/>
          <w:szCs w:val="32"/>
        </w:rPr>
      </w:pPr>
    </w:p>
    <w:p w14:paraId="737108FC">
      <w:pPr>
        <w:widowControl/>
        <w:spacing w:line="499" w:lineRule="atLeast"/>
        <w:ind w:firstLine="1928"/>
        <w:rPr>
          <w:rFonts w:hint="eastAsia"/>
          <w:b/>
          <w:bCs/>
          <w:color w:val="auto"/>
          <w:sz w:val="32"/>
          <w:szCs w:val="32"/>
        </w:rPr>
      </w:pPr>
    </w:p>
    <w:p w14:paraId="7554E3D0">
      <w:pPr>
        <w:widowControl/>
        <w:spacing w:line="499" w:lineRule="atLeast"/>
        <w:ind w:firstLine="1928"/>
        <w:rPr>
          <w:b/>
          <w:bCs/>
          <w:color w:val="auto"/>
          <w:sz w:val="24"/>
        </w:rPr>
      </w:pPr>
      <w:r>
        <w:rPr>
          <w:rFonts w:hint="eastAsia"/>
          <w:b/>
          <w:bCs/>
          <w:color w:val="auto"/>
          <w:sz w:val="32"/>
          <w:szCs w:val="32"/>
        </w:rPr>
        <w:t>十</w:t>
      </w:r>
      <w:r>
        <w:rPr>
          <w:rFonts w:hint="eastAsia"/>
          <w:b/>
          <w:bCs/>
          <w:color w:val="auto"/>
          <w:sz w:val="32"/>
          <w:szCs w:val="32"/>
          <w:lang w:val="en-US" w:eastAsia="zh-CN"/>
        </w:rPr>
        <w:t>八</w:t>
      </w:r>
      <w:r>
        <w:rPr>
          <w:rFonts w:hint="eastAsia"/>
          <w:b/>
          <w:bCs/>
          <w:color w:val="auto"/>
          <w:sz w:val="32"/>
          <w:szCs w:val="32"/>
        </w:rPr>
        <w:t>、盐城市政府采购事前信用承诺书</w:t>
      </w:r>
    </w:p>
    <w:p w14:paraId="4328C5B6">
      <w:pPr>
        <w:widowControl/>
        <w:spacing w:line="499" w:lineRule="atLeast"/>
        <w:ind w:firstLine="640"/>
        <w:rPr>
          <w:color w:val="auto"/>
          <w:sz w:val="24"/>
        </w:rPr>
      </w:pPr>
      <w:r>
        <w:rPr>
          <w:rFonts w:hint="eastAsia"/>
          <w:color w:val="auto"/>
          <w:sz w:val="32"/>
          <w:szCs w:val="32"/>
        </w:rPr>
        <w:t> </w:t>
      </w:r>
    </w:p>
    <w:p w14:paraId="51B4A857">
      <w:pPr>
        <w:widowControl/>
        <w:spacing w:line="499" w:lineRule="atLeast"/>
        <w:ind w:firstLine="480"/>
        <w:rPr>
          <w:color w:val="auto"/>
          <w:sz w:val="24"/>
        </w:rPr>
      </w:pPr>
      <w:r>
        <w:rPr>
          <w:rFonts w:hint="eastAsia"/>
          <w:color w:val="auto"/>
          <w:sz w:val="24"/>
        </w:rPr>
        <w:t>为营造我市公开、公平、公正、诚实守信的政府采购交易环境，树立诚信守法的投标人形象，本人代表本单位作出以下承诺：</w:t>
      </w:r>
    </w:p>
    <w:p w14:paraId="7502C65A">
      <w:pPr>
        <w:widowControl/>
        <w:spacing w:line="499" w:lineRule="atLeast"/>
        <w:rPr>
          <w:color w:val="auto"/>
          <w:sz w:val="24"/>
        </w:rPr>
      </w:pPr>
      <w:r>
        <w:rPr>
          <w:rFonts w:hint="eastAsia"/>
          <w:color w:val="auto"/>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2A7DB1">
      <w:pPr>
        <w:widowControl/>
        <w:spacing w:line="499" w:lineRule="atLeast"/>
        <w:ind w:firstLine="480"/>
        <w:rPr>
          <w:color w:val="auto"/>
          <w:sz w:val="24"/>
        </w:rPr>
      </w:pPr>
      <w:r>
        <w:rPr>
          <w:rFonts w:hint="eastAsia"/>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EBE7B12">
      <w:pPr>
        <w:widowControl/>
        <w:spacing w:line="499" w:lineRule="atLeast"/>
        <w:rPr>
          <w:color w:val="auto"/>
          <w:sz w:val="24"/>
        </w:rPr>
      </w:pPr>
      <w:r>
        <w:rPr>
          <w:rFonts w:hint="eastAsia"/>
          <w:color w:val="auto"/>
          <w:sz w:val="24"/>
        </w:rPr>
        <w:t xml:space="preserve">  （三）严格依照国家和省、市关于政府采购的法律、法规、规章、规范性文件，参加政府采购投标活动；积极履行社会责任，促进廉政建设； </w:t>
      </w:r>
    </w:p>
    <w:p w14:paraId="50BA589D">
      <w:pPr>
        <w:widowControl/>
        <w:spacing w:line="499" w:lineRule="atLeast"/>
        <w:rPr>
          <w:color w:val="auto"/>
          <w:sz w:val="24"/>
        </w:rPr>
      </w:pPr>
      <w:r>
        <w:rPr>
          <w:rFonts w:hint="eastAsia"/>
          <w:color w:val="auto"/>
          <w:sz w:val="24"/>
        </w:rPr>
        <w:t>  （四）严格遵守即时信息公示规定，及时维护和更新维护和更新盐城市政府采购网中与本单位相关的信息；</w:t>
      </w:r>
    </w:p>
    <w:p w14:paraId="14FFCBB0">
      <w:pPr>
        <w:widowControl/>
        <w:spacing w:line="499" w:lineRule="atLeast"/>
        <w:rPr>
          <w:color w:val="auto"/>
          <w:sz w:val="24"/>
        </w:rPr>
      </w:pPr>
      <w:r>
        <w:rPr>
          <w:rFonts w:hint="eastAsia"/>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10C83B1">
      <w:pPr>
        <w:widowControl/>
        <w:spacing w:line="499" w:lineRule="atLeast"/>
        <w:rPr>
          <w:color w:val="auto"/>
          <w:sz w:val="24"/>
        </w:rPr>
      </w:pPr>
      <w:r>
        <w:rPr>
          <w:rFonts w:hint="eastAsia"/>
          <w:color w:val="auto"/>
          <w:sz w:val="24"/>
        </w:rPr>
        <w:t>  （六）自觉接受政府、行业组织、社会公众、新闻舆论的监督；</w:t>
      </w:r>
    </w:p>
    <w:p w14:paraId="78C7DFE6">
      <w:pPr>
        <w:widowControl/>
        <w:spacing w:line="499" w:lineRule="atLeast"/>
        <w:ind w:firstLine="480"/>
        <w:rPr>
          <w:color w:val="auto"/>
          <w:sz w:val="24"/>
        </w:rPr>
      </w:pPr>
      <w:r>
        <w:rPr>
          <w:rFonts w:hint="eastAsia"/>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0B02158">
      <w:pPr>
        <w:widowControl/>
        <w:spacing w:line="499" w:lineRule="atLeast"/>
        <w:rPr>
          <w:color w:val="auto"/>
          <w:sz w:val="24"/>
        </w:rPr>
      </w:pPr>
      <w:r>
        <w:rPr>
          <w:rFonts w:hint="eastAsia"/>
          <w:color w:val="auto"/>
          <w:sz w:val="24"/>
        </w:rPr>
        <w:t>  （八）本人已认真阅读了上述承诺，并向本单位员工作了宣传教育。</w:t>
      </w:r>
    </w:p>
    <w:p w14:paraId="3691ED05">
      <w:pPr>
        <w:widowControl/>
        <w:spacing w:line="499" w:lineRule="atLeast"/>
        <w:rPr>
          <w:color w:val="auto"/>
          <w:sz w:val="24"/>
        </w:rPr>
      </w:pPr>
      <w:r>
        <w:rPr>
          <w:rFonts w:hint="eastAsia"/>
          <w:color w:val="auto"/>
          <w:sz w:val="24"/>
        </w:rPr>
        <w:t>                  法定代表人签名：</w:t>
      </w:r>
    </w:p>
    <w:p w14:paraId="102312D4">
      <w:pPr>
        <w:widowControl/>
        <w:spacing w:line="499" w:lineRule="atLeast"/>
        <w:jc w:val="center"/>
        <w:rPr>
          <w:color w:val="auto"/>
          <w:sz w:val="24"/>
        </w:rPr>
      </w:pPr>
      <w:r>
        <w:rPr>
          <w:rFonts w:hint="eastAsia"/>
          <w:color w:val="auto"/>
          <w:sz w:val="24"/>
        </w:rPr>
        <w:t>        单位名称（盖章）：</w:t>
      </w:r>
    </w:p>
    <w:p w14:paraId="217D8D2B">
      <w:pPr>
        <w:widowControl/>
        <w:spacing w:line="499" w:lineRule="atLeast"/>
        <w:jc w:val="center"/>
        <w:rPr>
          <w:rFonts w:hint="eastAsia"/>
          <w:color w:val="auto"/>
          <w:sz w:val="24"/>
        </w:rPr>
      </w:pPr>
      <w:r>
        <w:rPr>
          <w:rFonts w:hint="eastAsia"/>
          <w:color w:val="auto"/>
          <w:sz w:val="24"/>
        </w:rPr>
        <w:t>     年   月   日</w:t>
      </w:r>
    </w:p>
    <w:p w14:paraId="05E748DF">
      <w:pPr>
        <w:widowControl/>
        <w:spacing w:line="499" w:lineRule="atLeast"/>
        <w:jc w:val="center"/>
        <w:rPr>
          <w:rFonts w:hint="eastAsia"/>
          <w:color w:val="auto"/>
          <w:sz w:val="24"/>
        </w:rPr>
      </w:pPr>
    </w:p>
    <w:p w14:paraId="3784BE9C">
      <w:pPr>
        <w:widowControl/>
        <w:spacing w:line="499" w:lineRule="atLeast"/>
        <w:jc w:val="center"/>
        <w:rPr>
          <w:rFonts w:hint="eastAsia"/>
          <w:color w:val="auto"/>
          <w:sz w:val="24"/>
        </w:rPr>
      </w:pPr>
    </w:p>
    <w:p w14:paraId="0C01E68B">
      <w:pPr>
        <w:widowControl/>
        <w:spacing w:line="499" w:lineRule="atLeast"/>
        <w:jc w:val="center"/>
        <w:rPr>
          <w:rFonts w:hint="eastAsia"/>
          <w:color w:val="auto"/>
          <w:sz w:val="24"/>
        </w:rPr>
      </w:pPr>
    </w:p>
    <w:p w14:paraId="47370CEC">
      <w:pPr>
        <w:pStyle w:val="9"/>
        <w:spacing w:beforeAutospacing="0" w:afterAutospacing="0"/>
        <w:jc w:val="center"/>
        <w:rPr>
          <w:rFonts w:hint="eastAsia" w:ascii="宋体" w:hAnsi="宋体" w:cs="宋体"/>
          <w:b/>
          <w:color w:val="auto"/>
          <w:sz w:val="32"/>
          <w:szCs w:val="32"/>
        </w:rPr>
      </w:pPr>
      <w:r>
        <w:rPr>
          <w:rFonts w:hint="eastAsia" w:ascii="宋体" w:hAnsi="宋体" w:cs="宋体"/>
          <w:b/>
          <w:color w:val="auto"/>
          <w:sz w:val="32"/>
          <w:szCs w:val="32"/>
        </w:rPr>
        <w:t>质疑函范本</w:t>
      </w:r>
    </w:p>
    <w:p w14:paraId="5BCF4CF9">
      <w:pPr>
        <w:pStyle w:val="9"/>
        <w:spacing w:before="290" w:beforeAutospacing="0" w:afterAutospacing="0" w:line="360" w:lineRule="auto"/>
        <w:jc w:val="both"/>
        <w:rPr>
          <w:rFonts w:hint="eastAsia" w:ascii="宋体" w:hAnsi="宋体" w:cs="宋体"/>
          <w:color w:val="auto"/>
        </w:rPr>
      </w:pPr>
      <w:r>
        <w:rPr>
          <w:rFonts w:hint="eastAsia" w:ascii="宋体" w:hAnsi="宋体" w:cs="宋体"/>
          <w:color w:val="auto"/>
        </w:rPr>
        <w:t>一、质疑供应商基本信息</w:t>
      </w:r>
    </w:p>
    <w:p w14:paraId="4D708953">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质疑供应商：</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xml:space="preserve">       </w:t>
      </w:r>
    </w:p>
    <w:p w14:paraId="0E7BFBCD">
      <w:pPr>
        <w:pStyle w:val="9"/>
        <w:spacing w:beforeAutospacing="0" w:afterAutospacing="0" w:line="360" w:lineRule="auto"/>
        <w:jc w:val="both"/>
        <w:rPr>
          <w:rFonts w:hint="eastAsia" w:ascii="宋体" w:hAnsi="宋体" w:cs="宋体"/>
          <w:color w:val="auto"/>
          <w:u w:val="single"/>
        </w:rPr>
      </w:pPr>
      <w:r>
        <w:rPr>
          <w:rFonts w:hint="eastAsia" w:ascii="宋体" w:hAnsi="宋体" w:cs="宋体"/>
          <w:color w:val="auto"/>
        </w:rPr>
        <w:t>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w:t>
      </w:r>
    </w:p>
    <w:p w14:paraId="0E26D4FE">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邮编：</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1B03D38E">
      <w:pPr>
        <w:pStyle w:val="9"/>
        <w:spacing w:beforeAutospacing="0" w:afterAutospacing="0" w:line="360" w:lineRule="auto"/>
        <w:jc w:val="both"/>
        <w:rPr>
          <w:rFonts w:hint="eastAsia" w:ascii="宋体" w:hAnsi="宋体" w:cs="宋体"/>
          <w:color w:val="auto"/>
          <w:u w:val="single"/>
        </w:rPr>
      </w:pPr>
      <w:r>
        <w:rPr>
          <w:rFonts w:hint="eastAsia" w:ascii="宋体" w:hAnsi="宋体" w:cs="宋体"/>
          <w:color w:val="auto"/>
        </w:rPr>
        <w:t>联系人：</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0ED10BCC">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联系电话：</w:t>
      </w:r>
      <w:r>
        <w:rPr>
          <w:rFonts w:hint="eastAsia" w:ascii="宋体" w:hAnsi="宋体" w:cs="宋体"/>
          <w:color w:val="auto"/>
          <w:u w:val="single"/>
        </w:rPr>
        <w:t xml:space="preserve">                                           </w:t>
      </w:r>
    </w:p>
    <w:p w14:paraId="5106546A">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授权代表：</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6E22DA65">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联系电话：</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5C2DC7AC">
      <w:pPr>
        <w:pStyle w:val="9"/>
        <w:spacing w:beforeAutospacing="0" w:afterAutospacing="0" w:line="360" w:lineRule="auto"/>
        <w:jc w:val="both"/>
        <w:rPr>
          <w:rFonts w:hint="eastAsia" w:ascii="宋体" w:hAnsi="宋体" w:cs="宋体"/>
          <w:color w:val="auto"/>
          <w:u w:val="single"/>
        </w:rPr>
      </w:pPr>
      <w:r>
        <w:rPr>
          <w:rFonts w:hint="eastAsia" w:ascii="宋体" w:hAnsi="宋体" w:cs="宋体"/>
          <w:color w:val="auto"/>
        </w:rPr>
        <w:t>地址： </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0F1F02DD">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邮编：</w:t>
      </w:r>
      <w:r>
        <w:rPr>
          <w:rFonts w:hint="eastAsia" w:ascii="宋体" w:hAnsi="宋体" w:cs="宋体"/>
          <w:color w:val="auto"/>
          <w:u w:val="single"/>
        </w:rPr>
        <w:t xml:space="preserve">                                </w:t>
      </w:r>
    </w:p>
    <w:p w14:paraId="5307715A">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二、质疑项目基本情况</w:t>
      </w:r>
    </w:p>
    <w:p w14:paraId="2BDC3407">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质疑项目的名称：</w:t>
      </w:r>
      <w:r>
        <w:rPr>
          <w:rFonts w:hint="eastAsia" w:ascii="宋体" w:hAnsi="宋体" w:cs="宋体"/>
          <w:color w:val="auto"/>
          <w:u w:val="single"/>
        </w:rPr>
        <w:t xml:space="preserve">                            </w:t>
      </w:r>
    </w:p>
    <w:p w14:paraId="728530E7">
      <w:pPr>
        <w:pStyle w:val="9"/>
        <w:spacing w:beforeAutospacing="0" w:afterAutospacing="0" w:line="360" w:lineRule="auto"/>
        <w:jc w:val="both"/>
        <w:rPr>
          <w:rFonts w:hint="eastAsia" w:ascii="宋体" w:hAnsi="宋体" w:cs="宋体"/>
          <w:color w:val="auto"/>
          <w:u w:val="single"/>
        </w:rPr>
      </w:pPr>
      <w:r>
        <w:rPr>
          <w:rFonts w:hint="eastAsia" w:ascii="宋体" w:hAnsi="宋体" w:cs="宋体"/>
          <w:color w:val="auto"/>
        </w:rPr>
        <w:t>质疑项目的编号：</w:t>
      </w:r>
      <w:r>
        <w:rPr>
          <w:rFonts w:hint="eastAsia" w:ascii="宋体" w:hAnsi="宋体" w:cs="宋体"/>
          <w:color w:val="auto"/>
          <w:u w:val="single"/>
        </w:rPr>
        <w:t xml:space="preserve">                          </w:t>
      </w:r>
    </w:p>
    <w:p w14:paraId="07669A0E">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7DF272A8">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采购人名称：</w:t>
      </w:r>
      <w:r>
        <w:rPr>
          <w:rFonts w:hint="eastAsia" w:ascii="宋体" w:hAnsi="宋体" w:cs="宋体"/>
          <w:color w:val="auto"/>
          <w:u w:val="single"/>
        </w:rPr>
        <w:t xml:space="preserve">                            </w:t>
      </w:r>
    </w:p>
    <w:p w14:paraId="14905476">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采购文件获取日期：</w:t>
      </w:r>
      <w:r>
        <w:rPr>
          <w:rFonts w:hint="eastAsia" w:ascii="宋体" w:hAnsi="宋体" w:cs="宋体"/>
          <w:color w:val="auto"/>
          <w:u w:val="single"/>
        </w:rPr>
        <w:t xml:space="preserve">                             </w:t>
      </w:r>
    </w:p>
    <w:p w14:paraId="20837053">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三、质疑事项具体内容</w:t>
      </w:r>
    </w:p>
    <w:p w14:paraId="41CF2DFE">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质疑事项1：</w:t>
      </w:r>
      <w:r>
        <w:rPr>
          <w:rFonts w:hint="eastAsia" w:ascii="宋体" w:hAnsi="宋体" w:cs="宋体"/>
          <w:color w:val="auto"/>
          <w:u w:val="single"/>
        </w:rPr>
        <w:t xml:space="preserve">                             </w:t>
      </w:r>
    </w:p>
    <w:p w14:paraId="188EB27E">
      <w:pPr>
        <w:pStyle w:val="9"/>
        <w:spacing w:beforeAutospacing="0" w:afterAutospacing="0" w:line="360" w:lineRule="auto"/>
        <w:rPr>
          <w:rFonts w:hint="eastAsia" w:ascii="宋体" w:hAnsi="宋体" w:cs="宋体"/>
          <w:color w:val="auto"/>
        </w:rPr>
      </w:pPr>
      <w:r>
        <w:rPr>
          <w:rFonts w:hint="eastAsia" w:ascii="宋体" w:hAnsi="宋体" w:cs="宋体"/>
          <w:color w:val="auto"/>
        </w:rPr>
        <w:t>事实依据：</w:t>
      </w:r>
      <w:r>
        <w:rPr>
          <w:rFonts w:hint="eastAsia" w:ascii="宋体" w:hAnsi="宋体" w:cs="宋体"/>
          <w:color w:val="auto"/>
          <w:u w:val="single"/>
        </w:rPr>
        <w:t xml:space="preserve">                                                   </w:t>
      </w:r>
    </w:p>
    <w:p w14:paraId="2BD55E40">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法律依据：</w:t>
      </w:r>
      <w:r>
        <w:rPr>
          <w:rFonts w:hint="eastAsia" w:ascii="宋体" w:hAnsi="宋体" w:cs="宋体"/>
          <w:color w:val="auto"/>
          <w:u w:val="single"/>
        </w:rPr>
        <w:t xml:space="preserve">                                                    </w:t>
      </w:r>
    </w:p>
    <w:p w14:paraId="08500CB5">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质疑事项2</w:t>
      </w:r>
    </w:p>
    <w:p w14:paraId="588E7B09">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w:t>
      </w:r>
    </w:p>
    <w:p w14:paraId="633E9B6D">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四、与质疑事项相关的质疑请求</w:t>
      </w:r>
    </w:p>
    <w:p w14:paraId="329A11DB">
      <w:pPr>
        <w:pStyle w:val="9"/>
        <w:spacing w:beforeAutospacing="0" w:afterAutospacing="0" w:line="360" w:lineRule="auto"/>
        <w:jc w:val="both"/>
        <w:rPr>
          <w:rFonts w:hint="eastAsia" w:ascii="宋体" w:hAnsi="宋体" w:cs="宋体"/>
          <w:color w:val="auto"/>
        </w:rPr>
      </w:pPr>
      <w:r>
        <w:rPr>
          <w:rFonts w:hint="eastAsia" w:ascii="宋体" w:hAnsi="宋体" w:cs="宋体"/>
          <w:color w:val="auto"/>
        </w:rPr>
        <w:t>请求：</w:t>
      </w:r>
      <w:r>
        <w:rPr>
          <w:rFonts w:hint="eastAsia" w:ascii="宋体" w:hAnsi="宋体" w:cs="宋体"/>
          <w:color w:val="auto"/>
          <w:u w:val="single"/>
        </w:rPr>
        <w:t xml:space="preserve">                                                          </w:t>
      </w:r>
    </w:p>
    <w:p w14:paraId="2D12B024">
      <w:pPr>
        <w:pStyle w:val="9"/>
        <w:spacing w:beforeAutospacing="0" w:afterAutospacing="0"/>
        <w:jc w:val="both"/>
        <w:rPr>
          <w:rFonts w:hint="eastAsia" w:ascii="宋体" w:hAnsi="宋体" w:cs="宋体"/>
          <w:color w:val="auto"/>
        </w:rPr>
      </w:pPr>
      <w:r>
        <w:rPr>
          <w:rFonts w:hint="eastAsia" w:ascii="宋体" w:hAnsi="宋体" w:cs="宋体"/>
          <w:color w:val="auto"/>
        </w:rPr>
        <w:t xml:space="preserve">签字(签章)：                 公章：               日期：    </w:t>
      </w:r>
    </w:p>
    <w:p w14:paraId="0A677A45">
      <w:pPr>
        <w:pStyle w:val="9"/>
        <w:spacing w:beforeAutospacing="0" w:afterAutospacing="0" w:line="0" w:lineRule="atLeast"/>
        <w:jc w:val="both"/>
        <w:rPr>
          <w:rFonts w:hint="eastAsia" w:ascii="宋体" w:hAnsi="宋体" w:cs="宋体"/>
          <w:color w:val="auto"/>
        </w:rPr>
      </w:pPr>
      <w:r>
        <w:rPr>
          <w:rFonts w:hint="eastAsia" w:ascii="宋体" w:hAnsi="宋体" w:cs="宋体"/>
          <w:b/>
          <w:color w:val="auto"/>
        </w:rPr>
        <w:t>质疑函制作说明：</w:t>
      </w:r>
    </w:p>
    <w:p w14:paraId="076DA0F1">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1.供应商提出质疑时，应提交质疑函和必要的证明材料。</w:t>
      </w:r>
    </w:p>
    <w:p w14:paraId="732C3042">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1AA315">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3.质疑供应商若对项目的某一分包进行质疑，质疑函中应列明具体分包号。</w:t>
      </w:r>
    </w:p>
    <w:p w14:paraId="7CA69474">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4.质疑函的质疑事项应具体、明确，并有必要的事实依据和法律依据。</w:t>
      </w:r>
    </w:p>
    <w:p w14:paraId="7BEA5696">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5.质疑函的质疑请求应与质疑事项相关。</w:t>
      </w:r>
    </w:p>
    <w:p w14:paraId="02202AF4">
      <w:pPr>
        <w:pStyle w:val="9"/>
        <w:widowControl/>
        <w:spacing w:beforeAutospacing="0" w:afterAutospacing="0" w:line="0" w:lineRule="atLeast"/>
        <w:ind w:firstLine="480"/>
        <w:rPr>
          <w:rFonts w:hint="eastAsia" w:ascii="宋体" w:hAnsi="宋体" w:cs="宋体"/>
          <w:color w:val="auto"/>
        </w:rPr>
      </w:pPr>
      <w:r>
        <w:rPr>
          <w:rFonts w:hint="eastAsia" w:ascii="宋体" w:hAnsi="宋体" w:cs="宋体"/>
          <w:color w:val="auto"/>
        </w:rPr>
        <w:t>6.质疑供应商为自然人的，质疑函应由本人签字；质疑供应商为法人或者其他组织的，质疑函应由法定代表人、主要负责人，或者其授权代表签字或者盖章，并加盖公章。</w:t>
      </w:r>
    </w:p>
    <w:p w14:paraId="3483B0D9">
      <w:pPr>
        <w:pStyle w:val="9"/>
        <w:spacing w:beforeAutospacing="0" w:afterAutospacing="0"/>
        <w:rPr>
          <w:color w:val="auto"/>
        </w:rPr>
      </w:pPr>
    </w:p>
    <w:p w14:paraId="2B3D99F6">
      <w:pPr>
        <w:rPr>
          <w:color w:val="auto"/>
        </w:rPr>
      </w:pPr>
    </w:p>
    <w:p w14:paraId="46B990BD">
      <w:pPr>
        <w:widowControl/>
        <w:spacing w:line="499" w:lineRule="atLeast"/>
        <w:jc w:val="center"/>
        <w:rPr>
          <w:rFonts w:hint="eastAsia"/>
          <w:color w:val="auto"/>
          <w:sz w:val="24"/>
        </w:rPr>
      </w:pPr>
    </w:p>
    <w:sectPr>
      <w:footerReference r:id="rId7" w:type="default"/>
      <w:pgSz w:w="11910" w:h="16840"/>
      <w:pgMar w:top="1460" w:right="1440" w:bottom="1680" w:left="1580" w:header="0" w:footer="1492"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冬青黑体简体中文">
    <w:altName w:val="黑体"/>
    <w:panose1 w:val="020B0300000000000000"/>
    <w:charset w:val="86"/>
    <w:family w:val="auto"/>
    <w:pitch w:val="default"/>
    <w:sig w:usb0="00000000" w:usb1="00000000" w:usb2="00000016" w:usb3="00000000" w:csb0="00060007" w:csb1="00000000"/>
  </w:font>
  <w:font w:name="仿宋_GB2312">
    <w:altName w:val="仿宋"/>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882F1">
    <w:pPr>
      <w:pStyle w:val="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BE69D0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faId2PQIAAHIEAAAOAAAAAAAAAAEAIAAAAB8BAABkcnMvZTJv&#10;RG9jLnhtbFBLBQYAAAAABgAGAFkBAADOBQAAAAA=&#10;">
              <v:fill on="f" focussize="0,0"/>
              <v:stroke on="f" weight="0.5pt"/>
              <v:imagedata o:title=""/>
              <o:lock v:ext="edit" aspectratio="f"/>
              <v:textbox inset="0mm,0mm,0mm,0mm" style="mso-fit-shape-to-text:t;">
                <w:txbxContent>
                  <w:p w14:paraId="4BE69D0F">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684E5">
    <w:pPr>
      <w:pStyle w:val="4"/>
      <w:spacing w:before="0" w:line="14" w:lineRule="auto"/>
      <w:ind w:left="0"/>
      <w:rPr>
        <w:sz w:val="20"/>
      </w:rPr>
    </w:pPr>
    <w:r>
      <mc:AlternateContent>
        <mc:Choice Requires="wps">
          <w:drawing>
            <wp:anchor distT="0" distB="0" distL="114300" distR="114300" simplePos="0" relativeHeight="251660288" behindDoc="1" locked="0" layoutInCell="1" allowOverlap="1">
              <wp:simplePos x="0" y="0"/>
              <wp:positionH relativeFrom="page">
                <wp:posOffset>3651885</wp:posOffset>
              </wp:positionH>
              <wp:positionV relativeFrom="page">
                <wp:posOffset>9605645</wp:posOffset>
              </wp:positionV>
              <wp:extent cx="271780" cy="144780"/>
              <wp:effectExtent l="0" t="0" r="0" b="0"/>
              <wp:wrapNone/>
              <wp:docPr id="402038897" name="Text Box 1025"/>
              <wp:cNvGraphicFramePr/>
              <a:graphic xmlns:a="http://schemas.openxmlformats.org/drawingml/2006/main">
                <a:graphicData uri="http://schemas.microsoft.com/office/word/2010/wordprocessingShape">
                  <wps:wsp>
                    <wps:cNvSpPr txBox="1"/>
                    <wps:spPr bwMode="auto">
                      <a:xfrm>
                        <a:off x="0" y="0"/>
                        <a:ext cx="271780" cy="144780"/>
                      </a:xfrm>
                      <a:prstGeom prst="rect">
                        <a:avLst/>
                      </a:prstGeom>
                      <a:noFill/>
                      <a:ln>
                        <a:noFill/>
                      </a:ln>
                      <a:effectLst/>
                    </wps:spPr>
                    <wps:txbx>
                      <w:txbxContent>
                        <w:p w14:paraId="6D42F51D">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wps:txbx>
                    <wps:bodyPr rot="0" vert="horz" wrap="square" lIns="0" tIns="0" rIns="0" bIns="0" anchor="t" anchorCtr="0" upright="1">
                      <a:noAutofit/>
                    </wps:bodyPr>
                  </wps:wsp>
                </a:graphicData>
              </a:graphic>
            </wp:anchor>
          </w:drawing>
        </mc:Choice>
        <mc:Fallback>
          <w:pict>
            <v:shape id="Text Box 1025" o:spid="_x0000_s1026" o:spt="202" type="#_x0000_t202" style="position:absolute;left:0pt;margin-left:287.55pt;margin-top:756.35pt;height:11.4pt;width:21.4pt;mso-position-horizontal-relative:page;mso-position-vertical-relative:page;z-index:-251656192;mso-width-relative:page;mso-height-relative:page;" filled="f" stroked="f" coordsize="21600,21600" o:gfxdata="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XTzeQ9sAAAANAQAADwAAAAAAAAABACAAAAAiAAAAZHJzL2Rvd25yZXYueG1sUEsBAhQA&#10;FAAAAAgAh07iQA0wB4zvAQAA7AMAAA4AAAAAAAAAAQAgAAAAKgEAAGRycy9lMm9Eb2MueG1sUEsF&#10;BgAAAAAGAAYAWQEAAIsFAAAAAA==&#10;">
              <v:fill on="f" focussize="0,0"/>
              <v:stroke on="f"/>
              <v:imagedata o:title=""/>
              <o:lock v:ext="edit" aspectratio="f"/>
              <v:textbox inset="0mm,0mm,0mm,0mm">
                <w:txbxContent>
                  <w:p w14:paraId="6D42F51D">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BC5F7">
    <w:pPr>
      <w:pStyle w:val="4"/>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3651885</wp:posOffset>
              </wp:positionH>
              <wp:positionV relativeFrom="page">
                <wp:posOffset>9605645</wp:posOffset>
              </wp:positionV>
              <wp:extent cx="271780" cy="144780"/>
              <wp:effectExtent l="0" t="0" r="0" b="0"/>
              <wp:wrapNone/>
              <wp:docPr id="4" name="Text Box 1025"/>
              <wp:cNvGraphicFramePr/>
              <a:graphic xmlns:a="http://schemas.openxmlformats.org/drawingml/2006/main">
                <a:graphicData uri="http://schemas.microsoft.com/office/word/2010/wordprocessingShape">
                  <wps:wsp>
                    <wps:cNvSpPr txBox="1"/>
                    <wps:spPr bwMode="auto">
                      <a:xfrm>
                        <a:off x="0" y="0"/>
                        <a:ext cx="271780" cy="144780"/>
                      </a:xfrm>
                      <a:prstGeom prst="rect">
                        <a:avLst/>
                      </a:prstGeom>
                      <a:noFill/>
                      <a:ln>
                        <a:noFill/>
                      </a:ln>
                      <a:effectLst/>
                    </wps:spPr>
                    <wps:txbx>
                      <w:txbxContent>
                        <w:p w14:paraId="4B4F94D7">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wps:txbx>
                    <wps:bodyPr rot="0" vert="horz" wrap="square" lIns="0" tIns="0" rIns="0" bIns="0" anchor="t" anchorCtr="0" upright="1">
                      <a:noAutofit/>
                    </wps:bodyPr>
                  </wps:wsp>
                </a:graphicData>
              </a:graphic>
            </wp:anchor>
          </w:drawing>
        </mc:Choice>
        <mc:Fallback>
          <w:pict>
            <v:shape id="Text Box 1025" o:spid="_x0000_s1026" o:spt="202" type="#_x0000_t202" style="position:absolute;left:0pt;margin-left:287.55pt;margin-top:756.35pt;height:11.4pt;width:21.4pt;mso-position-horizontal-relative:page;mso-position-vertical-relative:page;z-index:-251655168;mso-width-relative:page;mso-height-relative:page;" filled="f" stroked="f" coordsize="21600,21600" o:gfxdata="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08&#10;3kPbAAAADQEAAA8AAAAAAAAAAQAgAAAAIgAAAGRycy9kb3ducmV2LnhtbFBLAQIUABQAAAAIAIdO&#10;4kBOnns75wEAAOQDAAAOAAAAAAAAAAEAIAAAACoBAABkcnMvZTJvRG9jLnhtbFBLBQYAAAAABgAG&#10;AFkBAACDBQAAAAA=&#10;">
              <v:fill on="f" focussize="0,0"/>
              <v:stroke on="f"/>
              <v:imagedata o:title=""/>
              <o:lock v:ext="edit" aspectratio="f"/>
              <v:textbox inset="0mm,0mm,0mm,0mm">
                <w:txbxContent>
                  <w:p w14:paraId="4B4F94D7">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0F4FE">
    <w:pPr>
      <w:pStyle w:val="4"/>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3651885</wp:posOffset>
              </wp:positionH>
              <wp:positionV relativeFrom="page">
                <wp:posOffset>9605645</wp:posOffset>
              </wp:positionV>
              <wp:extent cx="271780" cy="144780"/>
              <wp:effectExtent l="0" t="0" r="0" b="0"/>
              <wp:wrapNone/>
              <wp:docPr id="2" name="Text Box 1025"/>
              <wp:cNvGraphicFramePr/>
              <a:graphic xmlns:a="http://schemas.openxmlformats.org/drawingml/2006/main">
                <a:graphicData uri="http://schemas.microsoft.com/office/word/2010/wordprocessingShape">
                  <wps:wsp>
                    <wps:cNvSpPr txBox="1"/>
                    <wps:spPr bwMode="auto">
                      <a:xfrm>
                        <a:off x="0" y="0"/>
                        <a:ext cx="271780" cy="144780"/>
                      </a:xfrm>
                      <a:prstGeom prst="rect">
                        <a:avLst/>
                      </a:prstGeom>
                      <a:noFill/>
                      <a:ln>
                        <a:noFill/>
                      </a:ln>
                      <a:effectLst/>
                    </wps:spPr>
                    <wps:txbx>
                      <w:txbxContent>
                        <w:p w14:paraId="31CDBC5F">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wps:txbx>
                    <wps:bodyPr rot="0" vert="horz" wrap="square" lIns="0" tIns="0" rIns="0" bIns="0" anchor="t" anchorCtr="0" upright="1">
                      <a:noAutofit/>
                    </wps:bodyPr>
                  </wps:wsp>
                </a:graphicData>
              </a:graphic>
            </wp:anchor>
          </w:drawing>
        </mc:Choice>
        <mc:Fallback>
          <w:pict>
            <v:shape id="Text Box 1025" o:spid="_x0000_s1026" o:spt="202" type="#_x0000_t202" style="position:absolute;left:0pt;margin-left:287.55pt;margin-top:756.35pt;height:11.4pt;width:21.4pt;mso-position-horizontal-relative:page;mso-position-vertical-relative:page;z-index:-251655168;mso-width-relative:page;mso-height-relative:page;" filled="f" stroked="f" coordsize="21600,21600" o:gfxdata="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d&#10;PN5D2wAAAA0BAAAPAAAAAAAAAAEAIAAAACIAAABkcnMvZG93bnJldi54bWxQSwECFAAUAAAACACH&#10;TuJAbWXEwegBAADkAwAADgAAAAAAAAABACAAAAAqAQAAZHJzL2Uyb0RvYy54bWxQSwUGAAAAAAYA&#10;BgBZAQAAhAUAAAAA&#10;">
              <v:fill on="f" focussize="0,0"/>
              <v:stroke on="f"/>
              <v:imagedata o:title=""/>
              <o:lock v:ext="edit" aspectratio="f"/>
              <v:textbox inset="0mm,0mm,0mm,0mm">
                <w:txbxContent>
                  <w:p w14:paraId="31CDBC5F">
                    <w:pPr>
                      <w:spacing w:line="228" w:lineRule="exact"/>
                      <w:ind w:left="60"/>
                      <w:rPr>
                        <w:rFonts w:ascii="等线"/>
                        <w:sz w:val="18"/>
                      </w:rPr>
                    </w:pPr>
                    <w:r>
                      <w:rPr>
                        <w:rFonts w:ascii="等线"/>
                        <w:spacing w:val="-5"/>
                        <w:sz w:val="18"/>
                      </w:rPr>
                      <w:fldChar w:fldCharType="begin"/>
                    </w:r>
                    <w:r>
                      <w:rPr>
                        <w:rFonts w:ascii="等线"/>
                        <w:spacing w:val="-5"/>
                        <w:sz w:val="18"/>
                      </w:rPr>
                      <w:instrText xml:space="preserve"> PAGE </w:instrText>
                    </w:r>
                    <w:r>
                      <w:rPr>
                        <w:rFonts w:ascii="等线"/>
                        <w:spacing w:val="-5"/>
                        <w:sz w:val="18"/>
                      </w:rPr>
                      <w:fldChar w:fldCharType="separate"/>
                    </w:r>
                    <w:r>
                      <w:rPr>
                        <w:rFonts w:ascii="等线"/>
                        <w:spacing w:val="-5"/>
                        <w:sz w:val="18"/>
                      </w:rPr>
                      <w:t>43</w:t>
                    </w:r>
                    <w:r>
                      <w:rPr>
                        <w:rFonts w:ascii="等线"/>
                        <w:spacing w:val="-5"/>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DC14AB4">
      <w:pPr>
        <w:rPr>
          <w:i/>
          <w:iC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49186"/>
    <w:multiLevelType w:val="singleLevel"/>
    <w:tmpl w:val="86A49186"/>
    <w:lvl w:ilvl="0" w:tentative="0">
      <w:start w:val="1"/>
      <w:numFmt w:val="decimal"/>
      <w:lvlText w:val="%1."/>
      <w:lvlJc w:val="left"/>
      <w:pPr>
        <w:ind w:left="425" w:hanging="425"/>
      </w:pPr>
      <w:rPr>
        <w:rFonts w:hint="default"/>
      </w:rPr>
    </w:lvl>
  </w:abstractNum>
  <w:abstractNum w:abstractNumId="1">
    <w:nsid w:val="8DB83005"/>
    <w:multiLevelType w:val="singleLevel"/>
    <w:tmpl w:val="8DB83005"/>
    <w:lvl w:ilvl="0" w:tentative="0">
      <w:start w:val="1"/>
      <w:numFmt w:val="decimal"/>
      <w:lvlText w:val="%1."/>
      <w:lvlJc w:val="left"/>
      <w:pPr>
        <w:ind w:left="425" w:hanging="425"/>
      </w:pPr>
      <w:rPr>
        <w:rFonts w:hint="default"/>
      </w:rPr>
    </w:lvl>
  </w:abstractNum>
  <w:abstractNum w:abstractNumId="2">
    <w:nsid w:val="92E70E3D"/>
    <w:multiLevelType w:val="singleLevel"/>
    <w:tmpl w:val="92E70E3D"/>
    <w:lvl w:ilvl="0" w:tentative="0">
      <w:start w:val="1"/>
      <w:numFmt w:val="decimal"/>
      <w:lvlText w:val="%1."/>
      <w:lvlJc w:val="left"/>
      <w:pPr>
        <w:ind w:left="425" w:hanging="425"/>
      </w:pPr>
      <w:rPr>
        <w:rFonts w:hint="default"/>
      </w:rPr>
    </w:lvl>
  </w:abstractNum>
  <w:abstractNum w:abstractNumId="3">
    <w:nsid w:val="9E4DAB96"/>
    <w:multiLevelType w:val="singleLevel"/>
    <w:tmpl w:val="9E4DAB96"/>
    <w:lvl w:ilvl="0" w:tentative="0">
      <w:start w:val="1"/>
      <w:numFmt w:val="decimal"/>
      <w:suff w:val="space"/>
      <w:lvlText w:val="%1."/>
      <w:lvlJc w:val="left"/>
      <w:pPr>
        <w:ind w:left="0" w:leftChars="0" w:firstLine="0" w:firstLineChars="0"/>
      </w:pPr>
      <w:rPr>
        <w:rFonts w:hint="default"/>
      </w:rPr>
    </w:lvl>
  </w:abstractNum>
  <w:abstractNum w:abstractNumId="4">
    <w:nsid w:val="B336CE5D"/>
    <w:multiLevelType w:val="singleLevel"/>
    <w:tmpl w:val="B336CE5D"/>
    <w:lvl w:ilvl="0" w:tentative="0">
      <w:start w:val="1"/>
      <w:numFmt w:val="decimal"/>
      <w:suff w:val="space"/>
      <w:lvlText w:val="%1."/>
      <w:lvlJc w:val="left"/>
      <w:pPr>
        <w:ind w:left="425" w:hanging="425"/>
      </w:pPr>
      <w:rPr>
        <w:rFonts w:hint="default"/>
      </w:rPr>
    </w:lvl>
  </w:abstractNum>
  <w:abstractNum w:abstractNumId="5">
    <w:nsid w:val="D1CF7021"/>
    <w:multiLevelType w:val="singleLevel"/>
    <w:tmpl w:val="D1CF7021"/>
    <w:lvl w:ilvl="0" w:tentative="0">
      <w:start w:val="1"/>
      <w:numFmt w:val="decimal"/>
      <w:suff w:val="space"/>
      <w:lvlText w:val="%1."/>
      <w:lvlJc w:val="left"/>
      <w:pPr>
        <w:ind w:left="425" w:hanging="425"/>
      </w:pPr>
      <w:rPr>
        <w:rFonts w:hint="default"/>
      </w:rPr>
    </w:lvl>
  </w:abstractNum>
  <w:abstractNum w:abstractNumId="6">
    <w:nsid w:val="D21794FE"/>
    <w:multiLevelType w:val="multilevel"/>
    <w:tmpl w:val="D21794FE"/>
    <w:lvl w:ilvl="0" w:tentative="0">
      <w:start w:val="5"/>
      <w:numFmt w:val="decimal"/>
      <w:lvlText w:val="%1"/>
      <w:lvlJc w:val="left"/>
      <w:pPr>
        <w:ind w:left="700" w:hanging="1621"/>
      </w:pPr>
      <w:rPr>
        <w:rFonts w:hint="default"/>
        <w:lang w:val="en-US" w:eastAsia="zh-CN" w:bidi="ar-SA"/>
      </w:rPr>
    </w:lvl>
    <w:lvl w:ilvl="1" w:tentative="0">
      <w:start w:val="1"/>
      <w:numFmt w:val="decimal"/>
      <w:lvlText w:val="%1.%2"/>
      <w:lvlJc w:val="left"/>
      <w:pPr>
        <w:ind w:left="700" w:hanging="1621"/>
      </w:pPr>
      <w:rPr>
        <w:rFonts w:hint="default"/>
        <w:lang w:val="en-US" w:eastAsia="zh-CN" w:bidi="ar-SA"/>
      </w:rPr>
    </w:lvl>
    <w:lvl w:ilvl="2" w:tentative="0">
      <w:start w:val="4"/>
      <w:numFmt w:val="decimal"/>
      <w:lvlText w:val="%1.%2.%3"/>
      <w:lvlJc w:val="left"/>
      <w:pPr>
        <w:ind w:left="700" w:hanging="1621"/>
      </w:pPr>
      <w:rPr>
        <w:rFonts w:hint="default"/>
        <w:lang w:val="en-US" w:eastAsia="zh-CN" w:bidi="ar-SA"/>
      </w:rPr>
    </w:lvl>
    <w:lvl w:ilvl="3" w:tentative="0">
      <w:start w:val="4"/>
      <w:numFmt w:val="decimal"/>
      <w:lvlText w:val="%1.%2.%3.%4"/>
      <w:lvlJc w:val="left"/>
      <w:pPr>
        <w:ind w:left="700" w:hanging="1621"/>
      </w:pPr>
      <w:rPr>
        <w:rFonts w:hint="default"/>
        <w:lang w:val="en-US" w:eastAsia="zh-CN" w:bidi="ar-SA"/>
      </w:rPr>
    </w:lvl>
    <w:lvl w:ilvl="4" w:tentative="0">
      <w:start w:val="6"/>
      <w:numFmt w:val="decimal"/>
      <w:lvlText w:val="%1.%2.%3.%4.%5"/>
      <w:lvlJc w:val="left"/>
      <w:pPr>
        <w:ind w:left="700" w:hanging="1621"/>
      </w:pPr>
      <w:rPr>
        <w:rFonts w:hint="default"/>
        <w:lang w:val="en-US" w:eastAsia="zh-CN" w:bidi="ar-SA"/>
      </w:rPr>
    </w:lvl>
    <w:lvl w:ilvl="5" w:tentative="0">
      <w:start w:val="6"/>
      <w:numFmt w:val="decimal"/>
      <w:suff w:val="space"/>
      <w:lvlText w:val="%1.%2.%3.%4.%5.%6"/>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611" w:hanging="1621"/>
      </w:pPr>
      <w:rPr>
        <w:rFonts w:hint="default"/>
        <w:lang w:val="en-US" w:eastAsia="zh-CN" w:bidi="ar-SA"/>
      </w:rPr>
    </w:lvl>
    <w:lvl w:ilvl="7" w:tentative="0">
      <w:start w:val="0"/>
      <w:numFmt w:val="bullet"/>
      <w:lvlText w:val="•"/>
      <w:lvlJc w:val="left"/>
      <w:pPr>
        <w:ind w:left="6430" w:hanging="1621"/>
      </w:pPr>
      <w:rPr>
        <w:rFonts w:hint="default"/>
        <w:lang w:val="en-US" w:eastAsia="zh-CN" w:bidi="ar-SA"/>
      </w:rPr>
    </w:lvl>
    <w:lvl w:ilvl="8" w:tentative="0">
      <w:start w:val="0"/>
      <w:numFmt w:val="bullet"/>
      <w:lvlText w:val="•"/>
      <w:lvlJc w:val="left"/>
      <w:pPr>
        <w:ind w:left="7249" w:hanging="1621"/>
      </w:pPr>
      <w:rPr>
        <w:rFonts w:hint="default"/>
        <w:lang w:val="en-US" w:eastAsia="zh-CN" w:bidi="ar-SA"/>
      </w:rPr>
    </w:lvl>
  </w:abstractNum>
  <w:abstractNum w:abstractNumId="7">
    <w:nsid w:val="D7ED62B2"/>
    <w:multiLevelType w:val="singleLevel"/>
    <w:tmpl w:val="D7ED62B2"/>
    <w:lvl w:ilvl="0" w:tentative="0">
      <w:start w:val="1"/>
      <w:numFmt w:val="decimal"/>
      <w:suff w:val="space"/>
      <w:lvlText w:val="%1."/>
      <w:lvlJc w:val="left"/>
      <w:pPr>
        <w:ind w:left="425" w:hanging="425"/>
      </w:pPr>
      <w:rPr>
        <w:rFonts w:hint="default"/>
      </w:rPr>
    </w:lvl>
  </w:abstractNum>
  <w:abstractNum w:abstractNumId="8">
    <w:nsid w:val="E36D12B5"/>
    <w:multiLevelType w:val="singleLevel"/>
    <w:tmpl w:val="E36D12B5"/>
    <w:lvl w:ilvl="0" w:tentative="0">
      <w:start w:val="1"/>
      <w:numFmt w:val="decimal"/>
      <w:lvlText w:val="%1."/>
      <w:lvlJc w:val="left"/>
      <w:pPr>
        <w:ind w:left="425" w:hanging="425"/>
      </w:pPr>
      <w:rPr>
        <w:rFonts w:hint="default"/>
      </w:rPr>
    </w:lvl>
  </w:abstractNum>
  <w:abstractNum w:abstractNumId="9">
    <w:nsid w:val="EF0AAD93"/>
    <w:multiLevelType w:val="singleLevel"/>
    <w:tmpl w:val="EF0AAD93"/>
    <w:lvl w:ilvl="0" w:tentative="0">
      <w:start w:val="1"/>
      <w:numFmt w:val="decimal"/>
      <w:lvlText w:val="%1."/>
      <w:lvlJc w:val="left"/>
      <w:pPr>
        <w:ind w:left="425" w:hanging="425"/>
      </w:pPr>
      <w:rPr>
        <w:rFonts w:hint="default"/>
      </w:rPr>
    </w:lvl>
  </w:abstractNum>
  <w:abstractNum w:abstractNumId="10">
    <w:nsid w:val="F29835B0"/>
    <w:multiLevelType w:val="singleLevel"/>
    <w:tmpl w:val="F29835B0"/>
    <w:lvl w:ilvl="0" w:tentative="0">
      <w:start w:val="1"/>
      <w:numFmt w:val="decimal"/>
      <w:suff w:val="space"/>
      <w:lvlText w:val="%1."/>
      <w:lvlJc w:val="left"/>
      <w:pPr>
        <w:ind w:left="425" w:hanging="425"/>
      </w:pPr>
      <w:rPr>
        <w:rFonts w:hint="default"/>
      </w:rPr>
    </w:lvl>
  </w:abstractNum>
  <w:abstractNum w:abstractNumId="11">
    <w:nsid w:val="F576466B"/>
    <w:multiLevelType w:val="multilevel"/>
    <w:tmpl w:val="F576466B"/>
    <w:lvl w:ilvl="0" w:tentative="0">
      <w:start w:val="5"/>
      <w:numFmt w:val="decimal"/>
      <w:lvlText w:val="%1"/>
      <w:lvlJc w:val="left"/>
      <w:pPr>
        <w:ind w:left="1900" w:hanging="773"/>
      </w:pPr>
      <w:rPr>
        <w:rFonts w:hint="default"/>
        <w:lang w:val="en-US" w:eastAsia="zh-CN" w:bidi="ar-SA"/>
      </w:rPr>
    </w:lvl>
    <w:lvl w:ilvl="1" w:tentative="0">
      <w:start w:val="1"/>
      <w:numFmt w:val="decimal"/>
      <w:lvlText w:val="%1.%2"/>
      <w:lvlJc w:val="left"/>
      <w:pPr>
        <w:ind w:left="1900" w:hanging="773"/>
      </w:pPr>
      <w:rPr>
        <w:rFonts w:hint="default"/>
        <w:lang w:val="en-US" w:eastAsia="zh-CN" w:bidi="ar-SA"/>
      </w:rPr>
    </w:lvl>
    <w:lvl w:ilvl="2" w:tentative="0">
      <w:start w:val="5"/>
      <w:numFmt w:val="decimal"/>
      <w:suff w:val="space"/>
      <w:lvlText w:val="%1.%2.%3"/>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3" w:tentative="0">
      <w:start w:val="1"/>
      <w:numFmt w:val="decimal"/>
      <w:suff w:val="space"/>
      <w:lvlText w:val="%1.%2.%3.%4"/>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4" w:tentative="0">
      <w:start w:val="1"/>
      <w:numFmt w:val="decimal"/>
      <w:suff w:val="space"/>
      <w:lvlText w:val="%1.%2.%3.%4.%5"/>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5" w:tentative="0">
      <w:start w:val="1"/>
      <w:numFmt w:val="decimal"/>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968" w:hanging="1621"/>
      </w:pPr>
      <w:rPr>
        <w:rFonts w:hint="default"/>
        <w:lang w:val="en-US" w:eastAsia="zh-CN" w:bidi="ar-SA"/>
      </w:rPr>
    </w:lvl>
    <w:lvl w:ilvl="7" w:tentative="0">
      <w:start w:val="0"/>
      <w:numFmt w:val="bullet"/>
      <w:lvlText w:val="•"/>
      <w:lvlJc w:val="left"/>
      <w:pPr>
        <w:ind w:left="6697" w:hanging="1621"/>
      </w:pPr>
      <w:rPr>
        <w:rFonts w:hint="default"/>
        <w:lang w:val="en-US" w:eastAsia="zh-CN" w:bidi="ar-SA"/>
      </w:rPr>
    </w:lvl>
    <w:lvl w:ilvl="8" w:tentative="0">
      <w:start w:val="0"/>
      <w:numFmt w:val="bullet"/>
      <w:lvlText w:val="•"/>
      <w:lvlJc w:val="left"/>
      <w:pPr>
        <w:ind w:left="7427" w:hanging="1621"/>
      </w:pPr>
      <w:rPr>
        <w:rFonts w:hint="default"/>
        <w:lang w:val="en-US" w:eastAsia="zh-CN" w:bidi="ar-SA"/>
      </w:rPr>
    </w:lvl>
  </w:abstractNum>
  <w:abstractNum w:abstractNumId="12">
    <w:nsid w:val="0610A034"/>
    <w:multiLevelType w:val="multilevel"/>
    <w:tmpl w:val="0610A034"/>
    <w:lvl w:ilvl="0" w:tentative="0">
      <w:start w:val="5"/>
      <w:numFmt w:val="decimal"/>
      <w:lvlText w:val="%1"/>
      <w:lvlJc w:val="left"/>
      <w:pPr>
        <w:ind w:left="2321" w:hanging="1621"/>
      </w:pPr>
      <w:rPr>
        <w:rFonts w:hint="default"/>
        <w:lang w:val="en-US" w:eastAsia="zh-CN" w:bidi="ar-SA"/>
      </w:rPr>
    </w:lvl>
    <w:lvl w:ilvl="1" w:tentative="0">
      <w:start w:val="1"/>
      <w:numFmt w:val="decimal"/>
      <w:lvlText w:val="%1.%2"/>
      <w:lvlJc w:val="left"/>
      <w:pPr>
        <w:ind w:left="2321" w:hanging="1621"/>
      </w:pPr>
      <w:rPr>
        <w:rFonts w:hint="default"/>
        <w:lang w:val="en-US" w:eastAsia="zh-CN" w:bidi="ar-SA"/>
      </w:rPr>
    </w:lvl>
    <w:lvl w:ilvl="2" w:tentative="0">
      <w:start w:val="2"/>
      <w:numFmt w:val="decimal"/>
      <w:lvlText w:val="%1.%2.%3"/>
      <w:lvlJc w:val="left"/>
      <w:pPr>
        <w:ind w:left="2321" w:hanging="1621"/>
      </w:pPr>
      <w:rPr>
        <w:rFonts w:hint="default"/>
        <w:lang w:val="en-US" w:eastAsia="zh-CN" w:bidi="ar-SA"/>
      </w:rPr>
    </w:lvl>
    <w:lvl w:ilvl="3" w:tentative="0">
      <w:start w:val="5"/>
      <w:numFmt w:val="decimal"/>
      <w:lvlText w:val="%1.%2.%3.%4"/>
      <w:lvlJc w:val="left"/>
      <w:pPr>
        <w:ind w:left="2321" w:hanging="1621"/>
      </w:pPr>
      <w:rPr>
        <w:rFonts w:hint="default"/>
        <w:lang w:val="en-US" w:eastAsia="zh-CN" w:bidi="ar-SA"/>
      </w:rPr>
    </w:lvl>
    <w:lvl w:ilvl="4" w:tentative="0">
      <w:start w:val="4"/>
      <w:numFmt w:val="decimal"/>
      <w:lvlText w:val="%1.%2.%3.%4.%5"/>
      <w:lvlJc w:val="left"/>
      <w:pPr>
        <w:ind w:left="2321" w:hanging="1621"/>
      </w:pPr>
      <w:rPr>
        <w:rFonts w:hint="default"/>
        <w:lang w:val="en-US" w:eastAsia="zh-CN" w:bidi="ar-SA"/>
      </w:rPr>
    </w:lvl>
    <w:lvl w:ilvl="5" w:tentative="0">
      <w:start w:val="5"/>
      <w:numFmt w:val="decimal"/>
      <w:suff w:val="space"/>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6259" w:hanging="1621"/>
      </w:pPr>
      <w:rPr>
        <w:rFonts w:hint="default"/>
        <w:lang w:val="en-US" w:eastAsia="zh-CN" w:bidi="ar-SA"/>
      </w:rPr>
    </w:lvl>
    <w:lvl w:ilvl="7" w:tentative="0">
      <w:start w:val="0"/>
      <w:numFmt w:val="bullet"/>
      <w:lvlText w:val="•"/>
      <w:lvlJc w:val="left"/>
      <w:pPr>
        <w:ind w:left="6916" w:hanging="1621"/>
      </w:pPr>
      <w:rPr>
        <w:rFonts w:hint="default"/>
        <w:lang w:val="en-US" w:eastAsia="zh-CN" w:bidi="ar-SA"/>
      </w:rPr>
    </w:lvl>
    <w:lvl w:ilvl="8" w:tentative="0">
      <w:start w:val="0"/>
      <w:numFmt w:val="bullet"/>
      <w:lvlText w:val="•"/>
      <w:lvlJc w:val="left"/>
      <w:pPr>
        <w:ind w:left="7573" w:hanging="1621"/>
      </w:pPr>
      <w:rPr>
        <w:rFonts w:hint="default"/>
        <w:lang w:val="en-US" w:eastAsia="zh-CN" w:bidi="ar-SA"/>
      </w:rPr>
    </w:lvl>
  </w:abstractNum>
  <w:abstractNum w:abstractNumId="13">
    <w:nsid w:val="0D3E64B5"/>
    <w:multiLevelType w:val="multilevel"/>
    <w:tmpl w:val="0D3E64B5"/>
    <w:lvl w:ilvl="0" w:tentative="0">
      <w:start w:val="5"/>
      <w:numFmt w:val="decimal"/>
      <w:lvlText w:val="%1"/>
      <w:lvlJc w:val="left"/>
      <w:pPr>
        <w:ind w:left="2321" w:hanging="1621"/>
      </w:pPr>
      <w:rPr>
        <w:rFonts w:hint="default"/>
        <w:lang w:val="en-US" w:eastAsia="zh-CN" w:bidi="ar-SA"/>
      </w:rPr>
    </w:lvl>
    <w:lvl w:ilvl="1" w:tentative="0">
      <w:start w:val="1"/>
      <w:numFmt w:val="decimal"/>
      <w:lvlText w:val="%1.%2"/>
      <w:lvlJc w:val="left"/>
      <w:pPr>
        <w:ind w:left="2321" w:hanging="1621"/>
      </w:pPr>
      <w:rPr>
        <w:rFonts w:hint="default"/>
        <w:lang w:val="en-US" w:eastAsia="zh-CN" w:bidi="ar-SA"/>
      </w:rPr>
    </w:lvl>
    <w:lvl w:ilvl="2" w:tentative="0">
      <w:start w:val="2"/>
      <w:numFmt w:val="decimal"/>
      <w:lvlText w:val="%1.%2.%3"/>
      <w:lvlJc w:val="left"/>
      <w:pPr>
        <w:ind w:left="2321" w:hanging="1621"/>
      </w:pPr>
      <w:rPr>
        <w:rFonts w:hint="default"/>
        <w:lang w:val="en-US" w:eastAsia="zh-CN" w:bidi="ar-SA"/>
      </w:rPr>
    </w:lvl>
    <w:lvl w:ilvl="3" w:tentative="0">
      <w:start w:val="5"/>
      <w:numFmt w:val="decimal"/>
      <w:lvlText w:val="%1.%2.%3.%4"/>
      <w:lvlJc w:val="left"/>
      <w:pPr>
        <w:ind w:left="2321" w:hanging="1621"/>
      </w:pPr>
      <w:rPr>
        <w:rFonts w:hint="default"/>
        <w:lang w:val="en-US" w:eastAsia="zh-CN" w:bidi="ar-SA"/>
      </w:rPr>
    </w:lvl>
    <w:lvl w:ilvl="4" w:tentative="0">
      <w:start w:val="4"/>
      <w:numFmt w:val="decimal"/>
      <w:lvlText w:val="%1.%2.%3.%4.%5"/>
      <w:lvlJc w:val="left"/>
      <w:pPr>
        <w:ind w:left="2321" w:hanging="1621"/>
      </w:pPr>
      <w:rPr>
        <w:rFonts w:hint="default"/>
        <w:lang w:val="en-US" w:eastAsia="zh-CN" w:bidi="ar-SA"/>
      </w:rPr>
    </w:lvl>
    <w:lvl w:ilvl="5" w:tentative="0">
      <w:start w:val="12"/>
      <w:numFmt w:val="decimal"/>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6259" w:hanging="1621"/>
      </w:pPr>
      <w:rPr>
        <w:rFonts w:hint="default"/>
        <w:lang w:val="en-US" w:eastAsia="zh-CN" w:bidi="ar-SA"/>
      </w:rPr>
    </w:lvl>
    <w:lvl w:ilvl="7" w:tentative="0">
      <w:start w:val="0"/>
      <w:numFmt w:val="bullet"/>
      <w:lvlText w:val="•"/>
      <w:lvlJc w:val="left"/>
      <w:pPr>
        <w:ind w:left="6916" w:hanging="1621"/>
      </w:pPr>
      <w:rPr>
        <w:rFonts w:hint="default"/>
        <w:lang w:val="en-US" w:eastAsia="zh-CN" w:bidi="ar-SA"/>
      </w:rPr>
    </w:lvl>
    <w:lvl w:ilvl="8" w:tentative="0">
      <w:start w:val="0"/>
      <w:numFmt w:val="bullet"/>
      <w:lvlText w:val="•"/>
      <w:lvlJc w:val="left"/>
      <w:pPr>
        <w:ind w:left="7573" w:hanging="1621"/>
      </w:pPr>
      <w:rPr>
        <w:rFonts w:hint="default"/>
        <w:lang w:val="en-US" w:eastAsia="zh-CN" w:bidi="ar-SA"/>
      </w:rPr>
    </w:lvl>
  </w:abstractNum>
  <w:abstractNum w:abstractNumId="14">
    <w:nsid w:val="0F0E94D7"/>
    <w:multiLevelType w:val="multilevel"/>
    <w:tmpl w:val="0F0E94D7"/>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15">
    <w:nsid w:val="13C1FF7B"/>
    <w:multiLevelType w:val="multilevel"/>
    <w:tmpl w:val="13C1FF7B"/>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16">
    <w:nsid w:val="144D7E86"/>
    <w:multiLevelType w:val="multilevel"/>
    <w:tmpl w:val="144D7E86"/>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17">
    <w:nsid w:val="14B6878B"/>
    <w:multiLevelType w:val="multilevel"/>
    <w:tmpl w:val="14B6878B"/>
    <w:lvl w:ilvl="0" w:tentative="0">
      <w:start w:val="5"/>
      <w:numFmt w:val="decimal"/>
      <w:lvlText w:val="%1"/>
      <w:lvlJc w:val="left"/>
      <w:pPr>
        <w:ind w:left="1900" w:hanging="773"/>
      </w:pPr>
      <w:rPr>
        <w:rFonts w:hint="default"/>
        <w:lang w:val="en-US" w:eastAsia="zh-CN" w:bidi="ar-SA"/>
      </w:rPr>
    </w:lvl>
    <w:lvl w:ilvl="1" w:tentative="0">
      <w:start w:val="1"/>
      <w:numFmt w:val="decimal"/>
      <w:lvlText w:val="%1.%2"/>
      <w:lvlJc w:val="left"/>
      <w:pPr>
        <w:ind w:left="1900" w:hanging="773"/>
      </w:pPr>
      <w:rPr>
        <w:rFonts w:hint="default"/>
        <w:lang w:val="en-US" w:eastAsia="zh-CN" w:bidi="ar-SA"/>
      </w:rPr>
    </w:lvl>
    <w:lvl w:ilvl="2" w:tentative="0">
      <w:start w:val="6"/>
      <w:numFmt w:val="decimal"/>
      <w:suff w:val="space"/>
      <w:lvlText w:val="%1.%2.%3"/>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3" w:tentative="0">
      <w:start w:val="1"/>
      <w:numFmt w:val="decimal"/>
      <w:suff w:val="space"/>
      <w:lvlText w:val="%1.%2.%3.%4"/>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4" w:tentative="0">
      <w:start w:val="1"/>
      <w:numFmt w:val="decimal"/>
      <w:suff w:val="space"/>
      <w:lvlText w:val="%1.%2.%3.%4.%5"/>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5" w:tentative="0">
      <w:start w:val="1"/>
      <w:numFmt w:val="decimal"/>
      <w:suff w:val="space"/>
      <w:lvlText w:val="（%6）"/>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603" w:hanging="773"/>
      </w:pPr>
      <w:rPr>
        <w:rFonts w:hint="default"/>
        <w:lang w:val="en-US" w:eastAsia="zh-CN" w:bidi="ar-SA"/>
      </w:rPr>
    </w:lvl>
    <w:lvl w:ilvl="7" w:tentative="0">
      <w:start w:val="0"/>
      <w:numFmt w:val="bullet"/>
      <w:lvlText w:val="•"/>
      <w:lvlJc w:val="left"/>
      <w:pPr>
        <w:ind w:left="6424" w:hanging="773"/>
      </w:pPr>
      <w:rPr>
        <w:rFonts w:hint="default"/>
        <w:lang w:val="en-US" w:eastAsia="zh-CN" w:bidi="ar-SA"/>
      </w:rPr>
    </w:lvl>
    <w:lvl w:ilvl="8" w:tentative="0">
      <w:start w:val="0"/>
      <w:numFmt w:val="bullet"/>
      <w:lvlText w:val="•"/>
      <w:lvlJc w:val="left"/>
      <w:pPr>
        <w:ind w:left="7244" w:hanging="773"/>
      </w:pPr>
      <w:rPr>
        <w:rFonts w:hint="default"/>
        <w:lang w:val="en-US" w:eastAsia="zh-CN" w:bidi="ar-SA"/>
      </w:rPr>
    </w:lvl>
  </w:abstractNum>
  <w:abstractNum w:abstractNumId="18">
    <w:nsid w:val="17759DEA"/>
    <w:multiLevelType w:val="multilevel"/>
    <w:tmpl w:val="17759DEA"/>
    <w:lvl w:ilvl="0" w:tentative="0">
      <w:start w:val="5"/>
      <w:numFmt w:val="decimal"/>
      <w:lvlText w:val="%1"/>
      <w:lvlJc w:val="left"/>
      <w:pPr>
        <w:ind w:left="2321" w:hanging="1621"/>
      </w:pPr>
      <w:rPr>
        <w:rFonts w:hint="default"/>
        <w:lang w:val="en-US" w:eastAsia="zh-CN" w:bidi="ar-SA"/>
      </w:rPr>
    </w:lvl>
    <w:lvl w:ilvl="1" w:tentative="0">
      <w:start w:val="1"/>
      <w:numFmt w:val="decimal"/>
      <w:lvlText w:val="%1.%2"/>
      <w:lvlJc w:val="left"/>
      <w:pPr>
        <w:ind w:left="2321" w:hanging="1621"/>
      </w:pPr>
      <w:rPr>
        <w:rFonts w:hint="default"/>
        <w:lang w:val="en-US" w:eastAsia="zh-CN" w:bidi="ar-SA"/>
      </w:rPr>
    </w:lvl>
    <w:lvl w:ilvl="2" w:tentative="0">
      <w:start w:val="5"/>
      <w:numFmt w:val="decimal"/>
      <w:lvlText w:val="%1.%2.%3"/>
      <w:lvlJc w:val="left"/>
      <w:pPr>
        <w:ind w:left="2321" w:hanging="1621"/>
      </w:pPr>
      <w:rPr>
        <w:rFonts w:hint="default"/>
        <w:lang w:val="en-US" w:eastAsia="zh-CN" w:bidi="ar-SA"/>
      </w:rPr>
    </w:lvl>
    <w:lvl w:ilvl="3" w:tentative="0">
      <w:start w:val="4"/>
      <w:numFmt w:val="decimal"/>
      <w:lvlText w:val="%1.%2.%3.%4"/>
      <w:lvlJc w:val="left"/>
      <w:pPr>
        <w:ind w:left="2321" w:hanging="1621"/>
      </w:pPr>
      <w:rPr>
        <w:rFonts w:hint="default"/>
        <w:lang w:val="en-US" w:eastAsia="zh-CN" w:bidi="ar-SA"/>
      </w:rPr>
    </w:lvl>
    <w:lvl w:ilvl="4" w:tentative="0">
      <w:start w:val="4"/>
      <w:numFmt w:val="decimal"/>
      <w:lvlText w:val="%1.%2.%3.%4.%5"/>
      <w:lvlJc w:val="left"/>
      <w:pPr>
        <w:ind w:left="2321" w:hanging="1621"/>
      </w:pPr>
      <w:rPr>
        <w:rFonts w:hint="default"/>
        <w:lang w:val="en-US" w:eastAsia="zh-CN" w:bidi="ar-SA"/>
      </w:rPr>
    </w:lvl>
    <w:lvl w:ilvl="5" w:tentative="0">
      <w:start w:val="4"/>
      <w:numFmt w:val="decimal"/>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6259" w:hanging="1621"/>
      </w:pPr>
      <w:rPr>
        <w:rFonts w:hint="default"/>
        <w:lang w:val="en-US" w:eastAsia="zh-CN" w:bidi="ar-SA"/>
      </w:rPr>
    </w:lvl>
    <w:lvl w:ilvl="7" w:tentative="0">
      <w:start w:val="0"/>
      <w:numFmt w:val="bullet"/>
      <w:lvlText w:val="•"/>
      <w:lvlJc w:val="left"/>
      <w:pPr>
        <w:ind w:left="6916" w:hanging="1621"/>
      </w:pPr>
      <w:rPr>
        <w:rFonts w:hint="default"/>
        <w:lang w:val="en-US" w:eastAsia="zh-CN" w:bidi="ar-SA"/>
      </w:rPr>
    </w:lvl>
    <w:lvl w:ilvl="8" w:tentative="0">
      <w:start w:val="0"/>
      <w:numFmt w:val="bullet"/>
      <w:lvlText w:val="•"/>
      <w:lvlJc w:val="left"/>
      <w:pPr>
        <w:ind w:left="7573" w:hanging="1621"/>
      </w:pPr>
      <w:rPr>
        <w:rFonts w:hint="default"/>
        <w:lang w:val="en-US" w:eastAsia="zh-CN" w:bidi="ar-SA"/>
      </w:rPr>
    </w:lvl>
  </w:abstractNum>
  <w:abstractNum w:abstractNumId="19">
    <w:nsid w:val="1822E617"/>
    <w:multiLevelType w:val="singleLevel"/>
    <w:tmpl w:val="1822E617"/>
    <w:lvl w:ilvl="0" w:tentative="0">
      <w:start w:val="1"/>
      <w:numFmt w:val="decimal"/>
      <w:suff w:val="space"/>
      <w:lvlText w:val="%1."/>
      <w:lvlJc w:val="left"/>
      <w:pPr>
        <w:ind w:left="425" w:hanging="425"/>
      </w:pPr>
      <w:rPr>
        <w:rFonts w:hint="default"/>
      </w:rPr>
    </w:lvl>
  </w:abstractNum>
  <w:abstractNum w:abstractNumId="20">
    <w:nsid w:val="19A13D3C"/>
    <w:multiLevelType w:val="multilevel"/>
    <w:tmpl w:val="19A13D3C"/>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1">
    <w:nsid w:val="1D8FB80A"/>
    <w:multiLevelType w:val="multilevel"/>
    <w:tmpl w:val="1D8FB80A"/>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2">
    <w:nsid w:val="1FB92335"/>
    <w:multiLevelType w:val="multilevel"/>
    <w:tmpl w:val="1FB92335"/>
    <w:lvl w:ilvl="0" w:tentative="0">
      <w:start w:val="5"/>
      <w:numFmt w:val="decimal"/>
      <w:lvlText w:val="%1"/>
      <w:lvlJc w:val="left"/>
      <w:pPr>
        <w:ind w:left="2321" w:hanging="1621"/>
      </w:pPr>
      <w:rPr>
        <w:rFonts w:hint="default"/>
        <w:lang w:val="en-US" w:eastAsia="zh-CN" w:bidi="ar-SA"/>
      </w:rPr>
    </w:lvl>
    <w:lvl w:ilvl="1" w:tentative="0">
      <w:start w:val="1"/>
      <w:numFmt w:val="decimal"/>
      <w:lvlText w:val="%1.%2"/>
      <w:lvlJc w:val="left"/>
      <w:pPr>
        <w:ind w:left="2321" w:hanging="1621"/>
      </w:pPr>
      <w:rPr>
        <w:rFonts w:hint="default"/>
        <w:lang w:val="en-US" w:eastAsia="zh-CN" w:bidi="ar-SA"/>
      </w:rPr>
    </w:lvl>
    <w:lvl w:ilvl="2" w:tentative="0">
      <w:start w:val="5"/>
      <w:numFmt w:val="decimal"/>
      <w:lvlText w:val="%1.%2.%3"/>
      <w:lvlJc w:val="left"/>
      <w:pPr>
        <w:ind w:left="2321" w:hanging="1621"/>
      </w:pPr>
      <w:rPr>
        <w:rFonts w:hint="default"/>
        <w:lang w:val="en-US" w:eastAsia="zh-CN" w:bidi="ar-SA"/>
      </w:rPr>
    </w:lvl>
    <w:lvl w:ilvl="3" w:tentative="0">
      <w:start w:val="1"/>
      <w:numFmt w:val="decimal"/>
      <w:lvlText w:val="%1.%2.%3.%4"/>
      <w:lvlJc w:val="left"/>
      <w:pPr>
        <w:ind w:left="2321" w:hanging="1621"/>
      </w:pPr>
      <w:rPr>
        <w:rFonts w:hint="default"/>
        <w:lang w:val="en-US" w:eastAsia="zh-CN" w:bidi="ar-SA"/>
      </w:rPr>
    </w:lvl>
    <w:lvl w:ilvl="4" w:tentative="0">
      <w:start w:val="10"/>
      <w:numFmt w:val="decimal"/>
      <w:lvlText w:val="%1.%2.%3.%4.%5"/>
      <w:lvlJc w:val="left"/>
      <w:pPr>
        <w:ind w:left="2321" w:hanging="1621"/>
      </w:pPr>
      <w:rPr>
        <w:rFonts w:hint="default"/>
        <w:lang w:val="en-US" w:eastAsia="zh-CN" w:bidi="ar-SA"/>
      </w:rPr>
    </w:lvl>
    <w:lvl w:ilvl="5" w:tentative="0">
      <w:start w:val="4"/>
      <w:numFmt w:val="decimal"/>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6259" w:hanging="1621"/>
      </w:pPr>
      <w:rPr>
        <w:rFonts w:hint="default"/>
        <w:lang w:val="en-US" w:eastAsia="zh-CN" w:bidi="ar-SA"/>
      </w:rPr>
    </w:lvl>
    <w:lvl w:ilvl="7" w:tentative="0">
      <w:start w:val="0"/>
      <w:numFmt w:val="bullet"/>
      <w:lvlText w:val="•"/>
      <w:lvlJc w:val="left"/>
      <w:pPr>
        <w:ind w:left="6916" w:hanging="1621"/>
      </w:pPr>
      <w:rPr>
        <w:rFonts w:hint="default"/>
        <w:lang w:val="en-US" w:eastAsia="zh-CN" w:bidi="ar-SA"/>
      </w:rPr>
    </w:lvl>
    <w:lvl w:ilvl="8" w:tentative="0">
      <w:start w:val="0"/>
      <w:numFmt w:val="bullet"/>
      <w:lvlText w:val="•"/>
      <w:lvlJc w:val="left"/>
      <w:pPr>
        <w:ind w:left="7573" w:hanging="1621"/>
      </w:pPr>
      <w:rPr>
        <w:rFonts w:hint="default"/>
        <w:lang w:val="en-US" w:eastAsia="zh-CN" w:bidi="ar-SA"/>
      </w:rPr>
    </w:lvl>
  </w:abstractNum>
  <w:abstractNum w:abstractNumId="23">
    <w:nsid w:val="22578DC2"/>
    <w:multiLevelType w:val="multilevel"/>
    <w:tmpl w:val="22578DC2"/>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4">
    <w:nsid w:val="2304EEA2"/>
    <w:multiLevelType w:val="multilevel"/>
    <w:tmpl w:val="2304EEA2"/>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5">
    <w:nsid w:val="27EED349"/>
    <w:multiLevelType w:val="multilevel"/>
    <w:tmpl w:val="27EED349"/>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6">
    <w:nsid w:val="2E2F574E"/>
    <w:multiLevelType w:val="multilevel"/>
    <w:tmpl w:val="2E2F574E"/>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7">
    <w:nsid w:val="2FD05217"/>
    <w:multiLevelType w:val="multilevel"/>
    <w:tmpl w:val="2FD05217"/>
    <w:lvl w:ilvl="0" w:tentative="0">
      <w:start w:val="5"/>
      <w:numFmt w:val="decimal"/>
      <w:lvlText w:val="%1"/>
      <w:lvlJc w:val="left"/>
      <w:pPr>
        <w:ind w:left="2321" w:hanging="1194"/>
      </w:pPr>
      <w:rPr>
        <w:rFonts w:hint="default"/>
        <w:lang w:val="en-US" w:eastAsia="zh-CN" w:bidi="ar-SA"/>
      </w:rPr>
    </w:lvl>
    <w:lvl w:ilvl="1" w:tentative="0">
      <w:start w:val="1"/>
      <w:numFmt w:val="decimal"/>
      <w:lvlText w:val="%1.%2"/>
      <w:lvlJc w:val="left"/>
      <w:pPr>
        <w:ind w:left="2321" w:hanging="1194"/>
      </w:pPr>
      <w:rPr>
        <w:rFonts w:hint="default"/>
        <w:lang w:val="en-US" w:eastAsia="zh-CN" w:bidi="ar-SA"/>
      </w:rPr>
    </w:lvl>
    <w:lvl w:ilvl="2" w:tentative="0">
      <w:start w:val="4"/>
      <w:numFmt w:val="decimal"/>
      <w:lvlText w:val="%1.%2.%3"/>
      <w:lvlJc w:val="left"/>
      <w:pPr>
        <w:ind w:left="2321" w:hanging="1194"/>
      </w:pPr>
      <w:rPr>
        <w:rFonts w:hint="default"/>
        <w:lang w:val="en-US" w:eastAsia="zh-CN" w:bidi="ar-SA"/>
      </w:rPr>
    </w:lvl>
    <w:lvl w:ilvl="3" w:tentative="0">
      <w:start w:val="5"/>
      <w:numFmt w:val="decimal"/>
      <w:suff w:val="space"/>
      <w:lvlText w:val="%1.%2.%3.%4"/>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4" w:tentative="0">
      <w:start w:val="1"/>
      <w:numFmt w:val="decimal"/>
      <w:suff w:val="space"/>
      <w:lvlText w:val="%1.%2.%3.%4.%5"/>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5" w:tentative="0">
      <w:start w:val="1"/>
      <w:numFmt w:val="decimal"/>
      <w:suff w:val="space"/>
      <w:lvlText w:val="%1.%2.%3.%4.%5.%6"/>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968" w:hanging="1621"/>
      </w:pPr>
      <w:rPr>
        <w:rFonts w:hint="default"/>
        <w:lang w:val="en-US" w:eastAsia="zh-CN" w:bidi="ar-SA"/>
      </w:rPr>
    </w:lvl>
    <w:lvl w:ilvl="7" w:tentative="0">
      <w:start w:val="0"/>
      <w:numFmt w:val="bullet"/>
      <w:lvlText w:val="•"/>
      <w:lvlJc w:val="left"/>
      <w:pPr>
        <w:ind w:left="6697" w:hanging="1621"/>
      </w:pPr>
      <w:rPr>
        <w:rFonts w:hint="default"/>
        <w:lang w:val="en-US" w:eastAsia="zh-CN" w:bidi="ar-SA"/>
      </w:rPr>
    </w:lvl>
    <w:lvl w:ilvl="8" w:tentative="0">
      <w:start w:val="0"/>
      <w:numFmt w:val="bullet"/>
      <w:lvlText w:val="•"/>
      <w:lvlJc w:val="left"/>
      <w:pPr>
        <w:ind w:left="7427" w:hanging="1621"/>
      </w:pPr>
      <w:rPr>
        <w:rFonts w:hint="default"/>
        <w:lang w:val="en-US" w:eastAsia="zh-CN" w:bidi="ar-SA"/>
      </w:rPr>
    </w:lvl>
  </w:abstractNum>
  <w:abstractNum w:abstractNumId="28">
    <w:nsid w:val="31088EC6"/>
    <w:multiLevelType w:val="multilevel"/>
    <w:tmpl w:val="31088EC6"/>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29">
    <w:nsid w:val="33F074BE"/>
    <w:multiLevelType w:val="multilevel"/>
    <w:tmpl w:val="33F074BE"/>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30">
    <w:nsid w:val="35ACC7E3"/>
    <w:multiLevelType w:val="multilevel"/>
    <w:tmpl w:val="35ACC7E3"/>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31">
    <w:nsid w:val="3C7D1878"/>
    <w:multiLevelType w:val="multilevel"/>
    <w:tmpl w:val="3C7D1878"/>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32">
    <w:nsid w:val="4352EF57"/>
    <w:multiLevelType w:val="multilevel"/>
    <w:tmpl w:val="4352EF57"/>
    <w:lvl w:ilvl="0" w:tentative="0">
      <w:start w:val="5"/>
      <w:numFmt w:val="decimal"/>
      <w:lvlText w:val="%1"/>
      <w:lvlJc w:val="left"/>
      <w:pPr>
        <w:ind w:left="2321" w:hanging="1621"/>
      </w:pPr>
      <w:rPr>
        <w:rFonts w:hint="default"/>
        <w:lang w:val="en-US" w:eastAsia="zh-CN" w:bidi="ar-SA"/>
      </w:rPr>
    </w:lvl>
    <w:lvl w:ilvl="1" w:tentative="0">
      <w:start w:val="1"/>
      <w:numFmt w:val="decimal"/>
      <w:lvlText w:val="%1.%2"/>
      <w:lvlJc w:val="left"/>
      <w:pPr>
        <w:ind w:left="2321" w:hanging="1621"/>
      </w:pPr>
      <w:rPr>
        <w:rFonts w:hint="default"/>
        <w:lang w:val="en-US" w:eastAsia="zh-CN" w:bidi="ar-SA"/>
      </w:rPr>
    </w:lvl>
    <w:lvl w:ilvl="2" w:tentative="0">
      <w:start w:val="2"/>
      <w:numFmt w:val="decimal"/>
      <w:lvlText w:val="%1.%2.%3"/>
      <w:lvlJc w:val="left"/>
      <w:pPr>
        <w:ind w:left="2321" w:hanging="1621"/>
      </w:pPr>
      <w:rPr>
        <w:rFonts w:hint="default"/>
        <w:lang w:val="en-US" w:eastAsia="zh-CN" w:bidi="ar-SA"/>
      </w:rPr>
    </w:lvl>
    <w:lvl w:ilvl="3" w:tentative="0">
      <w:start w:val="5"/>
      <w:numFmt w:val="decimal"/>
      <w:lvlText w:val="%1.%2.%3.%4"/>
      <w:lvlJc w:val="left"/>
      <w:pPr>
        <w:ind w:left="2321" w:hanging="1621"/>
      </w:pPr>
      <w:rPr>
        <w:rFonts w:hint="default"/>
        <w:lang w:val="en-US" w:eastAsia="zh-CN" w:bidi="ar-SA"/>
      </w:rPr>
    </w:lvl>
    <w:lvl w:ilvl="4" w:tentative="0">
      <w:start w:val="4"/>
      <w:numFmt w:val="decimal"/>
      <w:lvlText w:val="%1.%2.%3.%4.%5"/>
      <w:lvlJc w:val="left"/>
      <w:pPr>
        <w:ind w:left="2321" w:hanging="1621"/>
      </w:pPr>
      <w:rPr>
        <w:rFonts w:hint="default"/>
        <w:lang w:val="en-US" w:eastAsia="zh-CN" w:bidi="ar-SA"/>
      </w:rPr>
    </w:lvl>
    <w:lvl w:ilvl="5" w:tentative="0">
      <w:start w:val="15"/>
      <w:numFmt w:val="decimal"/>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6259" w:hanging="1621"/>
      </w:pPr>
      <w:rPr>
        <w:rFonts w:hint="default"/>
        <w:lang w:val="en-US" w:eastAsia="zh-CN" w:bidi="ar-SA"/>
      </w:rPr>
    </w:lvl>
    <w:lvl w:ilvl="7" w:tentative="0">
      <w:start w:val="0"/>
      <w:numFmt w:val="bullet"/>
      <w:lvlText w:val="•"/>
      <w:lvlJc w:val="left"/>
      <w:pPr>
        <w:ind w:left="6916" w:hanging="1621"/>
      </w:pPr>
      <w:rPr>
        <w:rFonts w:hint="default"/>
        <w:lang w:val="en-US" w:eastAsia="zh-CN" w:bidi="ar-SA"/>
      </w:rPr>
    </w:lvl>
    <w:lvl w:ilvl="8" w:tentative="0">
      <w:start w:val="0"/>
      <w:numFmt w:val="bullet"/>
      <w:lvlText w:val="•"/>
      <w:lvlJc w:val="left"/>
      <w:pPr>
        <w:ind w:left="7573" w:hanging="1621"/>
      </w:pPr>
      <w:rPr>
        <w:rFonts w:hint="default"/>
        <w:lang w:val="en-US" w:eastAsia="zh-CN" w:bidi="ar-SA"/>
      </w:rPr>
    </w:lvl>
  </w:abstractNum>
  <w:abstractNum w:abstractNumId="33">
    <w:nsid w:val="43923ECE"/>
    <w:multiLevelType w:val="multilevel"/>
    <w:tmpl w:val="43923ECE"/>
    <w:lvl w:ilvl="0" w:tentative="0">
      <w:start w:val="5"/>
      <w:numFmt w:val="decimal"/>
      <w:lvlText w:val="%1"/>
      <w:lvlJc w:val="left"/>
      <w:pPr>
        <w:ind w:left="1480" w:hanging="699"/>
      </w:pPr>
      <w:rPr>
        <w:rFonts w:hint="default"/>
        <w:lang w:val="en-US" w:eastAsia="zh-CN" w:bidi="ar-SA"/>
      </w:rPr>
    </w:lvl>
    <w:lvl w:ilvl="1" w:tentative="0">
      <w:start w:val="1"/>
      <w:numFmt w:val="decimal"/>
      <w:suff w:val="space"/>
      <w:lvlText w:val="%1.%2"/>
      <w:lvlJc w:val="left"/>
      <w:pPr>
        <w:ind w:left="425" w:leftChars="0" w:firstLine="0" w:firstLineChars="0"/>
      </w:pPr>
      <w:rPr>
        <w:rFonts w:hint="default" w:ascii="等线" w:hAnsi="等线" w:eastAsia="等线" w:cs="等线"/>
        <w:b/>
        <w:bCs/>
        <w:i w:val="0"/>
        <w:iCs w:val="0"/>
        <w:spacing w:val="-1"/>
        <w:w w:val="100"/>
        <w:sz w:val="28"/>
        <w:szCs w:val="28"/>
        <w:lang w:val="en-US" w:eastAsia="zh-CN" w:bidi="ar-SA"/>
      </w:rPr>
    </w:lvl>
    <w:lvl w:ilvl="2" w:tentative="0">
      <w:start w:val="1"/>
      <w:numFmt w:val="decimal"/>
      <w:suff w:val="space"/>
      <w:lvlText w:val="%1.%2.%3"/>
      <w:lvlJc w:val="left"/>
      <w:pPr>
        <w:ind w:left="425" w:leftChars="0" w:firstLine="0" w:firstLineChars="0"/>
      </w:pPr>
      <w:rPr>
        <w:rFonts w:hint="default"/>
        <w:spacing w:val="0"/>
        <w:w w:val="99"/>
        <w:lang w:val="en-US" w:eastAsia="zh-CN" w:bidi="ar-SA"/>
      </w:rPr>
    </w:lvl>
    <w:lvl w:ilvl="3" w:tentative="0">
      <w:start w:val="1"/>
      <w:numFmt w:val="decimal"/>
      <w:suff w:val="space"/>
      <w:lvlText w:val="%1.%2.%3.%4"/>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4" w:tentative="0">
      <w:start w:val="1"/>
      <w:numFmt w:val="decimal"/>
      <w:suff w:val="space"/>
      <w:lvlText w:val="%1.%2.%3.%4.%5"/>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5" w:tentative="0">
      <w:start w:val="1"/>
      <w:numFmt w:val="decimal"/>
      <w:suff w:val="space"/>
      <w:lvlText w:val="%1.%2.%3.%4.%5.%6"/>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603" w:hanging="1621"/>
      </w:pPr>
      <w:rPr>
        <w:rFonts w:hint="default"/>
        <w:lang w:val="en-US" w:eastAsia="zh-CN" w:bidi="ar-SA"/>
      </w:rPr>
    </w:lvl>
    <w:lvl w:ilvl="7" w:tentative="0">
      <w:start w:val="0"/>
      <w:numFmt w:val="bullet"/>
      <w:lvlText w:val="•"/>
      <w:lvlJc w:val="left"/>
      <w:pPr>
        <w:ind w:left="6424" w:hanging="1621"/>
      </w:pPr>
      <w:rPr>
        <w:rFonts w:hint="default"/>
        <w:lang w:val="en-US" w:eastAsia="zh-CN" w:bidi="ar-SA"/>
      </w:rPr>
    </w:lvl>
    <w:lvl w:ilvl="8" w:tentative="0">
      <w:start w:val="0"/>
      <w:numFmt w:val="bullet"/>
      <w:lvlText w:val="•"/>
      <w:lvlJc w:val="left"/>
      <w:pPr>
        <w:ind w:left="7244" w:hanging="1621"/>
      </w:pPr>
      <w:rPr>
        <w:rFonts w:hint="default"/>
        <w:lang w:val="en-US" w:eastAsia="zh-CN" w:bidi="ar-SA"/>
      </w:rPr>
    </w:lvl>
  </w:abstractNum>
  <w:abstractNum w:abstractNumId="34">
    <w:nsid w:val="43AF23F2"/>
    <w:multiLevelType w:val="singleLevel"/>
    <w:tmpl w:val="43AF23F2"/>
    <w:lvl w:ilvl="0" w:tentative="0">
      <w:start w:val="1"/>
      <w:numFmt w:val="decimal"/>
      <w:lvlText w:val="%1."/>
      <w:lvlJc w:val="left"/>
      <w:pPr>
        <w:ind w:left="425" w:hanging="425"/>
      </w:pPr>
      <w:rPr>
        <w:rFonts w:hint="default"/>
      </w:rPr>
    </w:lvl>
  </w:abstractNum>
  <w:abstractNum w:abstractNumId="35">
    <w:nsid w:val="4CC5F7D3"/>
    <w:multiLevelType w:val="multilevel"/>
    <w:tmpl w:val="4CC5F7D3"/>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36">
    <w:nsid w:val="4F4C3EEC"/>
    <w:multiLevelType w:val="singleLevel"/>
    <w:tmpl w:val="4F4C3EEC"/>
    <w:lvl w:ilvl="0" w:tentative="0">
      <w:start w:val="1"/>
      <w:numFmt w:val="decimal"/>
      <w:lvlText w:val="%1."/>
      <w:lvlJc w:val="left"/>
      <w:pPr>
        <w:ind w:left="425" w:hanging="425"/>
      </w:pPr>
      <w:rPr>
        <w:rFonts w:hint="default"/>
      </w:rPr>
    </w:lvl>
  </w:abstractNum>
  <w:abstractNum w:abstractNumId="37">
    <w:nsid w:val="506B0528"/>
    <w:multiLevelType w:val="multilevel"/>
    <w:tmpl w:val="506B0528"/>
    <w:lvl w:ilvl="0" w:tentative="0">
      <w:start w:val="5"/>
      <w:numFmt w:val="decimal"/>
      <w:lvlText w:val="%1"/>
      <w:lvlJc w:val="left"/>
      <w:pPr>
        <w:ind w:left="1900" w:hanging="1198"/>
      </w:pPr>
      <w:rPr>
        <w:rFonts w:hint="default"/>
        <w:lang w:val="en-US" w:eastAsia="zh-CN" w:bidi="ar-SA"/>
      </w:rPr>
    </w:lvl>
    <w:lvl w:ilvl="1" w:tentative="0">
      <w:start w:val="1"/>
      <w:numFmt w:val="decimal"/>
      <w:lvlText w:val="%1.%2"/>
      <w:lvlJc w:val="left"/>
      <w:pPr>
        <w:ind w:left="1900" w:hanging="1198"/>
      </w:pPr>
      <w:rPr>
        <w:rFonts w:hint="default"/>
        <w:lang w:val="en-US" w:eastAsia="zh-CN" w:bidi="ar-SA"/>
      </w:rPr>
    </w:lvl>
    <w:lvl w:ilvl="2" w:tentative="0">
      <w:start w:val="5"/>
      <w:numFmt w:val="decimal"/>
      <w:lvlText w:val="%1.%2.%3"/>
      <w:lvlJc w:val="left"/>
      <w:pPr>
        <w:ind w:left="1900" w:hanging="1198"/>
      </w:pPr>
      <w:rPr>
        <w:rFonts w:hint="default"/>
        <w:lang w:val="en-US" w:eastAsia="zh-CN" w:bidi="ar-SA"/>
      </w:rPr>
    </w:lvl>
    <w:lvl w:ilvl="3" w:tentative="0">
      <w:start w:val="4"/>
      <w:numFmt w:val="decimal"/>
      <w:lvlText w:val="%1.%2.%3.%4"/>
      <w:lvlJc w:val="left"/>
      <w:pPr>
        <w:ind w:left="1900" w:hanging="1198"/>
      </w:pPr>
      <w:rPr>
        <w:rFonts w:hint="default"/>
        <w:lang w:val="en-US" w:eastAsia="zh-CN" w:bidi="ar-SA"/>
      </w:rPr>
    </w:lvl>
    <w:lvl w:ilvl="4" w:tentative="0">
      <w:start w:val="5"/>
      <w:numFmt w:val="decimal"/>
      <w:suff w:val="space"/>
      <w:lvlText w:val="%1.%2.%3.%4.%5"/>
      <w:lvlJc w:val="left"/>
      <w:pPr>
        <w:ind w:left="1900" w:hanging="1198"/>
      </w:pPr>
      <w:rPr>
        <w:rFonts w:hint="default" w:ascii="宋体" w:hAnsi="宋体" w:eastAsia="宋体" w:cs="宋体"/>
        <w:b w:val="0"/>
        <w:bCs w:val="0"/>
        <w:i w:val="0"/>
        <w:iCs w:val="0"/>
        <w:w w:val="100"/>
        <w:sz w:val="24"/>
        <w:szCs w:val="24"/>
        <w:lang w:val="en-US" w:eastAsia="zh-CN" w:bidi="ar-SA"/>
      </w:rPr>
    </w:lvl>
    <w:lvl w:ilvl="5" w:tentative="0">
      <w:start w:val="1"/>
      <w:numFmt w:val="decimal"/>
      <w:suff w:val="space"/>
      <w:lvlText w:val="%1.%2.%3.%4.%5.%6"/>
      <w:lvlJc w:val="left"/>
      <w:pPr>
        <w:ind w:left="2321" w:hanging="1621"/>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968" w:hanging="1621"/>
      </w:pPr>
      <w:rPr>
        <w:rFonts w:hint="default"/>
        <w:lang w:val="en-US" w:eastAsia="zh-CN" w:bidi="ar-SA"/>
      </w:rPr>
    </w:lvl>
    <w:lvl w:ilvl="7" w:tentative="0">
      <w:start w:val="0"/>
      <w:numFmt w:val="bullet"/>
      <w:lvlText w:val="•"/>
      <w:lvlJc w:val="left"/>
      <w:pPr>
        <w:ind w:left="6697" w:hanging="1621"/>
      </w:pPr>
      <w:rPr>
        <w:rFonts w:hint="default"/>
        <w:lang w:val="en-US" w:eastAsia="zh-CN" w:bidi="ar-SA"/>
      </w:rPr>
    </w:lvl>
    <w:lvl w:ilvl="8" w:tentative="0">
      <w:start w:val="0"/>
      <w:numFmt w:val="bullet"/>
      <w:lvlText w:val="•"/>
      <w:lvlJc w:val="left"/>
      <w:pPr>
        <w:ind w:left="7427" w:hanging="1621"/>
      </w:pPr>
      <w:rPr>
        <w:rFonts w:hint="default"/>
        <w:lang w:val="en-US" w:eastAsia="zh-CN" w:bidi="ar-SA"/>
      </w:rPr>
    </w:lvl>
  </w:abstractNum>
  <w:abstractNum w:abstractNumId="38">
    <w:nsid w:val="54DE7E17"/>
    <w:multiLevelType w:val="multilevel"/>
    <w:tmpl w:val="54DE7E17"/>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39">
    <w:nsid w:val="5716A6B3"/>
    <w:multiLevelType w:val="singleLevel"/>
    <w:tmpl w:val="5716A6B3"/>
    <w:lvl w:ilvl="0" w:tentative="0">
      <w:start w:val="1"/>
      <w:numFmt w:val="decimal"/>
      <w:suff w:val="space"/>
      <w:lvlText w:val="%1."/>
      <w:lvlJc w:val="left"/>
      <w:pPr>
        <w:ind w:left="425" w:hanging="425"/>
      </w:pPr>
      <w:rPr>
        <w:rFonts w:hint="default"/>
      </w:rPr>
    </w:lvl>
  </w:abstractNum>
  <w:abstractNum w:abstractNumId="40">
    <w:nsid w:val="601AF885"/>
    <w:multiLevelType w:val="multilevel"/>
    <w:tmpl w:val="601AF885"/>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41">
    <w:nsid w:val="63AE90CC"/>
    <w:multiLevelType w:val="multilevel"/>
    <w:tmpl w:val="63AE90CC"/>
    <w:lvl w:ilvl="0" w:tentative="0">
      <w:start w:val="5"/>
      <w:numFmt w:val="decimal"/>
      <w:lvlText w:val="%1"/>
      <w:lvlJc w:val="left"/>
      <w:pPr>
        <w:ind w:left="1900" w:hanging="773"/>
      </w:pPr>
      <w:rPr>
        <w:rFonts w:hint="default"/>
        <w:lang w:val="en-US" w:eastAsia="zh-CN" w:bidi="ar-SA"/>
      </w:rPr>
    </w:lvl>
    <w:lvl w:ilvl="1" w:tentative="0">
      <w:start w:val="1"/>
      <w:numFmt w:val="decimal"/>
      <w:lvlText w:val="%1.%2"/>
      <w:lvlJc w:val="left"/>
      <w:pPr>
        <w:ind w:left="1900" w:hanging="773"/>
      </w:pPr>
      <w:rPr>
        <w:rFonts w:hint="default"/>
        <w:lang w:val="en-US" w:eastAsia="zh-CN" w:bidi="ar-SA"/>
      </w:rPr>
    </w:lvl>
    <w:lvl w:ilvl="2" w:tentative="0">
      <w:start w:val="7"/>
      <w:numFmt w:val="decimal"/>
      <w:suff w:val="space"/>
      <w:lvlText w:val="%1.%2.%3"/>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3" w:tentative="0">
      <w:start w:val="1"/>
      <w:numFmt w:val="decimal"/>
      <w:suff w:val="space"/>
      <w:lvlText w:val="%1.%2.%3.%4"/>
      <w:lvlJc w:val="left"/>
      <w:pPr>
        <w:ind w:left="425" w:leftChars="0" w:firstLine="0" w:firstLineChars="0"/>
      </w:pPr>
      <w:rPr>
        <w:rFonts w:hint="default" w:ascii="宋体" w:hAnsi="宋体" w:eastAsia="宋体" w:cs="宋体"/>
        <w:b/>
        <w:bCs/>
        <w:i w:val="0"/>
        <w:iCs w:val="0"/>
        <w:spacing w:val="0"/>
        <w:w w:val="99"/>
        <w:sz w:val="24"/>
        <w:szCs w:val="24"/>
        <w:lang w:val="en-US" w:eastAsia="zh-CN" w:bidi="ar-SA"/>
      </w:rPr>
    </w:lvl>
    <w:lvl w:ilvl="4" w:tentative="0">
      <w:start w:val="1"/>
      <w:numFmt w:val="decimal"/>
      <w:suff w:val="space"/>
      <w:lvlText w:val="%1.%2.%3.%4.%5"/>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5" w:tentative="0">
      <w:start w:val="1"/>
      <w:numFmt w:val="decimal"/>
      <w:suff w:val="nothing"/>
      <w:lvlText w:val="（%6）"/>
      <w:lvlJc w:val="left"/>
      <w:pPr>
        <w:ind w:left="425" w:leftChars="0" w:firstLine="0" w:firstLineChars="0"/>
      </w:pPr>
      <w:rPr>
        <w:rFonts w:hint="default" w:ascii="宋体" w:hAnsi="宋体" w:eastAsia="宋体" w:cs="宋体"/>
        <w:b w:val="0"/>
        <w:bCs w:val="0"/>
        <w:i w:val="0"/>
        <w:iCs w:val="0"/>
        <w:w w:val="100"/>
        <w:sz w:val="24"/>
        <w:szCs w:val="24"/>
        <w:lang w:val="en-US" w:eastAsia="zh-CN" w:bidi="ar-SA"/>
      </w:rPr>
    </w:lvl>
    <w:lvl w:ilvl="6" w:tentative="0">
      <w:start w:val="0"/>
      <w:numFmt w:val="bullet"/>
      <w:lvlText w:val="•"/>
      <w:lvlJc w:val="left"/>
      <w:pPr>
        <w:ind w:left="5603" w:hanging="773"/>
      </w:pPr>
      <w:rPr>
        <w:rFonts w:hint="default"/>
        <w:lang w:val="en-US" w:eastAsia="zh-CN" w:bidi="ar-SA"/>
      </w:rPr>
    </w:lvl>
    <w:lvl w:ilvl="7" w:tentative="0">
      <w:start w:val="0"/>
      <w:numFmt w:val="bullet"/>
      <w:lvlText w:val="•"/>
      <w:lvlJc w:val="left"/>
      <w:pPr>
        <w:ind w:left="6424" w:hanging="773"/>
      </w:pPr>
      <w:rPr>
        <w:rFonts w:hint="default"/>
        <w:lang w:val="en-US" w:eastAsia="zh-CN" w:bidi="ar-SA"/>
      </w:rPr>
    </w:lvl>
    <w:lvl w:ilvl="8" w:tentative="0">
      <w:start w:val="0"/>
      <w:numFmt w:val="bullet"/>
      <w:lvlText w:val="•"/>
      <w:lvlJc w:val="left"/>
      <w:pPr>
        <w:ind w:left="7244" w:hanging="773"/>
      </w:pPr>
      <w:rPr>
        <w:rFonts w:hint="default"/>
        <w:lang w:val="en-US" w:eastAsia="zh-CN" w:bidi="ar-SA"/>
      </w:rPr>
    </w:lvl>
  </w:abstractNum>
  <w:abstractNum w:abstractNumId="42">
    <w:nsid w:val="64DF3F8A"/>
    <w:multiLevelType w:val="multilevel"/>
    <w:tmpl w:val="64DF3F8A"/>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43">
    <w:nsid w:val="6CB0900E"/>
    <w:multiLevelType w:val="singleLevel"/>
    <w:tmpl w:val="6CB0900E"/>
    <w:lvl w:ilvl="0" w:tentative="0">
      <w:start w:val="1"/>
      <w:numFmt w:val="decimal"/>
      <w:suff w:val="space"/>
      <w:lvlText w:val="%1."/>
      <w:lvlJc w:val="left"/>
      <w:pPr>
        <w:ind w:left="425" w:hanging="425"/>
      </w:pPr>
      <w:rPr>
        <w:rFonts w:hint="default"/>
      </w:rPr>
    </w:lvl>
  </w:abstractNum>
  <w:abstractNum w:abstractNumId="44">
    <w:nsid w:val="6DF1C314"/>
    <w:multiLevelType w:val="multilevel"/>
    <w:tmpl w:val="6DF1C314"/>
    <w:lvl w:ilvl="0" w:tentative="0">
      <w:start w:val="1"/>
      <w:numFmt w:val="decimal"/>
      <w:lvlText w:val="%1."/>
      <w:lvlJc w:val="left"/>
      <w:pPr>
        <w:ind w:left="941" w:hanging="24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1734" w:hanging="241"/>
      </w:pPr>
      <w:rPr>
        <w:rFonts w:hint="default"/>
        <w:lang w:val="en-US" w:eastAsia="zh-CN" w:bidi="ar-SA"/>
      </w:rPr>
    </w:lvl>
    <w:lvl w:ilvl="2" w:tentative="0">
      <w:start w:val="0"/>
      <w:numFmt w:val="bullet"/>
      <w:lvlText w:val="•"/>
      <w:lvlJc w:val="left"/>
      <w:pPr>
        <w:ind w:left="2529" w:hanging="241"/>
      </w:pPr>
      <w:rPr>
        <w:rFonts w:hint="default"/>
        <w:lang w:val="en-US" w:eastAsia="zh-CN" w:bidi="ar-SA"/>
      </w:rPr>
    </w:lvl>
    <w:lvl w:ilvl="3" w:tentative="0">
      <w:start w:val="0"/>
      <w:numFmt w:val="bullet"/>
      <w:lvlText w:val="•"/>
      <w:lvlJc w:val="left"/>
      <w:pPr>
        <w:ind w:left="3323" w:hanging="241"/>
      </w:pPr>
      <w:rPr>
        <w:rFonts w:hint="default"/>
        <w:lang w:val="en-US" w:eastAsia="zh-CN" w:bidi="ar-SA"/>
      </w:rPr>
    </w:lvl>
    <w:lvl w:ilvl="4" w:tentative="0">
      <w:start w:val="0"/>
      <w:numFmt w:val="bullet"/>
      <w:lvlText w:val="•"/>
      <w:lvlJc w:val="left"/>
      <w:pPr>
        <w:ind w:left="4118" w:hanging="241"/>
      </w:pPr>
      <w:rPr>
        <w:rFonts w:hint="default"/>
        <w:lang w:val="en-US" w:eastAsia="zh-CN" w:bidi="ar-SA"/>
      </w:rPr>
    </w:lvl>
    <w:lvl w:ilvl="5" w:tentative="0">
      <w:start w:val="0"/>
      <w:numFmt w:val="bullet"/>
      <w:lvlText w:val="•"/>
      <w:lvlJc w:val="left"/>
      <w:pPr>
        <w:ind w:left="4913" w:hanging="241"/>
      </w:pPr>
      <w:rPr>
        <w:rFonts w:hint="default"/>
        <w:lang w:val="en-US" w:eastAsia="zh-CN" w:bidi="ar-SA"/>
      </w:rPr>
    </w:lvl>
    <w:lvl w:ilvl="6" w:tentative="0">
      <w:start w:val="0"/>
      <w:numFmt w:val="bullet"/>
      <w:lvlText w:val="•"/>
      <w:lvlJc w:val="left"/>
      <w:pPr>
        <w:ind w:left="5707" w:hanging="241"/>
      </w:pPr>
      <w:rPr>
        <w:rFonts w:hint="default"/>
        <w:lang w:val="en-US" w:eastAsia="zh-CN" w:bidi="ar-SA"/>
      </w:rPr>
    </w:lvl>
    <w:lvl w:ilvl="7" w:tentative="0">
      <w:start w:val="0"/>
      <w:numFmt w:val="bullet"/>
      <w:lvlText w:val="•"/>
      <w:lvlJc w:val="left"/>
      <w:pPr>
        <w:ind w:left="6502" w:hanging="241"/>
      </w:pPr>
      <w:rPr>
        <w:rFonts w:hint="default"/>
        <w:lang w:val="en-US" w:eastAsia="zh-CN" w:bidi="ar-SA"/>
      </w:rPr>
    </w:lvl>
    <w:lvl w:ilvl="8" w:tentative="0">
      <w:start w:val="0"/>
      <w:numFmt w:val="bullet"/>
      <w:lvlText w:val="•"/>
      <w:lvlJc w:val="left"/>
      <w:pPr>
        <w:ind w:left="7297" w:hanging="241"/>
      </w:pPr>
      <w:rPr>
        <w:rFonts w:hint="default"/>
        <w:lang w:val="en-US" w:eastAsia="zh-CN" w:bidi="ar-SA"/>
      </w:rPr>
    </w:lvl>
  </w:abstractNum>
  <w:abstractNum w:abstractNumId="45">
    <w:nsid w:val="768017C6"/>
    <w:multiLevelType w:val="multilevel"/>
    <w:tmpl w:val="768017C6"/>
    <w:lvl w:ilvl="0" w:tentative="0">
      <w:start w:val="1"/>
      <w:numFmt w:val="decimal"/>
      <w:lvlText w:val="%1."/>
      <w:lvlJc w:val="left"/>
      <w:pPr>
        <w:ind w:left="946" w:hanging="244"/>
      </w:pPr>
      <w:rPr>
        <w:rFonts w:hint="default" w:ascii="宋体" w:hAnsi="宋体" w:eastAsia="宋体" w:cs="宋体"/>
        <w:b/>
        <w:bCs/>
        <w:i w:val="0"/>
        <w:iCs w:val="0"/>
        <w:spacing w:val="0"/>
        <w:w w:val="99"/>
        <w:sz w:val="22"/>
        <w:szCs w:val="22"/>
        <w:lang w:val="en-US" w:eastAsia="zh-CN" w:bidi="ar-SA"/>
      </w:rPr>
    </w:lvl>
    <w:lvl w:ilvl="1" w:tentative="0">
      <w:start w:val="0"/>
      <w:numFmt w:val="bullet"/>
      <w:lvlText w:val="•"/>
      <w:lvlJc w:val="left"/>
      <w:pPr>
        <w:ind w:left="1734" w:hanging="244"/>
      </w:pPr>
      <w:rPr>
        <w:rFonts w:hint="default"/>
        <w:lang w:val="en-US" w:eastAsia="zh-CN" w:bidi="ar-SA"/>
      </w:rPr>
    </w:lvl>
    <w:lvl w:ilvl="2" w:tentative="0">
      <w:start w:val="0"/>
      <w:numFmt w:val="bullet"/>
      <w:lvlText w:val="•"/>
      <w:lvlJc w:val="left"/>
      <w:pPr>
        <w:ind w:left="2529" w:hanging="244"/>
      </w:pPr>
      <w:rPr>
        <w:rFonts w:hint="default"/>
        <w:lang w:val="en-US" w:eastAsia="zh-CN" w:bidi="ar-SA"/>
      </w:rPr>
    </w:lvl>
    <w:lvl w:ilvl="3" w:tentative="0">
      <w:start w:val="0"/>
      <w:numFmt w:val="bullet"/>
      <w:lvlText w:val="•"/>
      <w:lvlJc w:val="left"/>
      <w:pPr>
        <w:ind w:left="3323" w:hanging="244"/>
      </w:pPr>
      <w:rPr>
        <w:rFonts w:hint="default"/>
        <w:lang w:val="en-US" w:eastAsia="zh-CN" w:bidi="ar-SA"/>
      </w:rPr>
    </w:lvl>
    <w:lvl w:ilvl="4" w:tentative="0">
      <w:start w:val="0"/>
      <w:numFmt w:val="bullet"/>
      <w:lvlText w:val="•"/>
      <w:lvlJc w:val="left"/>
      <w:pPr>
        <w:ind w:left="4118" w:hanging="244"/>
      </w:pPr>
      <w:rPr>
        <w:rFonts w:hint="default"/>
        <w:lang w:val="en-US" w:eastAsia="zh-CN" w:bidi="ar-SA"/>
      </w:rPr>
    </w:lvl>
    <w:lvl w:ilvl="5" w:tentative="0">
      <w:start w:val="0"/>
      <w:numFmt w:val="bullet"/>
      <w:lvlText w:val="•"/>
      <w:lvlJc w:val="left"/>
      <w:pPr>
        <w:ind w:left="4913" w:hanging="244"/>
      </w:pPr>
      <w:rPr>
        <w:rFonts w:hint="default"/>
        <w:lang w:val="en-US" w:eastAsia="zh-CN" w:bidi="ar-SA"/>
      </w:rPr>
    </w:lvl>
    <w:lvl w:ilvl="6" w:tentative="0">
      <w:start w:val="0"/>
      <w:numFmt w:val="bullet"/>
      <w:lvlText w:val="•"/>
      <w:lvlJc w:val="left"/>
      <w:pPr>
        <w:ind w:left="5707" w:hanging="244"/>
      </w:pPr>
      <w:rPr>
        <w:rFonts w:hint="default"/>
        <w:lang w:val="en-US" w:eastAsia="zh-CN" w:bidi="ar-SA"/>
      </w:rPr>
    </w:lvl>
    <w:lvl w:ilvl="7" w:tentative="0">
      <w:start w:val="0"/>
      <w:numFmt w:val="bullet"/>
      <w:lvlText w:val="•"/>
      <w:lvlJc w:val="left"/>
      <w:pPr>
        <w:ind w:left="6502" w:hanging="244"/>
      </w:pPr>
      <w:rPr>
        <w:rFonts w:hint="default"/>
        <w:lang w:val="en-US" w:eastAsia="zh-CN" w:bidi="ar-SA"/>
      </w:rPr>
    </w:lvl>
    <w:lvl w:ilvl="8" w:tentative="0">
      <w:start w:val="0"/>
      <w:numFmt w:val="bullet"/>
      <w:lvlText w:val="•"/>
      <w:lvlJc w:val="left"/>
      <w:pPr>
        <w:ind w:left="7297" w:hanging="244"/>
      </w:pPr>
      <w:rPr>
        <w:rFonts w:hint="default"/>
        <w:lang w:val="en-US" w:eastAsia="zh-CN" w:bidi="ar-SA"/>
      </w:rPr>
    </w:lvl>
  </w:abstractNum>
  <w:abstractNum w:abstractNumId="46">
    <w:nsid w:val="76D9A078"/>
    <w:multiLevelType w:val="multilevel"/>
    <w:tmpl w:val="76D9A078"/>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47">
    <w:nsid w:val="76E6ECDE"/>
    <w:multiLevelType w:val="multilevel"/>
    <w:tmpl w:val="76E6ECDE"/>
    <w:lvl w:ilvl="0" w:tentative="0">
      <w:start w:val="14"/>
      <w:numFmt w:val="decimal"/>
      <w:lvlText w:val="（%1）"/>
      <w:lvlJc w:val="left"/>
      <w:pPr>
        <w:ind w:left="1421" w:hanging="72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166" w:hanging="721"/>
      </w:pPr>
      <w:rPr>
        <w:rFonts w:hint="default"/>
        <w:lang w:val="en-US" w:eastAsia="zh-CN" w:bidi="ar-SA"/>
      </w:rPr>
    </w:lvl>
    <w:lvl w:ilvl="2" w:tentative="0">
      <w:start w:val="0"/>
      <w:numFmt w:val="bullet"/>
      <w:lvlText w:val="•"/>
      <w:lvlJc w:val="left"/>
      <w:pPr>
        <w:ind w:left="2913" w:hanging="721"/>
      </w:pPr>
      <w:rPr>
        <w:rFonts w:hint="default"/>
        <w:lang w:val="en-US" w:eastAsia="zh-CN" w:bidi="ar-SA"/>
      </w:rPr>
    </w:lvl>
    <w:lvl w:ilvl="3" w:tentative="0">
      <w:start w:val="0"/>
      <w:numFmt w:val="bullet"/>
      <w:lvlText w:val="•"/>
      <w:lvlJc w:val="left"/>
      <w:pPr>
        <w:ind w:left="3659" w:hanging="721"/>
      </w:pPr>
      <w:rPr>
        <w:rFonts w:hint="default"/>
        <w:lang w:val="en-US" w:eastAsia="zh-CN" w:bidi="ar-SA"/>
      </w:rPr>
    </w:lvl>
    <w:lvl w:ilvl="4" w:tentative="0">
      <w:start w:val="0"/>
      <w:numFmt w:val="bullet"/>
      <w:lvlText w:val="•"/>
      <w:lvlJc w:val="left"/>
      <w:pPr>
        <w:ind w:left="4406" w:hanging="721"/>
      </w:pPr>
      <w:rPr>
        <w:rFonts w:hint="default"/>
        <w:lang w:val="en-US" w:eastAsia="zh-CN" w:bidi="ar-SA"/>
      </w:rPr>
    </w:lvl>
    <w:lvl w:ilvl="5" w:tentative="0">
      <w:start w:val="0"/>
      <w:numFmt w:val="bullet"/>
      <w:lvlText w:val="•"/>
      <w:lvlJc w:val="left"/>
      <w:pPr>
        <w:ind w:left="5153" w:hanging="721"/>
      </w:pPr>
      <w:rPr>
        <w:rFonts w:hint="default"/>
        <w:lang w:val="en-US" w:eastAsia="zh-CN" w:bidi="ar-SA"/>
      </w:rPr>
    </w:lvl>
    <w:lvl w:ilvl="6" w:tentative="0">
      <w:start w:val="0"/>
      <w:numFmt w:val="bullet"/>
      <w:lvlText w:val="•"/>
      <w:lvlJc w:val="left"/>
      <w:pPr>
        <w:ind w:left="5899" w:hanging="721"/>
      </w:pPr>
      <w:rPr>
        <w:rFonts w:hint="default"/>
        <w:lang w:val="en-US" w:eastAsia="zh-CN" w:bidi="ar-SA"/>
      </w:rPr>
    </w:lvl>
    <w:lvl w:ilvl="7" w:tentative="0">
      <w:start w:val="0"/>
      <w:numFmt w:val="bullet"/>
      <w:lvlText w:val="•"/>
      <w:lvlJc w:val="left"/>
      <w:pPr>
        <w:ind w:left="6646" w:hanging="721"/>
      </w:pPr>
      <w:rPr>
        <w:rFonts w:hint="default"/>
        <w:lang w:val="en-US" w:eastAsia="zh-CN" w:bidi="ar-SA"/>
      </w:rPr>
    </w:lvl>
    <w:lvl w:ilvl="8" w:tentative="0">
      <w:start w:val="0"/>
      <w:numFmt w:val="bullet"/>
      <w:lvlText w:val="•"/>
      <w:lvlJc w:val="left"/>
      <w:pPr>
        <w:ind w:left="7393" w:hanging="721"/>
      </w:pPr>
      <w:rPr>
        <w:rFonts w:hint="default"/>
        <w:lang w:val="en-US" w:eastAsia="zh-CN" w:bidi="ar-SA"/>
      </w:rPr>
    </w:lvl>
  </w:abstractNum>
  <w:abstractNum w:abstractNumId="48">
    <w:nsid w:val="773604EA"/>
    <w:multiLevelType w:val="multilevel"/>
    <w:tmpl w:val="773604EA"/>
    <w:lvl w:ilvl="0" w:tentative="0">
      <w:start w:val="5"/>
      <w:numFmt w:val="decimal"/>
      <w:lvlText w:val="%1"/>
      <w:lvlJc w:val="left"/>
      <w:pPr>
        <w:ind w:left="1900" w:hanging="1198"/>
      </w:pPr>
      <w:rPr>
        <w:rFonts w:hint="default"/>
        <w:lang w:val="en-US" w:eastAsia="zh-CN" w:bidi="ar-SA"/>
      </w:rPr>
    </w:lvl>
    <w:lvl w:ilvl="1" w:tentative="0">
      <w:start w:val="1"/>
      <w:numFmt w:val="decimal"/>
      <w:lvlText w:val="%1.%2"/>
      <w:lvlJc w:val="left"/>
      <w:pPr>
        <w:ind w:left="1900" w:hanging="1198"/>
      </w:pPr>
      <w:rPr>
        <w:rFonts w:hint="default"/>
        <w:lang w:val="en-US" w:eastAsia="zh-CN" w:bidi="ar-SA"/>
      </w:rPr>
    </w:lvl>
    <w:lvl w:ilvl="2" w:tentative="0">
      <w:start w:val="4"/>
      <w:numFmt w:val="decimal"/>
      <w:lvlText w:val="%1.%2.%3"/>
      <w:lvlJc w:val="left"/>
      <w:pPr>
        <w:ind w:left="1900" w:hanging="1198"/>
      </w:pPr>
      <w:rPr>
        <w:rFonts w:hint="default"/>
        <w:lang w:val="en-US" w:eastAsia="zh-CN" w:bidi="ar-SA"/>
      </w:rPr>
    </w:lvl>
    <w:lvl w:ilvl="3" w:tentative="0">
      <w:start w:val="1"/>
      <w:numFmt w:val="decimal"/>
      <w:lvlText w:val="%1.%2.%3.%4"/>
      <w:lvlJc w:val="left"/>
      <w:pPr>
        <w:ind w:left="1900" w:hanging="1198"/>
      </w:pPr>
      <w:rPr>
        <w:rFonts w:hint="default"/>
        <w:lang w:val="en-US" w:eastAsia="zh-CN" w:bidi="ar-SA"/>
      </w:rPr>
    </w:lvl>
    <w:lvl w:ilvl="4" w:tentative="0">
      <w:start w:val="1"/>
      <w:numFmt w:val="decimal"/>
      <w:lvlText w:val="%1.%2.%3.%4.%5"/>
      <w:lvlJc w:val="left"/>
      <w:pPr>
        <w:ind w:left="1900" w:hanging="1198"/>
      </w:pPr>
      <w:rPr>
        <w:rFonts w:hint="default" w:ascii="宋体" w:hAnsi="宋体" w:eastAsia="宋体" w:cs="宋体"/>
        <w:b w:val="0"/>
        <w:bCs w:val="0"/>
        <w:i w:val="0"/>
        <w:iCs w:val="0"/>
        <w:w w:val="100"/>
        <w:sz w:val="24"/>
        <w:szCs w:val="24"/>
        <w:lang w:val="en-US" w:eastAsia="zh-CN" w:bidi="ar-SA"/>
      </w:rPr>
    </w:lvl>
    <w:lvl w:ilvl="5" w:tentative="0">
      <w:start w:val="0"/>
      <w:numFmt w:val="bullet"/>
      <w:lvlText w:val="•"/>
      <w:lvlJc w:val="left"/>
      <w:pPr>
        <w:ind w:left="5393" w:hanging="1198"/>
      </w:pPr>
      <w:rPr>
        <w:rFonts w:hint="default"/>
        <w:lang w:val="en-US" w:eastAsia="zh-CN" w:bidi="ar-SA"/>
      </w:rPr>
    </w:lvl>
    <w:lvl w:ilvl="6" w:tentative="0">
      <w:start w:val="0"/>
      <w:numFmt w:val="bullet"/>
      <w:lvlText w:val="•"/>
      <w:lvlJc w:val="left"/>
      <w:pPr>
        <w:ind w:left="6091" w:hanging="1198"/>
      </w:pPr>
      <w:rPr>
        <w:rFonts w:hint="default"/>
        <w:lang w:val="en-US" w:eastAsia="zh-CN" w:bidi="ar-SA"/>
      </w:rPr>
    </w:lvl>
    <w:lvl w:ilvl="7" w:tentative="0">
      <w:start w:val="0"/>
      <w:numFmt w:val="bullet"/>
      <w:lvlText w:val="•"/>
      <w:lvlJc w:val="left"/>
      <w:pPr>
        <w:ind w:left="6790" w:hanging="1198"/>
      </w:pPr>
      <w:rPr>
        <w:rFonts w:hint="default"/>
        <w:lang w:val="en-US" w:eastAsia="zh-CN" w:bidi="ar-SA"/>
      </w:rPr>
    </w:lvl>
    <w:lvl w:ilvl="8" w:tentative="0">
      <w:start w:val="0"/>
      <w:numFmt w:val="bullet"/>
      <w:lvlText w:val="•"/>
      <w:lvlJc w:val="left"/>
      <w:pPr>
        <w:ind w:left="7489" w:hanging="1198"/>
      </w:pPr>
      <w:rPr>
        <w:rFonts w:hint="default"/>
        <w:lang w:val="en-US" w:eastAsia="zh-CN" w:bidi="ar-SA"/>
      </w:rPr>
    </w:lvl>
  </w:abstractNum>
  <w:abstractNum w:abstractNumId="49">
    <w:nsid w:val="7C55B2FC"/>
    <w:multiLevelType w:val="multilevel"/>
    <w:tmpl w:val="7C55B2FC"/>
    <w:lvl w:ilvl="0" w:tentative="0">
      <w:start w:val="1"/>
      <w:numFmt w:val="decimal"/>
      <w:lvlText w:val="（%1）"/>
      <w:lvlJc w:val="left"/>
      <w:pPr>
        <w:ind w:left="1301" w:hanging="601"/>
      </w:pPr>
      <w:rPr>
        <w:rFonts w:hint="default" w:ascii="宋体" w:hAnsi="宋体" w:eastAsia="宋体" w:cs="宋体"/>
        <w:b w:val="0"/>
        <w:bCs w:val="0"/>
        <w:i w:val="0"/>
        <w:iCs w:val="0"/>
        <w:w w:val="100"/>
        <w:sz w:val="22"/>
        <w:szCs w:val="22"/>
        <w:lang w:val="en-US" w:eastAsia="zh-CN" w:bidi="ar-SA"/>
      </w:rPr>
    </w:lvl>
    <w:lvl w:ilvl="1" w:tentative="0">
      <w:start w:val="0"/>
      <w:numFmt w:val="bullet"/>
      <w:lvlText w:val="•"/>
      <w:lvlJc w:val="left"/>
      <w:pPr>
        <w:ind w:left="2058" w:hanging="601"/>
      </w:pPr>
      <w:rPr>
        <w:rFonts w:hint="default"/>
        <w:lang w:val="en-US" w:eastAsia="zh-CN" w:bidi="ar-SA"/>
      </w:rPr>
    </w:lvl>
    <w:lvl w:ilvl="2" w:tentative="0">
      <w:start w:val="0"/>
      <w:numFmt w:val="bullet"/>
      <w:lvlText w:val="•"/>
      <w:lvlJc w:val="left"/>
      <w:pPr>
        <w:ind w:left="2817" w:hanging="601"/>
      </w:pPr>
      <w:rPr>
        <w:rFonts w:hint="default"/>
        <w:lang w:val="en-US" w:eastAsia="zh-CN" w:bidi="ar-SA"/>
      </w:rPr>
    </w:lvl>
    <w:lvl w:ilvl="3" w:tentative="0">
      <w:start w:val="0"/>
      <w:numFmt w:val="bullet"/>
      <w:lvlText w:val="•"/>
      <w:lvlJc w:val="left"/>
      <w:pPr>
        <w:ind w:left="3575" w:hanging="601"/>
      </w:pPr>
      <w:rPr>
        <w:rFonts w:hint="default"/>
        <w:lang w:val="en-US" w:eastAsia="zh-CN" w:bidi="ar-SA"/>
      </w:rPr>
    </w:lvl>
    <w:lvl w:ilvl="4" w:tentative="0">
      <w:start w:val="0"/>
      <w:numFmt w:val="bullet"/>
      <w:lvlText w:val="•"/>
      <w:lvlJc w:val="left"/>
      <w:pPr>
        <w:ind w:left="4334" w:hanging="601"/>
      </w:pPr>
      <w:rPr>
        <w:rFonts w:hint="default"/>
        <w:lang w:val="en-US" w:eastAsia="zh-CN" w:bidi="ar-SA"/>
      </w:rPr>
    </w:lvl>
    <w:lvl w:ilvl="5" w:tentative="0">
      <w:start w:val="0"/>
      <w:numFmt w:val="bullet"/>
      <w:lvlText w:val="•"/>
      <w:lvlJc w:val="left"/>
      <w:pPr>
        <w:ind w:left="5093" w:hanging="601"/>
      </w:pPr>
      <w:rPr>
        <w:rFonts w:hint="default"/>
        <w:lang w:val="en-US" w:eastAsia="zh-CN" w:bidi="ar-SA"/>
      </w:rPr>
    </w:lvl>
    <w:lvl w:ilvl="6" w:tentative="0">
      <w:start w:val="0"/>
      <w:numFmt w:val="bullet"/>
      <w:lvlText w:val="•"/>
      <w:lvlJc w:val="left"/>
      <w:pPr>
        <w:ind w:left="5851" w:hanging="601"/>
      </w:pPr>
      <w:rPr>
        <w:rFonts w:hint="default"/>
        <w:lang w:val="en-US" w:eastAsia="zh-CN" w:bidi="ar-SA"/>
      </w:rPr>
    </w:lvl>
    <w:lvl w:ilvl="7" w:tentative="0">
      <w:start w:val="0"/>
      <w:numFmt w:val="bullet"/>
      <w:lvlText w:val="•"/>
      <w:lvlJc w:val="left"/>
      <w:pPr>
        <w:ind w:left="6610" w:hanging="601"/>
      </w:pPr>
      <w:rPr>
        <w:rFonts w:hint="default"/>
        <w:lang w:val="en-US" w:eastAsia="zh-CN" w:bidi="ar-SA"/>
      </w:rPr>
    </w:lvl>
    <w:lvl w:ilvl="8" w:tentative="0">
      <w:start w:val="0"/>
      <w:numFmt w:val="bullet"/>
      <w:lvlText w:val="•"/>
      <w:lvlJc w:val="left"/>
      <w:pPr>
        <w:ind w:left="7369" w:hanging="601"/>
      </w:pPr>
      <w:rPr>
        <w:rFonts w:hint="default"/>
        <w:lang w:val="en-US" w:eastAsia="zh-CN" w:bidi="ar-SA"/>
      </w:rPr>
    </w:lvl>
  </w:abstractNum>
  <w:abstractNum w:abstractNumId="50">
    <w:nsid w:val="7CA0AE15"/>
    <w:multiLevelType w:val="singleLevel"/>
    <w:tmpl w:val="7CA0AE15"/>
    <w:lvl w:ilvl="0" w:tentative="0">
      <w:start w:val="1"/>
      <w:numFmt w:val="decimal"/>
      <w:lvlText w:val="%1."/>
      <w:lvlJc w:val="left"/>
      <w:pPr>
        <w:ind w:left="425" w:hanging="425"/>
      </w:pPr>
      <w:rPr>
        <w:rFonts w:hint="default"/>
      </w:rPr>
    </w:lvl>
  </w:abstractNum>
  <w:num w:numId="1">
    <w:abstractNumId w:val="33"/>
  </w:num>
  <w:num w:numId="2">
    <w:abstractNumId w:val="12"/>
  </w:num>
  <w:num w:numId="3">
    <w:abstractNumId w:val="13"/>
  </w:num>
  <w:num w:numId="4">
    <w:abstractNumId w:val="32"/>
  </w:num>
  <w:num w:numId="5">
    <w:abstractNumId w:val="45"/>
  </w:num>
  <w:num w:numId="6">
    <w:abstractNumId w:val="48"/>
  </w:num>
  <w:num w:numId="7">
    <w:abstractNumId w:val="15"/>
  </w:num>
  <w:num w:numId="8">
    <w:abstractNumId w:val="6"/>
  </w:num>
  <w:num w:numId="9">
    <w:abstractNumId w:val="27"/>
  </w:num>
  <w:num w:numId="10">
    <w:abstractNumId w:val="25"/>
  </w:num>
  <w:num w:numId="11">
    <w:abstractNumId w:val="31"/>
  </w:num>
  <w:num w:numId="12">
    <w:abstractNumId w:val="11"/>
  </w:num>
  <w:num w:numId="13">
    <w:abstractNumId w:val="42"/>
  </w:num>
  <w:num w:numId="14">
    <w:abstractNumId w:val="14"/>
  </w:num>
  <w:num w:numId="15">
    <w:abstractNumId w:val="40"/>
  </w:num>
  <w:num w:numId="16">
    <w:abstractNumId w:val="28"/>
  </w:num>
  <w:num w:numId="17">
    <w:abstractNumId w:val="35"/>
  </w:num>
  <w:num w:numId="18">
    <w:abstractNumId w:val="46"/>
  </w:num>
  <w:num w:numId="19">
    <w:abstractNumId w:val="49"/>
  </w:num>
  <w:num w:numId="20">
    <w:abstractNumId w:val="22"/>
  </w:num>
  <w:num w:numId="21">
    <w:abstractNumId w:val="38"/>
  </w:num>
  <w:num w:numId="22">
    <w:abstractNumId w:val="16"/>
  </w:num>
  <w:num w:numId="23">
    <w:abstractNumId w:val="29"/>
  </w:num>
  <w:num w:numId="24">
    <w:abstractNumId w:val="47"/>
  </w:num>
  <w:num w:numId="25">
    <w:abstractNumId w:val="30"/>
  </w:num>
  <w:num w:numId="26">
    <w:abstractNumId w:val="26"/>
  </w:num>
  <w:num w:numId="27">
    <w:abstractNumId w:val="23"/>
  </w:num>
  <w:num w:numId="28">
    <w:abstractNumId w:val="20"/>
  </w:num>
  <w:num w:numId="29">
    <w:abstractNumId w:val="21"/>
  </w:num>
  <w:num w:numId="30">
    <w:abstractNumId w:val="18"/>
  </w:num>
  <w:num w:numId="31">
    <w:abstractNumId w:val="37"/>
  </w:num>
  <w:num w:numId="32">
    <w:abstractNumId w:val="24"/>
  </w:num>
  <w:num w:numId="33">
    <w:abstractNumId w:val="17"/>
  </w:num>
  <w:num w:numId="34">
    <w:abstractNumId w:val="44"/>
  </w:num>
  <w:num w:numId="35">
    <w:abstractNumId w:val="41"/>
  </w:num>
  <w:num w:numId="36">
    <w:abstractNumId w:val="3"/>
  </w:num>
  <w:num w:numId="37">
    <w:abstractNumId w:val="10"/>
  </w:num>
  <w:num w:numId="38">
    <w:abstractNumId w:val="34"/>
  </w:num>
  <w:num w:numId="39">
    <w:abstractNumId w:val="7"/>
  </w:num>
  <w:num w:numId="40">
    <w:abstractNumId w:val="5"/>
  </w:num>
  <w:num w:numId="41">
    <w:abstractNumId w:val="50"/>
  </w:num>
  <w:num w:numId="42">
    <w:abstractNumId w:val="4"/>
  </w:num>
  <w:num w:numId="43">
    <w:abstractNumId w:val="0"/>
  </w:num>
  <w:num w:numId="44">
    <w:abstractNumId w:val="8"/>
  </w:num>
  <w:num w:numId="45">
    <w:abstractNumId w:val="9"/>
  </w:num>
  <w:num w:numId="46">
    <w:abstractNumId w:val="1"/>
  </w:num>
  <w:num w:numId="47">
    <w:abstractNumId w:val="36"/>
  </w:num>
  <w:num w:numId="48">
    <w:abstractNumId w:val="39"/>
  </w:num>
  <w:num w:numId="49">
    <w:abstractNumId w:val="19"/>
  </w:num>
  <w:num w:numId="50">
    <w:abstractNumId w:val="2"/>
  </w:num>
  <w:num w:numId="5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removePersonalInformation/>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2"/>
    <w:footnote w:id="3"/>
  </w:foot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MGYwZmY3NjNjOGM5Yzc4ZDMyYmMyZTI2OTkyNjkifQ=="/>
  </w:docVars>
  <w:rsids>
    <w:rsidRoot w:val="00A83813"/>
    <w:rsid w:val="0006115D"/>
    <w:rsid w:val="00212ABA"/>
    <w:rsid w:val="003F1BC9"/>
    <w:rsid w:val="00460927"/>
    <w:rsid w:val="004E0F20"/>
    <w:rsid w:val="005D103E"/>
    <w:rsid w:val="006C517E"/>
    <w:rsid w:val="006F1064"/>
    <w:rsid w:val="007362C0"/>
    <w:rsid w:val="007612DB"/>
    <w:rsid w:val="0079782D"/>
    <w:rsid w:val="00A83813"/>
    <w:rsid w:val="00B11099"/>
    <w:rsid w:val="00C04665"/>
    <w:rsid w:val="00CD653F"/>
    <w:rsid w:val="00D21308"/>
    <w:rsid w:val="00DB193F"/>
    <w:rsid w:val="00DB53F3"/>
    <w:rsid w:val="00DD7D00"/>
    <w:rsid w:val="00E8687A"/>
    <w:rsid w:val="00EB4AD2"/>
    <w:rsid w:val="00F127AE"/>
    <w:rsid w:val="00F35CE1"/>
    <w:rsid w:val="00FB0B78"/>
    <w:rsid w:val="00FD591D"/>
    <w:rsid w:val="00FF6F21"/>
    <w:rsid w:val="0144464C"/>
    <w:rsid w:val="017B4ABF"/>
    <w:rsid w:val="022950E4"/>
    <w:rsid w:val="0230584C"/>
    <w:rsid w:val="026727B3"/>
    <w:rsid w:val="02FE524A"/>
    <w:rsid w:val="03C54999"/>
    <w:rsid w:val="03FF3CD8"/>
    <w:rsid w:val="040A684F"/>
    <w:rsid w:val="048E122E"/>
    <w:rsid w:val="0497377E"/>
    <w:rsid w:val="061A5470"/>
    <w:rsid w:val="06D17FC2"/>
    <w:rsid w:val="07DC6755"/>
    <w:rsid w:val="07FE66CB"/>
    <w:rsid w:val="08BF22FE"/>
    <w:rsid w:val="08D55065"/>
    <w:rsid w:val="09150170"/>
    <w:rsid w:val="09F70C51"/>
    <w:rsid w:val="0A131674"/>
    <w:rsid w:val="0A587B48"/>
    <w:rsid w:val="0B107A25"/>
    <w:rsid w:val="0B27418B"/>
    <w:rsid w:val="0BA53A2D"/>
    <w:rsid w:val="0C37664F"/>
    <w:rsid w:val="0CB11F5E"/>
    <w:rsid w:val="0DA73361"/>
    <w:rsid w:val="0DFC2776"/>
    <w:rsid w:val="0E0B096E"/>
    <w:rsid w:val="0EF645A0"/>
    <w:rsid w:val="0F3103D2"/>
    <w:rsid w:val="0F7A6F7F"/>
    <w:rsid w:val="0F8A2B0D"/>
    <w:rsid w:val="0F9747E3"/>
    <w:rsid w:val="102E1B18"/>
    <w:rsid w:val="104E5D16"/>
    <w:rsid w:val="10BC7123"/>
    <w:rsid w:val="117556CB"/>
    <w:rsid w:val="131D154C"/>
    <w:rsid w:val="136C60A1"/>
    <w:rsid w:val="13CD0918"/>
    <w:rsid w:val="13ED41C3"/>
    <w:rsid w:val="144508C4"/>
    <w:rsid w:val="144B68C8"/>
    <w:rsid w:val="14732E9C"/>
    <w:rsid w:val="14B71429"/>
    <w:rsid w:val="154D0C92"/>
    <w:rsid w:val="170878B8"/>
    <w:rsid w:val="171303B9"/>
    <w:rsid w:val="178F4D15"/>
    <w:rsid w:val="183220D8"/>
    <w:rsid w:val="1A4B1C44"/>
    <w:rsid w:val="1B061954"/>
    <w:rsid w:val="1B18764C"/>
    <w:rsid w:val="1B2E6E70"/>
    <w:rsid w:val="1B50356C"/>
    <w:rsid w:val="1B6104DF"/>
    <w:rsid w:val="1C4C5588"/>
    <w:rsid w:val="1C63104B"/>
    <w:rsid w:val="1C672639"/>
    <w:rsid w:val="1D465B98"/>
    <w:rsid w:val="1D7F4C1C"/>
    <w:rsid w:val="1D8A6195"/>
    <w:rsid w:val="1E141812"/>
    <w:rsid w:val="1E6037E4"/>
    <w:rsid w:val="1EB16592"/>
    <w:rsid w:val="1FAD74E5"/>
    <w:rsid w:val="2020506D"/>
    <w:rsid w:val="214A5A5E"/>
    <w:rsid w:val="215F4227"/>
    <w:rsid w:val="222D3920"/>
    <w:rsid w:val="22E024C5"/>
    <w:rsid w:val="23035879"/>
    <w:rsid w:val="235C42F6"/>
    <w:rsid w:val="24957EB8"/>
    <w:rsid w:val="24C01822"/>
    <w:rsid w:val="24CD5C3F"/>
    <w:rsid w:val="25CE7C97"/>
    <w:rsid w:val="260625F3"/>
    <w:rsid w:val="263A2B6C"/>
    <w:rsid w:val="26722306"/>
    <w:rsid w:val="27533EE6"/>
    <w:rsid w:val="276E405B"/>
    <w:rsid w:val="27887ED9"/>
    <w:rsid w:val="27962024"/>
    <w:rsid w:val="28DB23E5"/>
    <w:rsid w:val="28EA5ED6"/>
    <w:rsid w:val="293B7327"/>
    <w:rsid w:val="29CA5BEF"/>
    <w:rsid w:val="2ABB2245"/>
    <w:rsid w:val="2AFF2270"/>
    <w:rsid w:val="2B367DA6"/>
    <w:rsid w:val="2C864D5D"/>
    <w:rsid w:val="2CB73169"/>
    <w:rsid w:val="2DB47931"/>
    <w:rsid w:val="2DFD513B"/>
    <w:rsid w:val="2E7048A6"/>
    <w:rsid w:val="2EF20488"/>
    <w:rsid w:val="3014442E"/>
    <w:rsid w:val="32F78198"/>
    <w:rsid w:val="334ACE70"/>
    <w:rsid w:val="33C86850"/>
    <w:rsid w:val="33E02274"/>
    <w:rsid w:val="347D0785"/>
    <w:rsid w:val="34917DEF"/>
    <w:rsid w:val="34E202AE"/>
    <w:rsid w:val="35852B84"/>
    <w:rsid w:val="35A26888"/>
    <w:rsid w:val="36275A29"/>
    <w:rsid w:val="362D0C4E"/>
    <w:rsid w:val="37135819"/>
    <w:rsid w:val="37FC4126"/>
    <w:rsid w:val="397B5F9F"/>
    <w:rsid w:val="3A4F2C33"/>
    <w:rsid w:val="3ADB6AC9"/>
    <w:rsid w:val="3BE22F9C"/>
    <w:rsid w:val="3D170DEA"/>
    <w:rsid w:val="3D6860D8"/>
    <w:rsid w:val="3DC35C9B"/>
    <w:rsid w:val="3E432187"/>
    <w:rsid w:val="3E61401A"/>
    <w:rsid w:val="3EDF1C46"/>
    <w:rsid w:val="3EEF9415"/>
    <w:rsid w:val="3F9FCD5F"/>
    <w:rsid w:val="3FBF6048"/>
    <w:rsid w:val="40167DBA"/>
    <w:rsid w:val="40777885"/>
    <w:rsid w:val="40D97E5A"/>
    <w:rsid w:val="40FD796C"/>
    <w:rsid w:val="4134048C"/>
    <w:rsid w:val="41F513D7"/>
    <w:rsid w:val="422A67EF"/>
    <w:rsid w:val="42976F25"/>
    <w:rsid w:val="42DA3DEB"/>
    <w:rsid w:val="432C0AE2"/>
    <w:rsid w:val="434B5F61"/>
    <w:rsid w:val="43A561FC"/>
    <w:rsid w:val="44EB3421"/>
    <w:rsid w:val="46805690"/>
    <w:rsid w:val="477667C5"/>
    <w:rsid w:val="479825A7"/>
    <w:rsid w:val="483C3347"/>
    <w:rsid w:val="487F0B87"/>
    <w:rsid w:val="489C3994"/>
    <w:rsid w:val="48A56A22"/>
    <w:rsid w:val="4B153128"/>
    <w:rsid w:val="4C9444D5"/>
    <w:rsid w:val="4DEA3691"/>
    <w:rsid w:val="4E852208"/>
    <w:rsid w:val="4EA13C15"/>
    <w:rsid w:val="4EF67E99"/>
    <w:rsid w:val="4F517437"/>
    <w:rsid w:val="50A15412"/>
    <w:rsid w:val="512F20CF"/>
    <w:rsid w:val="521D1837"/>
    <w:rsid w:val="52784597"/>
    <w:rsid w:val="52952431"/>
    <w:rsid w:val="52976ACD"/>
    <w:rsid w:val="53430012"/>
    <w:rsid w:val="534C3D5B"/>
    <w:rsid w:val="53622A13"/>
    <w:rsid w:val="53CE651E"/>
    <w:rsid w:val="54527E8F"/>
    <w:rsid w:val="54556407"/>
    <w:rsid w:val="54C511B3"/>
    <w:rsid w:val="54C83A14"/>
    <w:rsid w:val="54EA6576"/>
    <w:rsid w:val="54F16968"/>
    <w:rsid w:val="559248EC"/>
    <w:rsid w:val="56927CD7"/>
    <w:rsid w:val="56BE1065"/>
    <w:rsid w:val="579D7375"/>
    <w:rsid w:val="58230859"/>
    <w:rsid w:val="59C06909"/>
    <w:rsid w:val="59EF1BC7"/>
    <w:rsid w:val="5A56333C"/>
    <w:rsid w:val="5B29374E"/>
    <w:rsid w:val="5B6D25CA"/>
    <w:rsid w:val="5BEF84FA"/>
    <w:rsid w:val="5BFF2A3E"/>
    <w:rsid w:val="5CA953CB"/>
    <w:rsid w:val="5CD96C1E"/>
    <w:rsid w:val="5E8E1FD8"/>
    <w:rsid w:val="5F4F595A"/>
    <w:rsid w:val="5F5935D3"/>
    <w:rsid w:val="5F7FCADB"/>
    <w:rsid w:val="5FFE1896"/>
    <w:rsid w:val="60031C46"/>
    <w:rsid w:val="613F280A"/>
    <w:rsid w:val="619A3EE4"/>
    <w:rsid w:val="61B2122D"/>
    <w:rsid w:val="61D86C5B"/>
    <w:rsid w:val="61F730E4"/>
    <w:rsid w:val="620A7485"/>
    <w:rsid w:val="62872C97"/>
    <w:rsid w:val="62BC2297"/>
    <w:rsid w:val="630E4990"/>
    <w:rsid w:val="63A92B04"/>
    <w:rsid w:val="63C0502D"/>
    <w:rsid w:val="63E43B3C"/>
    <w:rsid w:val="640026DC"/>
    <w:rsid w:val="64986E00"/>
    <w:rsid w:val="649A6270"/>
    <w:rsid w:val="64CF0348"/>
    <w:rsid w:val="657666FB"/>
    <w:rsid w:val="658B53D4"/>
    <w:rsid w:val="65C07C91"/>
    <w:rsid w:val="665B6338"/>
    <w:rsid w:val="682B3AE8"/>
    <w:rsid w:val="68506E3A"/>
    <w:rsid w:val="68E819D9"/>
    <w:rsid w:val="698A1B00"/>
    <w:rsid w:val="698A1ECB"/>
    <w:rsid w:val="6A4964A7"/>
    <w:rsid w:val="6A9C35C2"/>
    <w:rsid w:val="6AA242AC"/>
    <w:rsid w:val="6BDFBC2D"/>
    <w:rsid w:val="6C0256EC"/>
    <w:rsid w:val="6CE0256C"/>
    <w:rsid w:val="6D144325"/>
    <w:rsid w:val="6E09766A"/>
    <w:rsid w:val="6EC81378"/>
    <w:rsid w:val="6EE70791"/>
    <w:rsid w:val="6EFE5245"/>
    <w:rsid w:val="6F572DF1"/>
    <w:rsid w:val="70083E48"/>
    <w:rsid w:val="702E0844"/>
    <w:rsid w:val="70434E49"/>
    <w:rsid w:val="7075364F"/>
    <w:rsid w:val="70781894"/>
    <w:rsid w:val="70B44A3D"/>
    <w:rsid w:val="70B71E00"/>
    <w:rsid w:val="71CC52F7"/>
    <w:rsid w:val="71D6C2C2"/>
    <w:rsid w:val="72C11C55"/>
    <w:rsid w:val="72EA08B0"/>
    <w:rsid w:val="73B1017F"/>
    <w:rsid w:val="73FC7816"/>
    <w:rsid w:val="74B95A85"/>
    <w:rsid w:val="7536299A"/>
    <w:rsid w:val="75707339"/>
    <w:rsid w:val="75BD78CA"/>
    <w:rsid w:val="76AF3B36"/>
    <w:rsid w:val="76FFAB5F"/>
    <w:rsid w:val="77BD8711"/>
    <w:rsid w:val="785E75C1"/>
    <w:rsid w:val="78E35D19"/>
    <w:rsid w:val="78EB6FE5"/>
    <w:rsid w:val="78F817C4"/>
    <w:rsid w:val="7936053E"/>
    <w:rsid w:val="794030C4"/>
    <w:rsid w:val="79A92B2C"/>
    <w:rsid w:val="7A496F7F"/>
    <w:rsid w:val="7A4D1FE3"/>
    <w:rsid w:val="7A57076C"/>
    <w:rsid w:val="7AA34334"/>
    <w:rsid w:val="7B0F1567"/>
    <w:rsid w:val="7C09637C"/>
    <w:rsid w:val="7DE44A0D"/>
    <w:rsid w:val="7E6FE96A"/>
    <w:rsid w:val="7EFF7A21"/>
    <w:rsid w:val="7F405C73"/>
    <w:rsid w:val="7F759621"/>
    <w:rsid w:val="7F7835D6"/>
    <w:rsid w:val="7FEC832E"/>
    <w:rsid w:val="7FF788AA"/>
    <w:rsid w:val="7FF9BE13"/>
    <w:rsid w:val="7FFFD641"/>
    <w:rsid w:val="9F6E2B96"/>
    <w:rsid w:val="B47B7DB4"/>
    <w:rsid w:val="B73A5493"/>
    <w:rsid w:val="B9BF0E7F"/>
    <w:rsid w:val="BDDE82A7"/>
    <w:rsid w:val="BE576A3C"/>
    <w:rsid w:val="D3DEBF4E"/>
    <w:rsid w:val="D97C05A5"/>
    <w:rsid w:val="DAD6EEAD"/>
    <w:rsid w:val="DDDFA741"/>
    <w:rsid w:val="DED723A7"/>
    <w:rsid w:val="DFDB4B67"/>
    <w:rsid w:val="E59B60D7"/>
    <w:rsid w:val="EFBAA2B4"/>
    <w:rsid w:val="FB9F5455"/>
    <w:rsid w:val="FB9FEB6B"/>
    <w:rsid w:val="FBFBF3C7"/>
    <w:rsid w:val="FCDD437B"/>
    <w:rsid w:val="FCFE5C7B"/>
    <w:rsid w:val="FD1B4988"/>
    <w:rsid w:val="FD7BE2EF"/>
    <w:rsid w:val="FDB5F31F"/>
    <w:rsid w:val="FDBD34B7"/>
    <w:rsid w:val="FDF4585B"/>
    <w:rsid w:val="FECBB63D"/>
    <w:rsid w:val="FED6611D"/>
    <w:rsid w:val="FF4FB9E7"/>
    <w:rsid w:val="FF78DBB6"/>
    <w:rsid w:val="FFBB9B32"/>
    <w:rsid w:val="FFD5AE7A"/>
    <w:rsid w:val="FFFB6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zh-CN" w:bidi="ar-SA"/>
    </w:rPr>
  </w:style>
  <w:style w:type="paragraph" w:styleId="2">
    <w:name w:val="heading 1"/>
    <w:basedOn w:val="1"/>
    <w:next w:val="1"/>
    <w:qFormat/>
    <w:uiPriority w:val="0"/>
    <w:pPr>
      <w:keepNext/>
      <w:jc w:val="center"/>
      <w:outlineLvl w:val="0"/>
    </w:pPr>
    <w:rPr>
      <w:rFonts w:ascii="楷体_GB2312" w:eastAsia="楷体_GB2312"/>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style>
  <w:style w:type="paragraph" w:styleId="4">
    <w:name w:val="Body Text"/>
    <w:basedOn w:val="1"/>
    <w:next w:val="1"/>
    <w:link w:val="31"/>
    <w:qFormat/>
    <w:uiPriority w:val="1"/>
    <w:pPr>
      <w:spacing w:before="161"/>
      <w:ind w:left="220"/>
    </w:pPr>
    <w:rPr>
      <w:sz w:val="24"/>
      <w:szCs w:val="24"/>
    </w:rPr>
  </w:style>
  <w:style w:type="paragraph" w:styleId="5">
    <w:name w:val="Body Text Indent"/>
    <w:basedOn w:val="1"/>
    <w:next w:val="6"/>
    <w:link w:val="26"/>
    <w:unhideWhenUsed/>
    <w:qFormat/>
    <w:uiPriority w:val="99"/>
    <w:pPr>
      <w:spacing w:after="120"/>
      <w:ind w:left="420" w:leftChars="200"/>
    </w:pPr>
  </w:style>
  <w:style w:type="paragraph" w:styleId="6">
    <w:name w:val="envelope return"/>
    <w:basedOn w:val="1"/>
    <w:semiHidden/>
    <w:qFormat/>
    <w:uiPriority w:val="0"/>
    <w:pPr>
      <w:widowControl w:val="0"/>
      <w:spacing w:after="0" w:line="240" w:lineRule="auto"/>
      <w:ind w:left="0" w:firstLine="0" w:firstLineChars="0"/>
      <w:jc w:val="both"/>
    </w:pPr>
    <w:rPr>
      <w:rFonts w:ascii="Arial" w:hAnsi="Arial" w:eastAsiaTheme="minorEastAsia" w:cstheme="minorBidi"/>
      <w:color w:val="auto"/>
      <w:sz w:val="22"/>
    </w:rPr>
  </w:style>
  <w:style w:type="paragraph" w:styleId="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8">
    <w:name w:val="footer"/>
    <w:basedOn w:val="1"/>
    <w:link w:val="28"/>
    <w:qFormat/>
    <w:uiPriority w:val="0"/>
    <w:pPr>
      <w:tabs>
        <w:tab w:val="center" w:pos="4153"/>
        <w:tab w:val="right" w:pos="8306"/>
      </w:tabs>
      <w:autoSpaceDE/>
      <w:autoSpaceDN/>
    </w:pPr>
    <w:rPr>
      <w:rFonts w:ascii="Calibri" w:hAnsi="Calibri" w:cs="Times New Roman"/>
      <w:sz w:val="18"/>
    </w:rPr>
  </w:style>
  <w:style w:type="paragraph" w:styleId="9">
    <w:name w:val="Normal (Web)"/>
    <w:basedOn w:val="1"/>
    <w:qFormat/>
    <w:uiPriority w:val="0"/>
    <w:pPr>
      <w:autoSpaceDE/>
      <w:autoSpaceDN/>
      <w:spacing w:beforeAutospacing="1" w:afterAutospacing="1"/>
    </w:pPr>
    <w:rPr>
      <w:rFonts w:ascii="Calibri" w:hAnsi="Calibri" w:cs="Times New Roman"/>
      <w:sz w:val="24"/>
    </w:rPr>
  </w:style>
  <w:style w:type="paragraph" w:styleId="10">
    <w:name w:val="Title"/>
    <w:basedOn w:val="1"/>
    <w:qFormat/>
    <w:uiPriority w:val="1"/>
    <w:pPr>
      <w:spacing w:before="28"/>
      <w:ind w:left="1502" w:right="1641" w:firstLine="520"/>
    </w:pPr>
    <w:rPr>
      <w:b/>
      <w:bCs/>
      <w:sz w:val="52"/>
      <w:szCs w:val="52"/>
    </w:rPr>
  </w:style>
  <w:style w:type="paragraph" w:styleId="11">
    <w:name w:val="Body Text First Indent"/>
    <w:basedOn w:val="4"/>
    <w:link w:val="32"/>
    <w:unhideWhenUsed/>
    <w:qFormat/>
    <w:uiPriority w:val="99"/>
    <w:pPr>
      <w:spacing w:before="0" w:after="120"/>
      <w:ind w:left="0" w:firstLine="420" w:firstLineChars="100"/>
    </w:pPr>
    <w:rPr>
      <w:sz w:val="22"/>
      <w:szCs w:val="22"/>
    </w:rPr>
  </w:style>
  <w:style w:type="paragraph" w:styleId="12">
    <w:name w:val="Body Text First Indent 2"/>
    <w:basedOn w:val="5"/>
    <w:next w:val="4"/>
    <w:link w:val="27"/>
    <w:unhideWhenUsed/>
    <w:qFormat/>
    <w:uiPriority w:val="99"/>
    <w:pPr>
      <w:ind w:firstLine="420" w:firstLineChars="200"/>
    </w:p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otnote reference"/>
    <w:qFormat/>
    <w:uiPriority w:val="0"/>
    <w:rPr>
      <w:vertAlign w:val="superscript"/>
    </w:rPr>
  </w:style>
  <w:style w:type="paragraph" w:customStyle="1" w:styleId="17">
    <w:name w:val="Body Text1"/>
    <w:basedOn w:val="1"/>
    <w:next w:val="1"/>
    <w:qFormat/>
    <w:uiPriority w:val="0"/>
    <w:pPr>
      <w:spacing w:after="120"/>
    </w:pPr>
  </w:style>
  <w:style w:type="paragraph" w:customStyle="1" w:styleId="18">
    <w:name w:val="TOC 11"/>
    <w:basedOn w:val="1"/>
    <w:qFormat/>
    <w:uiPriority w:val="1"/>
    <w:pPr>
      <w:spacing w:before="382"/>
      <w:ind w:left="1480" w:hanging="1261"/>
    </w:pPr>
    <w:rPr>
      <w:b/>
      <w:bCs/>
      <w:sz w:val="24"/>
      <w:szCs w:val="24"/>
    </w:rPr>
  </w:style>
  <w:style w:type="paragraph" w:customStyle="1" w:styleId="19">
    <w:name w:val="TOC 21"/>
    <w:basedOn w:val="1"/>
    <w:qFormat/>
    <w:uiPriority w:val="1"/>
    <w:pPr>
      <w:spacing w:before="263"/>
      <w:ind w:left="1480" w:hanging="781"/>
    </w:pPr>
    <w:rPr>
      <w:sz w:val="24"/>
      <w:szCs w:val="24"/>
    </w:rPr>
  </w:style>
  <w:style w:type="paragraph" w:customStyle="1" w:styleId="20">
    <w:name w:val="TOC 31"/>
    <w:basedOn w:val="1"/>
    <w:qFormat/>
    <w:uiPriority w:val="1"/>
    <w:pPr>
      <w:spacing w:before="263"/>
      <w:ind w:left="1480" w:hanging="781"/>
    </w:pPr>
    <w:rPr>
      <w:sz w:val="24"/>
      <w:szCs w:val="24"/>
    </w:rPr>
  </w:style>
  <w:style w:type="paragraph" w:customStyle="1" w:styleId="21">
    <w:name w:val="标题 11"/>
    <w:basedOn w:val="1"/>
    <w:qFormat/>
    <w:uiPriority w:val="1"/>
    <w:pPr>
      <w:ind w:left="863"/>
      <w:outlineLvl w:val="1"/>
    </w:pPr>
    <w:rPr>
      <w:rFonts w:ascii="微软雅黑" w:hAnsi="微软雅黑" w:eastAsia="微软雅黑" w:cs="微软雅黑"/>
      <w:b/>
      <w:bCs/>
      <w:sz w:val="32"/>
      <w:szCs w:val="32"/>
    </w:rPr>
  </w:style>
  <w:style w:type="paragraph" w:customStyle="1" w:styleId="22">
    <w:name w:val="标题 21"/>
    <w:basedOn w:val="1"/>
    <w:qFormat/>
    <w:uiPriority w:val="1"/>
    <w:pPr>
      <w:spacing w:before="230"/>
      <w:ind w:left="1480" w:hanging="700"/>
      <w:outlineLvl w:val="2"/>
    </w:pPr>
    <w:rPr>
      <w:b/>
      <w:bCs/>
      <w:sz w:val="28"/>
      <w:szCs w:val="28"/>
    </w:rPr>
  </w:style>
  <w:style w:type="paragraph" w:customStyle="1" w:styleId="23">
    <w:name w:val="标题 31"/>
    <w:basedOn w:val="1"/>
    <w:qFormat/>
    <w:uiPriority w:val="1"/>
    <w:pPr>
      <w:spacing w:before="161"/>
      <w:ind w:left="1900" w:hanging="1199"/>
      <w:outlineLvl w:val="3"/>
    </w:pPr>
    <w:rPr>
      <w:b/>
      <w:bCs/>
      <w:sz w:val="24"/>
      <w:szCs w:val="24"/>
    </w:rPr>
  </w:style>
  <w:style w:type="paragraph" w:customStyle="1" w:styleId="24">
    <w:name w:val="列出段落1"/>
    <w:basedOn w:val="1"/>
    <w:qFormat/>
    <w:uiPriority w:val="1"/>
    <w:pPr>
      <w:spacing w:before="2"/>
      <w:ind w:left="1301" w:hanging="602"/>
    </w:pPr>
  </w:style>
  <w:style w:type="paragraph" w:customStyle="1" w:styleId="25">
    <w:name w:val="Table Paragraph"/>
    <w:basedOn w:val="1"/>
    <w:qFormat/>
    <w:uiPriority w:val="1"/>
  </w:style>
  <w:style w:type="character" w:customStyle="1" w:styleId="26">
    <w:name w:val="正文文本缩进 Char"/>
    <w:basedOn w:val="15"/>
    <w:link w:val="5"/>
    <w:semiHidden/>
    <w:qFormat/>
    <w:uiPriority w:val="99"/>
    <w:rPr>
      <w:rFonts w:ascii="宋体" w:hAnsi="宋体" w:eastAsia="宋体" w:cs="宋体"/>
      <w:lang w:eastAsia="zh-CN"/>
    </w:rPr>
  </w:style>
  <w:style w:type="character" w:customStyle="1" w:styleId="27">
    <w:name w:val="正文首行缩进 2 Char"/>
    <w:basedOn w:val="26"/>
    <w:link w:val="12"/>
    <w:semiHidden/>
    <w:qFormat/>
    <w:uiPriority w:val="99"/>
    <w:rPr>
      <w:rFonts w:ascii="宋体" w:hAnsi="宋体" w:eastAsia="宋体" w:cs="宋体"/>
      <w:lang w:eastAsia="zh-CN"/>
    </w:rPr>
  </w:style>
  <w:style w:type="character" w:customStyle="1" w:styleId="28">
    <w:name w:val="页脚 Char"/>
    <w:basedOn w:val="15"/>
    <w:link w:val="8"/>
    <w:qFormat/>
    <w:uiPriority w:val="0"/>
    <w:rPr>
      <w:rFonts w:ascii="Calibri" w:hAnsi="Calibri" w:eastAsia="宋体" w:cs="Times New Roman"/>
      <w:sz w:val="18"/>
      <w:lang w:eastAsia="zh-CN"/>
    </w:rPr>
  </w:style>
  <w:style w:type="paragraph" w:customStyle="1" w:styleId="29">
    <w:name w:val="正文文本1"/>
    <w:basedOn w:val="1"/>
    <w:next w:val="1"/>
    <w:unhideWhenUsed/>
    <w:qFormat/>
    <w:uiPriority w:val="1"/>
    <w:pPr>
      <w:autoSpaceDE/>
      <w:autoSpaceDN/>
      <w:spacing w:after="120"/>
      <w:jc w:val="both"/>
    </w:pPr>
    <w:rPr>
      <w:rFonts w:ascii="Calibri" w:hAnsi="Calibri" w:cs="Times New Roman"/>
      <w:sz w:val="21"/>
    </w:rPr>
  </w:style>
  <w:style w:type="paragraph" w:customStyle="1" w:styleId="30">
    <w:name w:val="普通(网站)1"/>
    <w:basedOn w:val="1"/>
    <w:qFormat/>
    <w:uiPriority w:val="0"/>
    <w:pPr>
      <w:autoSpaceDE/>
      <w:autoSpaceDN/>
      <w:spacing w:beforeAutospacing="1" w:afterAutospacing="1"/>
    </w:pPr>
    <w:rPr>
      <w:rFonts w:ascii="Calibri" w:hAnsi="Calibri" w:cs="Times New Roman"/>
      <w:sz w:val="24"/>
    </w:rPr>
  </w:style>
  <w:style w:type="character" w:customStyle="1" w:styleId="31">
    <w:name w:val="正文文本 Char"/>
    <w:basedOn w:val="15"/>
    <w:link w:val="4"/>
    <w:qFormat/>
    <w:uiPriority w:val="1"/>
    <w:rPr>
      <w:rFonts w:ascii="宋体" w:hAnsi="宋体" w:eastAsia="宋体" w:cs="宋体"/>
      <w:sz w:val="24"/>
      <w:szCs w:val="24"/>
      <w:lang w:eastAsia="zh-CN"/>
    </w:rPr>
  </w:style>
  <w:style w:type="character" w:customStyle="1" w:styleId="32">
    <w:name w:val="正文首行缩进 Char"/>
    <w:basedOn w:val="31"/>
    <w:link w:val="11"/>
    <w:semiHidden/>
    <w:qFormat/>
    <w:uiPriority w:val="99"/>
    <w:rPr>
      <w:rFonts w:ascii="宋体" w:hAnsi="宋体" w:eastAsia="宋体" w:cs="宋体"/>
      <w:sz w:val="24"/>
      <w:szCs w:val="24"/>
      <w:lang w:eastAsia="zh-CN"/>
    </w:rPr>
  </w:style>
  <w:style w:type="paragraph" w:customStyle="1" w:styleId="33">
    <w:name w:val="正文空2格  1."/>
    <w:basedOn w:val="1"/>
    <w:qFormat/>
    <w:uiPriority w:val="0"/>
    <w:pPr>
      <w:autoSpaceDE/>
      <w:autoSpaceDN/>
      <w:ind w:firstLine="480"/>
      <w:jc w:val="both"/>
    </w:pPr>
    <w:rPr>
      <w:rFonts w:ascii="Calibri" w:hAnsi="Calibri"/>
      <w:sz w:val="21"/>
      <w:szCs w:val="20"/>
    </w:rPr>
  </w:style>
  <w:style w:type="character" w:customStyle="1" w:styleId="34">
    <w:name w:val="font51"/>
    <w:basedOn w:val="15"/>
    <w:qFormat/>
    <w:uiPriority w:val="0"/>
    <w:rPr>
      <w:rFonts w:hint="eastAsia" w:ascii="方正仿宋_GBK" w:hAnsi="方正仿宋_GBK" w:eastAsia="方正仿宋_GBK" w:cs="方正仿宋_GBK"/>
      <w:color w:val="000000"/>
      <w:sz w:val="22"/>
      <w:szCs w:val="22"/>
      <w:u w:val="none"/>
    </w:rPr>
  </w:style>
  <w:style w:type="paragraph" w:customStyle="1" w:styleId="35">
    <w:name w:val="可研正文"/>
    <w:basedOn w:val="1"/>
    <w:qFormat/>
    <w:uiPriority w:val="0"/>
    <w:pPr>
      <w:spacing w:after="120" w:line="360" w:lineRule="auto"/>
      <w:ind w:left="0" w:firstLine="600"/>
    </w:pPr>
    <w:rPr>
      <w:szCs w:val="30"/>
    </w:rPr>
  </w:style>
  <w:style w:type="paragraph" w:customStyle="1" w:styleId="36">
    <w:name w:val="可研5"/>
    <w:basedOn w:val="37"/>
    <w:qFormat/>
    <w:uiPriority w:val="1"/>
    <w:pPr>
      <w:ind w:firstLine="602"/>
      <w:outlineLvl w:val="4"/>
    </w:pPr>
  </w:style>
  <w:style w:type="paragraph" w:customStyle="1" w:styleId="37">
    <w:name w:val="可研4"/>
    <w:basedOn w:val="1"/>
    <w:qFormat/>
    <w:uiPriority w:val="1"/>
    <w:pPr>
      <w:spacing w:before="5"/>
      <w:ind w:left="0" w:firstLine="600"/>
      <w:outlineLvl w:val="3"/>
    </w:pPr>
    <w:rPr>
      <w:b/>
      <w:szCs w:val="30"/>
    </w:rPr>
  </w:style>
  <w:style w:type="paragraph" w:customStyle="1" w:styleId="38">
    <w:name w:val="Table Text"/>
    <w:basedOn w:val="1"/>
    <w:semiHidden/>
    <w:qFormat/>
    <w:uiPriority w:val="0"/>
    <w:pPr>
      <w:widowControl w:val="0"/>
      <w:suppressAutoHyphens/>
      <w:spacing w:after="60" w:line="240" w:lineRule="auto"/>
      <w:ind w:left="0" w:firstLine="0" w:firstLineChars="0"/>
    </w:pPr>
    <w:rPr>
      <w:rFonts w:ascii="Arial" w:hAnsi="Arial" w:eastAsia="Times New Roman" w:cs="Times New Roman"/>
      <w:color w:val="auto"/>
      <w:kern w:val="0"/>
      <w:sz w:val="16"/>
      <w:szCs w:val="20"/>
      <w:lang w:eastAsia="ar-SA"/>
      <w14:ligatures w14:val="none"/>
    </w:rPr>
  </w:style>
  <w:style w:type="table" w:customStyle="1" w:styleId="3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260</Pages>
  <Words>30663</Words>
  <Characters>32618</Characters>
  <Lines>844</Lines>
  <Paragraphs>237</Paragraphs>
  <TotalTime>10</TotalTime>
  <ScaleCrop>false</ScaleCrop>
  <LinksUpToDate>false</LinksUpToDate>
  <CharactersWithSpaces>33328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2024-11-27T03:25:00Z</dcterms:created>
  <cp:lastPrinted>2024-12-29T05:06:00Z</cp:lastPrinted>
  <dcterms:modified xsi:type="dcterms:W3CDTF">2024-12-30T08:01:34Z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220D22D2CA404ABAA3E1BCD33DC64814_13</vt:lpwstr>
  </property>
  <property fmtid="{D5CDD505-2E9C-101B-9397-08002B2CF9AE}" pid="4" name="KSOSaveFontToCloudKey">
    <vt:lpwstr>1375428358_btnclosed</vt:lpwstr>
  </property>
  <property fmtid="{D5CDD505-2E9C-101B-9397-08002B2CF9AE}" pid="5" name="KSOTemplateDocerSaveRecord">
    <vt:lpwstr>eyJoZGlkIjoiOWM3ZjgyZWI3YTBmYjAwNGQwNDQzZDUyNDIzMzA0ZWYiLCJ1c2VySWQiOiI1Njc5NTk2ODkifQ==</vt:lpwstr>
  </property>
</Properties>
</file>