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9"/>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308"/>
        <w:rPr>
          <w:color w:val="000000"/>
          <w:highlight w:val="none"/>
        </w:rPr>
        <w:outlineLvl w:val="9"/>
      </w:pPr>
      <w:r>
        <w:rPr>
          <w:color w:val="000000"/>
          <w:highlight w:val="none"/>
        </w:rPr>
      </w:r>
      <w:r/>
    </w:p>
    <w:p>
      <w:pPr>
        <w:pStyle w:val="1289"/>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308"/>
        <w:rPr>
          <w:color w:val="000000"/>
          <w:highlight w:val="none"/>
        </w:rPr>
        <w:outlineLvl w:val="9"/>
      </w:pPr>
      <w:r>
        <w:rPr>
          <w:color w:val="000000"/>
          <w:highlight w:val="none"/>
        </w:rPr>
      </w:r>
      <w:r/>
    </w:p>
    <w:p>
      <w:pPr>
        <w:pStyle w:val="1289"/>
        <w:jc w:val="center"/>
        <w:rPr>
          <w:b/>
          <w:color w:val="000000"/>
          <w:sz w:val="96"/>
          <w:szCs w:val="96"/>
          <w:highlight w:val="none"/>
        </w:rPr>
        <w:outlineLvl w:val="9"/>
      </w:pPr>
      <w:r>
        <w:rPr>
          <w:sz w:val="20"/>
          <w:szCs w:val="18"/>
        </w:rPr>
      </w:r>
      <w:bookmarkStart w:id="0" w:name="_Toc20707"/>
      <w:r>
        <w:rPr>
          <w:sz w:val="20"/>
          <w:szCs w:val="18"/>
        </w:rPr>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b/>
          <w:color w:val="000000"/>
          <w:sz w:val="96"/>
          <w:szCs w:val="96"/>
          <w:highlight w:val="none"/>
        </w:rPr>
      </w:r>
      <w:r>
        <w:rPr>
          <w:sz w:val="20"/>
          <w:szCs w:val="18"/>
        </w:rPr>
      </w:r>
    </w:p>
    <w:p>
      <w:pPr>
        <w:pStyle w:val="1289"/>
        <w:rPr>
          <w:rFonts w:hint="eastAsia"/>
          <w:b/>
          <w:color w:val="000000"/>
          <w:sz w:val="28"/>
          <w:szCs w:val="28"/>
          <w:highlight w:val="none"/>
        </w:rPr>
        <w:outlineLvl w:val="9"/>
      </w:pPr>
      <w:r>
        <w:rPr>
          <w:rFonts w:hint="eastAsia"/>
          <w:b/>
          <w:color w:val="000000"/>
          <w:sz w:val="28"/>
          <w:szCs w:val="28"/>
          <w:highlight w:val="none"/>
        </w:rPr>
      </w:r>
      <w:r/>
    </w:p>
    <w:p>
      <w:pPr>
        <w:pStyle w:val="1322"/>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289"/>
        <w:rPr>
          <w:rFonts w:hint="eastAsia"/>
          <w:b/>
          <w:color w:val="000000"/>
          <w:sz w:val="28"/>
          <w:szCs w:val="28"/>
          <w:highlight w:val="none"/>
        </w:rPr>
        <w:outlineLvl w:val="9"/>
      </w:pPr>
      <w:r>
        <w:rPr>
          <w:rFonts w:hint="eastAsia"/>
          <w:b/>
          <w:color w:val="000000"/>
          <w:sz w:val="28"/>
          <w:szCs w:val="28"/>
          <w:highlight w:val="none"/>
        </w:rPr>
      </w:r>
      <w:r/>
    </w:p>
    <w:p>
      <w:pPr>
        <w:pStyle w:val="132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32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89"/>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289"/>
        <w:rPr>
          <w:b w:val="0"/>
          <w:bCs/>
          <w:color w:val="000000"/>
          <w:sz w:val="28"/>
          <w:szCs w:val="28"/>
          <w:highlight w:val="none"/>
        </w:rPr>
        <w:outlineLvl w:val="9"/>
      </w:pPr>
      <w:r>
        <w:rPr>
          <w:b w:val="0"/>
          <w:bCs/>
          <w:color w:val="000000"/>
          <w:sz w:val="28"/>
          <w:szCs w:val="28"/>
          <w:highlight w:val="none"/>
        </w:rPr>
      </w:r>
      <w:r/>
    </w:p>
    <w:p>
      <w:pPr>
        <w:pStyle w:val="1313"/>
        <w:ind w:left="1260"/>
        <w:rPr>
          <w:b/>
          <w:color w:val="000000"/>
          <w:sz w:val="28"/>
          <w:szCs w:val="28"/>
          <w:highlight w:val="none"/>
        </w:rPr>
        <w:outlineLvl w:val="9"/>
      </w:pPr>
      <w:r>
        <w:rPr>
          <w:b/>
          <w:color w:val="000000"/>
          <w:sz w:val="28"/>
          <w:szCs w:val="28"/>
          <w:highlight w:val="none"/>
        </w:rPr>
      </w:r>
      <w:r/>
    </w:p>
    <w:p>
      <w:pPr>
        <w:pStyle w:val="1289"/>
        <w:rPr>
          <w:b/>
          <w:color w:val="000000"/>
          <w:sz w:val="28"/>
          <w:szCs w:val="28"/>
          <w:highlight w:val="none"/>
        </w:rPr>
        <w:outlineLvl w:val="9"/>
      </w:pPr>
      <w:r>
        <w:rPr>
          <w:b/>
          <w:color w:val="000000"/>
          <w:sz w:val="28"/>
          <w:szCs w:val="28"/>
          <w:highlight w:val="none"/>
        </w:rPr>
      </w:r>
      <w:r/>
    </w:p>
    <w:p>
      <w:pPr>
        <w:pStyle w:val="1289"/>
        <w:jc w:val="center"/>
        <w:rPr>
          <w:b/>
          <w:color w:val="000000"/>
          <w:sz w:val="28"/>
          <w:szCs w:val="28"/>
          <w:highlight w:val="none"/>
        </w:rPr>
        <w:outlineLvl w:val="9"/>
      </w:pPr>
      <w:r>
        <w:rPr>
          <w:b/>
          <w:color w:val="000000"/>
          <w:sz w:val="28"/>
          <w:szCs w:val="28"/>
          <w:highlight w:val="none"/>
        </w:rPr>
      </w:r>
      <w:r/>
    </w:p>
    <w:p>
      <w:pPr>
        <w:pStyle w:val="1289"/>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364"/>
        <w:ind w:firstLine="0"/>
        <w:rPr>
          <w:color w:val="000000"/>
          <w:highlight w:val="none"/>
        </w:rPr>
        <w:outlineLvl w:val="9"/>
      </w:pPr>
      <w:r>
        <w:rPr>
          <w:color w:val="000000"/>
          <w:highlight w:val="none"/>
        </w:rPr>
      </w:r>
      <w:r/>
    </w:p>
    <w:p>
      <w:pPr>
        <w:pStyle w:val="1364"/>
        <w:ind w:firstLine="0"/>
        <w:rPr>
          <w:color w:val="000000"/>
          <w:highlight w:val="none"/>
        </w:rPr>
        <w:outlineLvl w:val="9"/>
      </w:pPr>
      <w:r>
        <w:rPr>
          <w:color w:val="000000"/>
          <w:highlight w:val="none"/>
        </w:rPr>
      </w:r>
      <w:r/>
    </w:p>
    <w:p>
      <w:pPr>
        <w:pStyle w:val="1289"/>
        <w:spacing w:line="360" w:lineRule="auto"/>
        <w:rPr>
          <w:rFonts w:hint="eastAsia" w:ascii="宋体" w:hAnsi="宋体" w:cs="宋体"/>
          <w:color w:val="000000"/>
          <w:sz w:val="30"/>
          <w:szCs w:val="30"/>
          <w:highlight w:val="none"/>
        </w:rPr>
        <w:outlineLvl w:val="9"/>
      </w:pPr>
      <w:r/>
      <w:bookmarkStart w:id="6" w:name="_Toc30450"/>
      <w:r/>
      <w:bookmarkStart w:id="7" w:name="_Toc158"/>
      <w:r>
        <w:rPr>
          <w:rFonts w:hint="eastAsia" w:ascii="宋体" w:hAnsi="宋体" w:cs="宋体"/>
          <w:color w:val="000000"/>
          <w:sz w:val="30"/>
          <w:szCs w:val="30"/>
          <w:highlight w:val="none"/>
        </w:rPr>
      </w:r>
      <w:r/>
    </w:p>
    <w:p>
      <w:pPr>
        <w:pStyle w:val="1289"/>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289"/>
        <w:spacing w:line="360" w:lineRule="auto"/>
        <w:rPr>
          <w:rFonts w:ascii="宋体" w:hAnsi="宋体" w:eastAsia="宋体" w:cs="Times New Roman"/>
          <w:b w:val="0"/>
          <w:bCs/>
          <w:color w:val="000000"/>
          <w:sz w:val="30"/>
          <w:szCs w:val="30"/>
          <w:highlight w:val="none"/>
          <w:lang w:val="en-US" w:eastAsia="zh-CN"/>
        </w:rPr>
        <w:outlineLvl w:val="9"/>
      </w:pPr>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rPr>
        <w:t xml:space="preserve">JSZC-320205-THGC-G2024-0099</w:t>
      </w:r>
      <w:r>
        <w:rPr>
          <w:rFonts w:ascii="宋体" w:hAnsi="宋体" w:eastAsia="宋体" w:cs="Times New Roman"/>
          <w:b w:val="0"/>
          <w:bCs/>
          <w:color w:val="000000"/>
          <w:sz w:val="30"/>
          <w:szCs w:val="30"/>
          <w:highlight w:val="none"/>
          <w:lang w:val="en-US" w:eastAsia="zh-CN"/>
        </w:rPr>
      </w:r>
      <w:r/>
    </w:p>
    <w:p>
      <w:pPr>
        <w:pStyle w:val="1289"/>
        <w:jc w:val="left"/>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东北塘街道新增绿化养护项目（南部片区和北部片区）</w:t>
      </w:r>
      <w:r>
        <w:rPr>
          <w:rFonts w:hint="eastAsia" w:ascii="宋体" w:hAnsi="宋体" w:eastAsia="宋体" w:cs="Times New Roman"/>
          <w:b w:val="0"/>
          <w:bCs/>
          <w:color w:val="000000"/>
          <w:sz w:val="30"/>
          <w:szCs w:val="30"/>
          <w:highlight w:val="none"/>
          <w:lang w:eastAsia="zh-CN"/>
        </w:rPr>
      </w:r>
      <w:r/>
    </w:p>
    <w:p>
      <w:pPr>
        <w:pStyle w:val="1289"/>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无锡市锡山区人民政府东北塘街道办事处</w:t>
      </w:r>
      <w:r>
        <w:rPr>
          <w:rFonts w:hint="eastAsia" w:ascii="宋体" w:hAnsi="宋体" w:eastAsia="宋体" w:cs="宋体"/>
          <w:color w:val="000000"/>
          <w:sz w:val="30"/>
          <w:szCs w:val="30"/>
          <w:highlight w:val="none"/>
          <w:lang w:eastAsia="zh-CN"/>
        </w:rPr>
      </w:r>
      <w:r/>
    </w:p>
    <w:p>
      <w:pPr>
        <w:pStyle w:val="1289"/>
        <w:spacing w:line="360" w:lineRule="auto"/>
        <w:rPr>
          <w:rFonts w:hint="eastAsia" w:ascii="宋体" w:hAnsi="宋体" w:cs="宋体"/>
          <w:color w:val="000000"/>
          <w:sz w:val="30"/>
          <w:szCs w:val="30"/>
          <w:highlight w:val="none"/>
        </w:rPr>
        <w:outlineLvl w:val="9"/>
      </w:pPr>
      <w:r/>
      <w:bookmarkStart w:id="8" w:name="_Toc12700"/>
      <w:r/>
      <w:bookmarkStart w:id="9" w:name="_Toc22627"/>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289"/>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289"/>
        <w:jc w:val="center"/>
        <w:rPr>
          <w:rStyle w:val="1342"/>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十二</w:t>
      </w:r>
      <w:r>
        <w:rPr>
          <w:rFonts w:hint="eastAsia" w:ascii="黑体" w:hAnsi="华文中宋" w:eastAsia="黑体"/>
          <w:bCs/>
          <w:color w:val="000000"/>
          <w:sz w:val="32"/>
          <w:szCs w:val="32"/>
          <w:highlight w:val="none"/>
        </w:rPr>
        <w:t xml:space="preserve">月</w:t>
      </w:r>
      <w:r>
        <w:rPr>
          <w:rStyle w:val="1342"/>
          <w:rFonts w:eastAsia="黑体"/>
          <w:bCs/>
          <w:color w:val="000000"/>
          <w:sz w:val="48"/>
          <w:highlight w:val="none"/>
        </w:rPr>
      </w:r>
      <w:r/>
    </w:p>
    <w:p>
      <w:pPr>
        <w:pStyle w:val="1289"/>
        <w:jc w:val="center"/>
        <w:rPr>
          <w:rStyle w:val="1342"/>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342"/>
          <w:rFonts w:hint="eastAsia" w:eastAsia="黑体"/>
          <w:bCs/>
          <w:color w:val="000000"/>
          <w:sz w:val="48"/>
          <w:highlight w:val="none"/>
        </w:rPr>
      </w:r>
      <w:r/>
    </w:p>
    <w:p>
      <w:pPr>
        <w:pStyle w:val="1289"/>
        <w:jc w:val="center"/>
        <w:rPr>
          <w:rStyle w:val="1342"/>
          <w:rFonts w:hint="eastAsia" w:ascii="宋体" w:hAnsi="宋体" w:cs="宋体"/>
          <w:b/>
          <w:color w:val="000000"/>
          <w:sz w:val="44"/>
          <w:szCs w:val="44"/>
          <w:highlight w:val="none"/>
        </w:rPr>
        <w:outlineLvl w:val="9"/>
      </w:pPr>
      <w:r/>
      <w:bookmarkStart w:id="11" w:name="_Toc23032"/>
      <w:r/>
      <w:bookmarkStart w:id="12" w:name="_Toc15618"/>
      <w:r/>
      <w:bookmarkStart w:id="13" w:name="_Toc32576"/>
      <w:r>
        <w:rPr>
          <w:rStyle w:val="1342"/>
          <w:rFonts w:hint="eastAsia" w:ascii="宋体" w:hAnsi="宋体" w:cs="宋体"/>
          <w:b/>
          <w:color w:val="000000"/>
          <w:sz w:val="44"/>
          <w:szCs w:val="44"/>
          <w:highlight w:val="none"/>
        </w:rPr>
        <w:t xml:space="preserve">目     录</w:t>
      </w:r>
      <w:bookmarkEnd w:id="10"/>
      <w:r/>
      <w:bookmarkEnd w:id="11"/>
      <w:r/>
      <w:bookmarkEnd w:id="12"/>
      <w:r/>
      <w:bookmarkEnd w:id="13"/>
      <w:r>
        <w:rPr>
          <w:rStyle w:val="1342"/>
          <w:rFonts w:hint="eastAsia" w:ascii="宋体" w:hAnsi="宋体" w:cs="宋体"/>
          <w:b/>
          <w:color w:val="000000"/>
          <w:sz w:val="44"/>
          <w:szCs w:val="44"/>
          <w:highlight w:val="none"/>
        </w:rPr>
      </w:r>
      <w:r/>
    </w:p>
    <w:p>
      <w:pPr>
        <w:pStyle w:val="1289"/>
        <w:rPr>
          <w:color w:val="000000"/>
          <w:highlight w:val="none"/>
        </w:rPr>
      </w:pPr>
      <w:r>
        <w:rPr>
          <w:color w:val="000000"/>
          <w:highlight w:val="none"/>
        </w:rPr>
      </w:r>
      <w:r/>
    </w:p>
    <w:p>
      <w:pPr>
        <w:pStyle w:val="132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2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2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lang w:val="en-US" w:eastAsia="zh-CN"/>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1</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sz w:val="28"/>
          <w:szCs w:val="28"/>
          <w:highlight w:val="none"/>
          <w:lang w:val="en-US" w:eastAsia="zh-CN"/>
        </w:rPr>
      </w:r>
      <w:r/>
    </w:p>
    <w:p>
      <w:pPr>
        <w:pStyle w:val="132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29</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2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289"/>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289"/>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无锡市锡山区人民政府东北塘街道办事处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东北塘街道新增绿化养护项目（南部片区和北部片区）</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东北塘街道新增绿化养护项目（南部片区和北部片区）</w:t>
            </w:r>
            <w:r>
              <w:rPr>
                <w:rFonts w:hint="eastAsia" w:ascii="宋体" w:hAnsi="宋体" w:eastAsia="宋体" w:cs="宋体"/>
                <w:color w:val="000000"/>
                <w:sz w:val="24"/>
                <w:szCs w:val="24"/>
                <w:highlight w:val="none"/>
                <w:lang w:eastAsia="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采购项目编号：JSZC-320205-THGC-G2024-0099</w:t>
            </w:r>
            <w:r>
              <w:rPr>
                <w:rFonts w:hint="eastAsia" w:ascii="宋体" w:hAnsi="宋体" w:eastAsia="宋体" w:cs="宋体"/>
                <w:color w:val="000000"/>
                <w:sz w:val="24"/>
                <w:szCs w:val="24"/>
                <w:highlight w:val="none"/>
                <w:lang w:eastAsia="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rHeight w:val="512"/>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bCs/>
                <w:color w:val="000000"/>
                <w:sz w:val="24"/>
                <w:szCs w:val="24"/>
                <w:highlight w:val="none"/>
                <w:lang w:eastAsia="zh-CN"/>
              </w:rPr>
            </w:r>
            <w:r/>
          </w:p>
          <w:p>
            <w:pPr>
              <w:pStyle w:val="1289"/>
              <w:ind w:left="0" w:right="0"/>
              <w:keepLines w:val="0"/>
              <w:keepNext w:val="0"/>
              <w:pageBreakBefore w:val="0"/>
              <w:spacing w:line="360" w:lineRule="auto"/>
              <w:widowControl/>
              <w:rPr>
                <w:rFonts w:hint="eastAsia" w:ascii="宋体" w:hAnsi="宋体" w:eastAsia="宋体" w:cs="宋体"/>
                <w:b w:val="0"/>
                <w:bCs/>
                <w:color w:val="000000"/>
                <w:sz w:val="24"/>
                <w:szCs w:val="24"/>
                <w:highlight w:val="yellow"/>
              </w:rPr>
              <w:outlineLvl w:val="9"/>
            </w:pPr>
            <w:r>
              <w:rPr>
                <w:rFonts w:hint="eastAsia" w:ascii="宋体" w:hAnsi="宋体" w:eastAsia="宋体" w:cs="宋体"/>
                <w:b w:val="0"/>
                <w:bCs/>
                <w:color w:val="000000"/>
                <w:sz w:val="24"/>
                <w:szCs w:val="24"/>
                <w:highlight w:val="none"/>
              </w:rPr>
              <w:t xml:space="preserve">采购人地址：江苏省无锡市锡山区东园路22号</w:t>
            </w:r>
            <w:r>
              <w:rPr>
                <w:rFonts w:hint="eastAsia" w:ascii="宋体" w:hAnsi="宋体" w:eastAsia="宋体" w:cs="宋体"/>
                <w:b w:val="0"/>
                <w:bCs/>
                <w:color w:val="000000"/>
                <w:sz w:val="24"/>
                <w:szCs w:val="24"/>
                <w:highlight w:val="yellow"/>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lang w:val="en-US" w:eastAsia="zh-CN"/>
              </w:rPr>
            </w:r>
            <w:r/>
          </w:p>
        </w:tc>
      </w:tr>
      <w:tr>
        <w:trPr>
          <w:trHeight w:val="2987"/>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eastAsia="zh-CN"/>
              </w:rPr>
              <w:t xml:space="preserve">东北塘街道新增绿化养护项目（南部片区和北部片区），</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289"/>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2、服务期限：</w:t>
            </w:r>
            <w:r>
              <w:rPr>
                <w:rFonts w:hint="eastAsia" w:eastAsia="宋体" w:cs="宋体"/>
                <w:color w:val="000000"/>
                <w:sz w:val="24"/>
                <w:szCs w:val="24"/>
                <w:highlight w:val="none"/>
                <w:lang w:val="en-US" w:eastAsia="zh-CN"/>
              </w:rPr>
              <w:t xml:space="preserve">1年，</w:t>
            </w:r>
            <w:r>
              <w:rPr>
                <w:rFonts w:hint="eastAsia" w:ascii="宋体" w:hAnsi="宋体" w:cs="宋体"/>
                <w:bCs/>
                <w:color w:val="000000"/>
                <w:sz w:val="24"/>
                <w:highlight w:val="none"/>
                <w:lang w:bidi="zh-CN"/>
              </w:rPr>
              <w:t xml:space="preserve">具体开始时间以采购人通知为准。</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3、质量要求：符合国家规定的一级、二级养护标准</w:t>
            </w:r>
            <w:r>
              <w:rPr>
                <w:rFonts w:hint="eastAsia" w:ascii="宋体" w:hAnsi="宋体"/>
                <w:bCs/>
                <w:color w:val="000000"/>
                <w:sz w:val="24"/>
                <w:highlight w:val="none"/>
              </w:rPr>
              <w:t xml:space="preserve">。</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yellow"/>
                <w:lang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目投标预算价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72.340225</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，一标段（北部片区）：</w:t>
            </w:r>
            <w:r>
              <w:rPr>
                <w:rFonts w:hint="eastAsia" w:ascii="宋体" w:hAnsi="宋体" w:cs="宋体"/>
                <w:color w:val="000000"/>
                <w:sz w:val="24"/>
                <w:szCs w:val="24"/>
                <w:highlight w:val="none"/>
                <w:lang w:val="en-US" w:eastAsia="zh-CN"/>
              </w:rPr>
              <w:t xml:space="preserve">31.625323</w:t>
            </w:r>
            <w:r>
              <w:rPr>
                <w:rFonts w:hint="eastAsia" w:ascii="宋体" w:hAnsi="宋体" w:eastAsia="宋体" w:cs="宋体"/>
                <w:color w:val="000000"/>
                <w:sz w:val="24"/>
                <w:szCs w:val="24"/>
                <w:highlight w:val="none"/>
                <w:lang w:eastAsia="zh-CN"/>
              </w:rPr>
              <w:t xml:space="preserve">万元；二标段（南部片区）：</w:t>
            </w:r>
            <w:r>
              <w:rPr>
                <w:rFonts w:hint="eastAsia" w:ascii="宋体" w:hAnsi="宋体" w:cs="宋体"/>
                <w:color w:val="000000"/>
                <w:sz w:val="24"/>
                <w:szCs w:val="24"/>
                <w:highlight w:val="none"/>
                <w:lang w:val="en-US" w:eastAsia="zh-CN"/>
              </w:rPr>
              <w:t xml:space="preserve">40.714902</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yellow"/>
                <w:lang w:eastAsia="zh-CN"/>
              </w:rPr>
            </w:r>
            <w:r/>
          </w:p>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5、本项目</w:t>
            </w:r>
            <w:r>
              <w:rPr>
                <w:rFonts w:hint="eastAsia" w:ascii="宋体" w:hAnsi="宋体" w:eastAsia="宋体" w:cs="宋体"/>
                <w:b/>
                <w:bCs w:val="0"/>
                <w:color w:val="000000"/>
                <w:sz w:val="24"/>
                <w:szCs w:val="24"/>
                <w:highlight w:val="none"/>
                <w:u w:val="single"/>
                <w:lang w:val="en-US" w:eastAsia="zh-CN"/>
              </w:rPr>
              <w:t xml:space="preserve">不接受</w:t>
            </w:r>
            <w:r>
              <w:rPr>
                <w:rFonts w:hint="eastAsia" w:ascii="宋体" w:hAnsi="宋体" w:eastAsia="宋体" w:cs="宋体"/>
                <w:b w:val="0"/>
                <w:bCs/>
                <w:color w:val="000000"/>
                <w:sz w:val="24"/>
                <w:szCs w:val="24"/>
                <w:highlight w:val="none"/>
                <w:lang w:val="en-US" w:eastAsia="zh-CN"/>
              </w:rPr>
              <w:t xml:space="preserve">联合体投标。</w:t>
            </w:r>
            <w:r>
              <w:rPr>
                <w:rFonts w:hint="eastAsia" w:ascii="宋体" w:hAnsi="宋体" w:eastAsia="宋体" w:cs="宋体"/>
                <w:b w:val="0"/>
                <w:bCs/>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6、本项目是否专门面向</w:t>
            </w:r>
            <w:r>
              <w:rPr>
                <w:rFonts w:hint="eastAsia" w:eastAsia="宋体" w:cs="宋体"/>
                <w:b w:val="0"/>
                <w:bCs/>
                <w:color w:val="000000"/>
                <w:sz w:val="24"/>
                <w:szCs w:val="24"/>
                <w:highlight w:val="none"/>
                <w:lang w:val="en-US" w:eastAsia="zh-CN"/>
              </w:rPr>
              <w:t xml:space="preserve">中小微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eastAsia="宋体" w:cs="宋体"/>
                <w:b/>
                <w:color w:val="000000"/>
                <w:sz w:val="24"/>
                <w:szCs w:val="24"/>
                <w:highlight w:val="none"/>
                <w:lang w:val="en-US" w:eastAsia="zh-CN"/>
              </w:rPr>
            </w:r>
            <w:r/>
          </w:p>
        </w:tc>
      </w:tr>
      <w:tr>
        <w:trPr>
          <w:trHeight w:val="90"/>
        </w:trPr>
        <w:tc>
          <w:tcPr>
            <w:tcW w:w="759" w:type="dxa"/>
            <w:vAlign w:val="center"/>
            <w:textDirection w:val="lrTb"/>
            <w:noWrap w:val="false"/>
          </w:tcPr>
          <w:p>
            <w:pPr>
              <w:pStyle w:val="1333"/>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010" w:type="dxa"/>
            <w:vAlign w:val="center"/>
            <w:textDirection w:val="lrTb"/>
            <w:noWrap w:val="false"/>
          </w:tcPr>
          <w:p>
            <w:pPr>
              <w:pStyle w:val="1333"/>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rFonts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www.ccgp.gov.cn</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3.落实政府采购政策需满足的资格要求：供应商为</w:t>
            </w:r>
            <w:r>
              <w:rPr>
                <w:rFonts w:hint="eastAsia"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小微企业/监狱企业/残疾人福利企业</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、本项目的特定资格要求：投标人拟派项目负责人必须</w:t>
            </w:r>
            <w:r>
              <w:rPr>
                <w:rFonts w:hint="eastAsia"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color w:val="000000"/>
                <w:sz w:val="24"/>
                <w:szCs w:val="24"/>
                <w:highlight w:val="none"/>
                <w:lang w:val="en-US" w:eastAsia="zh-CN"/>
              </w:rPr>
            </w:r>
            <w:r/>
          </w:p>
          <w:p>
            <w:pPr>
              <w:pStyle w:val="1333"/>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yellow"/>
                <w:lang w:val="en-US" w:eastAsia="zh-CN"/>
              </w:rPr>
              <w:outlineLvl w:val="9"/>
            </w:pPr>
            <w:r>
              <w:rPr>
                <w:rFonts w:hint="eastAsia"/>
                <w:sz w:val="24"/>
                <w:lang w:eastAsia="zh-CN"/>
              </w:rPr>
              <w:t xml:space="preserve">注：</w:t>
            </w:r>
            <w:r>
              <w:rPr>
                <w:rFonts w:hint="eastAsia" w:hAnsi="宋体" w:cs="宋体"/>
                <w:bCs/>
                <w:color w:val="000000"/>
                <w:sz w:val="24"/>
                <w:highlight w:val="none"/>
                <w:lang w:val="en-US" w:eastAsia="zh-CN"/>
              </w:rPr>
              <w:t xml:space="preserve">本项目共</w:t>
            </w:r>
            <w:r>
              <w:rPr>
                <w:rFonts w:hAnsi="宋体" w:cs="宋体"/>
                <w:bCs/>
                <w:color w:val="000000"/>
                <w:sz w:val="24"/>
                <w:highlight w:val="none"/>
              </w:rPr>
              <w:t xml:space="preserve">2</w:t>
            </w:r>
            <w:r>
              <w:rPr>
                <w:rFonts w:hint="eastAsia" w:hAnsi="宋体" w:cs="宋体"/>
                <w:bCs/>
                <w:color w:val="000000"/>
                <w:sz w:val="24"/>
                <w:highlight w:val="none"/>
              </w:rPr>
              <w:t xml:space="preserve">个标段</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供应商可投多个标段，但</w:t>
            </w:r>
            <w:r>
              <w:rPr>
                <w:rFonts w:hint="eastAsia" w:hAnsi="宋体" w:cs="宋体"/>
                <w:bCs/>
                <w:color w:val="000000"/>
                <w:sz w:val="24"/>
                <w:highlight w:val="none"/>
                <w:lang w:val="en-US" w:eastAsia="zh-CN"/>
              </w:rPr>
              <w:t xml:space="preserve">仅</w:t>
            </w:r>
            <w:r>
              <w:rPr>
                <w:rFonts w:hint="eastAsia" w:hAnsi="宋体" w:cs="宋体"/>
                <w:bCs/>
                <w:color w:val="000000"/>
                <w:sz w:val="24"/>
                <w:highlight w:val="none"/>
              </w:rPr>
              <w:t xml:space="preserve">能</w:t>
            </w:r>
            <w:r>
              <w:rPr>
                <w:rFonts w:hint="eastAsia" w:hAnsi="宋体" w:cs="宋体"/>
                <w:bCs/>
                <w:color w:val="000000"/>
                <w:sz w:val="24"/>
                <w:highlight w:val="none"/>
                <w:lang w:val="en-US" w:eastAsia="zh-CN"/>
              </w:rPr>
              <w:t xml:space="preserve">中标</w:t>
            </w:r>
            <w:r>
              <w:rPr>
                <w:rFonts w:hint="eastAsia" w:hAnsi="宋体" w:cs="宋体"/>
                <w:bCs/>
                <w:color w:val="000000"/>
                <w:sz w:val="24"/>
                <w:highlight w:val="none"/>
              </w:rPr>
              <w:t xml:space="preserve">1个标段。如</w:t>
            </w: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个标段排名均为第一，</w:t>
            </w:r>
            <w:r>
              <w:rPr>
                <w:rFonts w:hint="eastAsia" w:hAnsi="宋体" w:cs="宋体"/>
                <w:bCs/>
                <w:color w:val="000000"/>
                <w:sz w:val="24"/>
                <w:highlight w:val="none"/>
                <w:lang w:val="en-US" w:eastAsia="zh-CN"/>
              </w:rPr>
              <w:t xml:space="preserve">优先中标金额大的</w:t>
            </w:r>
            <w:r>
              <w:rPr>
                <w:rFonts w:hint="eastAsia" w:hAnsi="宋体" w:cs="宋体"/>
                <w:bCs/>
                <w:color w:val="000000"/>
                <w:sz w:val="24"/>
                <w:highlight w:val="none"/>
              </w:rPr>
              <w:t xml:space="preserve">标段，其余标段由排名下一位自动递补。</w:t>
            </w:r>
            <w:r>
              <w:rPr>
                <w:rFonts w:hint="eastAsia" w:ascii="宋体" w:hAnsi="宋体" w:eastAsia="宋体" w:cs="宋体"/>
                <w:color w:val="000000"/>
                <w:sz w:val="24"/>
                <w:szCs w:val="24"/>
                <w:highlight w:val="yellow"/>
                <w:lang w:val="en-US" w:eastAsia="zh-CN"/>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rFonts w:hint="eastAsia" w:ascii="宋体" w:hAnsi="宋体" w:eastAsia="宋体" w:cs="宋体"/>
                <w:bCs/>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2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t xml:space="preserve">形式和电子邮件形式发送给采购代理机构。</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2</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r>
            <w:r/>
          </w:p>
          <w:p>
            <w:pPr>
              <w:pStyle w:val="1333"/>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rFonts w:hint="eastAsia" w:ascii="宋体" w:hAnsi="宋体" w:eastAsia="宋体" w:cs="宋体"/>
                <w:color w:val="000000"/>
                <w:sz w:val="24"/>
                <w:szCs w:val="24"/>
                <w:highlight w:val="none"/>
                <w:lang w:val="en-US" w:eastAsia="zh-CN" w:bidi="ar-SA"/>
              </w:rPr>
            </w:r>
            <w:r/>
          </w:p>
          <w:p>
            <w:pPr>
              <w:pStyle w:val="1333"/>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28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rFonts w:hint="eastAsia" w:ascii="宋体" w:hAnsi="宋体" w:eastAsia="宋体" w:cs="宋体"/>
                <w:color w:val="000000"/>
                <w:sz w:val="24"/>
                <w:szCs w:val="24"/>
                <w:highlight w:val="none"/>
                <w:lang w:val="en-US" w:eastAsia="zh-CN" w:bidi="ar-SA"/>
              </w:rPr>
            </w:r>
            <w:r/>
          </w:p>
          <w:p>
            <w:pPr>
              <w:pStyle w:val="1308"/>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rPr>
            </w:r>
            <w:r/>
          </w:p>
          <w:p>
            <w:pPr>
              <w:pStyle w:val="1308"/>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color w:val="000000"/>
                <w:sz w:val="24"/>
                <w:szCs w:val="24"/>
                <w:highlight w:val="none"/>
              </w:rPr>
            </w:r>
            <w:r/>
          </w:p>
          <w:p>
            <w:pPr>
              <w:pStyle w:val="1308"/>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w:t>
            </w:r>
            <w:r>
              <w:rPr>
                <w:rFonts w:hint="eastAsia" w:ascii="宋体" w:hAnsi="宋体" w:eastAsia="宋体" w:cs="宋体"/>
                <w:b/>
                <w:bCs w:val="0"/>
                <w:color w:val="000000"/>
                <w:sz w:val="24"/>
                <w:szCs w:val="24"/>
                <w:highlight w:val="none"/>
                <w:lang w:eastAsia="zh-CN"/>
              </w:rPr>
              <w:t xml:space="preserve">作出</w:t>
            </w:r>
            <w:r>
              <w:rPr>
                <w:rFonts w:hint="eastAsia" w:ascii="宋体" w:hAnsi="宋体" w:eastAsia="宋体" w:cs="宋体"/>
                <w:b/>
                <w:bCs w:val="0"/>
                <w:color w:val="000000"/>
                <w:sz w:val="24"/>
                <w:szCs w:val="24"/>
                <w:highlight w:val="none"/>
              </w:rPr>
              <w:t xml:space="preserve">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rFonts w:hint="eastAsia" w:ascii="宋体" w:hAnsi="宋体" w:eastAsia="宋体" w:cs="宋体"/>
                <w:color w:val="000000"/>
                <w:sz w:val="24"/>
                <w:szCs w:val="24"/>
                <w:highlight w:val="none"/>
              </w:rPr>
            </w:r>
            <w:r/>
          </w:p>
        </w:tc>
      </w:tr>
      <w:tr>
        <w:trPr>
          <w:trHeight w:val="599"/>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22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开标地点：苏采云系统（网址：http://jszfcg.jsczt.cn/）“开标大厅”</w:t>
            </w:r>
            <w:r>
              <w:rPr>
                <w:rFonts w:hint="eastAsia" w:ascii="宋体" w:hAnsi="宋体" w:eastAsia="宋体" w:cs="宋体"/>
                <w:color w:val="000000"/>
                <w:sz w:val="24"/>
                <w:szCs w:val="24"/>
                <w:highlight w:val="none"/>
                <w:lang w:val="zh-CN"/>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1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22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rPr>
                <w:rFonts w:hint="eastAsia" w:ascii="宋体" w:hAnsi="宋体" w:eastAsia="宋体" w:cs="宋体"/>
                <w:color w:val="000000"/>
                <w:sz w:val="24"/>
                <w:szCs w:val="24"/>
                <w:highlight w:val="none"/>
              </w:rPr>
            </w:r>
            <w:r/>
          </w:p>
        </w:tc>
      </w:tr>
      <w:tr>
        <w:trPr>
          <w:trHeight w:val="713"/>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color w:val="000000"/>
                <w:sz w:val="24"/>
                <w:szCs w:val="24"/>
                <w:highlight w:val="none"/>
                <w:lang w:eastAsia="zh-CN"/>
              </w:rPr>
            </w:r>
            <w:r/>
          </w:p>
          <w:p>
            <w:pPr>
              <w:pStyle w:val="1289"/>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联系地址：江苏省无锡市锡山区东北塘街道东政路68号</w:t>
            </w:r>
            <w:r>
              <w:rPr>
                <w:rFonts w:hint="eastAsia" w:ascii="宋体" w:hAnsi="宋体" w:eastAsia="宋体" w:cs="宋体"/>
                <w:bCs/>
                <w:color w:val="000000"/>
                <w:sz w:val="24"/>
                <w:szCs w:val="24"/>
                <w:highlight w:val="none"/>
                <w:lang w:eastAsia="zh-CN"/>
              </w:rPr>
            </w:r>
            <w:r/>
          </w:p>
          <w:p>
            <w:pPr>
              <w:pStyle w:val="1289"/>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李工</w:t>
            </w:r>
            <w:r>
              <w:rPr>
                <w:rFonts w:ascii="宋体" w:hAnsi="宋体" w:eastAsia="宋体" w:cs="宋体"/>
                <w:bCs/>
                <w:color w:val="000000"/>
                <w:sz w:val="24"/>
                <w:szCs w:val="24"/>
                <w:highlight w:val="none"/>
                <w:lang w:val="en-US" w:eastAsia="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lang w:val="zh-CN"/>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rPr>
                <w:rFonts w:hint="eastAsia" w:ascii="宋体" w:hAnsi="宋体" w:eastAsia="宋体" w:cs="宋体"/>
                <w:color w:val="000000"/>
                <w:sz w:val="24"/>
                <w:szCs w:val="24"/>
                <w:highlight w:val="none"/>
                <w:lang w:val="en-US" w:eastAsia="zh-CN"/>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sz w:val="24"/>
                <w:szCs w:val="24"/>
                <w:highlight w:val="none"/>
                <w:lang w:val="en-US" w:eastAsia="zh-CN"/>
              </w:rPr>
              <w:t xml:space="preserve">1915688621@qq.com</w:t>
            </w:r>
            <w:r>
              <w:rPr>
                <w:rFonts w:hint="eastAsia" w:ascii="宋体" w:hAnsi="宋体" w:eastAsia="宋体" w:cs="宋体"/>
                <w:color w:val="000000"/>
                <w:sz w:val="24"/>
                <w:szCs w:val="24"/>
                <w:highlight w:val="none"/>
              </w:rPr>
            </w:r>
            <w:r/>
          </w:p>
        </w:tc>
      </w:tr>
      <w:tr>
        <w:trPr>
          <w:trHeight w:val="91"/>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rFonts w:hint="eastAsia" w:ascii="宋体" w:hAnsi="宋体" w:eastAsia="宋体" w:cs="宋体"/>
                <w:b/>
                <w:bCs/>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rFonts w:hint="eastAsia" w:ascii="宋体" w:hAnsi="宋体" w:eastAsia="宋体" w:cs="宋体"/>
                <w:color w:val="000000"/>
                <w:sz w:val="24"/>
                <w:szCs w:val="24"/>
                <w:highlight w:val="none"/>
                <w:lang w:val="zh-CN"/>
              </w:rPr>
            </w:r>
            <w:r/>
          </w:p>
        </w:tc>
      </w:tr>
    </w:tbl>
    <w:p>
      <w:pPr>
        <w:pStyle w:val="1338"/>
        <w:ind w:left="0" w:firstLine="0"/>
        <w:rPr>
          <w:rFonts w:hint="eastAsia"/>
          <w:color w:val="000000"/>
          <w:highlight w:val="none"/>
        </w:rPr>
        <w:outlineLvl w:val="9"/>
      </w:pPr>
      <w:r>
        <w:rPr>
          <w:rFonts w:hint="eastAsia"/>
          <w:color w:val="000000"/>
          <w:highlight w:val="none"/>
        </w:rPr>
      </w:r>
      <w:r/>
    </w:p>
    <w:p>
      <w:pPr>
        <w:pStyle w:val="1289"/>
        <w:jc w:val="center"/>
        <w:spacing w:line="360" w:lineRule="auto"/>
        <w:rPr>
          <w:rStyle w:val="1298"/>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Pr>
          <w:rStyle w:val="1298"/>
          <w:rFonts w:hint="eastAsia"/>
          <w:color w:val="000000"/>
          <w:highlight w:val="none"/>
          <w:lang w:val="en-US" w:eastAsia="zh-CN"/>
        </w:rPr>
      </w:r>
      <w:r/>
    </w:p>
    <w:p>
      <w:pPr>
        <w:pStyle w:val="1289"/>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371"/>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289"/>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w:t>
      </w:r>
      <w:r>
        <w:rPr>
          <w:rFonts w:hint="eastAsia" w:ascii="宋体" w:hAnsi="宋体" w:eastAsia="宋体" w:cs="宋体"/>
          <w:bCs/>
          <w:color w:val="000000"/>
          <w:sz w:val="24"/>
          <w:szCs w:val="24"/>
          <w:highlight w:val="none"/>
          <w:lang w:val="en-US" w:eastAsia="zh-CN"/>
        </w:rPr>
        <w:t xml:space="preserve">证明文件；</w:t>
      </w:r>
      <w:r>
        <w:rPr>
          <w:rFonts w:hint="eastAsia" w:ascii="宋体" w:hAnsi="宋体" w:eastAsia="宋体" w:cs="宋体"/>
          <w:bCs/>
          <w:color w:val="000000"/>
          <w:sz w:val="24"/>
          <w:szCs w:val="24"/>
          <w:highlight w:val="none"/>
          <w:lang w:val="en-US" w:eastAsia="zh-CN"/>
        </w:rPr>
      </w:r>
      <w:r/>
    </w:p>
    <w:p>
      <w:pPr>
        <w:pStyle w:val="1289"/>
        <w:ind w:firstLine="480"/>
        <w:jc w:val="left"/>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cs="宋体"/>
          <w:sz w:val="24"/>
          <w:szCs w:val="24"/>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cs="宋体"/>
          <w:sz w:val="24"/>
          <w:szCs w:val="24"/>
          <w:lang w:val="en-US" w:eastAsia="zh-CN"/>
        </w:rPr>
      </w:r>
      <w:r/>
    </w:p>
    <w:p>
      <w:pPr>
        <w:pStyle w:val="1333"/>
        <w:ind w:firstLine="480"/>
        <w:spacing w:before="0" w:beforeAutospacing="0" w:after="0" w:afterAutospacing="0" w:line="360" w:lineRule="auto"/>
        <w:widowControl/>
        <w:rPr>
          <w:rFonts w:hint="eastAsia" w:ascii="宋体" w:hAnsi="宋体" w:eastAsia="宋体" w:cs="宋体"/>
          <w:szCs w:val="22"/>
          <w:shd w:val="clear" w:color="auto" w:fill="ffffff"/>
        </w:rPr>
      </w:pP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lang w:val="en-US" w:eastAsia="zh-CN"/>
        </w:rPr>
        <w:t xml:space="preserve">12</w:t>
      </w: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rPr>
        <w:t xml:space="preserve">项目负责人应具备与本企业签订的劳动合同和《职工养老保险手册》</w:t>
      </w:r>
      <w:r>
        <w:rPr>
          <w:rFonts w:hint="eastAsia" w:ascii="宋体" w:hAnsi="宋体" w:eastAsia="宋体" w:cs="宋体"/>
          <w:szCs w:val="22"/>
          <w:highlight w:val="none"/>
          <w:shd w:val="clear" w:color="auto" w:fill="ffffff"/>
        </w:rPr>
        <w:t xml:space="preserve">（内附2024年</w:t>
      </w:r>
      <w:r>
        <w:rPr>
          <w:rFonts w:hint="eastAsia" w:ascii="宋体" w:hAnsi="宋体" w:eastAsia="宋体" w:cs="宋体"/>
          <w:szCs w:val="22"/>
          <w:highlight w:val="none"/>
          <w:shd w:val="clear" w:color="auto" w:fill="ffffff"/>
          <w:lang w:val="en-US" w:eastAsia="zh-CN"/>
        </w:rPr>
        <w:t xml:space="preserve">10</w:t>
      </w:r>
      <w:r>
        <w:rPr>
          <w:rFonts w:hint="eastAsia" w:ascii="宋体" w:hAnsi="宋体" w:eastAsia="宋体" w:cs="宋体"/>
          <w:szCs w:val="22"/>
          <w:highlight w:val="none"/>
          <w:shd w:val="clear" w:color="auto" w:fill="ffffff"/>
        </w:rPr>
        <w:t xml:space="preserve">月～2024年</w:t>
      </w:r>
      <w:r>
        <w:rPr>
          <w:rFonts w:hint="eastAsia" w:ascii="宋体" w:hAnsi="宋体" w:eastAsia="宋体" w:cs="宋体"/>
          <w:szCs w:val="22"/>
          <w:highlight w:val="none"/>
          <w:shd w:val="clear" w:color="auto" w:fill="ffffff"/>
          <w:lang w:val="en-US" w:eastAsia="zh-CN"/>
        </w:rPr>
        <w:t xml:space="preserve">12</w:t>
      </w:r>
      <w:r>
        <w:rPr>
          <w:rFonts w:hint="eastAsia" w:ascii="宋体" w:hAnsi="宋体" w:eastAsia="宋体" w:cs="宋体"/>
          <w:szCs w:val="22"/>
          <w:highlight w:val="none"/>
          <w:shd w:val="clear" w:color="auto" w:fill="ffffff"/>
        </w:rPr>
        <w:t xml:space="preserve">月的缴费清单）或由社保机构出具本企业的2024年</w:t>
      </w:r>
      <w:r>
        <w:rPr>
          <w:rFonts w:hint="eastAsia" w:ascii="宋体" w:hAnsi="宋体" w:eastAsia="宋体" w:cs="宋体"/>
          <w:szCs w:val="22"/>
          <w:highlight w:val="none"/>
          <w:shd w:val="clear" w:color="auto" w:fill="ffffff"/>
          <w:lang w:val="en-US" w:eastAsia="zh-CN"/>
        </w:rPr>
        <w:t xml:space="preserve">10</w:t>
      </w:r>
      <w:r>
        <w:rPr>
          <w:rFonts w:hint="eastAsia" w:ascii="宋体" w:hAnsi="宋体" w:eastAsia="宋体" w:cs="宋体"/>
          <w:szCs w:val="22"/>
          <w:highlight w:val="none"/>
          <w:shd w:val="clear" w:color="auto" w:fill="ffffff"/>
        </w:rPr>
        <w:t xml:space="preserve">月～2024年</w:t>
      </w:r>
      <w:r>
        <w:rPr>
          <w:rFonts w:hint="eastAsia" w:ascii="宋体" w:hAnsi="宋体" w:eastAsia="宋体" w:cs="宋体"/>
          <w:szCs w:val="22"/>
          <w:highlight w:val="none"/>
          <w:shd w:val="clear" w:color="auto" w:fill="ffffff"/>
          <w:lang w:val="en-US" w:eastAsia="zh-CN"/>
        </w:rPr>
        <w:t xml:space="preserve">12</w:t>
      </w:r>
      <w:r>
        <w:rPr>
          <w:rFonts w:hint="eastAsia" w:ascii="宋体" w:hAnsi="宋体" w:eastAsia="宋体" w:cs="宋体"/>
          <w:szCs w:val="22"/>
          <w:highlight w:val="none"/>
          <w:shd w:val="clear" w:color="auto" w:fill="ffffff"/>
        </w:rPr>
        <w:t xml:space="preserve">月的缴费</w:t>
      </w:r>
      <w:r>
        <w:rPr>
          <w:rFonts w:hint="eastAsia" w:ascii="宋体" w:hAnsi="宋体" w:eastAsia="宋体" w:cs="宋体"/>
          <w:szCs w:val="22"/>
          <w:shd w:val="clear" w:color="auto" w:fill="ffffff"/>
        </w:rPr>
        <w:t xml:space="preserve">证明；（如投标人成立时间迟于要求开始的时间，则时间要求为投标人成立时间至截止时间）</w:t>
      </w:r>
      <w:r>
        <w:rPr>
          <w:rFonts w:hint="eastAsia" w:ascii="宋体" w:hAnsi="宋体" w:eastAsia="宋体" w:cs="宋体"/>
          <w:szCs w:val="22"/>
          <w:shd w:val="clear" w:color="auto" w:fill="ffffff"/>
        </w:rPr>
      </w:r>
      <w:r/>
    </w:p>
    <w:p>
      <w:pPr>
        <w:pStyle w:val="1333"/>
        <w:ind w:firstLine="480"/>
        <w:spacing w:before="0" w:beforeAutospacing="0" w:after="0" w:afterAutospacing="0"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lang w:eastAsia="zh-CN"/>
        </w:rPr>
        <w:t xml:space="preserve">自拟</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Cs/>
          <w:color w:val="000000"/>
          <w:sz w:val="24"/>
          <w:szCs w:val="24"/>
          <w:highlight w:val="none"/>
          <w:lang w:val="en-US" w:eastAsia="zh-CN"/>
        </w:rPr>
        <w:t xml:space="preserve">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7.“三、项目技术要求和有关说明”中要求须提供的证明文件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8.投标供应商情况表（格式见附件）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9.主要人员配置表及项目负责人简历表（格式见附件）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服务方案（详见评分标准）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Cs/>
          <w:color w:val="000000"/>
          <w:sz w:val="24"/>
          <w:szCs w:val="24"/>
          <w:highlight w:val="none"/>
        </w:rPr>
        <w:t xml:space="preserve">（如有自行添加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投标文件报价出现前后不一致的，按照下列规定修正：</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投标人未参加开标的，视同认可开标结果。</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293"/>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289"/>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339"/>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289"/>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289"/>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981"/>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29"/>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505"/>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vertAlign w:val="baseline"/>
              </w:rPr>
            </w:r>
            <w:r/>
          </w:p>
        </w:tc>
      </w:tr>
      <w:tr>
        <w:trPr>
          <w:trHeight w:val="1143"/>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1338"/>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667"/>
        </w:trPr>
        <w:tc>
          <w:tcPr>
            <w:tcW w:w="923" w:type="dxa"/>
            <w:vAlign w:val="center"/>
            <w:textDirection w:val="lrTb"/>
            <w:noWrap w:val="false"/>
          </w:tcPr>
          <w:p>
            <w:pPr>
              <w:pStyle w:val="1289"/>
              <w:jc w:val="center"/>
              <w:rPr>
                <w:rFonts w:ascii="宋体" w:hAnsi="宋体" w:eastAsia="宋体" w:cs="宋体"/>
                <w:bCs/>
                <w:color w:val="000000"/>
                <w:sz w:val="24"/>
                <w:szCs w:val="24"/>
                <w:highlight w:val="none"/>
                <w:vertAlign w:val="baseline"/>
                <w:lang w:val="en-US" w:eastAsia="zh-CN"/>
              </w:rPr>
            </w:pPr>
            <w:r>
              <w:rPr>
                <w:rFonts w:hint="eastAsia" w:ascii="宋体" w:hAnsi="宋体" w:eastAsia="宋体"/>
                <w:sz w:val="24"/>
                <w:szCs w:val="24"/>
                <w:highlight w:val="none"/>
                <w:lang w:val="en-US" w:eastAsia="zh-CN"/>
              </w:rPr>
              <w:t xml:space="preserve">9</w:t>
            </w:r>
            <w:r>
              <w:rPr>
                <w:rFonts w:ascii="宋体" w:hAnsi="宋体" w:eastAsia="宋体" w:cs="宋体"/>
                <w:bCs/>
                <w:color w:val="000000"/>
                <w:sz w:val="24"/>
                <w:szCs w:val="24"/>
                <w:highlight w:val="none"/>
                <w:vertAlign w:val="baseline"/>
                <w:lang w:val="en-US" w:eastAsia="zh-CN"/>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641"/>
        </w:trPr>
        <w:tc>
          <w:tcPr>
            <w:tcW w:w="923" w:type="dxa"/>
            <w:vAlign w:val="center"/>
            <w:textDirection w:val="lrTb"/>
            <w:noWrap w:val="false"/>
          </w:tcPr>
          <w:p>
            <w:pPr>
              <w:pStyle w:val="1289"/>
              <w:jc w:val="center"/>
              <w:rPr>
                <w:rFonts w:hint="eastAsia" w:ascii="宋体" w:hAnsi="宋体" w:eastAsia="宋体" w:cs="宋体"/>
                <w:bCs/>
                <w:color w:val="000000"/>
                <w:sz w:val="24"/>
                <w:szCs w:val="24"/>
                <w:highlight w:val="none"/>
                <w:vertAlign w:val="baseline"/>
                <w:lang w:eastAsia="zh-CN"/>
              </w:rPr>
            </w:pPr>
            <w:r>
              <w:rPr>
                <w:rFonts w:hint="eastAsia" w:ascii="宋体" w:hAnsi="宋体" w:eastAsia="宋体"/>
                <w:sz w:val="24"/>
                <w:szCs w:val="24"/>
                <w:highlight w:val="none"/>
                <w:lang w:val="en-US" w:eastAsia="zh-CN"/>
              </w:rPr>
              <w:t xml:space="preserve">10</w:t>
            </w:r>
            <w:r>
              <w:rPr>
                <w:rFonts w:hint="eastAsia" w:ascii="宋体" w:hAnsi="宋体" w:eastAsia="宋体" w:cs="宋体"/>
                <w:bCs/>
                <w:color w:val="000000"/>
                <w:sz w:val="24"/>
                <w:szCs w:val="24"/>
                <w:highlight w:val="none"/>
                <w:vertAlign w:val="baseline"/>
                <w:lang w:eastAsia="zh-CN"/>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w:t>
            </w:r>
            <w:r>
              <w:rPr>
                <w:rFonts w:hint="eastAsia" w:ascii="宋体" w:hAnsi="宋体" w:eastAsia="宋体" w:cs="宋体"/>
                <w:bCs/>
                <w:sz w:val="24"/>
                <w:szCs w:val="24"/>
                <w:highlight w:val="none"/>
                <w:lang w:eastAsia="zh-CN"/>
              </w:rPr>
              <w:t xml:space="preserve">〔2011〕300号</w:t>
            </w:r>
            <w:r>
              <w:rPr>
                <w:rFonts w:hint="eastAsia" w:ascii="宋体" w:hAnsi="宋体" w:eastAsia="宋体" w:cs="宋体"/>
                <w:bCs/>
                <w:sz w:val="24"/>
                <w:szCs w:val="24"/>
                <w:highlight w:val="none"/>
              </w:rPr>
              <w:t xml:space="preserve">》)规定，提供《中小企业声明函》，残疾人福利企业提供《残疾人福利性单位声明函》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923" w:type="dxa"/>
            <w:vAlign w:val="center"/>
            <w:textDirection w:val="lrTb"/>
            <w:noWrap w:val="false"/>
          </w:tcPr>
          <w:p>
            <w:pPr>
              <w:pStyle w:val="1289"/>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ascii="宋体" w:hAnsi="宋体" w:eastAsia="宋体" w:cs="宋体"/>
                <w:bCs/>
                <w:color w:val="000000"/>
                <w:sz w:val="24"/>
                <w:szCs w:val="24"/>
                <w:highlight w:val="none"/>
                <w:vertAlign w:val="baseline"/>
                <w:lang w:val="en-US" w:eastAsia="zh-CN"/>
              </w:rPr>
            </w:pPr>
            <w:r>
              <w:rPr>
                <w:rFonts w:ascii="宋体" w:hAnsi="宋体" w:eastAsia="宋体" w:cs="宋体"/>
                <w:bCs/>
                <w:color w:val="000000"/>
                <w:sz w:val="24"/>
                <w:szCs w:val="24"/>
                <w:highlight w:val="none"/>
                <w:vertAlign w:val="baseline"/>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rPr>
                <w:rFonts w:ascii="宋体" w:hAnsi="宋体" w:eastAsia="宋体" w:cs="宋体"/>
                <w:bCs/>
                <w:color w:val="000000"/>
                <w:sz w:val="24"/>
                <w:szCs w:val="24"/>
                <w:highlight w:val="none"/>
                <w:vertAlign w:val="baseline"/>
                <w:lang w:val="en-US" w:eastAsia="zh-CN"/>
              </w:rPr>
            </w:r>
            <w:r/>
          </w:p>
        </w:tc>
      </w:tr>
      <w:tr>
        <w:trPr>
          <w:trHeight w:val="672"/>
        </w:trPr>
        <w:tc>
          <w:tcPr>
            <w:tcW w:w="923" w:type="dxa"/>
            <w:vAlign w:val="center"/>
            <w:textDirection w:val="lrTb"/>
            <w:noWrap w:val="false"/>
          </w:tcPr>
          <w:p>
            <w:pPr>
              <w:pStyle w:val="1289"/>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289"/>
              <w:jc w:val="left"/>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项目负责人要求</w:t>
            </w:r>
            <w:r>
              <w:rPr>
                <w:rFonts w:ascii="宋体" w:hAnsi="宋体" w:eastAsia="宋体" w:cs="宋体"/>
                <w:bCs/>
                <w:sz w:val="24"/>
                <w:szCs w:val="24"/>
                <w:highlight w:val="none"/>
                <w:lang w:val="en-US" w:eastAsia="zh-CN"/>
              </w:rPr>
            </w:r>
            <w:r/>
          </w:p>
        </w:tc>
        <w:tc>
          <w:tcPr>
            <w:tcW w:w="4911" w:type="dxa"/>
            <w:vAlign w:val="center"/>
            <w:textDirection w:val="lrTb"/>
            <w:noWrap w:val="false"/>
          </w:tcPr>
          <w:p>
            <w:pPr>
              <w:pStyle w:val="1289"/>
              <w:jc w:val="left"/>
              <w:keepLines w:val="0"/>
              <w:keepNext w:val="0"/>
              <w:pageBreakBefore w:val="0"/>
              <w:spacing w:line="240" w:lineRule="auto"/>
              <w:widowControl w:val="off"/>
              <w:rPr>
                <w:rFonts w:ascii="宋体" w:hAnsi="宋体" w:eastAsia="宋体" w:cs="宋体"/>
                <w:bCs/>
                <w:color w:val="000000"/>
                <w:sz w:val="24"/>
                <w:szCs w:val="24"/>
                <w:highlight w:val="none"/>
                <w:vertAlign w:val="baseline"/>
                <w:lang w:val="en-US" w:eastAsia="zh-CN"/>
              </w:rPr>
            </w:pPr>
            <w:r>
              <w:rPr>
                <w:rFonts w:ascii="宋体" w:hAnsi="宋体" w:eastAsia="宋体" w:cs="宋体"/>
                <w:bCs/>
                <w:color w:val="000000"/>
                <w:sz w:val="24"/>
                <w:szCs w:val="24"/>
                <w:highlight w:val="none"/>
                <w:vertAlign w:val="baseline"/>
                <w:lang w:val="en-US" w:eastAsia="zh-CN"/>
              </w:rPr>
              <w:t xml:space="preserve">项目负责人应具备与本企业签订的劳动合同和《职工养老保险手册》（内附2024年</w:t>
            </w:r>
            <w:r>
              <w:rPr>
                <w:rFonts w:hint="eastAsia" w:ascii="宋体" w:hAnsi="宋体" w:eastAsia="宋体" w:cs="宋体"/>
                <w:bCs/>
                <w:color w:val="000000"/>
                <w:sz w:val="24"/>
                <w:szCs w:val="24"/>
                <w:highlight w:val="none"/>
                <w:vertAlign w:val="baseline"/>
                <w:lang w:val="en-US" w:eastAsia="zh-CN"/>
              </w:rPr>
              <w:t xml:space="preserve">10</w:t>
            </w:r>
            <w:r>
              <w:rPr>
                <w:rFonts w:ascii="宋体" w:hAnsi="宋体" w:eastAsia="宋体" w:cs="宋体"/>
                <w:bCs/>
                <w:color w:val="000000"/>
                <w:sz w:val="24"/>
                <w:szCs w:val="24"/>
                <w:highlight w:val="none"/>
                <w:vertAlign w:val="baseline"/>
                <w:lang w:val="en-US" w:eastAsia="zh-CN"/>
              </w:rPr>
              <w:t xml:space="preserve">月～2024年1</w:t>
            </w:r>
            <w:r>
              <w:rPr>
                <w:rFonts w:hint="eastAsia" w:ascii="宋体" w:hAnsi="宋体" w:eastAsia="宋体" w:cs="宋体"/>
                <w:bCs/>
                <w:color w:val="000000"/>
                <w:sz w:val="24"/>
                <w:szCs w:val="24"/>
                <w:highlight w:val="none"/>
                <w:vertAlign w:val="baseline"/>
                <w:lang w:val="en-US" w:eastAsia="zh-CN"/>
              </w:rPr>
              <w:t xml:space="preserve">2</w:t>
            </w:r>
            <w:r>
              <w:rPr>
                <w:rFonts w:ascii="宋体" w:hAnsi="宋体" w:eastAsia="宋体" w:cs="宋体"/>
                <w:bCs/>
                <w:color w:val="000000"/>
                <w:sz w:val="24"/>
                <w:szCs w:val="24"/>
                <w:highlight w:val="none"/>
                <w:vertAlign w:val="baseline"/>
                <w:lang w:val="en-US" w:eastAsia="zh-CN"/>
              </w:rPr>
              <w:t xml:space="preserve">月的缴费清单）或由社保机构出具本企业的2024年</w:t>
            </w:r>
            <w:r>
              <w:rPr>
                <w:rFonts w:hint="eastAsia" w:ascii="宋体" w:hAnsi="宋体" w:eastAsia="宋体" w:cs="宋体"/>
                <w:bCs/>
                <w:color w:val="000000"/>
                <w:sz w:val="24"/>
                <w:szCs w:val="24"/>
                <w:highlight w:val="none"/>
                <w:vertAlign w:val="baseline"/>
                <w:lang w:val="en-US" w:eastAsia="zh-CN"/>
              </w:rPr>
              <w:t xml:space="preserve">10</w:t>
            </w:r>
            <w:r>
              <w:rPr>
                <w:rFonts w:ascii="宋体" w:hAnsi="宋体" w:eastAsia="宋体" w:cs="宋体"/>
                <w:bCs/>
                <w:color w:val="000000"/>
                <w:sz w:val="24"/>
                <w:szCs w:val="24"/>
                <w:highlight w:val="none"/>
                <w:vertAlign w:val="baseline"/>
                <w:lang w:val="en-US" w:eastAsia="zh-CN"/>
              </w:rPr>
              <w:t xml:space="preserve">月～2024年1</w:t>
            </w:r>
            <w:r>
              <w:rPr>
                <w:rFonts w:hint="eastAsia" w:ascii="宋体" w:hAnsi="宋体" w:eastAsia="宋体" w:cs="宋体"/>
                <w:bCs/>
                <w:color w:val="000000"/>
                <w:sz w:val="24"/>
                <w:szCs w:val="24"/>
                <w:highlight w:val="none"/>
                <w:vertAlign w:val="baseline"/>
                <w:lang w:val="en-US" w:eastAsia="zh-CN"/>
              </w:rPr>
              <w:t xml:space="preserve">2</w:t>
            </w:r>
            <w:r>
              <w:rPr>
                <w:rFonts w:ascii="宋体" w:hAnsi="宋体" w:eastAsia="宋体" w:cs="宋体"/>
                <w:bCs/>
                <w:color w:val="000000"/>
                <w:sz w:val="24"/>
                <w:szCs w:val="24"/>
                <w:highlight w:val="none"/>
                <w:vertAlign w:val="baseline"/>
                <w:lang w:val="en-US" w:eastAsia="zh-CN"/>
              </w:rPr>
              <w:t xml:space="preserve">月的缴费证明；（如投标人成立时间迟于要求开始的时间，则时间要求为投标人成立时间至截止时间；）</w:t>
            </w:r>
            <w:r>
              <w:rPr>
                <w:rFonts w:ascii="宋体" w:hAnsi="宋体" w:eastAsia="宋体" w:cs="宋体"/>
                <w:bCs/>
                <w:color w:val="000000"/>
                <w:sz w:val="24"/>
                <w:szCs w:val="24"/>
                <w:highlight w:val="none"/>
                <w:vertAlign w:val="baseline"/>
                <w:lang w:val="en-US" w:eastAsia="zh-CN"/>
              </w:rPr>
            </w:r>
            <w:r/>
          </w:p>
        </w:tc>
      </w:tr>
      <w:tr>
        <w:trPr>
          <w:trHeight w:val="3038"/>
        </w:trPr>
        <w:tc>
          <w:tcPr>
            <w:tcW w:w="923" w:type="dxa"/>
            <w:vAlign w:val="center"/>
            <w:textDirection w:val="lrTb"/>
            <w:noWrap w:val="false"/>
          </w:tcPr>
          <w:p>
            <w:pPr>
              <w:pStyle w:val="1289"/>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322"/>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289"/>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14</w:t>
            </w:r>
            <w:r>
              <w:rPr>
                <w:rFonts w:ascii="宋体" w:hAnsi="宋体" w:eastAsia="宋体"/>
                <w:sz w:val="24"/>
                <w:szCs w:val="24"/>
                <w:highlight w:val="none"/>
                <w:lang w:val="en-US" w:eastAsia="zh-CN"/>
              </w:rPr>
            </w:r>
            <w:r/>
          </w:p>
        </w:tc>
        <w:tc>
          <w:tcPr>
            <w:tcW w:w="3645"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289"/>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289"/>
        <w:rPr>
          <w:rFonts w:hint="eastAsia"/>
        </w:rPr>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rPr>
      </w:r>
      <w:r/>
    </w:p>
    <w:p>
      <w:pPr>
        <w:pStyle w:val="1289"/>
        <w:numPr>
          <w:ilvl w:val="0"/>
          <w:numId w:val="3"/>
        </w:num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289"/>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289"/>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289"/>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289"/>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289"/>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289"/>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289"/>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289"/>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289"/>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格式自拟</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289"/>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289"/>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289"/>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cs="Times New Roman"/>
                <w:bCs/>
                <w:color w:val="000000"/>
                <w:sz w:val="24"/>
                <w:szCs w:val="24"/>
                <w:highlight w:val="none"/>
              </w:rPr>
              <w:t xml:space="preserve">及项目</w:t>
            </w:r>
            <w:r>
              <w:rPr>
                <w:rFonts w:hint="eastAsia" w:ascii="宋体" w:hAnsi="宋体" w:eastAsia="宋体" w:cs="Times New Roman"/>
                <w:bCs/>
                <w:color w:val="000000"/>
                <w:sz w:val="24"/>
                <w:szCs w:val="24"/>
                <w:highlight w:val="none"/>
                <w:lang w:val="en-US" w:eastAsia="zh-CN"/>
              </w:rPr>
              <w:t xml:space="preserve">负责人</w:t>
            </w:r>
            <w:r>
              <w:rPr>
                <w:rFonts w:hint="eastAsia" w:ascii="宋体" w:hAnsi="宋体" w:eastAsia="宋体" w:cs="Times New Roman"/>
                <w:bCs/>
                <w:color w:val="000000"/>
                <w:sz w:val="24"/>
                <w:szCs w:val="24"/>
                <w:highlight w:val="none"/>
              </w:rPr>
              <w:t xml:space="preserve">简历表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289"/>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28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289"/>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289"/>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289"/>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289"/>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293"/>
        <w:numPr>
          <w:ilvl w:val="0"/>
          <w:numId w:val="0"/>
        </w:numPr>
        <w:jc w:val="both"/>
        <w:rPr>
          <w:rFonts w:hint="eastAsia"/>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598"/>
      <w:r/>
      <w:bookmarkStart w:id="25" w:name="_Toc28715"/>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，100万-500万</w:t>
      </w:r>
      <w:r>
        <w:rPr>
          <w:rFonts w:hint="eastAsia" w:ascii="宋体" w:hAnsi="宋体" w:eastAsia="宋体" w:cs="Times New Roman"/>
          <w:bCs/>
          <w:color w:val="000000"/>
          <w:sz w:val="24"/>
          <w:szCs w:val="24"/>
          <w:highlight w:val="none"/>
        </w:rPr>
        <w:t xml:space="preserve">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289"/>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30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289"/>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289"/>
        <w:jc w:val="center"/>
        <w:spacing w:line="360" w:lineRule="auto"/>
        <w:rPr>
          <w:rFonts w:hint="eastAsia" w:ascii="Times New Roman" w:hAnsi="宋体" w:eastAsia="宋体" w:cs="宋体"/>
          <w:b/>
          <w:bCs/>
          <w:sz w:val="32"/>
          <w:szCs w:val="32"/>
          <w:highlight w:val="none"/>
          <w:lang w:val="en-US" w:eastAsia="zh-CN"/>
        </w:rPr>
        <w:outlineLvl w:val="0"/>
      </w:pPr>
      <w:r/>
      <w:bookmarkEnd w:id="21"/>
      <w:r/>
      <w:bookmarkEnd w:id="26"/>
      <w:r/>
      <w:bookmarkStart w:id="27" w:name="_Toc26"/>
      <w:r>
        <w:rPr>
          <w:rFonts w:hint="eastAsia" w:ascii="Times New Roman" w:hAnsi="宋体" w:eastAsia="宋体" w:cs="宋体"/>
          <w:b/>
          <w:bCs/>
          <w:sz w:val="32"/>
          <w:szCs w:val="32"/>
          <w:highlight w:val="none"/>
          <w:lang w:val="en-US" w:eastAsia="zh-CN"/>
        </w:rPr>
        <w:t xml:space="preserve">三、项目技术要求和有关说明</w:t>
      </w:r>
      <w:r>
        <w:rPr>
          <w:rFonts w:hint="eastAsia" w:ascii="Times New Roman" w:hAnsi="宋体" w:eastAsia="宋体" w:cs="宋体"/>
          <w:b/>
          <w:bCs/>
          <w:sz w:val="32"/>
          <w:szCs w:val="32"/>
          <w:highlight w:val="none"/>
          <w:lang w:val="en-US" w:eastAsia="zh-CN"/>
        </w:rPr>
      </w:r>
      <w:r/>
    </w:p>
    <w:p>
      <w:pPr>
        <w:pStyle w:val="1289"/>
        <w:ind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无锡市锡山区人民政府东北塘街道办事处委</w:t>
      </w:r>
      <w:r>
        <w:rPr>
          <w:rFonts w:hint="eastAsia" w:ascii="宋体" w:hAnsi="宋体" w:eastAsia="宋体" w:cs="宋体"/>
          <w:bCs/>
          <w:color w:val="000000"/>
          <w:sz w:val="24"/>
          <w:szCs w:val="24"/>
          <w:highlight w:val="none"/>
        </w:rPr>
        <w:t xml:space="preserve">托</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东北塘街道</w:t>
      </w:r>
      <w:r>
        <w:rPr>
          <w:rFonts w:hint="eastAsia" w:ascii="宋体" w:hAnsi="宋体" w:cs="宋体"/>
          <w:color w:val="000000"/>
          <w:sz w:val="24"/>
          <w:szCs w:val="24"/>
          <w:highlight w:val="none"/>
          <w:lang w:val="en-US" w:eastAsia="zh-CN"/>
        </w:rPr>
        <w:t xml:space="preserve">新增</w:t>
      </w:r>
      <w:r>
        <w:rPr>
          <w:rFonts w:hint="eastAsia" w:ascii="宋体" w:hAnsi="宋体" w:eastAsia="宋体" w:cs="宋体"/>
          <w:color w:val="000000"/>
          <w:sz w:val="24"/>
          <w:szCs w:val="24"/>
          <w:highlight w:val="none"/>
          <w:lang w:eastAsia="zh-CN"/>
        </w:rPr>
        <w:t xml:space="preserve">绿化养护项目（南部片区</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eastAsia="zh-CN"/>
        </w:rPr>
        <w:t xml:space="preserve">北部片区）</w:t>
      </w:r>
      <w:r>
        <w:rPr>
          <w:rFonts w:hint="eastAsia" w:ascii="宋体" w:hAnsi="宋体" w:eastAsia="宋体" w:cs="宋体"/>
          <w:color w:val="000000"/>
          <w:sz w:val="24"/>
          <w:szCs w:val="24"/>
          <w:highlight w:val="none"/>
        </w:rPr>
        <w:t xml:space="preserve">招标项目</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所投内容必须完全满足以下要求，不得有负偏离。项目需求如下：</w:t>
      </w:r>
      <w:r>
        <w:rPr>
          <w:rFonts w:hint="eastAsia" w:ascii="宋体" w:hAnsi="宋体" w:eastAsia="宋体" w:cs="宋体"/>
          <w:b/>
          <w:bCs/>
          <w:color w:val="000000"/>
          <w:sz w:val="24"/>
          <w:szCs w:val="24"/>
          <w:highlight w:val="none"/>
        </w:rPr>
      </w:r>
      <w:r/>
    </w:p>
    <w:p>
      <w:pPr>
        <w:pStyle w:val="1289"/>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一、项目基本概况</w:t>
      </w:r>
      <w:r>
        <w:rPr>
          <w:rFonts w:hint="eastAsia" w:ascii="宋体" w:hAnsi="宋体" w:eastAsia="宋体" w:cs="宋体"/>
          <w:b/>
          <w:color w:val="000000"/>
          <w:sz w:val="24"/>
          <w:szCs w:val="24"/>
          <w:highlight w:val="none"/>
        </w:rPr>
      </w:r>
      <w:r/>
    </w:p>
    <w:p>
      <w:pPr>
        <w:pStyle w:val="128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无锡市锡山区东北塘</w:t>
      </w:r>
      <w:r>
        <w:rPr>
          <w:rFonts w:hint="eastAsia" w:ascii="宋体" w:hAnsi="宋体" w:eastAsia="宋体" w:cs="宋体"/>
          <w:bCs/>
          <w:color w:val="000000"/>
          <w:sz w:val="24"/>
          <w:szCs w:val="24"/>
          <w:highlight w:val="none"/>
        </w:rPr>
      </w:r>
      <w:r/>
    </w:p>
    <w:p>
      <w:pPr>
        <w:pStyle w:val="128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项目规模：</w:t>
      </w:r>
      <w:r>
        <w:rPr>
          <w:rFonts w:hint="eastAsia" w:ascii="宋体" w:hAnsi="宋体" w:eastAsia="宋体" w:cs="宋体"/>
          <w:color w:val="000000"/>
          <w:sz w:val="24"/>
          <w:szCs w:val="24"/>
          <w:highlight w:val="none"/>
          <w:lang w:eastAsia="zh-CN"/>
        </w:rPr>
        <w:t xml:space="preserve">东北塘街道</w:t>
      </w:r>
      <w:r>
        <w:rPr>
          <w:rFonts w:hint="eastAsia" w:ascii="宋体" w:hAnsi="宋体" w:cs="宋体"/>
          <w:color w:val="000000"/>
          <w:sz w:val="24"/>
          <w:szCs w:val="24"/>
          <w:highlight w:val="none"/>
          <w:lang w:val="en-US" w:eastAsia="zh-CN"/>
        </w:rPr>
        <w:t xml:space="preserve">新增</w:t>
      </w:r>
      <w:r>
        <w:rPr>
          <w:rFonts w:hint="eastAsia" w:ascii="宋体" w:hAnsi="宋体" w:eastAsia="宋体" w:cs="宋体"/>
          <w:color w:val="000000"/>
          <w:sz w:val="24"/>
          <w:szCs w:val="24"/>
          <w:highlight w:val="none"/>
          <w:lang w:eastAsia="zh-CN"/>
        </w:rPr>
        <w:t xml:space="preserve">绿化养护项目（南部片区</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eastAsia="zh-CN"/>
        </w:rPr>
        <w:t xml:space="preserve">北部片区），具体详见项目清单。</w:t>
      </w:r>
      <w:r>
        <w:rPr>
          <w:rFonts w:hint="eastAsia" w:ascii="宋体" w:hAnsi="宋体" w:eastAsia="宋体" w:cs="宋体"/>
          <w:color w:val="000000"/>
          <w:sz w:val="24"/>
          <w:szCs w:val="24"/>
          <w:highlight w:val="none"/>
          <w:lang w:eastAsia="zh-CN"/>
        </w:rPr>
      </w:r>
      <w:r/>
    </w:p>
    <w:p>
      <w:pPr>
        <w:pStyle w:val="1289"/>
        <w:ind w:firstLine="480"/>
        <w:keepLines w:val="0"/>
        <w:keepNext w:val="0"/>
        <w:pageBreakBefore w:val="0"/>
        <w:spacing w:line="360" w:lineRule="auto"/>
        <w:rPr>
          <w:rFonts w:hint="eastAsia" w:ascii="宋体" w:hAnsi="宋体" w:eastAsia="宋体" w:cs="宋体"/>
          <w:color w:val="ff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采购预算：</w:t>
      </w:r>
      <w:r>
        <w:rPr>
          <w:rFonts w:hint="eastAsia" w:ascii="宋体" w:hAnsi="宋体" w:cs="宋体"/>
          <w:color w:val="000000"/>
          <w:sz w:val="24"/>
          <w:szCs w:val="24"/>
          <w:highlight w:val="none"/>
          <w:lang w:val="en-US" w:eastAsia="zh-CN"/>
        </w:rPr>
        <w:t xml:space="preserve">72.340225</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，一标段（北部片区）：</w:t>
      </w:r>
      <w:r>
        <w:rPr>
          <w:rFonts w:hint="eastAsia" w:ascii="宋体" w:hAnsi="宋体" w:cs="宋体"/>
          <w:color w:val="000000"/>
          <w:sz w:val="24"/>
          <w:szCs w:val="24"/>
          <w:highlight w:val="none"/>
          <w:lang w:val="en-US" w:eastAsia="zh-CN"/>
        </w:rPr>
        <w:t xml:space="preserve">31.625323</w:t>
      </w:r>
      <w:r>
        <w:rPr>
          <w:rFonts w:hint="eastAsia" w:ascii="宋体" w:hAnsi="宋体" w:eastAsia="宋体" w:cs="宋体"/>
          <w:color w:val="000000"/>
          <w:sz w:val="24"/>
          <w:szCs w:val="24"/>
          <w:highlight w:val="none"/>
          <w:lang w:eastAsia="zh-CN"/>
        </w:rPr>
        <w:t xml:space="preserve">万元；二标段（南部片区）：</w:t>
      </w:r>
      <w:r>
        <w:rPr>
          <w:rFonts w:hint="eastAsia" w:ascii="宋体" w:hAnsi="宋体" w:cs="宋体"/>
          <w:color w:val="000000"/>
          <w:sz w:val="24"/>
          <w:szCs w:val="24"/>
          <w:highlight w:val="none"/>
          <w:lang w:val="en-US" w:eastAsia="zh-CN"/>
        </w:rPr>
        <w:t xml:space="preserve">40.714902</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ff0000"/>
          <w:sz w:val="24"/>
          <w:szCs w:val="24"/>
          <w:highlight w:val="none"/>
          <w:u w:val="none"/>
          <w:lang w:val="en-US" w:eastAsia="zh-CN"/>
        </w:rPr>
      </w:r>
      <w:r/>
    </w:p>
    <w:p>
      <w:pPr>
        <w:pStyle w:val="1289"/>
        <w:ind w:firstLine="480"/>
        <w:jc w:val="left"/>
        <w:keepLines w:val="0"/>
        <w:keepNext w:val="0"/>
        <w:pageBreakBefore w:val="0"/>
        <w:spacing w:line="360" w:lineRule="auto"/>
        <w:widowControl/>
        <w:tabs>
          <w:tab w:val="left" w:pos="360" w:leader="none"/>
          <w:tab w:val="left" w:pos="960" w:leader="none"/>
        </w:tabs>
        <w:rPr>
          <w:rFonts w:ascii="宋体" w:hAnsi="宋体" w:eastAsia="宋体" w:cs="宋体"/>
          <w:bCs/>
          <w:color w:val="000000"/>
          <w:sz w:val="24"/>
          <w:szCs w:val="24"/>
          <w:highlight w:val="none"/>
          <w:lang w:val="en-US" w:bidi="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bidi="zh-CN"/>
        </w:rPr>
        <w:t xml:space="preserve">服务期：</w:t>
      </w:r>
      <w:r>
        <w:rPr>
          <w:rFonts w:hint="eastAsia" w:ascii="宋体" w:hAnsi="宋体" w:cs="宋体"/>
          <w:bCs/>
          <w:color w:val="000000"/>
          <w:sz w:val="24"/>
          <w:szCs w:val="24"/>
          <w:highlight w:val="none"/>
          <w:lang w:val="en-US" w:bidi="zh-CN"/>
        </w:rPr>
        <w:t xml:space="preserve">1年</w:t>
      </w:r>
      <w:r>
        <w:rPr>
          <w:rFonts w:ascii="宋体" w:hAnsi="宋体" w:eastAsia="宋体" w:cs="宋体"/>
          <w:bCs/>
          <w:color w:val="000000"/>
          <w:sz w:val="24"/>
          <w:szCs w:val="24"/>
          <w:highlight w:val="none"/>
          <w:lang w:val="en-US" w:bidi="zh-CN"/>
        </w:rPr>
      </w:r>
      <w:r/>
    </w:p>
    <w:p>
      <w:pPr>
        <w:pStyle w:val="1289"/>
        <w:ind w:firstLine="480"/>
        <w:jc w:val="left"/>
        <w:keepLines w:val="0"/>
        <w:keepNext w:val="0"/>
        <w:pageBreakBefore w:val="0"/>
        <w:spacing w:line="360" w:lineRule="auto"/>
        <w:widowControl/>
        <w:tabs>
          <w:tab w:val="left" w:pos="360" w:leader="none"/>
          <w:tab w:val="left" w:pos="960" w:leader="none"/>
        </w:tabs>
        <w:rPr>
          <w:rFonts w:ascii="宋体" w:hAnsi="宋体" w:eastAsia="宋体" w:cs="宋体"/>
          <w:bCs/>
          <w:color w:val="000000"/>
          <w:sz w:val="24"/>
          <w:szCs w:val="24"/>
          <w:highlight w:val="none"/>
          <w:lang w:val="en-US" w:bidi="zh-CN"/>
        </w:rPr>
      </w:pPr>
      <w:r>
        <w:rPr>
          <w:rFonts w:hint="eastAsia" w:ascii="宋体" w:hAnsi="宋体" w:cs="宋体"/>
          <w:bCs/>
          <w:color w:val="000000"/>
          <w:sz w:val="24"/>
          <w:szCs w:val="24"/>
          <w:highlight w:val="none"/>
          <w:lang w:val="en-US" w:bidi="zh-CN"/>
        </w:rPr>
        <w:t xml:space="preserve">5、服务要求：符合国家规定的一级、二级养护标准。</w:t>
      </w:r>
      <w:r>
        <w:rPr>
          <w:rFonts w:ascii="宋体" w:hAnsi="宋体" w:eastAsia="宋体" w:cs="宋体"/>
          <w:bCs/>
          <w:color w:val="000000"/>
          <w:sz w:val="24"/>
          <w:szCs w:val="24"/>
          <w:highlight w:val="none"/>
          <w:lang w:val="en-US" w:bidi="zh-CN"/>
        </w:rPr>
      </w:r>
      <w:r/>
    </w:p>
    <w:p>
      <w:pPr>
        <w:pStyle w:val="1302"/>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付款方式：经考核后按季结算，每半年支付一次，合同期结束后按审计价付清余额。</w:t>
      </w:r>
      <w:r>
        <w:rPr>
          <w:rFonts w:hint="eastAsia" w:ascii="宋体" w:hAnsi="宋体" w:eastAsia="宋体" w:cs="宋体"/>
          <w:b w:val="0"/>
          <w:bCs w:val="0"/>
          <w:color w:val="000000"/>
          <w:sz w:val="24"/>
          <w:szCs w:val="24"/>
          <w:highlight w:val="none"/>
        </w:rPr>
      </w:r>
      <w:r/>
    </w:p>
    <w:p>
      <w:pPr>
        <w:pStyle w:val="128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安全要求：安全要求应满足国家相关法律法规及有关安全操作规程的要求，无安全责任事故。</w:t>
      </w:r>
      <w:r>
        <w:rPr>
          <w:rFonts w:hint="eastAsia" w:ascii="宋体" w:hAnsi="宋体" w:eastAsia="宋体" w:cs="宋体"/>
          <w:color w:val="000000"/>
          <w:sz w:val="24"/>
          <w:szCs w:val="24"/>
          <w:highlight w:val="none"/>
        </w:rPr>
      </w:r>
      <w:r/>
    </w:p>
    <w:p>
      <w:pPr>
        <w:pStyle w:val="1289"/>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资金来源：财政</w:t>
      </w:r>
      <w:r>
        <w:rPr>
          <w:rFonts w:hint="eastAsia" w:ascii="宋体" w:hAnsi="宋体" w:eastAsia="宋体" w:cs="宋体"/>
          <w:color w:val="000000"/>
          <w:sz w:val="24"/>
          <w:szCs w:val="24"/>
          <w:highlight w:val="none"/>
          <w:lang w:eastAsia="zh-CN"/>
        </w:rPr>
        <w:t xml:space="preserve">拨款</w:t>
      </w:r>
      <w:r>
        <w:rPr>
          <w:rFonts w:hint="eastAsia" w:ascii="宋体" w:hAnsi="宋体" w:eastAsia="宋体" w:cs="宋体"/>
          <w:color w:val="000000"/>
          <w:sz w:val="24"/>
          <w:szCs w:val="24"/>
          <w:highlight w:val="none"/>
          <w:lang w:eastAsia="zh-CN"/>
        </w:rPr>
      </w:r>
      <w:r/>
    </w:p>
    <w:p>
      <w:pPr>
        <w:pStyle w:val="128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en-US" w:eastAsia="zh-CN"/>
        </w:rPr>
        <w:t xml:space="preserve">、本项目不需要缴纳履约保证金</w:t>
      </w:r>
      <w:r>
        <w:rPr>
          <w:rFonts w:hint="eastAsia" w:ascii="宋体" w:hAnsi="宋体" w:eastAsia="宋体" w:cs="宋体"/>
          <w:b/>
          <w:bCs/>
          <w:color w:val="000000"/>
          <w:sz w:val="24"/>
          <w:szCs w:val="24"/>
          <w:highlight w:val="none"/>
          <w:lang w:val="en-US" w:eastAsia="zh-CN"/>
        </w:rPr>
      </w:r>
      <w:r/>
    </w:p>
    <w:p>
      <w:pPr>
        <w:pStyle w:val="1313"/>
        <w:ind w:left="0" w:firstLine="480"/>
        <w:keepLines w:val="0"/>
        <w:keepNext w:val="0"/>
        <w:pageBreakBefore w:val="0"/>
        <w:spacing w:line="360" w:lineRule="auto"/>
        <w:widowControl w:val="off"/>
        <w:rPr>
          <w:rFonts w:hint="eastAsia"/>
          <w:highlight w:val="none"/>
          <w:lang w:val="en-US" w:eastAsia="zh-CN"/>
        </w:rPr>
      </w:pPr>
      <w:r>
        <w:rPr>
          <w:rFonts w:hint="eastAsia" w:hAnsi="宋体" w:cs="宋体"/>
          <w:bCs/>
          <w:color w:val="000000"/>
          <w:sz w:val="24"/>
          <w:highlight w:val="none"/>
          <w:lang w:val="en-US" w:eastAsia="zh-CN"/>
        </w:rPr>
        <w:t xml:space="preserve">10、本项目共</w:t>
      </w:r>
      <w:r>
        <w:rPr>
          <w:rFonts w:hAnsi="宋体" w:cs="宋体"/>
          <w:bCs/>
          <w:color w:val="000000"/>
          <w:sz w:val="24"/>
          <w:highlight w:val="none"/>
        </w:rPr>
        <w:t xml:space="preserve">2</w:t>
      </w:r>
      <w:r>
        <w:rPr>
          <w:rFonts w:hint="eastAsia" w:hAnsi="宋体" w:cs="宋体"/>
          <w:bCs/>
          <w:color w:val="000000"/>
          <w:sz w:val="24"/>
          <w:highlight w:val="none"/>
        </w:rPr>
        <w:t xml:space="preserve">个标段</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供应商可投多个标段，但</w:t>
      </w:r>
      <w:r>
        <w:rPr>
          <w:rFonts w:hint="eastAsia" w:hAnsi="宋体" w:cs="宋体"/>
          <w:bCs/>
          <w:color w:val="000000"/>
          <w:sz w:val="24"/>
          <w:highlight w:val="none"/>
          <w:lang w:val="en-US" w:eastAsia="zh-CN"/>
        </w:rPr>
        <w:t xml:space="preserve">仅</w:t>
      </w:r>
      <w:r>
        <w:rPr>
          <w:rFonts w:hint="eastAsia" w:hAnsi="宋体" w:cs="宋体"/>
          <w:bCs/>
          <w:color w:val="000000"/>
          <w:sz w:val="24"/>
          <w:highlight w:val="none"/>
        </w:rPr>
        <w:t xml:space="preserve">能</w:t>
      </w:r>
      <w:r>
        <w:rPr>
          <w:rFonts w:hint="eastAsia" w:hAnsi="宋体" w:cs="宋体"/>
          <w:bCs/>
          <w:color w:val="000000"/>
          <w:sz w:val="24"/>
          <w:highlight w:val="none"/>
          <w:lang w:val="en-US" w:eastAsia="zh-CN"/>
        </w:rPr>
        <w:t xml:space="preserve">中标</w:t>
      </w:r>
      <w:r>
        <w:rPr>
          <w:rFonts w:hint="eastAsia" w:hAnsi="宋体" w:cs="宋体"/>
          <w:bCs/>
          <w:color w:val="000000"/>
          <w:sz w:val="24"/>
          <w:highlight w:val="none"/>
        </w:rPr>
        <w:t xml:space="preserve">1个标段。如</w:t>
      </w: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个标段排名均为第一，</w:t>
      </w:r>
      <w:r>
        <w:rPr>
          <w:rFonts w:hint="eastAsia" w:hAnsi="宋体" w:cs="宋体"/>
          <w:bCs/>
          <w:color w:val="000000"/>
          <w:sz w:val="24"/>
          <w:highlight w:val="none"/>
          <w:lang w:val="en-US" w:eastAsia="zh-CN"/>
        </w:rPr>
        <w:t xml:space="preserve">优先中标金额大的</w:t>
      </w:r>
      <w:r>
        <w:rPr>
          <w:rFonts w:hint="eastAsia" w:hAnsi="宋体" w:cs="宋体"/>
          <w:bCs/>
          <w:color w:val="000000"/>
          <w:sz w:val="24"/>
          <w:highlight w:val="none"/>
        </w:rPr>
        <w:t xml:space="preserve">标段，其余标段由排名下一位自动递补。</w:t>
      </w:r>
      <w:r>
        <w:rPr>
          <w:rFonts w:hint="eastAsia"/>
          <w:highlight w:val="none"/>
          <w:lang w:val="en-US" w:eastAsia="zh-CN"/>
        </w:rPr>
      </w:r>
      <w:r/>
    </w:p>
    <w:p>
      <w:pPr>
        <w:pStyle w:val="1289"/>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、人员最低配置要求及相关说明</w:t>
      </w:r>
      <w:r>
        <w:rPr>
          <w:rFonts w:hint="eastAsia" w:ascii="宋体" w:hAnsi="宋体" w:eastAsia="宋体" w:cs="宋体"/>
          <w:b/>
          <w:color w:val="000000"/>
          <w:sz w:val="24"/>
          <w:szCs w:val="24"/>
          <w:highlight w:val="none"/>
        </w:rPr>
      </w:r>
      <w:r/>
    </w:p>
    <w:p>
      <w:pPr>
        <w:pStyle w:val="128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r>
        <w:rPr>
          <w:rFonts w:hint="eastAsia" w:ascii="宋体" w:hAnsi="宋体" w:eastAsia="宋体" w:cs="宋体"/>
          <w:color w:val="000000"/>
          <w:sz w:val="24"/>
          <w:szCs w:val="24"/>
          <w:highlight w:val="none"/>
          <w:lang w:val="en-US" w:eastAsia="zh-CN"/>
        </w:rPr>
      </w:r>
      <w:r/>
    </w:p>
    <w:tbl>
      <w:tblPr>
        <w:tblStyle w:val="1339"/>
        <w:tblW w:w="0" w:type="auto"/>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rHeight w:val="586"/>
        </w:trPr>
        <w:tc>
          <w:tcPr>
            <w:tcW w:w="1419"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项目名称</w:t>
            </w:r>
            <w:r>
              <w:rPr>
                <w:rFonts w:hint="eastAsia" w:ascii="宋体" w:hAnsi="宋体" w:eastAsia="宋体"/>
                <w:b/>
                <w:bCs/>
                <w:color w:val="000000"/>
                <w:sz w:val="24"/>
                <w:szCs w:val="24"/>
                <w:highlight w:val="none"/>
                <w:vertAlign w:val="baseline"/>
                <w:lang w:val="en-US" w:eastAsia="zh-CN"/>
              </w:rPr>
            </w:r>
            <w:r/>
          </w:p>
        </w:tc>
        <w:tc>
          <w:tcPr>
            <w:tcW w:w="1419"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养护等级</w:t>
            </w:r>
            <w:r>
              <w:rPr>
                <w:rFonts w:hint="eastAsia" w:ascii="宋体" w:hAnsi="宋体" w:eastAsia="宋体"/>
                <w:b/>
                <w:bCs/>
                <w:color w:val="000000"/>
                <w:sz w:val="24"/>
                <w:szCs w:val="24"/>
                <w:highlight w:val="none"/>
                <w:vertAlign w:val="baseline"/>
                <w:lang w:val="en-US" w:eastAsia="zh-CN"/>
              </w:rPr>
            </w:r>
            <w:r/>
          </w:p>
        </w:tc>
        <w:tc>
          <w:tcPr>
            <w:tcW w:w="1419"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绿化面积</w:t>
            </w:r>
            <w:r>
              <w:rPr>
                <w:rFonts w:hint="eastAsia" w:ascii="宋体" w:hAnsi="宋体"/>
                <w:b/>
                <w:bCs/>
                <w:color w:val="000000"/>
                <w:sz w:val="24"/>
                <w:szCs w:val="24"/>
                <w:highlight w:val="none"/>
                <w:vertAlign w:val="baseline"/>
              </w:rPr>
            </w:r>
            <w:r/>
          </w:p>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w:t>
            </w:r>
            <w:r>
              <w:rPr>
                <w:rFonts w:hint="eastAsia" w:ascii="宋体" w:hAnsi="宋体"/>
                <w:b/>
                <w:bCs/>
                <w:color w:val="000000"/>
                <w:sz w:val="24"/>
                <w:szCs w:val="24"/>
                <w:highlight w:val="none"/>
                <w:vertAlign w:val="baseline"/>
              </w:rPr>
            </w:r>
            <w:r/>
          </w:p>
        </w:tc>
        <w:tc>
          <w:tcPr>
            <w:gridSpan w:val="3"/>
            <w:tcW w:w="426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作业人员配置要求</w:t>
            </w:r>
            <w:r>
              <w:rPr>
                <w:rFonts w:hint="eastAsia" w:ascii="宋体" w:hAnsi="宋体"/>
                <w:b/>
                <w:bCs/>
                <w:color w:val="000000"/>
                <w:sz w:val="24"/>
                <w:szCs w:val="24"/>
                <w:highlight w:val="none"/>
                <w:vertAlign w:val="baseline"/>
              </w:rPr>
            </w:r>
            <w:r/>
          </w:p>
        </w:tc>
      </w:tr>
      <w:tr>
        <w:trPr>
          <w:trHeight w:val="807"/>
        </w:trPr>
        <w:tc>
          <w:tcPr>
            <w:tcW w:w="1419"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普通作业工人总数</w:t>
            </w: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中级技工</w:t>
            </w: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高级技工及以上</w:t>
            </w:r>
            <w:r>
              <w:rPr>
                <w:rFonts w:hint="eastAsia" w:ascii="宋体" w:hAnsi="宋体"/>
                <w:b/>
                <w:bCs/>
                <w:color w:val="000000"/>
                <w:sz w:val="24"/>
                <w:szCs w:val="24"/>
                <w:highlight w:val="none"/>
                <w:vertAlign w:val="baseline"/>
              </w:rPr>
            </w:r>
            <w:r/>
          </w:p>
        </w:tc>
      </w:tr>
      <w:tr>
        <w:trPr>
          <w:trHeight w:val="805"/>
        </w:trPr>
        <w:tc>
          <w:tcPr>
            <w:tcW w:w="1419"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s="宋体"/>
                <w:color w:val="000000"/>
                <w:sz w:val="24"/>
                <w:highlight w:val="none"/>
                <w:lang w:bidi="ar"/>
              </w:rPr>
              <w:t xml:space="preserve">南</w:t>
            </w:r>
            <w:r>
              <w:rPr>
                <w:rFonts w:hint="eastAsia" w:ascii="宋体" w:hAnsi="宋体" w:cs="宋体"/>
                <w:color w:val="000000"/>
                <w:sz w:val="24"/>
                <w:highlight w:val="none"/>
                <w:lang w:eastAsia="zh-CN" w:bidi="ar"/>
              </w:rPr>
              <w:t xml:space="preserve">部</w:t>
            </w:r>
            <w:r>
              <w:rPr>
                <w:rFonts w:hint="eastAsia" w:ascii="宋体" w:hAnsi="宋体" w:cs="宋体"/>
                <w:color w:val="000000"/>
                <w:sz w:val="24"/>
                <w:highlight w:val="none"/>
                <w:lang w:bidi="ar"/>
              </w:rPr>
              <w:t xml:space="preserve">片区</w:t>
            </w: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34041.34</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1420"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r>
      <w:tr>
        <w:trPr>
          <w:trHeight w:val="805"/>
        </w:trPr>
        <w:tc>
          <w:tcPr>
            <w:tcW w:w="1419"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rPr>
                <w:rFonts w:hint="eastAsia"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68746.25</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1420"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rHeight w:val="805"/>
        </w:trPr>
        <w:tc>
          <w:tcPr>
            <w:tcW w:w="1419"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ascii="宋体" w:hAnsi="宋体"/>
                <w:color w:val="000000"/>
                <w:sz w:val="24"/>
                <w:szCs w:val="24"/>
                <w:highlight w:val="none"/>
                <w:vertAlign w:val="baseline"/>
                <w:lang w:val="en-US"/>
              </w:rPr>
            </w:pPr>
            <w:r>
              <w:rPr>
                <w:rFonts w:hint="eastAsia" w:hAnsi="宋体" w:cs="宋体"/>
                <w:color w:val="000000"/>
                <w:sz w:val="24"/>
                <w:highlight w:val="none"/>
                <w:lang w:val="en-US" w:eastAsia="zh-CN" w:bidi="ar"/>
              </w:rPr>
              <w:t xml:space="preserve">北部片区</w:t>
            </w:r>
            <w:r>
              <w:rPr>
                <w:rFonts w:ascii="宋体" w:hAnsi="宋体"/>
                <w:color w:val="000000"/>
                <w:sz w:val="24"/>
                <w:szCs w:val="24"/>
                <w:highlight w:val="none"/>
                <w:vertAlign w:val="baseline"/>
                <w:lang w:val="en-US"/>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35386.92</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1420" w:type="dxa"/>
            <w:vAlign w:val="center"/>
            <w:vMerge w:val="restart"/>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r>
      <w:tr>
        <w:trPr>
          <w:trHeight w:val="805"/>
        </w:trPr>
        <w:tc>
          <w:tcPr>
            <w:tcW w:w="1419"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31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36950.9</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1420" w:type="dxa"/>
            <w:vAlign w:val="center"/>
            <w:vMerge w:val="continue"/>
            <w:textDirection w:val="lrTb"/>
            <w:noWrap w:val="false"/>
          </w:tcPr>
          <w:p>
            <w:pPr>
              <w:pStyle w:val="131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bl>
    <w:p>
      <w:pPr>
        <w:pStyle w:val="1313"/>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314"/>
        <w:ind w:firstLine="24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说明：作业人员配置要求：高级技工及以上1名；</w:t>
      </w:r>
      <w:r>
        <w:rPr>
          <w:rFonts w:hint="eastAsia" w:hAnsi="宋体" w:cs="宋体"/>
          <w:bCs/>
          <w:color w:val="000000"/>
          <w:sz w:val="24"/>
          <w:szCs w:val="24"/>
          <w:highlight w:val="none"/>
        </w:rPr>
      </w:r>
      <w:r/>
    </w:p>
    <w:p>
      <w:pPr>
        <w:pStyle w:val="1314"/>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一级养护：每10万平方米配置中级技工及以上1名，每2万平方米绿地配绿化普通作业工人1名；</w:t>
      </w:r>
      <w:r>
        <w:rPr>
          <w:rFonts w:hint="eastAsia" w:hAnsi="宋体" w:cs="宋体"/>
          <w:bCs/>
          <w:color w:val="000000"/>
          <w:sz w:val="24"/>
          <w:szCs w:val="24"/>
          <w:highlight w:val="none"/>
        </w:rPr>
      </w:r>
      <w:r/>
    </w:p>
    <w:p>
      <w:pPr>
        <w:pStyle w:val="1314"/>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二级养护：每15万平方米配置中级技工及以上1名，每3.5万平方米绿地配绿化普通作业工人1名；</w:t>
      </w:r>
      <w:r>
        <w:rPr>
          <w:rFonts w:hint="eastAsia" w:hAnsi="宋体" w:cs="宋体"/>
          <w:bCs/>
          <w:color w:val="000000"/>
          <w:sz w:val="24"/>
          <w:szCs w:val="24"/>
          <w:highlight w:val="none"/>
        </w:rPr>
      </w:r>
      <w:r/>
    </w:p>
    <w:p>
      <w:pPr>
        <w:pStyle w:val="1314"/>
        <w:ind w:firstLine="482"/>
        <w:spacing w:after="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注：技能工人一人一证，其中技能人员和作业工人不得重复。投标人需对此项的最低配置人数要求作出承诺（格式自拟</w:t>
      </w:r>
      <w:r>
        <w:rPr>
          <w:rFonts w:hint="eastAsia" w:hAnsi="宋体" w:cs="宋体"/>
          <w:b/>
          <w:color w:val="000000"/>
          <w:sz w:val="24"/>
          <w:szCs w:val="24"/>
          <w:highlight w:val="none"/>
          <w:lang w:eastAsia="zh-CN"/>
        </w:rPr>
        <w:t xml:space="preserve">，并上传至投标文件中并电子签章</w:t>
      </w:r>
      <w:r>
        <w:rPr>
          <w:rFonts w:hint="eastAsia" w:hAnsi="宋体" w:cs="宋体"/>
          <w:b/>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hAnsi="宋体" w:cs="宋体"/>
          <w:b/>
          <w:color w:val="000000"/>
          <w:sz w:val="24"/>
          <w:szCs w:val="24"/>
          <w:highlight w:val="none"/>
        </w:rPr>
      </w:r>
      <w:r/>
    </w:p>
    <w:p>
      <w:pPr>
        <w:pStyle w:val="1314"/>
        <w:spacing w:after="0" w:line="360" w:lineRule="auto"/>
        <w:rPr>
          <w:rFonts w:hint="eastAsia" w:hAnsi="宋体"/>
          <w:b/>
          <w:bCs/>
          <w:color w:val="000000"/>
          <w:sz w:val="24"/>
          <w:szCs w:val="24"/>
          <w:highlight w:val="none"/>
        </w:rPr>
      </w:pPr>
      <w:r>
        <w:rPr>
          <w:rFonts w:hint="eastAsia" w:hAnsi="宋体"/>
          <w:b/>
          <w:bCs/>
          <w:color w:val="000000"/>
          <w:sz w:val="24"/>
          <w:szCs w:val="24"/>
          <w:highlight w:val="none"/>
          <w:lang w:eastAsia="zh-CN"/>
        </w:rPr>
        <w:t xml:space="preserve">三</w:t>
      </w:r>
      <w:r>
        <w:rPr>
          <w:rFonts w:hint="eastAsia" w:hAnsi="宋体"/>
          <w:b/>
          <w:bCs/>
          <w:color w:val="000000"/>
          <w:sz w:val="24"/>
          <w:szCs w:val="24"/>
          <w:highlight w:val="none"/>
        </w:rPr>
        <w:t xml:space="preserve">、设备最低配置要求</w:t>
      </w:r>
      <w:r>
        <w:rPr>
          <w:rFonts w:hint="eastAsia" w:hAnsi="宋体"/>
          <w:b/>
          <w:bCs/>
          <w:color w:val="000000"/>
          <w:sz w:val="24"/>
          <w:szCs w:val="24"/>
          <w:highlight w:val="none"/>
        </w:rPr>
      </w:r>
      <w:r/>
    </w:p>
    <w:p>
      <w:pPr>
        <w:pStyle w:val="1310"/>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rPr>
        <w:t xml:space="preserve">1、投标供应商配备标准制式水车（核定载质量≥6吨），2辆； </w:t>
      </w:r>
      <w:r>
        <w:rPr>
          <w:rFonts w:ascii="宋体" w:hAnsi="宋体" w:cs="宋体"/>
          <w:b w:val="0"/>
          <w:sz w:val="24"/>
          <w:szCs w:val="24"/>
          <w:highlight w:val="none"/>
        </w:rPr>
      </w:r>
      <w:r/>
    </w:p>
    <w:p>
      <w:pPr>
        <w:pStyle w:val="1310"/>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2</w:t>
      </w:r>
      <w:r>
        <w:rPr>
          <w:rFonts w:hint="eastAsia" w:ascii="宋体" w:hAnsi="宋体" w:cs="宋体"/>
          <w:b w:val="0"/>
          <w:sz w:val="24"/>
          <w:szCs w:val="24"/>
          <w:highlight w:val="none"/>
        </w:rPr>
        <w:t xml:space="preserve">、投标供应商配备吊车（汽车起重机）</w:t>
      </w:r>
      <w:r>
        <w:rPr>
          <w:rFonts w:hint="eastAsia" w:ascii="宋体" w:hAnsi="宋体" w:cs="宋体"/>
          <w:b w:val="0"/>
          <w:sz w:val="24"/>
          <w:highlight w:val="none"/>
        </w:rPr>
        <w:t xml:space="preserve">（核定载质量或额定起重量≥8吨）</w:t>
      </w:r>
      <w:r>
        <w:rPr>
          <w:rFonts w:hint="eastAsia" w:ascii="宋体" w:hAnsi="宋体" w:cs="宋体"/>
          <w:b w:val="0"/>
          <w:sz w:val="24"/>
          <w:szCs w:val="24"/>
          <w:highlight w:val="none"/>
        </w:rPr>
        <w:t xml:space="preserve">，1辆；</w:t>
      </w:r>
      <w:r>
        <w:rPr>
          <w:rFonts w:ascii="宋体" w:hAnsi="宋体" w:cs="宋体"/>
          <w:b w:val="0"/>
          <w:sz w:val="24"/>
          <w:szCs w:val="24"/>
          <w:highlight w:val="none"/>
        </w:rPr>
      </w:r>
      <w:r/>
    </w:p>
    <w:p>
      <w:pPr>
        <w:pStyle w:val="1310"/>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3</w:t>
      </w:r>
      <w:r>
        <w:rPr>
          <w:rFonts w:hint="eastAsia" w:ascii="宋体" w:hAnsi="宋体" w:cs="宋体"/>
          <w:b w:val="0"/>
          <w:sz w:val="24"/>
          <w:szCs w:val="24"/>
          <w:highlight w:val="none"/>
        </w:rPr>
        <w:t xml:space="preserve">、投标供应商配备高空作业车</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作业高度</w:t>
      </w:r>
      <w:r>
        <w:rPr>
          <w:rFonts w:hint="eastAsia" w:ascii="宋体" w:hAnsi="宋体" w:cs="宋体"/>
          <w:b w:val="0"/>
          <w:sz w:val="24"/>
          <w:szCs w:val="24"/>
          <w:highlight w:val="none"/>
        </w:rPr>
        <w:t xml:space="preserve">≥</w:t>
      </w:r>
      <w:r>
        <w:rPr>
          <w:rFonts w:hint="eastAsia" w:ascii="宋体" w:hAnsi="宋体" w:cs="宋体"/>
          <w:b w:val="0"/>
          <w:sz w:val="24"/>
          <w:szCs w:val="24"/>
          <w:highlight w:val="none"/>
          <w:lang w:val="en-US" w:eastAsia="zh-CN"/>
        </w:rPr>
        <w:t xml:space="preserve">10米</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rPr>
        <w:t xml:space="preserve">，1辆；</w:t>
      </w:r>
      <w:r>
        <w:rPr>
          <w:rFonts w:ascii="宋体" w:hAnsi="宋体" w:cs="宋体"/>
          <w:b w:val="0"/>
          <w:sz w:val="24"/>
          <w:szCs w:val="24"/>
          <w:highlight w:val="none"/>
        </w:rPr>
      </w:r>
      <w:r/>
    </w:p>
    <w:p>
      <w:pPr>
        <w:pStyle w:val="1310"/>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4</w:t>
      </w:r>
      <w:r>
        <w:rPr>
          <w:rFonts w:hint="eastAsia" w:ascii="宋体" w:hAnsi="宋体" w:cs="宋体"/>
          <w:b w:val="0"/>
          <w:sz w:val="24"/>
          <w:szCs w:val="24"/>
          <w:highlight w:val="none"/>
        </w:rPr>
        <w:t xml:space="preserve">、投标供应商配备运输车（核定载质量≥</w:t>
      </w:r>
      <w:r>
        <w:rPr>
          <w:rFonts w:hint="eastAsia" w:ascii="宋体" w:hAnsi="宋体" w:cs="宋体"/>
          <w:b w:val="0"/>
          <w:sz w:val="24"/>
          <w:szCs w:val="24"/>
          <w:highlight w:val="none"/>
          <w:lang w:val="en-US" w:eastAsia="zh-CN"/>
        </w:rPr>
        <w:t xml:space="preserve">2</w:t>
      </w:r>
      <w:r>
        <w:rPr>
          <w:rFonts w:hint="eastAsia" w:ascii="宋体" w:hAnsi="宋体" w:cs="宋体"/>
          <w:b w:val="0"/>
          <w:sz w:val="24"/>
          <w:szCs w:val="24"/>
          <w:highlight w:val="none"/>
        </w:rPr>
        <w:t xml:space="preserve">吨，用于运输材料），1辆</w:t>
      </w:r>
      <w:r>
        <w:rPr>
          <w:rFonts w:ascii="宋体" w:hAnsi="宋体" w:cs="宋体"/>
          <w:b w:val="0"/>
          <w:sz w:val="24"/>
          <w:szCs w:val="24"/>
          <w:highlight w:val="none"/>
        </w:rPr>
      </w:r>
      <w:r/>
    </w:p>
    <w:p>
      <w:pPr>
        <w:pStyle w:val="1310"/>
        <w:ind w:firstLine="420"/>
        <w:spacing w:line="360" w:lineRule="auto"/>
        <w:rPr>
          <w:rFonts w:ascii="宋体" w:hAnsi="宋体" w:cs="宋体"/>
          <w:b w:val="0"/>
          <w:sz w:val="24"/>
          <w:szCs w:val="24"/>
          <w:highlight w:val="none"/>
        </w:rPr>
      </w:pPr>
      <w:r>
        <w:rPr>
          <w:rFonts w:hint="eastAsia" w:ascii="宋体" w:hAnsi="宋体" w:cs="宋体"/>
          <w:b w:val="0"/>
          <w:sz w:val="24"/>
          <w:szCs w:val="24"/>
          <w:highlight w:val="none"/>
          <w:lang w:val="en-US" w:eastAsia="zh-CN"/>
        </w:rPr>
        <w:t xml:space="preserve">5</w:t>
      </w:r>
      <w:r>
        <w:rPr>
          <w:rFonts w:hint="eastAsia" w:ascii="宋体" w:hAnsi="宋体" w:cs="宋体"/>
          <w:b w:val="0"/>
          <w:sz w:val="24"/>
          <w:szCs w:val="24"/>
          <w:highlight w:val="none"/>
        </w:rPr>
        <w:t xml:space="preserve">、投标供应商配备客车（9座及以上，用于接送养护工人及应急作业），1辆；</w:t>
      </w:r>
      <w:r>
        <w:rPr>
          <w:rFonts w:ascii="宋体" w:hAnsi="宋体" w:cs="宋体"/>
          <w:b w:val="0"/>
          <w:sz w:val="24"/>
          <w:szCs w:val="24"/>
          <w:highlight w:val="none"/>
        </w:rPr>
      </w:r>
      <w:r/>
    </w:p>
    <w:p>
      <w:pPr>
        <w:pStyle w:val="1289"/>
        <w:ind w:right="-197"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、投标供应商配备多功能抑尘车（核定载质量≥</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吨），1辆；</w:t>
      </w:r>
      <w:r>
        <w:rPr>
          <w:rFonts w:hint="eastAsia" w:ascii="宋体" w:hAnsi="宋体" w:cs="宋体"/>
          <w:sz w:val="24"/>
          <w:highlight w:val="none"/>
        </w:rPr>
      </w:r>
      <w:r/>
    </w:p>
    <w:p>
      <w:pPr>
        <w:pStyle w:val="1289"/>
        <w:ind w:firstLine="482"/>
        <w:spacing w:line="440" w:lineRule="exact"/>
        <w:rPr>
          <w:rFonts w:hint="eastAsia" w:ascii="宋体" w:hAnsi="宋体" w:cs="宋体"/>
          <w:b/>
          <w:bCs/>
          <w:sz w:val="24"/>
          <w:highlight w:val="none"/>
        </w:rPr>
      </w:pPr>
      <w:r>
        <w:rPr>
          <w:rFonts w:hint="eastAsia" w:hAnsi="宋体" w:cs="宋体"/>
          <w:b/>
          <w:sz w:val="24"/>
          <w:szCs w:val="24"/>
          <w:highlight w:val="none"/>
        </w:rPr>
        <w:t xml:space="preserve">注：自有车辆提供车辆购置发票（发票抬头与投标人一致的发票）、车辆行驶证、车辆实景图片等相关证明材料原件扫描件附在投标文件中</w:t>
      </w:r>
      <w:r>
        <w:rPr>
          <w:rFonts w:hint="eastAsia" w:hAnsi="宋体" w:cs="宋体"/>
          <w:b/>
          <w:sz w:val="24"/>
          <w:szCs w:val="24"/>
          <w:highlight w:val="none"/>
          <w:lang w:eastAsia="zh-CN"/>
        </w:rPr>
        <w:t xml:space="preserve">，</w:t>
      </w:r>
      <w:r>
        <w:rPr>
          <w:rFonts w:hint="eastAsia" w:hAnsi="宋体" w:cs="宋体"/>
          <w:b/>
          <w:sz w:val="24"/>
          <w:szCs w:val="24"/>
          <w:highlight w:val="none"/>
        </w:rPr>
        <w:t xml:space="preserve">若是租赁车辆需提供</w:t>
      </w:r>
      <w:r>
        <w:rPr>
          <w:rFonts w:hint="eastAsia" w:hAnsi="宋体" w:cs="宋体"/>
          <w:b/>
          <w:sz w:val="24"/>
          <w:szCs w:val="24"/>
          <w:highlight w:val="none"/>
          <w:lang w:bidi="ar"/>
        </w:rPr>
        <w:t xml:space="preserve">租赁协议（有效期需满足本项目养护期）、租赁发票、车辆购置发票、车辆行驶证以及含车牌的车辆实景图片</w:t>
      </w:r>
      <w:r>
        <w:rPr>
          <w:rFonts w:hint="eastAsia" w:hAnsi="宋体" w:cs="宋体"/>
          <w:b/>
          <w:sz w:val="24"/>
          <w:szCs w:val="24"/>
          <w:highlight w:val="none"/>
        </w:rPr>
        <w:t xml:space="preserve">等</w:t>
      </w:r>
      <w:r>
        <w:rPr>
          <w:rFonts w:hint="eastAsia" w:hAnsi="宋体" w:cs="宋体"/>
          <w:b/>
          <w:sz w:val="24"/>
          <w:szCs w:val="24"/>
          <w:highlight w:val="none"/>
          <w:lang w:bidi="ar"/>
        </w:rPr>
        <w:t xml:space="preserve">相关证明材料原件</w:t>
      </w:r>
      <w:r>
        <w:rPr>
          <w:rFonts w:hint="eastAsia" w:ascii="宋体" w:hAnsi="宋体" w:eastAsia="宋体" w:cs="宋体"/>
          <w:b/>
          <w:sz w:val="24"/>
          <w:szCs w:val="24"/>
          <w:highlight w:val="none"/>
        </w:rPr>
        <w:t xml:space="preserve">上传至投标文件并电子签章</w:t>
      </w:r>
      <w:r>
        <w:rPr>
          <w:rFonts w:hint="eastAsia" w:hAnsi="宋体" w:eastAsia="宋体" w:cs="宋体"/>
          <w:b/>
          <w:sz w:val="24"/>
          <w:szCs w:val="24"/>
          <w:highlight w:val="none"/>
          <w:lang w:eastAsia="zh-CN" w:bidi="ar"/>
        </w:rPr>
        <w:t xml:space="preserve">，</w:t>
      </w:r>
      <w:r>
        <w:rPr>
          <w:rFonts w:hint="eastAsia" w:ascii="宋体" w:hAnsi="宋体" w:cs="宋体"/>
          <w:b/>
          <w:sz w:val="24"/>
          <w:szCs w:val="24"/>
          <w:highlight w:val="none"/>
        </w:rPr>
        <w:t xml:space="preserve">或</w:t>
      </w:r>
      <w:r>
        <w:rPr>
          <w:rFonts w:hint="eastAsia" w:ascii="宋体" w:hAnsi="宋体" w:cs="宋体"/>
          <w:b/>
          <w:sz w:val="24"/>
          <w:szCs w:val="24"/>
          <w:highlight w:val="none"/>
          <w:lang w:bidi="ar"/>
        </w:rPr>
        <w:t xml:space="preserve">提供</w:t>
      </w:r>
      <w:r>
        <w:rPr>
          <w:rFonts w:hint="eastAsia" w:ascii="宋体" w:hAnsi="宋体" w:cs="宋体"/>
          <w:b/>
          <w:sz w:val="24"/>
          <w:szCs w:val="24"/>
          <w:highlight w:val="none"/>
          <w:lang w:eastAsia="zh-CN" w:bidi="ar"/>
        </w:rPr>
        <w:t xml:space="preserve">车辆的</w:t>
      </w:r>
      <w:r>
        <w:rPr>
          <w:rFonts w:hint="eastAsia" w:ascii="宋体" w:hAnsi="宋体" w:cs="宋体"/>
          <w:b/>
          <w:sz w:val="24"/>
          <w:szCs w:val="24"/>
          <w:highlight w:val="none"/>
          <w:lang w:bidi="ar"/>
        </w:rPr>
        <w:t xml:space="preserve">承诺书</w:t>
      </w:r>
      <w:r>
        <w:rPr>
          <w:rFonts w:hint="eastAsia" w:ascii="宋体" w:hAnsi="宋体" w:cs="宋体"/>
          <w:b/>
          <w:sz w:val="24"/>
          <w:szCs w:val="24"/>
          <w:highlight w:val="none"/>
        </w:rPr>
        <w:t xml:space="preserve">（承诺中标后签订合同前提供以上所有</w:t>
      </w:r>
      <w:r>
        <w:rPr>
          <w:rFonts w:hint="eastAsia" w:ascii="宋体" w:hAnsi="宋体" w:cs="宋体"/>
          <w:b/>
          <w:sz w:val="24"/>
          <w:szCs w:val="24"/>
          <w:highlight w:val="none"/>
          <w:lang w:eastAsia="zh-CN"/>
        </w:rPr>
        <w:t xml:space="preserve">车辆</w:t>
      </w:r>
      <w:r>
        <w:rPr>
          <w:rFonts w:hint="eastAsia" w:ascii="宋体" w:hAnsi="宋体" w:cs="宋体"/>
          <w:b/>
          <w:sz w:val="24"/>
          <w:szCs w:val="24"/>
          <w:highlight w:val="none"/>
        </w:rPr>
        <w:t xml:space="preserve">，</w:t>
      </w:r>
      <w:r>
        <w:rPr>
          <w:rFonts w:hint="eastAsia" w:hAnsi="宋体" w:cs="宋体"/>
          <w:b/>
          <w:sz w:val="24"/>
          <w:szCs w:val="24"/>
          <w:highlight w:val="none"/>
        </w:rPr>
        <w:t xml:space="preserve">并上传至投标文件中并电子签章，</w:t>
      </w:r>
      <w:r>
        <w:rPr>
          <w:rFonts w:hint="eastAsia" w:ascii="宋体" w:hAnsi="宋体" w:cs="宋体"/>
          <w:b/>
          <w:bCs/>
          <w:sz w:val="24"/>
          <w:szCs w:val="24"/>
          <w:highlight w:val="none"/>
          <w:lang w:bidi="ar"/>
        </w:rPr>
        <w:t xml:space="preserve">格式自拟），未按要求提供的作无效投标文件处理。</w:t>
      </w:r>
      <w:r>
        <w:rPr>
          <w:rFonts w:hint="eastAsia" w:ascii="宋体" w:hAnsi="宋体" w:cs="宋体"/>
          <w:b/>
          <w:bCs/>
          <w:sz w:val="24"/>
          <w:highlight w:val="none"/>
        </w:rPr>
        <w:t xml:space="preserve">采购人根据招标文件、中标方的投标文件会同行业主管部门在进场作业前进行现场验收，确认后签订合同。中标方最迟于自中标公告发布之日起20天内按要求配齐作业车辆，将作业</w:t>
      </w:r>
      <w:r>
        <w:rPr>
          <w:rFonts w:hint="eastAsia" w:ascii="宋体" w:hAnsi="宋体" w:cs="宋体"/>
          <w:b/>
          <w:bCs/>
          <w:sz w:val="24"/>
          <w:highlight w:val="none"/>
          <w:lang w:eastAsia="zh-CN"/>
        </w:rPr>
        <w:t xml:space="preserve">所有车辆</w:t>
      </w:r>
      <w:r>
        <w:rPr>
          <w:rFonts w:hint="eastAsia" w:ascii="宋体" w:hAnsi="宋体" w:cs="宋体"/>
          <w:b/>
          <w:bCs/>
          <w:sz w:val="24"/>
          <w:highlight w:val="none"/>
        </w:rPr>
        <w:t xml:space="preserve">集中至采购人指定的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cs="宋体"/>
          <w:b/>
          <w:bCs/>
          <w:sz w:val="24"/>
          <w:highlight w:val="none"/>
        </w:rPr>
      </w:r>
      <w:r/>
    </w:p>
    <w:p>
      <w:pPr>
        <w:pStyle w:val="1314"/>
        <w:numPr>
          <w:ilvl w:val="0"/>
          <w:numId w:val="4"/>
        </w:numPr>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采购清单</w:t>
      </w:r>
      <w:r>
        <w:rPr>
          <w:rFonts w:hint="eastAsia" w:ascii="宋体" w:hAnsi="宋体" w:eastAsia="宋体"/>
          <w:b/>
          <w:bCs/>
          <w:color w:val="000000"/>
          <w:sz w:val="24"/>
          <w:szCs w:val="24"/>
          <w:highlight w:val="none"/>
          <w:lang w:val="en-US" w:eastAsia="zh-CN"/>
        </w:rPr>
      </w:r>
      <w:r/>
    </w:p>
    <w:p>
      <w:pPr>
        <w:pStyle w:val="1314"/>
        <w:spacing w:after="0" w:line="360" w:lineRule="auto"/>
        <w:rPr>
          <w:rFonts w:hint="eastAsia" w:ascii="宋体" w:hAnsi="宋体" w:eastAsia="宋体"/>
          <w:b/>
          <w:bCs/>
          <w:color w:val="000000"/>
          <w:sz w:val="24"/>
          <w:szCs w:val="24"/>
          <w:highlight w:val="none"/>
          <w:lang w:val="en-US" w:eastAsia="zh-CN"/>
        </w:rPr>
      </w:pPr>
      <w:r>
        <w:rPr>
          <w:rFonts w:hint="eastAsia" w:hAnsi="宋体"/>
          <w:b/>
          <w:bCs/>
          <w:color w:val="000000"/>
          <w:sz w:val="24"/>
          <w:szCs w:val="24"/>
          <w:highlight w:val="none"/>
          <w:lang w:val="en-US" w:eastAsia="zh-CN"/>
        </w:rPr>
        <w:t xml:space="preserve">东北塘街道新增绿化南部片区项目清单</w:t>
      </w:r>
      <w:r>
        <w:rPr>
          <w:rFonts w:hint="eastAsia" w:ascii="宋体" w:hAnsi="宋体" w:eastAsia="宋体"/>
          <w:b/>
          <w:bCs/>
          <w:color w:val="000000"/>
          <w:sz w:val="24"/>
          <w:szCs w:val="24"/>
          <w:highlight w:val="none"/>
          <w:lang w:val="en-US" w:eastAsia="zh-CN"/>
        </w:rPr>
      </w:r>
      <w:r/>
    </w:p>
    <w:tbl>
      <w:tblPr>
        <w:tblStyle w:val="1378"/>
        <w:tblpPr w:horzAnchor="page" w:tblpXSpec="center" w:vertAnchor="text" w:tblpY="449" w:leftFromText="180" w:topFromText="0" w:rightFromText="180" w:bottomFromText="0"/>
        <w:tblW w:w="5004" w:type="pct"/>
        <w:jc w:val="center"/>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4"/>
        <w:gridCol w:w="3144"/>
        <w:gridCol w:w="2353"/>
        <w:gridCol w:w="1953"/>
      </w:tblGrid>
      <w:tr>
        <w:trPr>
          <w:trHeight w:val="539"/>
        </w:trPr>
        <w:tc>
          <w:tcPr>
            <w:tcW w:w="525" w:type="dxa"/>
            <w:vAlign w:val="center"/>
            <w:textDirection w:val="lrTb"/>
            <w:noWrap w:val="false"/>
          </w:tcPr>
          <w:p>
            <w:pPr>
              <w:pStyle w:val="1377"/>
              <w:jc w:val="center"/>
              <w:spacing w:before="166" w:line="221" w:lineRule="auto"/>
              <w:rPr>
                <w:highlight w:val="none"/>
              </w:rPr>
              <w:framePr w:vAnchor="text" w:hAnchor="page" w:xAlign="center" w:y="449"/>
            </w:pPr>
            <w:r>
              <w:rPr>
                <w:b/>
                <w:bCs/>
                <w:spacing w:val="-5"/>
                <w:highlight w:val="none"/>
              </w:rPr>
              <w:t xml:space="preserve">序号</w:t>
            </w:r>
            <w:r>
              <w:rPr>
                <w:highlight w:val="none"/>
              </w:rPr>
            </w:r>
            <w:r/>
          </w:p>
        </w:tc>
        <w:tc>
          <w:tcPr>
            <w:tcW w:w="1888" w:type="dxa"/>
            <w:vAlign w:val="center"/>
            <w:textDirection w:val="lrTb"/>
            <w:noWrap w:val="false"/>
          </w:tcPr>
          <w:p>
            <w:pPr>
              <w:pStyle w:val="1377"/>
              <w:jc w:val="center"/>
              <w:spacing w:before="166" w:line="220" w:lineRule="auto"/>
              <w:rPr>
                <w:highlight w:val="none"/>
              </w:rPr>
              <w:framePr w:vAnchor="text" w:hAnchor="page" w:xAlign="center" w:y="449"/>
            </w:pPr>
            <w:r>
              <w:rPr>
                <w:b/>
                <w:bCs/>
                <w:spacing w:val="-4"/>
                <w:highlight w:val="none"/>
              </w:rPr>
              <w:t xml:space="preserve">养护路段</w:t>
            </w:r>
            <w:r>
              <w:rPr>
                <w:highlight w:val="none"/>
              </w:rPr>
            </w:r>
            <w:r/>
          </w:p>
        </w:tc>
        <w:tc>
          <w:tcPr>
            <w:tcW w:w="1413" w:type="dxa"/>
            <w:vAlign w:val="center"/>
            <w:textDirection w:val="lrTb"/>
            <w:noWrap w:val="false"/>
          </w:tcPr>
          <w:p>
            <w:pPr>
              <w:pStyle w:val="1377"/>
              <w:jc w:val="center"/>
              <w:spacing w:before="166" w:line="220" w:lineRule="auto"/>
              <w:rPr>
                <w:highlight w:val="none"/>
              </w:rPr>
              <w:framePr w:vAnchor="text" w:hAnchor="page" w:xAlign="center" w:y="449"/>
            </w:pPr>
            <w:r>
              <w:rPr>
                <w:b/>
                <w:bCs/>
                <w:spacing w:val="-4"/>
                <w:highlight w:val="none"/>
              </w:rPr>
              <w:t xml:space="preserve">养护标准</w:t>
            </w:r>
            <w:r>
              <w:rPr>
                <w:highlight w:val="none"/>
              </w:rPr>
            </w:r>
            <w:r/>
          </w:p>
        </w:tc>
        <w:tc>
          <w:tcPr>
            <w:tcW w:w="1173" w:type="dxa"/>
            <w:vAlign w:val="center"/>
            <w:textDirection w:val="lrTb"/>
            <w:noWrap w:val="false"/>
          </w:tcPr>
          <w:p>
            <w:pPr>
              <w:pStyle w:val="1377"/>
              <w:jc w:val="center"/>
              <w:spacing w:before="167" w:line="220" w:lineRule="auto"/>
              <w:rPr>
                <w:highlight w:val="none"/>
              </w:rPr>
              <w:framePr w:vAnchor="text" w:hAnchor="page" w:xAlign="center" w:y="449"/>
            </w:pPr>
            <w:r>
              <w:rPr>
                <w:b/>
                <w:bCs/>
                <w:spacing w:val="-6"/>
                <w:highlight w:val="none"/>
              </w:rPr>
              <w:t xml:space="preserve">面积（㎡）</w:t>
            </w:r>
            <w:r>
              <w:rPr>
                <w:highlight w:val="none"/>
              </w:rPr>
            </w:r>
            <w:r/>
          </w:p>
        </w:tc>
      </w:tr>
      <w:tr>
        <w:trPr>
          <w:trHeight w:val="539"/>
        </w:trPr>
        <w:tc>
          <w:tcPr>
            <w:tcW w:w="525" w:type="dxa"/>
            <w:vAlign w:val="center"/>
            <w:textDirection w:val="lrTb"/>
            <w:noWrap w:val="false"/>
          </w:tcPr>
          <w:p>
            <w:pPr>
              <w:pStyle w:val="1377"/>
              <w:jc w:val="center"/>
              <w:spacing w:before="206" w:line="182" w:lineRule="auto"/>
              <w:rPr>
                <w:highlight w:val="none"/>
              </w:rPr>
              <w:framePr w:vAnchor="text" w:hAnchor="page" w:xAlign="center" w:y="449"/>
            </w:pPr>
            <w:r>
              <w:rPr>
                <w:highlight w:val="none"/>
              </w:rPr>
              <w:t xml:space="preserve">1</w:t>
            </w:r>
            <w:r>
              <w:rPr>
                <w:highlight w:val="none"/>
              </w:rPr>
            </w:r>
            <w:r/>
          </w:p>
        </w:tc>
        <w:tc>
          <w:tcPr>
            <w:tcW w:w="1888" w:type="dxa"/>
            <w:vAlign w:val="center"/>
            <w:textDirection w:val="lrTb"/>
            <w:noWrap w:val="false"/>
          </w:tcPr>
          <w:p>
            <w:pPr>
              <w:pStyle w:val="1377"/>
              <w:jc w:val="center"/>
              <w:spacing w:before="167" w:line="221" w:lineRule="auto"/>
              <w:rPr>
                <w:highlight w:val="none"/>
              </w:rPr>
              <w:framePr w:vAnchor="text" w:hAnchor="page" w:xAlign="center" w:y="449"/>
            </w:pPr>
            <w:r>
              <w:rPr>
                <w:spacing w:val="-3"/>
                <w:highlight w:val="none"/>
              </w:rPr>
              <w:t xml:space="preserve">裕巷浜</w:t>
            </w:r>
            <w:r>
              <w:rPr>
                <w:highlight w:val="none"/>
              </w:rPr>
            </w:r>
            <w:r/>
          </w:p>
        </w:tc>
        <w:tc>
          <w:tcPr>
            <w:tcW w:w="1413" w:type="dxa"/>
            <w:vAlign w:val="center"/>
            <w:textDirection w:val="lrTb"/>
            <w:noWrap w:val="false"/>
          </w:tcPr>
          <w:p>
            <w:pPr>
              <w:pStyle w:val="1377"/>
              <w:jc w:val="center"/>
              <w:spacing w:before="166" w:line="220" w:lineRule="auto"/>
              <w:rPr>
                <w:highlight w:val="none"/>
              </w:rPr>
              <w:framePr w:vAnchor="text" w:hAnchor="page" w:xAlign="center" w:y="449"/>
            </w:pPr>
            <w:r>
              <w:rPr>
                <w:spacing w:val="-3"/>
                <w:highlight w:val="none"/>
              </w:rPr>
              <w:t xml:space="preserve">二级养护</w:t>
            </w:r>
            <w:r>
              <w:rPr>
                <w:highlight w:val="none"/>
              </w:rPr>
            </w:r>
            <w:r/>
          </w:p>
        </w:tc>
        <w:tc>
          <w:tcPr>
            <w:tcW w:w="1173" w:type="dxa"/>
            <w:vAlign w:val="center"/>
            <w:textDirection w:val="lrTb"/>
            <w:noWrap w:val="false"/>
          </w:tcPr>
          <w:p>
            <w:pPr>
              <w:pStyle w:val="1377"/>
              <w:jc w:val="center"/>
              <w:spacing w:before="206" w:line="182" w:lineRule="auto"/>
              <w:rPr>
                <w:highlight w:val="none"/>
              </w:rPr>
              <w:framePr w:vAnchor="text" w:hAnchor="page" w:xAlign="center" w:y="449"/>
            </w:pPr>
            <w:r>
              <w:rPr>
                <w:spacing w:val="-2"/>
                <w:highlight w:val="none"/>
              </w:rPr>
              <w:t xml:space="preserve">8631.25</w:t>
            </w:r>
            <w:r>
              <w:rPr>
                <w:highlight w:val="none"/>
              </w:rPr>
            </w:r>
            <w:r/>
          </w:p>
        </w:tc>
      </w:tr>
      <w:tr>
        <w:trPr>
          <w:trHeight w:val="539"/>
        </w:trPr>
        <w:tc>
          <w:tcPr>
            <w:tcW w:w="525" w:type="dxa"/>
            <w:vAlign w:val="center"/>
            <w:textDirection w:val="lrTb"/>
            <w:noWrap w:val="false"/>
          </w:tcPr>
          <w:p>
            <w:pPr>
              <w:pStyle w:val="1377"/>
              <w:jc w:val="center"/>
              <w:spacing w:before="208" w:line="181" w:lineRule="auto"/>
              <w:rPr>
                <w:highlight w:val="none"/>
              </w:rPr>
              <w:framePr w:vAnchor="text" w:hAnchor="page" w:xAlign="center" w:y="449"/>
            </w:pPr>
            <w:r>
              <w:rPr>
                <w:highlight w:val="none"/>
              </w:rPr>
              <w:t xml:space="preserve">2</w:t>
            </w:r>
            <w:r>
              <w:rPr>
                <w:highlight w:val="none"/>
              </w:rPr>
            </w:r>
            <w:r/>
          </w:p>
        </w:tc>
        <w:tc>
          <w:tcPr>
            <w:tcW w:w="1888" w:type="dxa"/>
            <w:vAlign w:val="center"/>
            <w:textDirection w:val="lrTb"/>
            <w:noWrap w:val="false"/>
          </w:tcPr>
          <w:p>
            <w:pPr>
              <w:pStyle w:val="1377"/>
              <w:jc w:val="center"/>
              <w:spacing w:before="167" w:line="221" w:lineRule="auto"/>
              <w:rPr>
                <w:highlight w:val="none"/>
              </w:rPr>
              <w:framePr w:vAnchor="text" w:hAnchor="page" w:xAlign="center" w:y="449"/>
            </w:pPr>
            <w:r>
              <w:rPr>
                <w:spacing w:val="-4"/>
                <w:highlight w:val="none"/>
              </w:rPr>
              <w:t xml:space="preserve">小庄浜</w:t>
            </w:r>
            <w:r>
              <w:rPr>
                <w:highlight w:val="none"/>
              </w:rPr>
            </w:r>
            <w:r/>
          </w:p>
        </w:tc>
        <w:tc>
          <w:tcPr>
            <w:tcW w:w="1413" w:type="dxa"/>
            <w:vAlign w:val="center"/>
            <w:textDirection w:val="lrTb"/>
            <w:noWrap w:val="false"/>
          </w:tcPr>
          <w:p>
            <w:pPr>
              <w:pStyle w:val="1377"/>
              <w:jc w:val="center"/>
              <w:spacing w:before="167" w:line="220" w:lineRule="auto"/>
              <w:rPr>
                <w:highlight w:val="none"/>
              </w:rPr>
              <w:framePr w:vAnchor="text" w:hAnchor="page" w:xAlign="center" w:y="449"/>
            </w:pPr>
            <w:r>
              <w:rPr>
                <w:spacing w:val="-3"/>
                <w:highlight w:val="none"/>
              </w:rPr>
              <w:t xml:space="preserve">二级养护</w:t>
            </w:r>
            <w:r>
              <w:rPr>
                <w:highlight w:val="none"/>
              </w:rPr>
            </w:r>
            <w:r/>
          </w:p>
        </w:tc>
        <w:tc>
          <w:tcPr>
            <w:tcW w:w="1173" w:type="dxa"/>
            <w:vAlign w:val="center"/>
            <w:textDirection w:val="lrTb"/>
            <w:noWrap w:val="false"/>
          </w:tcPr>
          <w:p>
            <w:pPr>
              <w:pStyle w:val="1377"/>
              <w:jc w:val="center"/>
              <w:spacing w:before="206" w:line="182" w:lineRule="auto"/>
              <w:rPr>
                <w:highlight w:val="none"/>
              </w:rPr>
              <w:framePr w:vAnchor="text" w:hAnchor="page" w:xAlign="center" w:y="449"/>
            </w:pPr>
            <w:r>
              <w:rPr>
                <w:spacing w:val="-2"/>
                <w:highlight w:val="none"/>
              </w:rPr>
              <w:t xml:space="preserve">31062.5</w:t>
            </w:r>
            <w:r>
              <w:rPr>
                <w:highlight w:val="none"/>
              </w:rPr>
            </w:r>
            <w:r/>
          </w:p>
        </w:tc>
      </w:tr>
      <w:tr>
        <w:trPr>
          <w:trHeight w:val="539"/>
        </w:trPr>
        <w:tc>
          <w:tcPr>
            <w:tcW w:w="525" w:type="dxa"/>
            <w:vAlign w:val="center"/>
            <w:textDirection w:val="lrTb"/>
            <w:noWrap w:val="false"/>
          </w:tcPr>
          <w:p>
            <w:pPr>
              <w:pStyle w:val="1377"/>
              <w:jc w:val="center"/>
              <w:spacing w:before="208" w:line="181" w:lineRule="auto"/>
              <w:rPr>
                <w:highlight w:val="none"/>
              </w:rPr>
              <w:framePr w:vAnchor="text" w:hAnchor="page" w:xAlign="center" w:y="449"/>
            </w:pPr>
            <w:r>
              <w:rPr>
                <w:highlight w:val="none"/>
              </w:rPr>
              <w:t xml:space="preserve">3</w:t>
            </w:r>
            <w:r>
              <w:rPr>
                <w:highlight w:val="none"/>
              </w:rPr>
            </w:r>
            <w:r/>
          </w:p>
        </w:tc>
        <w:tc>
          <w:tcPr>
            <w:tcW w:w="1888" w:type="dxa"/>
            <w:vAlign w:val="center"/>
            <w:textDirection w:val="lrTb"/>
            <w:noWrap w:val="false"/>
          </w:tcPr>
          <w:p>
            <w:pPr>
              <w:pStyle w:val="1377"/>
              <w:jc w:val="center"/>
              <w:spacing w:before="168" w:line="220" w:lineRule="auto"/>
              <w:rPr>
                <w:highlight w:val="none"/>
              </w:rPr>
              <w:framePr w:vAnchor="text" w:hAnchor="page" w:xAlign="center" w:y="449"/>
            </w:pPr>
            <w:r>
              <w:rPr>
                <w:spacing w:val="-2"/>
                <w:highlight w:val="none"/>
              </w:rPr>
              <w:t xml:space="preserve">顾家庄浜</w:t>
            </w:r>
            <w:r>
              <w:rPr>
                <w:highlight w:val="none"/>
              </w:rPr>
            </w:r>
            <w:r/>
          </w:p>
        </w:tc>
        <w:tc>
          <w:tcPr>
            <w:tcW w:w="1413" w:type="dxa"/>
            <w:vAlign w:val="center"/>
            <w:textDirection w:val="lrTb"/>
            <w:noWrap w:val="false"/>
          </w:tcPr>
          <w:p>
            <w:pPr>
              <w:pStyle w:val="1377"/>
              <w:jc w:val="center"/>
              <w:spacing w:before="167" w:line="220" w:lineRule="auto"/>
              <w:rPr>
                <w:highlight w:val="none"/>
              </w:rPr>
              <w:framePr w:vAnchor="text" w:hAnchor="page" w:xAlign="center" w:y="449"/>
            </w:pPr>
            <w:r>
              <w:rPr>
                <w:spacing w:val="-3"/>
                <w:highlight w:val="none"/>
              </w:rPr>
              <w:t xml:space="preserve">二级养护</w:t>
            </w:r>
            <w:r>
              <w:rPr>
                <w:highlight w:val="none"/>
              </w:rPr>
            </w:r>
            <w:r/>
          </w:p>
        </w:tc>
        <w:tc>
          <w:tcPr>
            <w:tcW w:w="1173" w:type="dxa"/>
            <w:vAlign w:val="center"/>
            <w:textDirection w:val="lrTb"/>
            <w:noWrap w:val="false"/>
          </w:tcPr>
          <w:p>
            <w:pPr>
              <w:pStyle w:val="1377"/>
              <w:jc w:val="center"/>
              <w:spacing w:before="208" w:line="181" w:lineRule="auto"/>
              <w:rPr>
                <w:highlight w:val="none"/>
              </w:rPr>
              <w:framePr w:vAnchor="text" w:hAnchor="page" w:xAlign="center" w:y="449"/>
            </w:pPr>
            <w:r>
              <w:rPr>
                <w:spacing w:val="-2"/>
                <w:highlight w:val="none"/>
              </w:rPr>
              <w:t xml:space="preserve">5602.5</w:t>
            </w:r>
            <w:r>
              <w:rPr>
                <w:highlight w:val="none"/>
              </w:rPr>
            </w:r>
            <w:r/>
          </w:p>
        </w:tc>
      </w:tr>
      <w:tr>
        <w:trPr>
          <w:trHeight w:val="539"/>
        </w:trPr>
        <w:tc>
          <w:tcPr>
            <w:tcW w:w="525" w:type="dxa"/>
            <w:vAlign w:val="center"/>
            <w:textDirection w:val="lrTb"/>
            <w:noWrap w:val="false"/>
          </w:tcPr>
          <w:p>
            <w:pPr>
              <w:pStyle w:val="1377"/>
              <w:jc w:val="center"/>
              <w:spacing w:before="209" w:line="181" w:lineRule="auto"/>
              <w:rPr>
                <w:highlight w:val="none"/>
              </w:rPr>
              <w:framePr w:vAnchor="text" w:hAnchor="page" w:xAlign="center" w:y="449"/>
            </w:pPr>
            <w:r>
              <w:rPr>
                <w:highlight w:val="none"/>
              </w:rPr>
              <w:t xml:space="preserve">4</w:t>
            </w:r>
            <w:r>
              <w:rPr>
                <w:highlight w:val="none"/>
              </w:rPr>
            </w:r>
            <w:r/>
          </w:p>
        </w:tc>
        <w:tc>
          <w:tcPr>
            <w:tcW w:w="1888" w:type="dxa"/>
            <w:vAlign w:val="center"/>
            <w:textDirection w:val="lrTb"/>
            <w:noWrap w:val="false"/>
          </w:tcPr>
          <w:p>
            <w:pPr>
              <w:pStyle w:val="1377"/>
              <w:jc w:val="center"/>
              <w:spacing w:before="168" w:line="221" w:lineRule="auto"/>
              <w:rPr>
                <w:highlight w:val="none"/>
              </w:rPr>
              <w:framePr w:vAnchor="text" w:hAnchor="page" w:xAlign="center" w:y="449"/>
            </w:pPr>
            <w:r>
              <w:rPr>
                <w:spacing w:val="-3"/>
                <w:highlight w:val="none"/>
              </w:rPr>
              <w:t xml:space="preserve">方巷浜</w:t>
            </w:r>
            <w:r>
              <w:rPr>
                <w:highlight w:val="none"/>
              </w:rPr>
            </w:r>
            <w:r/>
          </w:p>
        </w:tc>
        <w:tc>
          <w:tcPr>
            <w:tcW w:w="1413" w:type="dxa"/>
            <w:vAlign w:val="center"/>
            <w:textDirection w:val="lrTb"/>
            <w:noWrap w:val="false"/>
          </w:tcPr>
          <w:p>
            <w:pPr>
              <w:pStyle w:val="1377"/>
              <w:jc w:val="center"/>
              <w:spacing w:before="168" w:line="220" w:lineRule="auto"/>
              <w:rPr>
                <w:highlight w:val="none"/>
              </w:rPr>
              <w:framePr w:vAnchor="text" w:hAnchor="page" w:xAlign="center" w:y="449"/>
            </w:pPr>
            <w:r>
              <w:rPr>
                <w:spacing w:val="-3"/>
                <w:highlight w:val="none"/>
              </w:rPr>
              <w:t xml:space="preserve">二级养护</w:t>
            </w:r>
            <w:r>
              <w:rPr>
                <w:highlight w:val="none"/>
              </w:rPr>
            </w:r>
            <w:r/>
          </w:p>
        </w:tc>
        <w:tc>
          <w:tcPr>
            <w:tcW w:w="1173" w:type="dxa"/>
            <w:vAlign w:val="center"/>
            <w:textDirection w:val="lrTb"/>
            <w:noWrap w:val="false"/>
          </w:tcPr>
          <w:p>
            <w:pPr>
              <w:pStyle w:val="1377"/>
              <w:jc w:val="center"/>
              <w:spacing w:before="209" w:line="181" w:lineRule="auto"/>
              <w:rPr>
                <w:highlight w:val="none"/>
              </w:rPr>
              <w:framePr w:vAnchor="text" w:hAnchor="page" w:xAlign="center" w:y="449"/>
            </w:pPr>
            <w:r>
              <w:rPr>
                <w:spacing w:val="-2"/>
                <w:highlight w:val="none"/>
              </w:rPr>
              <w:t xml:space="preserve">23450</w:t>
            </w:r>
            <w:r>
              <w:rPr>
                <w:highlight w:val="none"/>
              </w:rPr>
            </w:r>
            <w:r/>
          </w:p>
        </w:tc>
      </w:tr>
      <w:tr>
        <w:trPr>
          <w:trHeight w:val="539"/>
        </w:trPr>
        <w:tc>
          <w:tcPr>
            <w:tcW w:w="525" w:type="dxa"/>
            <w:vAlign w:val="center"/>
            <w:textDirection w:val="lrTb"/>
            <w:noWrap w:val="false"/>
          </w:tcPr>
          <w:p>
            <w:pPr>
              <w:pStyle w:val="1377"/>
              <w:jc w:val="center"/>
              <w:spacing w:before="211" w:line="180" w:lineRule="auto"/>
              <w:rPr>
                <w:highlight w:val="none"/>
              </w:rPr>
              <w:framePr w:vAnchor="text" w:hAnchor="page" w:xAlign="center" w:y="449"/>
            </w:pPr>
            <w:r>
              <w:rPr>
                <w:highlight w:val="none"/>
              </w:rPr>
              <w:t xml:space="preserve">5</w:t>
            </w:r>
            <w:r>
              <w:rPr>
                <w:highlight w:val="none"/>
              </w:rPr>
            </w:r>
            <w:r/>
          </w:p>
        </w:tc>
        <w:tc>
          <w:tcPr>
            <w:tcW w:w="1888" w:type="dxa"/>
            <w:vAlign w:val="center"/>
            <w:textDirection w:val="lrTb"/>
            <w:noWrap w:val="false"/>
          </w:tcPr>
          <w:p>
            <w:pPr>
              <w:pStyle w:val="1377"/>
              <w:jc w:val="center"/>
              <w:spacing w:before="168" w:line="220" w:lineRule="auto"/>
              <w:rPr>
                <w:highlight w:val="none"/>
              </w:rPr>
              <w:framePr w:vAnchor="text" w:hAnchor="page" w:xAlign="center" w:y="449"/>
            </w:pPr>
            <w:r>
              <w:rPr>
                <w:spacing w:val="-3"/>
                <w:highlight w:val="none"/>
              </w:rPr>
              <w:t xml:space="preserve">东旺路（东政路-芙蓉四路两侧）</w:t>
            </w:r>
            <w:r>
              <w:rPr>
                <w:highlight w:val="none"/>
              </w:rPr>
            </w:r>
            <w:r/>
          </w:p>
        </w:tc>
        <w:tc>
          <w:tcPr>
            <w:tcW w:w="1413" w:type="dxa"/>
            <w:vAlign w:val="center"/>
            <w:textDirection w:val="lrTb"/>
            <w:noWrap w:val="false"/>
          </w:tcPr>
          <w:p>
            <w:pPr>
              <w:pStyle w:val="1377"/>
              <w:jc w:val="center"/>
              <w:spacing w:before="168" w:line="220" w:lineRule="auto"/>
              <w:rPr>
                <w:highlight w:val="none"/>
              </w:rPr>
              <w:framePr w:vAnchor="text" w:hAnchor="page" w:xAlign="center" w:y="449"/>
            </w:pPr>
            <w:r>
              <w:rPr>
                <w:spacing w:val="-4"/>
                <w:highlight w:val="none"/>
              </w:rPr>
              <w:t xml:space="preserve">一级养护</w:t>
            </w:r>
            <w:r>
              <w:rPr>
                <w:highlight w:val="none"/>
              </w:rPr>
            </w:r>
            <w:r/>
          </w:p>
        </w:tc>
        <w:tc>
          <w:tcPr>
            <w:tcW w:w="1173" w:type="dxa"/>
            <w:vAlign w:val="center"/>
            <w:textDirection w:val="lrTb"/>
            <w:noWrap w:val="false"/>
          </w:tcPr>
          <w:p>
            <w:pPr>
              <w:pStyle w:val="1377"/>
              <w:jc w:val="center"/>
              <w:spacing w:before="210" w:line="181" w:lineRule="auto"/>
              <w:rPr>
                <w:highlight w:val="none"/>
              </w:rPr>
              <w:framePr w:vAnchor="text" w:hAnchor="page" w:xAlign="center" w:y="449"/>
            </w:pPr>
            <w:r>
              <w:rPr>
                <w:spacing w:val="-2"/>
                <w:highlight w:val="none"/>
              </w:rPr>
              <w:t xml:space="preserve">8000</w:t>
            </w:r>
            <w:r>
              <w:rPr>
                <w:highlight w:val="none"/>
              </w:rPr>
            </w:r>
            <w:r/>
          </w:p>
        </w:tc>
      </w:tr>
      <w:tr>
        <w:trPr>
          <w:trHeight w:val="539"/>
        </w:trPr>
        <w:tc>
          <w:tcPr>
            <w:tcW w:w="525" w:type="dxa"/>
            <w:vAlign w:val="center"/>
            <w:textDirection w:val="lrTb"/>
            <w:noWrap w:val="false"/>
          </w:tcPr>
          <w:p>
            <w:pPr>
              <w:pStyle w:val="1377"/>
              <w:jc w:val="center"/>
              <w:spacing w:before="210" w:line="181" w:lineRule="auto"/>
              <w:rPr>
                <w:highlight w:val="none"/>
              </w:rPr>
              <w:framePr w:vAnchor="text" w:hAnchor="page" w:xAlign="center" w:y="449"/>
            </w:pPr>
            <w:r>
              <w:rPr>
                <w:highlight w:val="none"/>
              </w:rPr>
              <w:t xml:space="preserve">6</w:t>
            </w:r>
            <w:r>
              <w:rPr>
                <w:highlight w:val="none"/>
              </w:rPr>
            </w:r>
            <w:r/>
          </w:p>
        </w:tc>
        <w:tc>
          <w:tcPr>
            <w:tcW w:w="1888" w:type="dxa"/>
            <w:vAlign w:val="center"/>
            <w:textDirection w:val="lrTb"/>
            <w:noWrap w:val="false"/>
          </w:tcPr>
          <w:p>
            <w:pPr>
              <w:pStyle w:val="1377"/>
              <w:jc w:val="center"/>
              <w:spacing w:before="169" w:line="220" w:lineRule="auto"/>
              <w:rPr>
                <w:highlight w:val="none"/>
              </w:rPr>
              <w:framePr w:vAnchor="text" w:hAnchor="page" w:xAlign="center" w:y="449"/>
            </w:pPr>
            <w:r>
              <w:rPr>
                <w:spacing w:val="-2"/>
                <w:highlight w:val="none"/>
              </w:rPr>
              <w:t xml:space="preserve">承塘路（</w:t>
            </w:r>
            <w:r>
              <w:rPr>
                <w:rFonts w:hint="eastAsia"/>
                <w:spacing w:val="-2"/>
                <w:highlight w:val="none"/>
                <w:lang w:eastAsia="zh-CN"/>
              </w:rPr>
              <w:t xml:space="preserve">东蕾苑西侧</w:t>
            </w:r>
            <w:r>
              <w:rPr>
                <w:spacing w:val="-2"/>
                <w:highlight w:val="none"/>
              </w:rPr>
              <w:t xml:space="preserve">）</w:t>
            </w:r>
            <w:r>
              <w:rPr>
                <w:highlight w:val="none"/>
              </w:rPr>
            </w:r>
            <w:r/>
          </w:p>
        </w:tc>
        <w:tc>
          <w:tcPr>
            <w:tcW w:w="1413" w:type="dxa"/>
            <w:vAlign w:val="center"/>
            <w:textDirection w:val="lrTb"/>
            <w:noWrap w:val="false"/>
          </w:tcPr>
          <w:p>
            <w:pPr>
              <w:pStyle w:val="1377"/>
              <w:jc w:val="center"/>
              <w:spacing w:before="169" w:line="220" w:lineRule="auto"/>
              <w:rPr>
                <w:highlight w:val="none"/>
              </w:rPr>
              <w:framePr w:vAnchor="text" w:hAnchor="page" w:xAlign="center" w:y="449"/>
            </w:pPr>
            <w:r>
              <w:rPr>
                <w:spacing w:val="-4"/>
                <w:highlight w:val="none"/>
              </w:rPr>
              <w:t xml:space="preserve">一级养护</w:t>
            </w:r>
            <w:r>
              <w:rPr>
                <w:highlight w:val="none"/>
              </w:rPr>
            </w:r>
            <w:r/>
          </w:p>
        </w:tc>
        <w:tc>
          <w:tcPr>
            <w:tcW w:w="1173" w:type="dxa"/>
            <w:vAlign w:val="center"/>
            <w:textDirection w:val="lrTb"/>
            <w:noWrap w:val="false"/>
          </w:tcPr>
          <w:p>
            <w:pPr>
              <w:pStyle w:val="1377"/>
              <w:jc w:val="center"/>
              <w:spacing w:before="209" w:line="182" w:lineRule="auto"/>
              <w:rPr>
                <w:highlight w:val="none"/>
              </w:rPr>
              <w:framePr w:vAnchor="text" w:hAnchor="page" w:xAlign="center" w:y="449"/>
            </w:pPr>
            <w:r>
              <w:rPr>
                <w:spacing w:val="-2"/>
                <w:highlight w:val="none"/>
              </w:rPr>
              <w:t xml:space="preserve">4124.2</w:t>
            </w:r>
            <w:r>
              <w:rPr>
                <w:highlight w:val="none"/>
              </w:rPr>
            </w:r>
            <w:r/>
          </w:p>
        </w:tc>
      </w:tr>
      <w:tr>
        <w:trPr>
          <w:trHeight w:val="539"/>
        </w:trPr>
        <w:tc>
          <w:tcPr>
            <w:tcW w:w="525" w:type="dxa"/>
            <w:vAlign w:val="center"/>
            <w:textDirection w:val="lrTb"/>
            <w:noWrap w:val="false"/>
          </w:tcPr>
          <w:p>
            <w:pPr>
              <w:pStyle w:val="1377"/>
              <w:jc w:val="center"/>
              <w:spacing w:before="212" w:line="180" w:lineRule="auto"/>
              <w:rPr>
                <w:highlight w:val="none"/>
              </w:rPr>
              <w:framePr w:vAnchor="text" w:hAnchor="page" w:xAlign="center" w:y="449"/>
            </w:pPr>
            <w:r>
              <w:rPr>
                <w:highlight w:val="none"/>
              </w:rPr>
              <w:t xml:space="preserve">7</w:t>
            </w:r>
            <w:r>
              <w:rPr>
                <w:highlight w:val="none"/>
              </w:rPr>
            </w:r>
            <w:r/>
          </w:p>
        </w:tc>
        <w:tc>
          <w:tcPr>
            <w:tcW w:w="1888" w:type="dxa"/>
            <w:vAlign w:val="center"/>
            <w:textDirection w:val="lrTb"/>
            <w:noWrap w:val="false"/>
          </w:tcPr>
          <w:p>
            <w:pPr>
              <w:pStyle w:val="1377"/>
              <w:jc w:val="center"/>
              <w:spacing w:before="169" w:line="220" w:lineRule="auto"/>
              <w:rPr>
                <w:highlight w:val="none"/>
              </w:rPr>
              <w:framePr w:vAnchor="text" w:hAnchor="page" w:xAlign="center" w:y="449"/>
            </w:pPr>
            <w:r>
              <w:rPr>
                <w:spacing w:val="-2"/>
                <w:highlight w:val="none"/>
              </w:rPr>
              <w:t xml:space="preserve">艳阳路（</w:t>
            </w:r>
            <w:r>
              <w:rPr>
                <w:rFonts w:hint="eastAsia"/>
                <w:spacing w:val="-2"/>
                <w:highlight w:val="none"/>
                <w:lang w:eastAsia="zh-CN"/>
              </w:rPr>
              <w:t xml:space="preserve">东蕾苑北</w:t>
            </w:r>
            <w:r>
              <w:rPr>
                <w:spacing w:val="-2"/>
                <w:highlight w:val="none"/>
              </w:rPr>
              <w:t xml:space="preserve">侧）</w:t>
            </w:r>
            <w:r>
              <w:rPr>
                <w:highlight w:val="none"/>
              </w:rPr>
            </w:r>
            <w:r/>
          </w:p>
        </w:tc>
        <w:tc>
          <w:tcPr>
            <w:tcW w:w="1413" w:type="dxa"/>
            <w:vAlign w:val="center"/>
            <w:textDirection w:val="lrTb"/>
            <w:noWrap w:val="false"/>
          </w:tcPr>
          <w:p>
            <w:pPr>
              <w:pStyle w:val="1377"/>
              <w:jc w:val="center"/>
              <w:spacing w:before="169" w:line="220" w:lineRule="auto"/>
              <w:rPr>
                <w:highlight w:val="none"/>
              </w:rPr>
              <w:framePr w:vAnchor="text" w:hAnchor="page" w:xAlign="center" w:y="449"/>
            </w:pPr>
            <w:r>
              <w:rPr>
                <w:spacing w:val="-4"/>
                <w:highlight w:val="none"/>
              </w:rPr>
              <w:t xml:space="preserve">一级养护</w:t>
            </w:r>
            <w:r>
              <w:rPr>
                <w:highlight w:val="none"/>
              </w:rPr>
            </w:r>
            <w:r/>
          </w:p>
        </w:tc>
        <w:tc>
          <w:tcPr>
            <w:tcW w:w="1173" w:type="dxa"/>
            <w:vAlign w:val="center"/>
            <w:textDirection w:val="lrTb"/>
            <w:noWrap w:val="false"/>
          </w:tcPr>
          <w:p>
            <w:pPr>
              <w:pStyle w:val="1377"/>
              <w:jc w:val="center"/>
              <w:spacing w:before="210" w:line="181" w:lineRule="auto"/>
              <w:rPr>
                <w:highlight w:val="none"/>
              </w:rPr>
              <w:framePr w:vAnchor="text" w:hAnchor="page" w:xAlign="center" w:y="449"/>
            </w:pPr>
            <w:r>
              <w:rPr>
                <w:spacing w:val="-2"/>
                <w:highlight w:val="none"/>
              </w:rPr>
              <w:t xml:space="preserve">4947.9</w:t>
            </w:r>
            <w:r>
              <w:rPr>
                <w:highlight w:val="none"/>
              </w:rPr>
            </w:r>
            <w:r/>
          </w:p>
        </w:tc>
      </w:tr>
      <w:tr>
        <w:trPr>
          <w:trHeight w:val="539"/>
        </w:trPr>
        <w:tc>
          <w:tcPr>
            <w:tcW w:w="525" w:type="dxa"/>
            <w:vAlign w:val="center"/>
            <w:textDirection w:val="lrTb"/>
            <w:noWrap w:val="false"/>
          </w:tcPr>
          <w:p>
            <w:pPr>
              <w:pStyle w:val="1377"/>
              <w:jc w:val="center"/>
              <w:spacing w:before="210" w:line="181" w:lineRule="auto"/>
              <w:rPr>
                <w:highlight w:val="none"/>
              </w:rPr>
              <w:framePr w:vAnchor="text" w:hAnchor="page" w:xAlign="center" w:y="449"/>
            </w:pPr>
            <w:r>
              <w:rPr>
                <w:highlight w:val="none"/>
              </w:rPr>
              <w:t xml:space="preserve">8</w:t>
            </w:r>
            <w:r>
              <w:rPr>
                <w:highlight w:val="none"/>
              </w:rPr>
            </w:r>
            <w:r/>
          </w:p>
        </w:tc>
        <w:tc>
          <w:tcPr>
            <w:tcW w:w="1888"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方渔路</w:t>
            </w:r>
            <w:r>
              <w:rPr>
                <w:highlight w:val="none"/>
                <w:lang w:val="en-US" w:eastAsia="zh-CN"/>
              </w:rPr>
            </w:r>
            <w:r/>
          </w:p>
        </w:tc>
        <w:tc>
          <w:tcPr>
            <w:tcW w:w="1413" w:type="dxa"/>
            <w:vAlign w:val="center"/>
            <w:textDirection w:val="lrTb"/>
            <w:noWrap w:val="false"/>
          </w:tcPr>
          <w:p>
            <w:pPr>
              <w:pStyle w:val="1377"/>
              <w:jc w:val="center"/>
              <w:spacing w:before="210" w:line="181" w:lineRule="auto"/>
              <w:rPr>
                <w:highlight w:val="none"/>
              </w:rPr>
              <w:framePr w:vAnchor="text" w:hAnchor="page" w:xAlign="center" w:y="449"/>
            </w:pPr>
            <w:r>
              <w:rPr>
                <w:highlight w:val="none"/>
              </w:rPr>
              <w:t xml:space="preserve">一级养护</w:t>
            </w:r>
            <w:r>
              <w:rPr>
                <w:highlight w:val="none"/>
              </w:rPr>
            </w:r>
            <w:r/>
          </w:p>
        </w:tc>
        <w:tc>
          <w:tcPr>
            <w:tcW w:w="1173"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11465.56</w:t>
            </w:r>
            <w:r>
              <w:rPr>
                <w:highlight w:val="none"/>
                <w:lang w:val="en-US" w:eastAsia="zh-CN"/>
              </w:rPr>
            </w:r>
            <w:r/>
          </w:p>
        </w:tc>
      </w:tr>
      <w:tr>
        <w:trPr>
          <w:trHeight w:val="539"/>
        </w:trPr>
        <w:tc>
          <w:tcPr>
            <w:tcW w:w="525" w:type="dxa"/>
            <w:vAlign w:val="center"/>
            <w:textDirection w:val="lrTb"/>
            <w:noWrap w:val="false"/>
          </w:tcPr>
          <w:p>
            <w:pPr>
              <w:pStyle w:val="1377"/>
              <w:jc w:val="center"/>
              <w:spacing w:before="210" w:line="181" w:lineRule="auto"/>
              <w:rPr>
                <w:rFonts w:hint="eastAsia"/>
                <w:highlight w:val="none"/>
                <w:lang w:val="en-US" w:eastAsia="zh-CN"/>
              </w:rPr>
              <w:framePr w:vAnchor="text" w:hAnchor="page" w:xAlign="center" w:y="449"/>
            </w:pPr>
            <w:r>
              <w:rPr>
                <w:rFonts w:hint="eastAsia"/>
                <w:highlight w:val="none"/>
                <w:lang w:val="en-US" w:eastAsia="zh-CN"/>
              </w:rPr>
              <w:t xml:space="preserve">9</w:t>
            </w:r>
            <w:r>
              <w:rPr>
                <w:rFonts w:hint="eastAsia"/>
                <w:highlight w:val="none"/>
                <w:lang w:val="en-US" w:eastAsia="zh-CN"/>
              </w:rPr>
            </w:r>
            <w:r/>
          </w:p>
        </w:tc>
        <w:tc>
          <w:tcPr>
            <w:tcW w:w="1888"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诚毅路</w:t>
            </w:r>
            <w:r>
              <w:rPr>
                <w:highlight w:val="none"/>
                <w:lang w:val="en-US" w:eastAsia="zh-CN"/>
              </w:rPr>
            </w:r>
            <w:r/>
          </w:p>
        </w:tc>
        <w:tc>
          <w:tcPr>
            <w:tcW w:w="1413" w:type="dxa"/>
            <w:vAlign w:val="center"/>
            <w:textDirection w:val="lrTb"/>
            <w:noWrap w:val="false"/>
          </w:tcPr>
          <w:p>
            <w:pPr>
              <w:pStyle w:val="1377"/>
              <w:jc w:val="center"/>
              <w:spacing w:before="210" w:line="181" w:lineRule="auto"/>
              <w:rPr>
                <w:highlight w:val="none"/>
              </w:rPr>
              <w:framePr w:vAnchor="text" w:hAnchor="page" w:xAlign="center" w:y="449"/>
            </w:pPr>
            <w:r>
              <w:rPr>
                <w:highlight w:val="none"/>
              </w:rPr>
              <w:t xml:space="preserve">一级养护</w:t>
            </w:r>
            <w:r>
              <w:rPr>
                <w:highlight w:val="none"/>
              </w:rPr>
            </w:r>
            <w:r/>
          </w:p>
        </w:tc>
        <w:tc>
          <w:tcPr>
            <w:tcW w:w="1173"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4805.68</w:t>
            </w:r>
            <w:r>
              <w:rPr>
                <w:highlight w:val="none"/>
                <w:lang w:val="en-US" w:eastAsia="zh-CN"/>
              </w:rPr>
            </w:r>
            <w:r/>
          </w:p>
        </w:tc>
      </w:tr>
      <w:tr>
        <w:trPr>
          <w:trHeight w:val="539"/>
        </w:trPr>
        <w:tc>
          <w:tcPr>
            <w:tcW w:w="525"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10</w:t>
            </w:r>
            <w:r>
              <w:rPr>
                <w:highlight w:val="none"/>
                <w:lang w:val="en-US" w:eastAsia="zh-CN"/>
              </w:rPr>
            </w:r>
            <w:r/>
          </w:p>
        </w:tc>
        <w:tc>
          <w:tcPr>
            <w:tcW w:w="1888"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街道院子</w:t>
            </w:r>
            <w:r>
              <w:rPr>
                <w:highlight w:val="none"/>
                <w:lang w:val="en-US" w:eastAsia="zh-CN"/>
              </w:rPr>
            </w:r>
            <w:r/>
          </w:p>
        </w:tc>
        <w:tc>
          <w:tcPr>
            <w:tcW w:w="1413" w:type="dxa"/>
            <w:vAlign w:val="center"/>
            <w:textDirection w:val="lrTb"/>
            <w:noWrap w:val="false"/>
          </w:tcPr>
          <w:p>
            <w:pPr>
              <w:pStyle w:val="1377"/>
              <w:jc w:val="center"/>
              <w:spacing w:before="210" w:line="181" w:lineRule="auto"/>
              <w:rPr>
                <w:highlight w:val="none"/>
              </w:rPr>
              <w:framePr w:vAnchor="text" w:hAnchor="page" w:xAlign="center" w:y="449"/>
            </w:pPr>
            <w:r>
              <w:rPr>
                <w:highlight w:val="none"/>
              </w:rPr>
              <w:t xml:space="preserve">一级养护</w:t>
            </w:r>
            <w:r>
              <w:rPr>
                <w:highlight w:val="none"/>
              </w:rPr>
            </w:r>
            <w:r/>
          </w:p>
        </w:tc>
        <w:tc>
          <w:tcPr>
            <w:tcW w:w="1173" w:type="dxa"/>
            <w:vAlign w:val="center"/>
            <w:textDirection w:val="lrTb"/>
            <w:noWrap w:val="false"/>
          </w:tcPr>
          <w:p>
            <w:pPr>
              <w:pStyle w:val="1377"/>
              <w:jc w:val="center"/>
              <w:spacing w:before="210" w:line="181" w:lineRule="auto"/>
              <w:rPr>
                <w:highlight w:val="none"/>
                <w:lang w:val="en-US" w:eastAsia="zh-CN"/>
              </w:rPr>
              <w:framePr w:vAnchor="text" w:hAnchor="page" w:xAlign="center" w:y="449"/>
            </w:pPr>
            <w:r>
              <w:rPr>
                <w:rFonts w:hint="eastAsia"/>
                <w:highlight w:val="none"/>
                <w:lang w:val="en-US" w:eastAsia="zh-CN"/>
              </w:rPr>
              <w:t xml:space="preserve">698</w:t>
            </w:r>
            <w:r>
              <w:rPr>
                <w:highlight w:val="none"/>
                <w:lang w:val="en-US" w:eastAsia="zh-CN"/>
              </w:rPr>
            </w:r>
            <w:r/>
          </w:p>
        </w:tc>
      </w:tr>
      <w:tr>
        <w:trPr>
          <w:trHeight w:val="539"/>
        </w:trPr>
        <w:tc>
          <w:tcPr>
            <w:tcW w:w="525" w:type="dxa"/>
            <w:vAlign w:val="center"/>
            <w:textDirection w:val="lrTb"/>
            <w:noWrap w:val="false"/>
          </w:tcPr>
          <w:p>
            <w:pPr>
              <w:pStyle w:val="1377"/>
              <w:ind w:left="475"/>
              <w:jc w:val="center"/>
              <w:spacing w:before="211" w:line="181" w:lineRule="auto"/>
              <w:rPr>
                <w:highlight w:val="none"/>
              </w:rPr>
              <w:framePr w:vAnchor="text" w:hAnchor="page" w:xAlign="center" w:y="449"/>
            </w:pPr>
            <w:r>
              <w:rPr>
                <w:highlight w:val="none"/>
              </w:rPr>
            </w:r>
            <w:r/>
          </w:p>
        </w:tc>
        <w:tc>
          <w:tcPr>
            <w:tcW w:w="1888" w:type="dxa"/>
            <w:vAlign w:val="center"/>
            <w:textDirection w:val="lrTb"/>
            <w:noWrap w:val="false"/>
          </w:tcPr>
          <w:p>
            <w:pPr>
              <w:pStyle w:val="1377"/>
              <w:ind w:left="1844"/>
              <w:jc w:val="center"/>
              <w:spacing w:before="170" w:line="221" w:lineRule="auto"/>
              <w:rPr>
                <w:spacing w:val="-4"/>
                <w:highlight w:val="none"/>
              </w:rPr>
              <w:framePr w:vAnchor="text" w:hAnchor="page" w:xAlign="center" w:y="449"/>
            </w:pPr>
            <w:r>
              <w:rPr>
                <w:spacing w:val="-4"/>
                <w:highlight w:val="none"/>
              </w:rPr>
              <w:t xml:space="preserve">小计</w:t>
            </w:r>
            <w:r>
              <w:rPr>
                <w:spacing w:val="-4"/>
                <w:highlight w:val="none"/>
              </w:rPr>
            </w:r>
            <w:r/>
          </w:p>
        </w:tc>
        <w:tc>
          <w:tcPr>
            <w:tcW w:w="1413" w:type="dxa"/>
            <w:vAlign w:val="center"/>
            <w:textDirection w:val="lrTb"/>
            <w:noWrap w:val="false"/>
          </w:tcPr>
          <w:p>
            <w:pPr>
              <w:pStyle w:val="1289"/>
              <w:jc w:val="center"/>
              <w:rPr>
                <w:rFonts w:ascii="Arial"/>
                <w:sz w:val="21"/>
                <w:highlight w:val="none"/>
              </w:rPr>
              <w:framePr w:vAnchor="text" w:hAnchor="page" w:xAlign="center" w:y="449"/>
            </w:pPr>
            <w:r>
              <w:rPr>
                <w:rFonts w:ascii="Arial"/>
                <w:sz w:val="21"/>
                <w:highlight w:val="none"/>
              </w:rPr>
            </w:r>
            <w:r/>
          </w:p>
        </w:tc>
        <w:tc>
          <w:tcPr>
            <w:tcW w:w="1173" w:type="dxa"/>
            <w:vAlign w:val="center"/>
            <w:textDirection w:val="lrTb"/>
            <w:noWrap w:val="false"/>
          </w:tcPr>
          <w:p>
            <w:pPr>
              <w:pStyle w:val="1377"/>
              <w:jc w:val="center"/>
              <w:spacing w:before="210" w:line="182" w:lineRule="auto"/>
              <w:rPr>
                <w:rFonts w:eastAsia="宋体"/>
                <w:spacing w:val="-2"/>
                <w:highlight w:val="none"/>
                <w:lang w:val="en-US" w:eastAsia="zh-CN"/>
              </w:rPr>
              <w:framePr w:vAnchor="text" w:hAnchor="page" w:xAlign="center" w:y="449"/>
            </w:pPr>
            <w:r>
              <w:rPr>
                <w:rFonts w:hint="eastAsia"/>
                <w:spacing w:val="-2"/>
                <w:highlight w:val="none"/>
                <w:lang w:val="en-US" w:eastAsia="zh-CN"/>
              </w:rPr>
              <w:t xml:space="preserve">102787.59</w:t>
            </w:r>
            <w:r>
              <w:rPr>
                <w:rFonts w:eastAsia="宋体"/>
                <w:spacing w:val="-2"/>
                <w:highlight w:val="none"/>
                <w:lang w:val="en-US" w:eastAsia="zh-CN"/>
              </w:rPr>
            </w:r>
            <w:r/>
          </w:p>
        </w:tc>
      </w:tr>
    </w:tbl>
    <w:p>
      <w:pPr>
        <w:pStyle w:val="131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31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31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31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314"/>
        <w:numPr>
          <w:ilvl w:val="0"/>
          <w:numId w:val="0"/>
        </w:numPr>
        <w:jc w:val="both"/>
        <w:spacing w:after="0" w:line="360" w:lineRule="auto"/>
        <w:widowControl w:val="off"/>
        <w:rPr>
          <w:rFonts w:ascii="宋体" w:hAnsi="宋体" w:eastAsia="宋体"/>
          <w:b/>
          <w:bCs/>
          <w:color w:val="000000"/>
          <w:sz w:val="24"/>
          <w:szCs w:val="24"/>
          <w:highlight w:val="none"/>
          <w:lang w:val="en-US" w:eastAsia="zh-CN"/>
        </w:rPr>
      </w:pPr>
      <w:r>
        <w:rPr>
          <w:rFonts w:hint="eastAsia" w:hAnsi="宋体"/>
          <w:b/>
          <w:bCs/>
          <w:color w:val="000000"/>
          <w:sz w:val="24"/>
          <w:szCs w:val="24"/>
          <w:highlight w:val="none"/>
          <w:lang w:val="en-US" w:eastAsia="zh-CN"/>
        </w:rPr>
        <w:t xml:space="preserve">东北塘街道新增绿化北部片区项目清单</w:t>
      </w:r>
      <w:r>
        <w:rPr>
          <w:rFonts w:ascii="宋体" w:hAnsi="宋体" w:eastAsia="宋体"/>
          <w:b/>
          <w:bCs/>
          <w:color w:val="000000"/>
          <w:sz w:val="24"/>
          <w:szCs w:val="24"/>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741"/>
        <w:gridCol w:w="1236"/>
        <w:gridCol w:w="919"/>
        <w:gridCol w:w="1832"/>
      </w:tblGrid>
      <w:tr>
        <w:trPr>
          <w:trHeight w:val="520"/>
        </w:trPr>
        <w:tc>
          <w:tcPr>
            <w:shd w:val="clear" w:color="auto" w:fill="ffffff"/>
            <w:tcW w:w="465" w:type="dxa"/>
            <w:vAlign w:val="center"/>
            <w:vMerge w:val="restart"/>
            <w:textDirection w:val="lrTb"/>
            <w:noWrap w:val="false"/>
          </w:tcPr>
          <w:p>
            <w:pPr>
              <w:pStyle w:val="12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2194" w:type="dxa"/>
            <w:vAlign w:val="center"/>
            <w:vMerge w:val="restart"/>
            <w:textDirection w:val="lrTb"/>
            <w:noWrap w:val="false"/>
          </w:tcPr>
          <w:p>
            <w:pPr>
              <w:pStyle w:val="12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养护路段</w:t>
            </w:r>
            <w:r>
              <w:rPr>
                <w:rFonts w:hint="eastAsia" w:ascii="宋体" w:hAnsi="宋体" w:eastAsia="宋体" w:cs="宋体"/>
                <w:b/>
                <w:bCs/>
                <w:i w:val="0"/>
                <w:iCs w:val="0"/>
                <w:color w:val="000000"/>
                <w:sz w:val="24"/>
                <w:szCs w:val="24"/>
                <w:highlight w:val="none"/>
                <w:u w:val="none"/>
              </w:rPr>
            </w:r>
            <w:r/>
          </w:p>
        </w:tc>
        <w:tc>
          <w:tcPr>
            <w:shd w:val="clear" w:color="auto" w:fill="ffffff"/>
            <w:tcW w:w="725" w:type="dxa"/>
            <w:vAlign w:val="center"/>
            <w:vMerge w:val="restart"/>
            <w:textDirection w:val="lrTb"/>
            <w:noWrap w:val="false"/>
          </w:tcPr>
          <w:p>
            <w:pPr>
              <w:pStyle w:val="12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养护等级</w:t>
            </w:r>
            <w:r>
              <w:rPr>
                <w:rFonts w:hint="eastAsia" w:ascii="宋体" w:hAnsi="宋体" w:eastAsia="宋体" w:cs="宋体"/>
                <w:b/>
                <w:bCs/>
                <w:i w:val="0"/>
                <w:iCs w:val="0"/>
                <w:color w:val="000000"/>
                <w:sz w:val="24"/>
                <w:szCs w:val="24"/>
                <w:highlight w:val="none"/>
                <w:u w:val="none"/>
              </w:rPr>
            </w:r>
            <w:r/>
          </w:p>
        </w:tc>
        <w:tc>
          <w:tcPr>
            <w:shd w:val="clear" w:color="auto" w:fill="ffffff"/>
            <w:tcW w:w="539" w:type="dxa"/>
            <w:vAlign w:val="center"/>
            <w:vMerge w:val="restart"/>
            <w:textDirection w:val="lrTb"/>
            <w:noWrap w:val="false"/>
          </w:tcPr>
          <w:p>
            <w:pPr>
              <w:pStyle w:val="12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计量</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ffffff"/>
            <w:tcW w:w="1075" w:type="dxa"/>
            <w:vAlign w:val="center"/>
            <w:vMerge w:val="restart"/>
            <w:textDirection w:val="lrTb"/>
            <w:noWrap w:val="false"/>
          </w:tcPr>
          <w:p>
            <w:pPr>
              <w:pStyle w:val="128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工程量</w:t>
            </w:r>
            <w:r>
              <w:rPr>
                <w:rFonts w:hint="eastAsia" w:ascii="宋体" w:hAnsi="宋体" w:eastAsia="宋体" w:cs="宋体"/>
                <w:b/>
                <w:bCs/>
                <w:i w:val="0"/>
                <w:iCs w:val="0"/>
                <w:color w:val="000000"/>
                <w:sz w:val="24"/>
                <w:szCs w:val="24"/>
                <w:highlight w:val="none"/>
                <w:u w:val="none"/>
              </w:rPr>
            </w:r>
            <w:r/>
          </w:p>
        </w:tc>
      </w:tr>
      <w:tr>
        <w:trPr>
          <w:trHeight w:val="68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承塘路（艳阳路-东腾路）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1156.00 </w:t>
            </w:r>
            <w:r>
              <w:rPr>
                <w:rFonts w:hint="eastAsia" w:ascii="宋体" w:hAnsi="宋体" w:eastAsia="宋体" w:cs="宋体"/>
                <w:i w:val="0"/>
                <w:iCs w:val="0"/>
                <w:color w:val="000000"/>
                <w:sz w:val="24"/>
                <w:szCs w:val="24"/>
                <w:highlight w:val="none"/>
                <w:u w:val="none"/>
              </w:rPr>
            </w:r>
            <w:r/>
          </w:p>
        </w:tc>
      </w:tr>
      <w:tr>
        <w:trPr>
          <w:trHeight w:val="68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东腾路（农新路-承塘路延伸段）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13038.00 </w:t>
            </w:r>
            <w:r>
              <w:rPr>
                <w:rFonts w:hint="eastAsia" w:ascii="宋体" w:hAnsi="宋体" w:eastAsia="宋体" w:cs="宋体"/>
                <w:i w:val="0"/>
                <w:iCs w:val="0"/>
                <w:color w:val="000000"/>
                <w:sz w:val="24"/>
                <w:szCs w:val="24"/>
                <w:highlight w:val="none"/>
                <w:u w:val="none"/>
              </w:rPr>
            </w:r>
            <w:r/>
          </w:p>
        </w:tc>
      </w:tr>
      <w:tr>
        <w:trPr>
          <w:trHeight w:val="68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7991.30 </w:t>
            </w:r>
            <w:r>
              <w:rPr>
                <w:rFonts w:hint="eastAsia" w:ascii="宋体" w:hAnsi="宋体" w:eastAsia="宋体" w:cs="宋体"/>
                <w:i w:val="0"/>
                <w:iCs w:val="0"/>
                <w:color w:val="000000"/>
                <w:sz w:val="24"/>
                <w:szCs w:val="24"/>
                <w:highlight w:val="none"/>
                <w:u w:val="none"/>
              </w:rPr>
            </w:r>
            <w:r/>
          </w:p>
        </w:tc>
      </w:tr>
      <w:tr>
        <w:trPr>
          <w:trHeight w:val="68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东腾路-石新桥（东亭北路）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5776.00 </w:t>
            </w:r>
            <w:r>
              <w:rPr>
                <w:rFonts w:hint="eastAsia" w:ascii="宋体" w:hAnsi="宋体" w:eastAsia="宋体" w:cs="宋体"/>
                <w:i w:val="0"/>
                <w:iCs w:val="0"/>
                <w:color w:val="000000"/>
                <w:sz w:val="24"/>
                <w:szCs w:val="24"/>
                <w:highlight w:val="none"/>
                <w:u w:val="none"/>
              </w:rPr>
            </w:r>
            <w:r/>
          </w:p>
        </w:tc>
      </w:tr>
      <w:tr>
        <w:trPr>
          <w:trHeight w:val="60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章顾巷路（东腾路-农石路）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7425.62 </w:t>
            </w:r>
            <w:r>
              <w:rPr>
                <w:rFonts w:hint="eastAsia" w:ascii="宋体" w:hAnsi="宋体" w:eastAsia="宋体" w:cs="宋体"/>
                <w:i w:val="0"/>
                <w:iCs w:val="0"/>
                <w:color w:val="000000"/>
                <w:sz w:val="24"/>
                <w:szCs w:val="24"/>
                <w:highlight w:val="none"/>
                <w:u w:val="none"/>
              </w:rPr>
            </w:r>
            <w:r/>
          </w:p>
        </w:tc>
      </w:tr>
      <w:tr>
        <w:trPr>
          <w:trHeight w:val="66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农新河路（东腾路-缪巷-河西侧）</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8346.00 </w:t>
            </w:r>
            <w:r>
              <w:rPr>
                <w:rFonts w:hint="eastAsia" w:ascii="宋体" w:hAnsi="宋体" w:eastAsia="宋体" w:cs="宋体"/>
                <w:i w:val="0"/>
                <w:iCs w:val="0"/>
                <w:color w:val="000000"/>
                <w:sz w:val="24"/>
                <w:szCs w:val="24"/>
                <w:highlight w:val="none"/>
                <w:u w:val="none"/>
              </w:rPr>
            </w:r>
            <w:r/>
          </w:p>
        </w:tc>
      </w:tr>
      <w:tr>
        <w:trPr>
          <w:trHeight w:val="60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东跃路（农新路-农新河路）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9497.90 </w:t>
            </w:r>
            <w:r>
              <w:rPr>
                <w:rFonts w:hint="eastAsia" w:ascii="宋体" w:hAnsi="宋体" w:eastAsia="宋体" w:cs="宋体"/>
                <w:i w:val="0"/>
                <w:iCs w:val="0"/>
                <w:color w:val="000000"/>
                <w:sz w:val="24"/>
                <w:szCs w:val="24"/>
                <w:highlight w:val="none"/>
                <w:u w:val="none"/>
              </w:rPr>
            </w:r>
            <w:r/>
          </w:p>
        </w:tc>
      </w:tr>
      <w:tr>
        <w:trPr>
          <w:trHeight w:val="60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东昌路河边（章顾巷路-东亭路）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2664.00 </w:t>
            </w:r>
            <w:r>
              <w:rPr>
                <w:rFonts w:hint="eastAsia" w:ascii="宋体" w:hAnsi="宋体" w:eastAsia="宋体" w:cs="宋体"/>
                <w:i w:val="0"/>
                <w:iCs w:val="0"/>
                <w:color w:val="000000"/>
                <w:sz w:val="24"/>
                <w:szCs w:val="24"/>
                <w:highlight w:val="none"/>
                <w:u w:val="none"/>
              </w:rPr>
            </w:r>
            <w:r/>
          </w:p>
        </w:tc>
      </w:tr>
      <w:tr>
        <w:trPr>
          <w:trHeight w:val="60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农里新开河北侧（东亭路-农里桥南）</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2775.00 </w:t>
            </w:r>
            <w:r>
              <w:rPr>
                <w:rFonts w:hint="eastAsia" w:ascii="宋体" w:hAnsi="宋体" w:eastAsia="宋体" w:cs="宋体"/>
                <w:i w:val="0"/>
                <w:iCs w:val="0"/>
                <w:color w:val="000000"/>
                <w:sz w:val="24"/>
                <w:szCs w:val="24"/>
                <w:highlight w:val="none"/>
                <w:u w:val="none"/>
              </w:rPr>
            </w:r>
            <w:r/>
          </w:p>
        </w:tc>
      </w:tr>
      <w:tr>
        <w:trPr>
          <w:trHeight w:val="600"/>
        </w:trPr>
        <w:tc>
          <w:tcPr>
            <w:tcW w:w="46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19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东北塘安息堂改建区域</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二级养护</w:t>
            </w: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13668.00 </w:t>
            </w:r>
            <w:r>
              <w:rPr>
                <w:rFonts w:hint="eastAsia" w:ascii="宋体" w:hAnsi="宋体" w:eastAsia="宋体" w:cs="宋体"/>
                <w:i w:val="0"/>
                <w:iCs w:val="0"/>
                <w:color w:val="000000"/>
                <w:sz w:val="24"/>
                <w:szCs w:val="24"/>
                <w:highlight w:val="none"/>
                <w:u w:val="none"/>
              </w:rPr>
            </w:r>
            <w:r/>
          </w:p>
        </w:tc>
      </w:tr>
      <w:tr>
        <w:trPr>
          <w:trHeight w:val="600"/>
        </w:trPr>
        <w:tc>
          <w:tcPr>
            <w:gridSpan w:val="2"/>
            <w:tcW w:w="4532"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1289"/>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39" w:type="dxa"/>
            <w:vAlign w:val="center"/>
            <w:textDirection w:val="lrTb"/>
            <w:noWrap w:val="false"/>
          </w:tcPr>
          <w:p>
            <w:pPr>
              <w:pStyle w:val="1289"/>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75"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72337.82</w:t>
            </w:r>
            <w:r>
              <w:rPr>
                <w:rFonts w:hint="eastAsia" w:ascii="宋体" w:hAnsi="宋体" w:eastAsia="宋体" w:cs="宋体"/>
                <w:i w:val="0"/>
                <w:iCs w:val="0"/>
                <w:color w:val="000000"/>
                <w:sz w:val="24"/>
                <w:szCs w:val="24"/>
                <w:highlight w:val="none"/>
                <w:u w:val="none"/>
              </w:rPr>
            </w:r>
            <w:r/>
          </w:p>
        </w:tc>
      </w:tr>
    </w:tbl>
    <w:p>
      <w:pPr>
        <w:pStyle w:val="131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131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五、项目服务内容</w:t>
      </w:r>
      <w:r>
        <w:rPr>
          <w:rFonts w:hint="eastAsia" w:ascii="宋体" w:hAnsi="宋体" w:eastAsia="宋体"/>
          <w:b/>
          <w:bCs/>
          <w:color w:val="000000"/>
          <w:sz w:val="24"/>
          <w:szCs w:val="24"/>
          <w:highlight w:val="none"/>
          <w:lang w:val="en-US" w:eastAsia="zh-CN"/>
        </w:rPr>
      </w:r>
      <w:r/>
    </w:p>
    <w:p>
      <w:pPr>
        <w:pStyle w:val="1308"/>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（一）绿化养护工作内容</w:t>
      </w:r>
      <w:r>
        <w:rPr>
          <w:rFonts w:hint="eastAsia" w:ascii="宋体" w:hAnsi="宋体" w:eastAsia="宋体"/>
          <w:color w:val="000000"/>
          <w:sz w:val="24"/>
          <w:szCs w:val="24"/>
          <w:highlight w:val="none"/>
        </w:rPr>
      </w:r>
      <w:r/>
    </w:p>
    <w:p>
      <w:pPr>
        <w:pStyle w:val="1289"/>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1、上木类：修剪、剥芽、浇灌、松土、施肥及病虫害防治、涂白、扶正支撑、安全防护、环境清理及清运。 </w:t>
      </w:r>
      <w:r>
        <w:rPr>
          <w:rFonts w:hint="eastAsia" w:ascii="宋体" w:hAnsi="宋体" w:cs="Vrinda"/>
          <w:bCs/>
          <w:color w:val="000000"/>
          <w:sz w:val="24"/>
          <w:szCs w:val="24"/>
          <w:highlight w:val="none"/>
        </w:rPr>
      </w:r>
      <w:r/>
    </w:p>
    <w:p>
      <w:pPr>
        <w:pStyle w:val="1289"/>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2、色块绿篱类：修剪整形、浇灌、松土除草、施肥及病虫害防治、环境清理及清运。</w:t>
      </w:r>
      <w:r>
        <w:rPr>
          <w:rFonts w:hint="eastAsia" w:ascii="宋体" w:hAnsi="宋体" w:cs="Vrinda"/>
          <w:bCs/>
          <w:color w:val="000000"/>
          <w:sz w:val="24"/>
          <w:szCs w:val="24"/>
          <w:highlight w:val="none"/>
        </w:rPr>
      </w:r>
      <w:r/>
    </w:p>
    <w:p>
      <w:pPr>
        <w:pStyle w:val="1289"/>
        <w:ind w:firstLine="480"/>
        <w:spacing w:line="360" w:lineRule="auto"/>
        <w:rPr>
          <w:rFonts w:ascii="宋体" w:hAnsi="宋体" w:cs="Vrinda"/>
          <w:bCs/>
          <w:color w:val="000000"/>
          <w:sz w:val="24"/>
          <w:szCs w:val="24"/>
          <w:highlight w:val="none"/>
        </w:rPr>
      </w:pPr>
      <w:r>
        <w:rPr>
          <w:rFonts w:hint="eastAsia" w:ascii="宋体" w:hAnsi="宋体" w:cs="Vrinda"/>
          <w:bCs/>
          <w:color w:val="000000"/>
          <w:sz w:val="24"/>
          <w:szCs w:val="24"/>
          <w:highlight w:val="none"/>
        </w:rPr>
        <w:t xml:space="preserve">3、草本地被类：修剪整形、浇灌、松土除草、施肥及病虫害防治、环境清理及清运。</w:t>
      </w:r>
      <w:r>
        <w:rPr>
          <w:rFonts w:ascii="宋体" w:hAnsi="宋体" w:cs="Vrinda"/>
          <w:bCs/>
          <w:color w:val="000000"/>
          <w:sz w:val="24"/>
          <w:szCs w:val="24"/>
          <w:highlight w:val="none"/>
        </w:rPr>
      </w:r>
      <w:r/>
    </w:p>
    <w:p>
      <w:pPr>
        <w:pStyle w:val="1289"/>
        <w:ind w:firstLine="480"/>
        <w:spacing w:line="360" w:lineRule="auto"/>
        <w:rPr>
          <w:rFonts w:ascii="宋体" w:hAnsi="宋体" w:cs="Vrinda"/>
          <w:bCs/>
          <w:color w:val="000000"/>
          <w:sz w:val="24"/>
          <w:szCs w:val="24"/>
          <w:highlight w:val="none"/>
        </w:rPr>
      </w:pPr>
      <w:r>
        <w:rPr>
          <w:rFonts w:hint="eastAsia" w:ascii="宋体" w:hAnsi="宋体" w:cs="Vrinda"/>
          <w:bCs/>
          <w:color w:val="000000"/>
          <w:sz w:val="24"/>
          <w:szCs w:val="24"/>
          <w:highlight w:val="none"/>
        </w:rPr>
        <w:t xml:space="preserve">4、草坪类：修剪、浇灌、打孔、梳草、除草、施肥及病虫害防治、杂草地清理、环境清理及清运。</w:t>
      </w:r>
      <w:r>
        <w:rPr>
          <w:rFonts w:ascii="宋体" w:hAnsi="宋体" w:cs="Vrinda"/>
          <w:bCs/>
          <w:color w:val="000000"/>
          <w:sz w:val="24"/>
          <w:szCs w:val="24"/>
          <w:highlight w:val="none"/>
        </w:rPr>
      </w:r>
      <w:r/>
    </w:p>
    <w:p>
      <w:pPr>
        <w:pStyle w:val="1289"/>
        <w:ind w:firstLine="480"/>
        <w:spacing w:line="360" w:lineRule="auto"/>
        <w:rPr>
          <w:rFonts w:hint="eastAsia" w:ascii="宋体" w:hAnsi="宋体" w:cs="Vrinda"/>
          <w:bCs/>
          <w:color w:val="000000"/>
          <w:sz w:val="24"/>
          <w:szCs w:val="24"/>
          <w:highlight w:val="none"/>
        </w:rPr>
      </w:pPr>
      <w:r>
        <w:rPr>
          <w:rFonts w:hint="eastAsia" w:ascii="宋体" w:hAnsi="宋体" w:cs="Vrinda"/>
          <w:bCs/>
          <w:color w:val="000000"/>
          <w:sz w:val="24"/>
          <w:szCs w:val="24"/>
          <w:highlight w:val="none"/>
        </w:rPr>
        <w:t xml:space="preserve">5、竹类：修剪钩梢、老竹清理、浇灌、松土除草、施肥及病虫害防治、环境清理及清运。</w:t>
      </w:r>
      <w:r>
        <w:rPr>
          <w:rFonts w:hint="eastAsia" w:ascii="宋体" w:hAnsi="宋体" w:cs="Vrinda"/>
          <w:bCs/>
          <w:color w:val="000000"/>
          <w:sz w:val="24"/>
          <w:szCs w:val="24"/>
          <w:highlight w:val="none"/>
        </w:rPr>
      </w:r>
      <w:r/>
    </w:p>
    <w:p>
      <w:pPr>
        <w:pStyle w:val="1289"/>
        <w:ind w:firstLine="480"/>
        <w:spacing w:line="360" w:lineRule="auto"/>
        <w:rPr>
          <w:rFonts w:hint="eastAsia" w:ascii="宋体" w:hAnsi="宋体" w:cs="Vrinda"/>
          <w:bCs/>
          <w:color w:val="000000"/>
          <w:sz w:val="24"/>
          <w:szCs w:val="24"/>
          <w:highlight w:val="none"/>
        </w:rPr>
      </w:pPr>
      <w:r>
        <w:rPr>
          <w:rFonts w:ascii="宋体" w:hAnsi="宋体" w:cs="Vrinda"/>
          <w:bCs/>
          <w:color w:val="000000"/>
          <w:sz w:val="24"/>
          <w:szCs w:val="24"/>
          <w:highlight w:val="none"/>
        </w:rPr>
        <w:t xml:space="preserve">6</w:t>
      </w:r>
      <w:r>
        <w:rPr>
          <w:rFonts w:hint="eastAsia" w:ascii="宋体" w:hAnsi="宋体" w:cs="Vrinda"/>
          <w:bCs/>
          <w:color w:val="000000"/>
          <w:sz w:val="24"/>
          <w:szCs w:val="24"/>
          <w:highlight w:val="none"/>
        </w:rPr>
        <w:t xml:space="preserve">、立体绿化：修剪牵攀、浇灌、施肥及病虫害防治、环境清理及清运。</w:t>
      </w:r>
      <w:r>
        <w:rPr>
          <w:rFonts w:hint="eastAsia" w:ascii="宋体" w:hAnsi="宋体" w:cs="Vrinda"/>
          <w:bCs/>
          <w:color w:val="000000"/>
          <w:sz w:val="24"/>
          <w:szCs w:val="24"/>
          <w:highlight w:val="none"/>
        </w:rPr>
      </w:r>
      <w:r/>
    </w:p>
    <w:p>
      <w:pPr>
        <w:pStyle w:val="1289"/>
        <w:ind w:firstLine="480"/>
        <w:spacing w:line="360" w:lineRule="auto"/>
        <w:rPr>
          <w:rFonts w:hint="eastAsia" w:ascii="宋体" w:hAnsi="宋体" w:cs="Vrinda"/>
          <w:bCs/>
          <w:color w:val="000000"/>
          <w:sz w:val="24"/>
          <w:szCs w:val="24"/>
          <w:highlight w:val="none"/>
        </w:rPr>
      </w:pPr>
      <w:r>
        <w:rPr>
          <w:rFonts w:ascii="宋体" w:hAnsi="宋体" w:cs="Vrinda"/>
          <w:bCs/>
          <w:color w:val="000000"/>
          <w:sz w:val="24"/>
          <w:szCs w:val="24"/>
          <w:highlight w:val="none"/>
        </w:rPr>
        <w:t xml:space="preserve">7</w:t>
      </w:r>
      <w:r>
        <w:rPr>
          <w:rFonts w:hint="eastAsia" w:ascii="宋体" w:hAnsi="宋体" w:cs="Vrinda"/>
          <w:bCs/>
          <w:color w:val="000000"/>
          <w:sz w:val="24"/>
          <w:szCs w:val="24"/>
          <w:highlight w:val="none"/>
        </w:rPr>
        <w:t xml:space="preserve">、草花：清除残花、浇灌、松土除草、施肥及病虫害防治、环境清理及清运。</w:t>
      </w:r>
      <w:r>
        <w:rPr>
          <w:rFonts w:hint="eastAsia" w:ascii="宋体" w:hAnsi="宋体" w:cs="Vrinda"/>
          <w:bCs/>
          <w:color w:val="000000"/>
          <w:sz w:val="24"/>
          <w:szCs w:val="24"/>
          <w:highlight w:val="none"/>
        </w:rPr>
      </w:r>
      <w:r/>
    </w:p>
    <w:p>
      <w:pPr>
        <w:pStyle w:val="1289"/>
        <w:ind w:left="449"/>
        <w:spacing w:line="360" w:lineRule="auto"/>
        <w:rPr>
          <w:rFonts w:ascii="宋体" w:hAnsi="宋体" w:cs="Vrinda"/>
          <w:bCs/>
          <w:color w:val="000000"/>
          <w:sz w:val="24"/>
          <w:szCs w:val="24"/>
          <w:highlight w:val="none"/>
        </w:rPr>
      </w:pPr>
      <w:r>
        <w:rPr>
          <w:rFonts w:ascii="宋体" w:hAnsi="宋体" w:cs="Vrinda"/>
          <w:bCs/>
          <w:color w:val="000000"/>
          <w:sz w:val="24"/>
          <w:szCs w:val="24"/>
          <w:highlight w:val="none"/>
        </w:rPr>
        <w:t xml:space="preserve">8</w:t>
      </w:r>
      <w:r>
        <w:rPr>
          <w:rFonts w:hint="eastAsia" w:ascii="宋体" w:hAnsi="宋体" w:cs="Vrinda"/>
          <w:bCs/>
          <w:color w:val="000000"/>
          <w:sz w:val="24"/>
          <w:szCs w:val="24"/>
          <w:highlight w:val="none"/>
        </w:rPr>
        <w:t xml:space="preserve">、每年秋季追播黑麦草。 </w:t>
      </w:r>
      <w:r>
        <w:rPr>
          <w:rFonts w:ascii="宋体" w:hAnsi="宋体" w:cs="Vrinda"/>
          <w:bCs/>
          <w:color w:val="000000"/>
          <w:sz w:val="24"/>
          <w:szCs w:val="24"/>
          <w:highlight w:val="none"/>
        </w:rPr>
      </w:r>
      <w:r/>
    </w:p>
    <w:p>
      <w:pPr>
        <w:pStyle w:val="1308"/>
        <w:ind w:firstLine="24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9</w:t>
      </w:r>
      <w:r>
        <w:rPr>
          <w:rFonts w:hint="eastAsia" w:ascii="宋体" w:hAnsi="宋体" w:eastAsia="宋体"/>
          <w:color w:val="000000"/>
          <w:sz w:val="24"/>
          <w:szCs w:val="24"/>
          <w:highlight w:val="none"/>
        </w:rPr>
        <w:t xml:space="preserve">、涉及河道绿地，公园绿地部分包含日常垃圾清理工作，具体以采购人实际要求为准。</w:t>
      </w:r>
      <w:r>
        <w:rPr>
          <w:rFonts w:ascii="宋体" w:hAnsi="宋体" w:eastAsia="宋体"/>
          <w:color w:val="000000"/>
          <w:sz w:val="24"/>
          <w:szCs w:val="24"/>
          <w:highlight w:val="none"/>
        </w:rPr>
      </w:r>
      <w:r/>
    </w:p>
    <w:p>
      <w:pPr>
        <w:pStyle w:val="1289"/>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w:t>
      </w:r>
      <w:r>
        <w:rPr>
          <w:rFonts w:hint="eastAsia" w:ascii="宋体" w:hAnsi="宋体" w:cs="宋体"/>
          <w:bCs/>
          <w:color w:val="000000"/>
          <w:sz w:val="24"/>
          <w:szCs w:val="24"/>
          <w:highlight w:val="none"/>
        </w:rPr>
        <w:t xml:space="preserve">突发事件处置:如遭遇风雨雷电、植被病虫害等突发事件,需要及时报告甲方并处理。</w:t>
      </w:r>
      <w:r>
        <w:rPr>
          <w:rFonts w:hint="eastAsia" w:ascii="宋体" w:hAnsi="宋体" w:cs="宋体"/>
          <w:bCs/>
          <w:color w:val="000000"/>
          <w:sz w:val="24"/>
          <w:szCs w:val="24"/>
          <w:highlight w:val="none"/>
        </w:rPr>
      </w:r>
      <w:r/>
    </w:p>
    <w:p>
      <w:pPr>
        <w:pStyle w:val="1308"/>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重点做好道路中分带、侧分带等绿化隔离带及游园、开放式广场内草坪区域的落叶工作，及时清扫、清运落叶，确保草坪整洁美观。同时，除加强巡回以外，还要严格按照要求，做到决不焚烧、掩埋和向下水道堆积落叶，避免空气污染。在风大的情况下，普扫要顺着风向清扫，同时应压低扫把高度，清扫的垃圾要及时清理，以免刮跑影响工效和质量。</w:t>
      </w:r>
      <w:r>
        <w:rPr>
          <w:rFonts w:hint="eastAsia" w:ascii="宋体" w:hAnsi="宋体" w:eastAsia="宋体"/>
          <w:color w:val="000000"/>
          <w:sz w:val="24"/>
          <w:szCs w:val="24"/>
          <w:highlight w:val="none"/>
          <w:lang w:val="en-US" w:eastAsia="zh-CN"/>
        </w:rPr>
      </w:r>
      <w:r/>
    </w:p>
    <w:p>
      <w:pPr>
        <w:pStyle w:val="1308"/>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根据不同情况和天气特点，有针对性的加大对园区、路段的边角、旯、窝风等落叶、杂物集中部位的人工晨扫和装袋收集工作，及时清理垃圾杂物和落叶的污染，避免树木落叶和白色污染混杂影响环境卫生作业直观效果，确保草坪环境卫生干净整洁、爽眼，全面提升环境卫生作业质量。</w:t>
      </w:r>
      <w:r>
        <w:rPr>
          <w:rFonts w:ascii="宋体" w:hAnsi="宋体" w:eastAsia="宋体"/>
          <w:color w:val="000000"/>
          <w:sz w:val="24"/>
          <w:szCs w:val="24"/>
          <w:highlight w:val="none"/>
          <w:lang w:val="en-US" w:eastAsia="zh-CN"/>
        </w:rPr>
      </w:r>
      <w:r/>
    </w:p>
    <w:p>
      <w:pPr>
        <w:pStyle w:val="1308"/>
        <w:ind w:firstLine="241"/>
        <w:spacing w:line="360" w:lineRule="auto"/>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六、绿化养护标准</w:t>
      </w:r>
      <w:r>
        <w:rPr>
          <w:rFonts w:hint="eastAsia" w:ascii="宋体" w:hAnsi="宋体" w:eastAsia="宋体"/>
          <w:b/>
          <w:bCs w:val="0"/>
          <w:color w:val="000000"/>
          <w:sz w:val="24"/>
          <w:szCs w:val="24"/>
          <w:highlight w:val="none"/>
          <w:lang w:val="en-US" w:eastAsia="zh-CN"/>
        </w:rPr>
      </w:r>
      <w:r/>
    </w:p>
    <w:p>
      <w:pPr>
        <w:pStyle w:val="1314"/>
        <w:ind w:firstLine="241"/>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绿化一级养护标准：</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1314"/>
        <w:numPr>
          <w:ilvl w:val="0"/>
          <w:numId w:val="5"/>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树木：①生长，树冠完整，主侧枝分枝均匀，数量适宜，内膛通风透光。②叶色正常、无卷边、黄叶（生长季节），无病虫害。③枝干健壮，无枯、死枝，无蛀干害虫危害。④缺株在2%以下（含2%）</w:t>
      </w:r>
      <w:r>
        <w:rPr>
          <w:rFonts w:hint="eastAsia" w:ascii="宋体" w:hAnsi="宋体" w:eastAsia="宋体" w:cs="宋体"/>
          <w:bCs/>
          <w:color w:val="000000"/>
          <w:sz w:val="24"/>
          <w:szCs w:val="24"/>
          <w:highlight w:val="none"/>
          <w:lang w:val="en-US" w:eastAsia="zh-CN"/>
        </w:rPr>
      </w:r>
      <w:r/>
    </w:p>
    <w:p>
      <w:pPr>
        <w:pStyle w:val="1314"/>
        <w:numPr>
          <w:ilvl w:val="0"/>
          <w:numId w:val="0"/>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2、草坪：①生长旺盛，草根不裸露。②生长季节不枯黄，无杂草（杂草率≤15%），覆盖率达95%以上（＞95%）；修剪及时，修剪高度符合要求，无垃圾及堆料堆物。</w:t>
      </w:r>
      <w:r>
        <w:rPr>
          <w:rFonts w:hint="eastAsia" w:ascii="宋体" w:hAnsi="宋体" w:eastAsia="宋体" w:cs="宋体"/>
          <w:bCs/>
          <w:color w:val="000000"/>
          <w:sz w:val="24"/>
          <w:szCs w:val="24"/>
          <w:highlight w:val="none"/>
          <w:lang w:val="en-US" w:eastAsia="zh-CN"/>
        </w:rPr>
      </w:r>
      <w:r/>
    </w:p>
    <w:p>
      <w:pPr>
        <w:pStyle w:val="131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3、花卉：①全年换花六次②花卉生长正常，无枯枝残花（残花量≤10%），无缺株、倒伏。③花坛图案清晰，色彩鲜艳，花朵繁茂，花期一致。④花境花卉层次分明，高矮有序。</w:t>
      </w:r>
      <w:r>
        <w:rPr>
          <w:rFonts w:hint="eastAsia" w:ascii="宋体" w:hAnsi="宋体" w:eastAsia="宋体" w:cs="宋体"/>
          <w:bCs/>
          <w:color w:val="000000"/>
          <w:sz w:val="24"/>
          <w:szCs w:val="24"/>
          <w:highlight w:val="none"/>
          <w:lang w:val="en-US" w:eastAsia="zh-CN"/>
        </w:rPr>
      </w:r>
      <w:r/>
    </w:p>
    <w:p>
      <w:pPr>
        <w:pStyle w:val="131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 ①生长茂盛，枝条茂密。②修剪盛开，完整无缺。③无垃圾杂物。</w:t>
      </w:r>
      <w:r>
        <w:rPr>
          <w:rFonts w:hint="eastAsia" w:ascii="宋体" w:hAnsi="宋体" w:eastAsia="宋体" w:cs="宋体"/>
          <w:bCs/>
          <w:color w:val="000000"/>
          <w:sz w:val="24"/>
          <w:szCs w:val="24"/>
          <w:highlight w:val="none"/>
          <w:lang w:val="en-US" w:eastAsia="zh-CN"/>
        </w:rPr>
      </w:r>
      <w:r/>
    </w:p>
    <w:p>
      <w:pPr>
        <w:pStyle w:val="1314"/>
        <w:ind w:firstLine="241"/>
        <w:spacing w:after="0"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绿化二级养护标准：</w:t>
      </w:r>
      <w:r>
        <w:rPr>
          <w:rFonts w:hint="eastAsia" w:ascii="宋体" w:hAnsi="宋体" w:eastAsia="宋体" w:cs="宋体"/>
          <w:b/>
          <w:bCs w:val="0"/>
          <w:color w:val="000000"/>
          <w:sz w:val="24"/>
          <w:szCs w:val="24"/>
          <w:highlight w:val="none"/>
          <w:lang w:val="en-US" w:eastAsia="zh-CN"/>
        </w:rPr>
      </w:r>
      <w:r/>
    </w:p>
    <w:p>
      <w:pPr>
        <w:pStyle w:val="131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树木：①生长基本正常，树冠基本完整，主侧枝分枝基本均匀，数量适宜，内膛通风透光。②叶色基本正常，有少量黄叶（生长季节）、焦叶、卷叶，有少量虫粪。③枝干生长正常，无明显枯死枝，病虫害虽有发生，但能及时根除。④缺株在4%以下（含4%）。</w:t>
      </w:r>
      <w:r>
        <w:rPr>
          <w:rFonts w:hint="eastAsia" w:ascii="宋体" w:hAnsi="宋体" w:eastAsia="宋体" w:cs="宋体"/>
          <w:bCs/>
          <w:color w:val="000000"/>
          <w:sz w:val="24"/>
          <w:szCs w:val="24"/>
          <w:highlight w:val="none"/>
          <w:lang w:val="en-US" w:eastAsia="zh-CN"/>
        </w:rPr>
      </w:r>
      <w:r/>
    </w:p>
    <w:p>
      <w:pPr>
        <w:pStyle w:val="131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2、草坪：①生长良好，无高大杂草（杂草率≤25%），90%＜覆盖率≤95%。②修剪高度符合要求，能及时处理堆料堆物。</w:t>
      </w:r>
      <w:r>
        <w:rPr>
          <w:rFonts w:hint="eastAsia" w:ascii="宋体" w:hAnsi="宋体" w:eastAsia="宋体" w:cs="宋体"/>
          <w:bCs/>
          <w:color w:val="000000"/>
          <w:sz w:val="24"/>
          <w:szCs w:val="24"/>
          <w:highlight w:val="none"/>
          <w:lang w:val="en-US" w:eastAsia="zh-CN"/>
        </w:rPr>
      </w:r>
      <w:r/>
    </w:p>
    <w:p>
      <w:pPr>
        <w:pStyle w:val="131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3、花卉：①全年换花四次。花卉生长正常，缺株、倒伏不超过3-5处，无枯枝残花（残花量≤15%）。②花期基本整齐。</w:t>
      </w:r>
      <w:r>
        <w:rPr>
          <w:rFonts w:hint="eastAsia" w:ascii="宋体" w:hAnsi="宋体" w:eastAsia="宋体" w:cs="宋体"/>
          <w:bCs/>
          <w:color w:val="000000"/>
          <w:sz w:val="24"/>
          <w:szCs w:val="24"/>
          <w:highlight w:val="none"/>
          <w:lang w:val="en-US" w:eastAsia="zh-CN"/>
        </w:rPr>
      </w:r>
      <w:r/>
    </w:p>
    <w:p>
      <w:pPr>
        <w:pStyle w:val="131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4、绿篱及地被：①生长正常，无明显枯枝、断枝。②修剪及时，开头较完整。③基本无垃圾杂物。</w:t>
      </w:r>
      <w:r>
        <w:rPr>
          <w:rFonts w:hint="eastAsia" w:ascii="宋体" w:hAnsi="宋体" w:eastAsia="宋体" w:cs="宋体"/>
          <w:bCs/>
          <w:color w:val="000000"/>
          <w:sz w:val="24"/>
          <w:szCs w:val="24"/>
          <w:highlight w:val="none"/>
          <w:lang w:val="en-US" w:eastAsia="zh-CN"/>
        </w:rPr>
      </w:r>
      <w:r/>
    </w:p>
    <w:p>
      <w:pPr>
        <w:pStyle w:val="1289"/>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七、考核办法：</w:t>
      </w:r>
      <w:r>
        <w:rPr>
          <w:rFonts w:hint="eastAsia" w:ascii="宋体" w:hAnsi="宋体" w:eastAsia="宋体" w:cs="Times New Roman"/>
          <w:b/>
          <w:bCs/>
          <w:color w:val="000000"/>
          <w:sz w:val="24"/>
          <w:szCs w:val="24"/>
          <w:highlight w:val="none"/>
          <w:lang w:val="en-US" w:eastAsia="zh-CN" w:bidi="ar-SA"/>
        </w:rPr>
      </w:r>
      <w:r/>
    </w:p>
    <w:p>
      <w:pPr>
        <w:pStyle w:val="1289"/>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w:t>
      </w:r>
      <w:bookmarkStart w:id="28" w:name="_Hlk85703864"/>
      <w:r>
        <w:rPr>
          <w:rFonts w:hint="eastAsia" w:ascii="宋体" w:hAnsi="宋体" w:cs="宋体"/>
          <w:color w:val="000000"/>
          <w:sz w:val="24"/>
          <w:szCs w:val="20"/>
          <w:highlight w:val="none"/>
          <w:lang w:val="en-US" w:eastAsia="zh-CN"/>
        </w:rPr>
        <w:t xml:space="preserve">采购人</w:t>
      </w:r>
      <w:r>
        <w:rPr>
          <w:rFonts w:hint="eastAsia" w:ascii="宋体" w:hAnsi="宋体" w:cs="宋体"/>
          <w:color w:val="000000"/>
          <w:sz w:val="24"/>
          <w:szCs w:val="20"/>
          <w:highlight w:val="none"/>
        </w:rPr>
        <w:t xml:space="preserve">根据《</w:t>
      </w:r>
      <w:r>
        <w:rPr>
          <w:rFonts w:hint="eastAsia" w:ascii="宋体" w:hAnsi="宋体" w:cs="宋体"/>
          <w:b/>
          <w:color w:val="000000"/>
          <w:sz w:val="24"/>
          <w:szCs w:val="20"/>
          <w:highlight w:val="none"/>
        </w:rPr>
        <w:t xml:space="preserve">锡山区绿化养护管理考核评定表</w:t>
      </w:r>
      <w:r>
        <w:rPr>
          <w:rFonts w:hint="eastAsia" w:ascii="宋体" w:hAnsi="宋体" w:cs="宋体"/>
          <w:color w:val="000000"/>
          <w:sz w:val="24"/>
          <w:szCs w:val="20"/>
          <w:highlight w:val="none"/>
        </w:rPr>
        <w:t xml:space="preserve">》</w:t>
      </w:r>
      <w:bookmarkStart w:id="29" w:name="_Hlk87025333"/>
      <w:r>
        <w:rPr>
          <w:rFonts w:hint="eastAsia" w:ascii="宋体" w:hAnsi="宋体" w:cs="宋体"/>
          <w:color w:val="000000"/>
          <w:sz w:val="24"/>
          <w:szCs w:val="20"/>
          <w:highlight w:val="none"/>
        </w:rPr>
        <w:t xml:space="preserve">按月度进行考核，连续2次考核得分低于</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0分为考核不合格，采购人有权终止合同。</w:t>
      </w:r>
      <w:bookmarkEnd w:id="28"/>
      <w:r/>
      <w:bookmarkEnd w:id="29"/>
      <w:r>
        <w:rPr>
          <w:rFonts w:hint="eastAsia" w:ascii="宋体" w:hAnsi="宋体" w:cs="宋体"/>
          <w:color w:val="000000"/>
          <w:sz w:val="24"/>
          <w:szCs w:val="20"/>
          <w:highlight w:val="none"/>
        </w:rPr>
      </w:r>
      <w:r/>
    </w:p>
    <w:p>
      <w:pPr>
        <w:pStyle w:val="1289"/>
        <w:spacing w:line="360" w:lineRule="auto"/>
        <w:rPr>
          <w:rFonts w:hint="eastAsia" w:ascii="Times New Roman" w:hAnsi="宋体"/>
          <w:b/>
          <w:bCs/>
          <w:color w:val="000000"/>
          <w:sz w:val="24"/>
          <w:szCs w:val="24"/>
          <w:highlight w:val="none"/>
          <w:lang w:eastAsia="zh-CN"/>
        </w:rPr>
      </w:pPr>
      <w:r>
        <w:rPr>
          <w:rFonts w:hint="eastAsia" w:ascii="宋体" w:hAnsi="宋体" w:cs="宋体"/>
          <w:color w:val="000000"/>
          <w:sz w:val="24"/>
          <w:szCs w:val="20"/>
          <w:highlight w:val="none"/>
          <w:lang w:val="en-US" w:eastAsia="zh-CN"/>
        </w:rPr>
        <w:t xml:space="preserve">    2、</w:t>
      </w:r>
      <w:r>
        <w:rPr>
          <w:rFonts w:hint="eastAsia" w:hAnsi="宋体" w:eastAsia="宋体"/>
          <w:b w:val="0"/>
          <w:bCs w:val="0"/>
          <w:color w:val="000000"/>
          <w:sz w:val="24"/>
          <w:szCs w:val="24"/>
          <w:highlight w:val="none"/>
          <w:lang w:val="en-US" w:eastAsia="zh-CN"/>
        </w:rPr>
        <w:t xml:space="preserve">扣款措施：</w:t>
      </w:r>
      <w:r>
        <w:rPr>
          <w:rFonts w:hint="eastAsia" w:ascii="Times New Roman" w:hAnsi="宋体"/>
          <w:b/>
          <w:bCs/>
          <w:color w:val="000000"/>
          <w:sz w:val="24"/>
          <w:szCs w:val="24"/>
          <w:highlight w:val="none"/>
          <w:lang w:eastAsia="zh-CN"/>
        </w:rPr>
      </w:r>
      <w:r/>
    </w:p>
    <w:p>
      <w:pPr>
        <w:pStyle w:val="1289"/>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（1）作业工人未规范着装，每次处以100元/人罚款；工作时未设置警示标志，每次处以200元罚款。</w:t>
      </w:r>
      <w:r>
        <w:rPr>
          <w:rFonts w:hint="eastAsia" w:hAnsi="宋体"/>
          <w:b w:val="0"/>
          <w:bCs w:val="0"/>
          <w:color w:val="000000"/>
          <w:sz w:val="24"/>
          <w:szCs w:val="24"/>
          <w:highlight w:val="none"/>
          <w:lang w:val="en-US" w:eastAsia="zh-CN"/>
        </w:rPr>
      </w:r>
      <w:r/>
    </w:p>
    <w:p>
      <w:pPr>
        <w:pStyle w:val="1289"/>
        <w:ind w:firstLine="480"/>
        <w:spacing w:line="360" w:lineRule="auto"/>
        <w:rPr>
          <w:rFonts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情形的，采购人视情况，每次处以100-200元罚款。</w:t>
      </w:r>
      <w:r>
        <w:rPr>
          <w:rFonts w:hAnsi="宋体"/>
          <w:b w:val="0"/>
          <w:bCs w:val="0"/>
          <w:color w:val="000000"/>
          <w:sz w:val="24"/>
          <w:szCs w:val="24"/>
          <w:highlight w:val="none"/>
          <w:lang w:val="en-US" w:eastAsia="zh-CN"/>
        </w:rPr>
      </w:r>
      <w:r/>
    </w:p>
    <w:p>
      <w:pPr>
        <w:pStyle w:val="1289"/>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rPr>
          <w:rFonts w:hint="eastAsia" w:hAnsi="宋体"/>
          <w:b w:val="0"/>
          <w:bCs w:val="0"/>
          <w:color w:val="000000"/>
          <w:sz w:val="24"/>
          <w:szCs w:val="24"/>
          <w:highlight w:val="none"/>
          <w:lang w:val="en-US" w:eastAsia="zh-CN"/>
        </w:rPr>
      </w:r>
      <w:r/>
    </w:p>
    <w:p>
      <w:pPr>
        <w:pStyle w:val="1289"/>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（4）</w:t>
      </w:r>
      <w:r>
        <w:rPr>
          <w:rFonts w:hint="eastAsia" w:ascii="Times New Roman" w:hAnsi="宋体"/>
          <w:b w:val="0"/>
          <w:bCs w:val="0"/>
          <w:color w:val="000000"/>
          <w:sz w:val="24"/>
          <w:szCs w:val="24"/>
          <w:highlight w:val="none"/>
          <w:lang w:eastAsia="zh-CN"/>
        </w:rPr>
        <w:t xml:space="preserve">养护承包单位负责人需保证通信通畅。如果长期联系不上，将给予适当的经济处罚。项目经理互查巡查每次发现问题应附照片，如被甲方发现问题，项目经理未有发现，发现一次处以1</w:t>
      </w:r>
      <w:r>
        <w:rPr>
          <w:rFonts w:hint="eastAsia" w:ascii="Times New Roman" w:hAnsi="宋体" w:eastAsia="宋体" w:cs="Times New Roman"/>
          <w:b w:val="0"/>
          <w:bCs w:val="0"/>
          <w:color w:val="000000"/>
          <w:sz w:val="24"/>
          <w:szCs w:val="24"/>
          <w:highlight w:val="none"/>
          <w:lang w:val="en-US" w:eastAsia="zh-CN"/>
        </w:rPr>
        <w:t xml:space="preserve">00元/次处罚。如被上级领导批评、市民投诉、媒体曝光问题，项目经理未有发现，发现一次处以500元/次处罚。</w:t>
      </w:r>
      <w:r>
        <w:rPr>
          <w:rFonts w:hint="eastAsia" w:ascii="Times New Roman" w:hAnsi="宋体" w:eastAsia="宋体" w:cs="Times New Roman"/>
          <w:b w:val="0"/>
          <w:bCs w:val="0"/>
          <w:color w:val="000000"/>
          <w:sz w:val="24"/>
          <w:szCs w:val="24"/>
          <w:highlight w:val="none"/>
          <w:lang w:val="en-US" w:eastAsia="zh-CN"/>
        </w:rPr>
      </w:r>
      <w:r/>
    </w:p>
    <w:p>
      <w:pPr>
        <w:pStyle w:val="1289"/>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（5）养护单位季度被评定为红榜的返回当季度扣款金额、养护单位年度被评定为红榜的返回当年度扣款金额；养护单位季度被评定为黑榜的，采购人有权终止合同。</w:t>
      </w:r>
      <w:r>
        <w:rPr>
          <w:rFonts w:hint="eastAsia" w:ascii="Times New Roman" w:hAnsi="宋体" w:eastAsia="宋体" w:cs="Times New Roman"/>
          <w:b w:val="0"/>
          <w:bCs w:val="0"/>
          <w:color w:val="000000"/>
          <w:sz w:val="24"/>
          <w:szCs w:val="24"/>
          <w:highlight w:val="none"/>
          <w:lang w:val="en-US" w:eastAsia="zh-CN"/>
        </w:rPr>
      </w:r>
      <w:r/>
    </w:p>
    <w:p>
      <w:pPr>
        <w:pStyle w:val="1289"/>
        <w:ind w:firstLine="480"/>
        <w:spacing w:line="360" w:lineRule="auto"/>
        <w:rPr>
          <w:rFonts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（6）如养护单位出现罚款情形的，由采购人出具罚款通知书，并在当次支付费用时进行扣除。</w:t>
      </w:r>
      <w:r>
        <w:rPr>
          <w:rFonts w:ascii="Times New Roman" w:hAnsi="宋体" w:eastAsia="宋体" w:cs="Times New Roman"/>
          <w:b w:val="0"/>
          <w:bCs w:val="0"/>
          <w:color w:val="000000"/>
          <w:sz w:val="24"/>
          <w:szCs w:val="24"/>
          <w:highlight w:val="none"/>
          <w:lang w:val="en-US" w:eastAsia="zh-CN"/>
        </w:rPr>
      </w:r>
      <w:r/>
    </w:p>
    <w:p>
      <w:pPr>
        <w:pStyle w:val="1289"/>
        <w:spacing w:line="360" w:lineRule="auto"/>
        <w:rPr>
          <w:rFonts w:ascii="Times New Roman" w:hAnsi="宋体"/>
          <w:b/>
          <w:bCs/>
          <w:color w:val="000000"/>
          <w:sz w:val="24"/>
          <w:szCs w:val="24"/>
          <w:highlight w:val="none"/>
        </w:rPr>
      </w:pPr>
      <w:r>
        <w:rPr>
          <w:rFonts w:hint="eastAsia" w:hAnsi="宋体"/>
          <w:b/>
          <w:bCs/>
          <w:color w:val="000000"/>
          <w:sz w:val="24"/>
          <w:szCs w:val="24"/>
          <w:highlight w:val="none"/>
          <w:lang w:val="en-US" w:eastAsia="zh-CN"/>
        </w:rPr>
        <w:t xml:space="preserve">八</w:t>
      </w:r>
      <w:r>
        <w:rPr>
          <w:rFonts w:hint="eastAsia" w:ascii="Times New Roman" w:hAnsi="宋体"/>
          <w:b/>
          <w:bCs/>
          <w:color w:val="000000"/>
          <w:sz w:val="24"/>
          <w:szCs w:val="24"/>
          <w:highlight w:val="none"/>
        </w:rPr>
        <w:t xml:space="preserve">、报价说明</w:t>
      </w:r>
      <w:r>
        <w:rPr>
          <w:rFonts w:ascii="Times New Roman" w:hAnsi="宋体"/>
          <w:b/>
          <w:bCs/>
          <w:color w:val="000000"/>
          <w:sz w:val="24"/>
          <w:szCs w:val="24"/>
          <w:highlight w:val="none"/>
        </w:rPr>
      </w:r>
      <w:r/>
    </w:p>
    <w:p>
      <w:pPr>
        <w:pStyle w:val="1289"/>
        <w:ind w:firstLine="480"/>
        <w:spacing w:after="0" w:line="360" w:lineRule="auto"/>
        <w:rPr>
          <w:rFonts w:hint="eastAsia"/>
          <w:color w:val="000000"/>
          <w:sz w:val="24"/>
          <w:highlight w:val="none"/>
        </w:rPr>
      </w:pP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植物绿化养护包含秋季追播黑麦草（草籽）。              </w:t>
      </w:r>
      <w:r>
        <w:rPr>
          <w:rFonts w:hint="eastAsia"/>
          <w:color w:val="000000"/>
          <w:sz w:val="24"/>
          <w:highlight w:val="none"/>
        </w:rPr>
      </w:r>
      <w:r/>
    </w:p>
    <w:p>
      <w:pPr>
        <w:pStyle w:val="1289"/>
        <w:ind w:firstLine="480"/>
        <w:spacing w:after="0" w:line="360" w:lineRule="auto"/>
        <w:rPr>
          <w:rFonts w:hint="eastAsia"/>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、绿化养护内容详见《江苏省城市园林绿化植物养护管理规范》     </w:t>
      </w:r>
      <w:r>
        <w:rPr>
          <w:rFonts w:hint="eastAsia"/>
          <w:color w:val="000000"/>
          <w:sz w:val="24"/>
          <w:highlight w:val="none"/>
        </w:rPr>
      </w:r>
      <w:r/>
    </w:p>
    <w:p>
      <w:pPr>
        <w:pStyle w:val="1289"/>
        <w:ind w:firstLine="480"/>
        <w:spacing w:after="0" w:line="360" w:lineRule="auto"/>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lang w:eastAsia="zh-CN"/>
        </w:rPr>
        <w:t xml:space="preserve">、</w:t>
      </w:r>
      <w:r>
        <w:rPr>
          <w:rFonts w:hint="eastAsia"/>
          <w:color w:val="000000"/>
          <w:sz w:val="24"/>
          <w:highlight w:val="none"/>
        </w:rPr>
        <w:t xml:space="preserve">养护单价为全费用单价，包含人工、材料、机械使用、管理费、利润、规费、税费，以及包含涉及养护产生的垃圾清运、一定的风险费用等。</w:t>
      </w:r>
      <w:r>
        <w:rPr>
          <w:color w:val="000000"/>
          <w:sz w:val="24"/>
          <w:highlight w:val="none"/>
        </w:rPr>
      </w:r>
      <w:r/>
    </w:p>
    <w:p>
      <w:pPr>
        <w:pStyle w:val="1289"/>
        <w:ind w:firstLine="480"/>
        <w:spacing w:after="0" w:line="360" w:lineRule="auto"/>
        <w:rPr>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、投标人可先到工地踏勘以充分了解工地位置、道路、储存空间、装卸限制及任何其他足以影响承包价的情况，任何因忽视或误解工地情况而导致的索</w:t>
      </w:r>
      <w:r>
        <w:rPr>
          <w:rFonts w:hint="eastAsia"/>
          <w:color w:val="000000"/>
          <w:sz w:val="24"/>
          <w:highlight w:val="none"/>
        </w:rPr>
        <w:t xml:space="preserve">赔</w:t>
      </w:r>
      <w:r>
        <w:rPr>
          <w:color w:val="000000"/>
          <w:sz w:val="24"/>
          <w:highlight w:val="none"/>
        </w:rPr>
        <w:t xml:space="preserve">或工期延长申请将不被批准。</w:t>
      </w:r>
      <w:r>
        <w:rPr>
          <w:color w:val="000000"/>
          <w:sz w:val="24"/>
          <w:highlight w:val="none"/>
        </w:rPr>
      </w:r>
      <w:r/>
    </w:p>
    <w:p>
      <w:pPr>
        <w:pStyle w:val="1289"/>
        <w:ind w:firstLine="480"/>
        <w:spacing w:after="0" w:line="360" w:lineRule="auto"/>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、所有的养护方案的费用以及按国家标准或养护验收规范要求对材料、构件进行质量检测或检测所需的试验、检测费用应</w:t>
      </w:r>
      <w:r>
        <w:rPr>
          <w:rFonts w:hint="eastAsia"/>
          <w:color w:val="000000"/>
          <w:sz w:val="24"/>
          <w:highlight w:val="none"/>
        </w:rPr>
        <w:t xml:space="preserve">包含在投标报价</w:t>
      </w:r>
      <w:r>
        <w:rPr>
          <w:color w:val="000000"/>
          <w:sz w:val="24"/>
          <w:highlight w:val="none"/>
        </w:rPr>
        <w:t xml:space="preserve">中。</w:t>
      </w:r>
      <w:r>
        <w:rPr>
          <w:color w:val="000000"/>
          <w:sz w:val="24"/>
          <w:highlight w:val="none"/>
        </w:rPr>
      </w:r>
      <w:r/>
    </w:p>
    <w:p>
      <w:pPr>
        <w:pStyle w:val="1289"/>
        <w:ind w:firstLine="480"/>
        <w:spacing w:after="0" w:line="360" w:lineRule="auto"/>
        <w:rPr>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、各种材料的价格</w:t>
      </w:r>
      <w:r>
        <w:rPr>
          <w:rFonts w:hint="eastAsia"/>
          <w:color w:val="000000"/>
          <w:sz w:val="24"/>
          <w:highlight w:val="none"/>
        </w:rPr>
        <w:t xml:space="preserve">，</w:t>
      </w:r>
      <w:r>
        <w:rPr>
          <w:color w:val="000000"/>
          <w:sz w:val="24"/>
          <w:highlight w:val="none"/>
        </w:rPr>
        <w:t xml:space="preserve">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rPr>
          <w:color w:val="000000"/>
          <w:sz w:val="24"/>
          <w:highlight w:val="none"/>
        </w:rPr>
      </w:r>
      <w:r/>
    </w:p>
    <w:p>
      <w:pPr>
        <w:pStyle w:val="1289"/>
        <w:ind w:firstLine="480"/>
        <w:spacing w:after="0"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、投标人应根据养护现场的实际情况、文明养护要求和各自的养护经验确定合理的养护组织方案，自主合理报价。各投标人应认真踏勘现场，并对</w:t>
      </w:r>
      <w:r>
        <w:rPr>
          <w:rFonts w:hint="eastAsia"/>
          <w:color w:val="000000"/>
          <w:sz w:val="24"/>
          <w:highlight w:val="none"/>
        </w:rPr>
        <w:t xml:space="preserve">养护</w:t>
      </w:r>
      <w:r>
        <w:rPr>
          <w:color w:val="000000"/>
          <w:sz w:val="24"/>
          <w:highlight w:val="none"/>
        </w:rPr>
        <w:t xml:space="preserve">车辆行驶线路认真踏勘，预计可能发生的费用，凡未列的一旦发生，将视为由投标人自理。投标人的单价在合同执行过程中是固定不变的，不得以任何理由予以变更。</w:t>
      </w:r>
      <w:r>
        <w:rPr>
          <w:color w:val="000000"/>
          <w:sz w:val="24"/>
          <w:highlight w:val="none"/>
        </w:rPr>
      </w:r>
      <w:r/>
    </w:p>
    <w:p>
      <w:pPr>
        <w:pStyle w:val="1289"/>
        <w:ind w:firstLine="480"/>
        <w:spacing w:after="0" w:line="360" w:lineRule="auto"/>
        <w:rPr>
          <w:color w:val="000000"/>
          <w:sz w:val="24"/>
          <w:highlight w:val="none"/>
        </w:rPr>
      </w:pPr>
      <w:r>
        <w:rPr>
          <w:rFonts w:hint="eastAsia"/>
          <w:color w:val="000000"/>
          <w:sz w:val="24"/>
          <w:highlight w:val="none"/>
          <w:lang w:val="en-US" w:eastAsia="zh-CN"/>
        </w:rPr>
        <w:t xml:space="preserve">8</w:t>
      </w:r>
      <w:r>
        <w:rPr>
          <w:color w:val="000000"/>
          <w:sz w:val="24"/>
          <w:highlight w:val="none"/>
        </w:rPr>
        <w:t xml:space="preserve">、投标人应根据养护现场的实际情况、本</w:t>
      </w:r>
      <w:r>
        <w:rPr>
          <w:rFonts w:hint="eastAsia"/>
          <w:color w:val="000000"/>
          <w:sz w:val="24"/>
          <w:highlight w:val="none"/>
        </w:rPr>
        <w:t xml:space="preserve">采购文件</w:t>
      </w:r>
      <w:r>
        <w:rPr>
          <w:color w:val="000000"/>
          <w:sz w:val="24"/>
          <w:highlight w:val="none"/>
        </w:rPr>
        <w:t xml:space="preserve">中载明的养护组织要求、现场的交通管制条件、文明养护要求和各自的养护经验确定合理的养护组织方案，自主合理报价。各投标单位应认真踏勘现场，充分考虑临时用地(招标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w:t>
      </w:r>
      <w:r>
        <w:rPr>
          <w:rFonts w:hint="eastAsia"/>
          <w:color w:val="000000"/>
          <w:sz w:val="24"/>
          <w:highlight w:val="none"/>
          <w:lang w:eastAsia="zh-CN"/>
        </w:rPr>
        <w:t xml:space="preserve">列出</w:t>
      </w:r>
      <w:r>
        <w:rPr>
          <w:color w:val="000000"/>
          <w:sz w:val="24"/>
          <w:highlight w:val="none"/>
        </w:rPr>
        <w:t xml:space="preserve">的一旦发生，将视为由投标的中标人自理。</w:t>
      </w:r>
      <w:r>
        <w:rPr>
          <w:color w:val="000000"/>
          <w:sz w:val="24"/>
          <w:highlight w:val="none"/>
        </w:rPr>
      </w:r>
      <w:r/>
    </w:p>
    <w:p>
      <w:pPr>
        <w:pStyle w:val="1314"/>
        <w:ind w:firstLine="480"/>
        <w:spacing w:line="360" w:lineRule="auto"/>
        <w:rPr>
          <w:color w:val="000000"/>
          <w:sz w:val="24"/>
          <w:highlight w:val="none"/>
        </w:rPr>
      </w:pPr>
      <w:r>
        <w:rPr>
          <w:rFonts w:hint="eastAsia"/>
          <w:color w:val="000000"/>
          <w:sz w:val="24"/>
          <w:highlight w:val="none"/>
          <w:lang w:val="en-US" w:eastAsia="zh-CN"/>
        </w:rPr>
        <w:t xml:space="preserve">9</w:t>
      </w:r>
      <w:r>
        <w:rPr>
          <w:color w:val="000000"/>
          <w:sz w:val="24"/>
          <w:highlight w:val="none"/>
        </w:rPr>
        <w:t xml:space="preserve">、水、电费用请投标人自行考虑，费用纳入投标报价中。养护用水、电由投标人自行解决。如有需要，</w:t>
      </w:r>
      <w:r>
        <w:rPr>
          <w:rFonts w:hint="eastAsia"/>
          <w:color w:val="000000"/>
          <w:sz w:val="24"/>
          <w:highlight w:val="none"/>
        </w:rPr>
        <w:t xml:space="preserve">采购人</w:t>
      </w:r>
      <w:r>
        <w:rPr>
          <w:color w:val="000000"/>
          <w:sz w:val="24"/>
          <w:highlight w:val="none"/>
        </w:rPr>
        <w:t xml:space="preserve">可协助办理相关手续。</w:t>
      </w:r>
      <w:r>
        <w:rPr>
          <w:color w:val="000000"/>
          <w:sz w:val="24"/>
          <w:highlight w:val="none"/>
        </w:rPr>
      </w:r>
      <w:r/>
    </w:p>
    <w:p>
      <w:pPr>
        <w:pStyle w:val="1289"/>
        <w:jc w:val="center"/>
        <w:rPr>
          <w:rFonts w:hint="eastAsia"/>
          <w:b/>
          <w:sz w:val="44"/>
          <w:szCs w:val="44"/>
          <w:highlight w:val="none"/>
        </w:rPr>
      </w:pPr>
      <w:r>
        <w:rPr>
          <w:rFonts w:hint="eastAsia"/>
          <w:b/>
          <w:sz w:val="44"/>
          <w:szCs w:val="44"/>
          <w:highlight w:val="none"/>
        </w:rPr>
      </w:r>
      <w:r/>
    </w:p>
    <w:p>
      <w:pPr>
        <w:pStyle w:val="1289"/>
        <w:jc w:val="center"/>
        <w:rPr>
          <w:rFonts w:hint="eastAsia"/>
          <w:b/>
          <w:sz w:val="44"/>
          <w:szCs w:val="44"/>
          <w:highlight w:val="none"/>
        </w:rPr>
      </w:pPr>
      <w:r>
        <w:rPr>
          <w:rFonts w:hint="eastAsia"/>
          <w:b/>
          <w:sz w:val="44"/>
          <w:szCs w:val="44"/>
          <w:highlight w:val="none"/>
        </w:rPr>
      </w:r>
      <w:r/>
    </w:p>
    <w:p>
      <w:pPr>
        <w:pStyle w:val="1289"/>
        <w:jc w:val="center"/>
        <w:rPr>
          <w:rFonts w:hint="eastAsia"/>
          <w:b/>
          <w:sz w:val="44"/>
          <w:szCs w:val="44"/>
          <w:highlight w:val="none"/>
        </w:rPr>
      </w:pPr>
      <w:r>
        <w:rPr>
          <w:rFonts w:hint="eastAsia"/>
          <w:b/>
          <w:sz w:val="44"/>
          <w:szCs w:val="44"/>
          <w:highlight w:val="none"/>
        </w:rPr>
      </w:r>
      <w:r/>
    </w:p>
    <w:p>
      <w:pPr>
        <w:pStyle w:val="1289"/>
        <w:jc w:val="center"/>
        <w:rPr>
          <w:rFonts w:hint="eastAsia"/>
          <w:b/>
          <w:sz w:val="44"/>
          <w:szCs w:val="44"/>
          <w:highlight w:val="none"/>
        </w:rPr>
      </w:pPr>
      <w:r>
        <w:rPr>
          <w:rFonts w:hint="eastAsia"/>
          <w:b/>
          <w:sz w:val="44"/>
          <w:szCs w:val="44"/>
          <w:highlight w:val="none"/>
        </w:rPr>
      </w:r>
      <w:r/>
    </w:p>
    <w:p>
      <w:pPr>
        <w:pStyle w:val="1289"/>
        <w:jc w:val="both"/>
        <w:rPr>
          <w:rFonts w:hint="eastAsia"/>
          <w:b/>
          <w:sz w:val="44"/>
          <w:szCs w:val="44"/>
          <w:highlight w:val="none"/>
        </w:rPr>
      </w:pPr>
      <w:r>
        <w:rPr>
          <w:rFonts w:hint="eastAsia"/>
          <w:b/>
          <w:sz w:val="44"/>
          <w:szCs w:val="44"/>
          <w:highlight w:val="none"/>
        </w:rPr>
      </w:r>
      <w:r/>
    </w:p>
    <w:p>
      <w:pPr>
        <w:pStyle w:val="1289"/>
        <w:jc w:val="center"/>
        <w:rPr>
          <w:rFonts w:hint="eastAsia"/>
          <w:b/>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sz w:val="44"/>
          <w:szCs w:val="44"/>
          <w:highlight w:val="none"/>
        </w:rPr>
      </w:r>
      <w:r/>
    </w:p>
    <w:p>
      <w:pPr>
        <w:pStyle w:val="1289"/>
        <w:jc w:val="center"/>
        <w:rPr>
          <w:rFonts w:hint="eastAsia"/>
          <w:b/>
          <w:sz w:val="44"/>
          <w:szCs w:val="44"/>
          <w:highlight w:val="none"/>
          <w:u w:val="single"/>
        </w:rPr>
      </w:pPr>
      <w:r>
        <w:rPr>
          <w:rFonts w:hint="eastAsia"/>
          <w:b/>
          <w:sz w:val="44"/>
          <w:szCs w:val="44"/>
          <w:highlight w:val="none"/>
        </w:rPr>
        <w:t xml:space="preserve">锡山区绿化养护管理考核评定表</w:t>
      </w:r>
      <w:r>
        <w:rPr>
          <w:rFonts w:hint="eastAsia"/>
          <w:b/>
          <w:sz w:val="44"/>
          <w:szCs w:val="44"/>
          <w:highlight w:val="none"/>
          <w:u w:val="single"/>
        </w:rPr>
      </w:r>
      <w:r/>
    </w:p>
    <w:p>
      <w:pPr>
        <w:pStyle w:val="1289"/>
        <w:ind w:firstLine="105"/>
        <w:rPr>
          <w:rFonts w:hint="eastAsia"/>
          <w:highlight w:val="none"/>
        </w:rPr>
      </w:pPr>
      <w:r>
        <w:rPr>
          <w:rFonts w:hint="eastAsia"/>
          <w:highlight w:val="none"/>
        </w:rPr>
      </w:r>
      <w:r/>
    </w:p>
    <w:p>
      <w:pPr>
        <w:pStyle w:val="1289"/>
        <w:ind w:firstLine="120"/>
        <w:rPr>
          <w:rFonts w:hint="eastAsia"/>
          <w:sz w:val="24"/>
          <w:highlight w:val="none"/>
        </w:rPr>
      </w:pPr>
      <w:r>
        <w:rPr>
          <w:rFonts w:hint="eastAsia"/>
          <w:sz w:val="24"/>
          <w:highlight w:val="none"/>
        </w:rPr>
        <w:t xml:space="preserve">考核工程：</w:t>
      </w:r>
      <w:r>
        <w:rPr>
          <w:rFonts w:hint="eastAsia"/>
          <w:sz w:val="24"/>
          <w:highlight w:val="none"/>
          <w:u w:val="single"/>
        </w:rPr>
        <w:t xml:space="preserve">                       </w:t>
      </w:r>
      <w:r>
        <w:rPr>
          <w:rFonts w:hint="eastAsia"/>
          <w:sz w:val="24"/>
          <w:highlight w:val="none"/>
        </w:rPr>
        <w:t xml:space="preserve">     单位名称：</w:t>
      </w:r>
      <w:r>
        <w:rPr>
          <w:rFonts w:hint="eastAsia"/>
          <w:sz w:val="24"/>
          <w:highlight w:val="none"/>
          <w:u w:val="single"/>
        </w:rPr>
        <w:t xml:space="preserve">                                </w:t>
      </w:r>
      <w:r>
        <w:rPr>
          <w:rFonts w:hint="eastAsia"/>
          <w:sz w:val="24"/>
          <w:highlight w:val="none"/>
        </w:rPr>
        <w:t xml:space="preserve">考核日期：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rFonts w:hint="eastAsia"/>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6300"/>
        <w:gridCol w:w="720"/>
        <w:gridCol w:w="4320"/>
        <w:gridCol w:w="720"/>
        <w:gridCol w:w="720"/>
      </w:tblGrid>
      <w:tr>
        <w:trPr/>
        <w:tc>
          <w:tcPr>
            <w:tcW w:w="648" w:type="dxa"/>
            <w:vAlign w:val="center"/>
            <w:textDirection w:val="lrTb"/>
            <w:noWrap w:val="false"/>
          </w:tcPr>
          <w:p>
            <w:pPr>
              <w:pStyle w:val="1289"/>
              <w:ind w:firstLine="120"/>
              <w:rPr>
                <w:rFonts w:hint="eastAsia"/>
                <w:sz w:val="24"/>
                <w:highlight w:val="none"/>
              </w:rPr>
            </w:pPr>
            <w:r>
              <w:rPr>
                <w:rFonts w:hint="eastAsia"/>
                <w:sz w:val="24"/>
                <w:highlight w:val="none"/>
              </w:rPr>
              <w:t xml:space="preserve">项目</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编号</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考核内容及要求</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标准分</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扣分标准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扣分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得分</w:t>
            </w:r>
            <w:r>
              <w:rPr>
                <w:rFonts w:hint="eastAsia"/>
                <w:sz w:val="24"/>
                <w:highlight w:val="none"/>
              </w:rPr>
            </w:r>
            <w:r/>
          </w:p>
        </w:tc>
      </w:tr>
      <w:tr>
        <w:trPr/>
        <w:tc>
          <w:tcPr>
            <w:tcW w:w="648" w:type="dxa"/>
            <w:vAlign w:val="center"/>
            <w:vMerge w:val="restart"/>
            <w:textDirection w:val="lrTb"/>
            <w:noWrap w:val="false"/>
          </w:tcPr>
          <w:p>
            <w:pPr>
              <w:pStyle w:val="1289"/>
              <w:ind w:firstLine="120"/>
              <w:rPr>
                <w:rFonts w:hint="eastAsia"/>
                <w:sz w:val="24"/>
                <w:highlight w:val="none"/>
              </w:rPr>
            </w:pPr>
            <w:r>
              <w:rPr>
                <w:rFonts w:hint="eastAsia"/>
                <w:sz w:val="24"/>
                <w:highlight w:val="none"/>
              </w:rPr>
              <w:t xml:space="preserve">绿</w:t>
            </w:r>
            <w:r>
              <w:rPr>
                <w:rFonts w:hint="eastAsia"/>
                <w:sz w:val="24"/>
                <w:highlight w:val="none"/>
              </w:rPr>
            </w:r>
            <w:r/>
          </w:p>
          <w:p>
            <w:pPr>
              <w:pStyle w:val="1289"/>
              <w:ind w:firstLine="120"/>
              <w:rPr>
                <w:rFonts w:hint="eastAsia"/>
                <w:sz w:val="24"/>
                <w:highlight w:val="none"/>
              </w:rPr>
            </w:pPr>
            <w:r>
              <w:rPr>
                <w:rFonts w:hint="eastAsia"/>
                <w:sz w:val="24"/>
                <w:highlight w:val="none"/>
              </w:rPr>
              <w:t xml:space="preserve">地</w:t>
            </w:r>
            <w:r>
              <w:rPr>
                <w:rFonts w:hint="eastAsia"/>
                <w:sz w:val="24"/>
                <w:highlight w:val="none"/>
              </w:rPr>
            </w:r>
            <w:r/>
          </w:p>
          <w:p>
            <w:pPr>
              <w:pStyle w:val="1289"/>
              <w:ind w:firstLine="120"/>
              <w:rPr>
                <w:rFonts w:hint="eastAsia"/>
                <w:sz w:val="24"/>
                <w:highlight w:val="none"/>
              </w:rPr>
            </w:pPr>
            <w:r>
              <w:rPr>
                <w:rFonts w:hint="eastAsia"/>
                <w:sz w:val="24"/>
                <w:highlight w:val="none"/>
              </w:rPr>
              <w:t xml:space="preserve">设</w:t>
            </w:r>
            <w:r>
              <w:rPr>
                <w:rFonts w:hint="eastAsia"/>
                <w:sz w:val="24"/>
                <w:highlight w:val="none"/>
              </w:rPr>
            </w:r>
            <w:r/>
          </w:p>
          <w:p>
            <w:pPr>
              <w:pStyle w:val="1289"/>
              <w:ind w:firstLine="120"/>
              <w:rPr>
                <w:rFonts w:hint="eastAsia"/>
                <w:sz w:val="24"/>
                <w:highlight w:val="none"/>
              </w:rPr>
            </w:pPr>
            <w:r>
              <w:rPr>
                <w:rFonts w:hint="eastAsia"/>
                <w:sz w:val="24"/>
                <w:highlight w:val="none"/>
              </w:rPr>
              <w:t xml:space="preserve">施</w:t>
            </w:r>
            <w:r>
              <w:rPr>
                <w:rFonts w:hint="eastAsia"/>
                <w:sz w:val="24"/>
                <w:highlight w:val="none"/>
              </w:rPr>
            </w:r>
            <w:r/>
          </w:p>
          <w:p>
            <w:pPr>
              <w:pStyle w:val="1289"/>
              <w:ind w:firstLine="120"/>
              <w:rPr>
                <w:rFonts w:hint="eastAsia"/>
                <w:sz w:val="24"/>
                <w:highlight w:val="none"/>
              </w:rPr>
            </w:pPr>
            <w:r>
              <w:rPr>
                <w:rFonts w:hint="eastAsia"/>
                <w:sz w:val="24"/>
                <w:highlight w:val="none"/>
              </w:rPr>
              <w:t xml:space="preserve">及</w:t>
            </w:r>
            <w:r>
              <w:rPr>
                <w:rFonts w:hint="eastAsia"/>
                <w:sz w:val="24"/>
                <w:highlight w:val="none"/>
              </w:rPr>
            </w:r>
            <w:r/>
          </w:p>
          <w:p>
            <w:pPr>
              <w:pStyle w:val="1289"/>
              <w:ind w:firstLine="120"/>
              <w:rPr>
                <w:rFonts w:hint="eastAsia"/>
                <w:sz w:val="24"/>
                <w:highlight w:val="none"/>
              </w:rPr>
            </w:pPr>
            <w:r>
              <w:rPr>
                <w:rFonts w:hint="eastAsia"/>
                <w:sz w:val="24"/>
                <w:highlight w:val="none"/>
              </w:rPr>
              <w:t xml:space="preserve">卫生</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绿地、草坪、广场、道路、假山和水体、岸边等无果皮壳、白色垃圾、无乱堆放现象、水体无漂浮物、水池、池塘定期清理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5</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有一内容达不到要求，扣0.5-1分，扣完为止</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标志牌、指示牌、</w:t>
            </w:r>
            <w:r>
              <w:rPr>
                <w:rFonts w:hint="eastAsia"/>
                <w:sz w:val="24"/>
                <w:highlight w:val="none"/>
                <w:lang w:eastAsia="zh-CN"/>
              </w:rPr>
              <w:t xml:space="preserve">座椅</w:t>
            </w:r>
            <w:r>
              <w:rPr>
                <w:rFonts w:hint="eastAsia"/>
                <w:sz w:val="24"/>
                <w:highlight w:val="none"/>
              </w:rPr>
              <w:t xml:space="preserve">、灯箱、庭园灯、栏杆、垃圾箱及园林建筑小品保持完好、无损坏、并保持清洁卫生</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有一内容达不到要求，扣0.5-1分，发现坏的应及时报告，否则另重扣分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3</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树木花草修剪后枝叶、垃圾及时清运不过夜</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4</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否则不得分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4</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发现侵占绿地、砍伐树木现象及时阻止、及时汇报</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及时阻止得2分，及时上报得2分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pStyle w:val="1289"/>
              <w:ind w:firstLine="120"/>
              <w:rPr>
                <w:rFonts w:hint="eastAsia"/>
                <w:sz w:val="24"/>
                <w:highlight w:val="none"/>
              </w:rPr>
            </w:pPr>
            <w:r>
              <w:rPr>
                <w:rFonts w:hint="eastAsia"/>
                <w:sz w:val="24"/>
                <w:highlight w:val="none"/>
              </w:rPr>
              <w:t xml:space="preserve">场</w:t>
            </w:r>
            <w:r>
              <w:rPr>
                <w:rFonts w:hint="eastAsia"/>
                <w:sz w:val="24"/>
                <w:highlight w:val="none"/>
              </w:rPr>
            </w:r>
            <w:r/>
          </w:p>
          <w:p>
            <w:pPr>
              <w:pStyle w:val="1289"/>
              <w:ind w:firstLine="120"/>
              <w:rPr>
                <w:rFonts w:hint="eastAsia"/>
                <w:sz w:val="24"/>
                <w:highlight w:val="none"/>
              </w:rPr>
            </w:pPr>
            <w:r>
              <w:rPr>
                <w:rFonts w:hint="eastAsia"/>
                <w:sz w:val="24"/>
                <w:highlight w:val="none"/>
              </w:rPr>
              <w:t xml:space="preserve">地</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5</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场地平整，排水坡度恰当、无积水</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发现一处扣0.5-1分，扣完为止</w:t>
            </w:r>
            <w:r>
              <w:rPr>
                <w:rFonts w:hint="eastAsia"/>
                <w:sz w:val="24"/>
                <w:highlight w:val="none"/>
              </w:rPr>
            </w:r>
            <w:r/>
          </w:p>
        </w:tc>
        <w:tc>
          <w:tcPr>
            <w:tcW w:w="720" w:type="dxa"/>
            <w:vAlign w:val="center"/>
            <w:textDirection w:val="lrTb"/>
            <w:noWrap w:val="false"/>
          </w:tcPr>
          <w:p>
            <w:pPr>
              <w:pStyle w:val="1289"/>
              <w:ind w:firstLine="120"/>
              <w:rPr>
                <w:sz w:val="24"/>
                <w:highlight w:val="none"/>
              </w:rPr>
            </w:pPr>
            <w:r>
              <w:rPr>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6</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基本无石砾等杂物、草坪、色块应切边分隔</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5</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发现一处扣0.5-1分，发现一处不切边扣2分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pStyle w:val="1289"/>
              <w:ind w:firstLine="120"/>
              <w:rPr>
                <w:rFonts w:hint="eastAsia"/>
                <w:sz w:val="24"/>
                <w:highlight w:val="none"/>
              </w:rPr>
            </w:pPr>
            <w:r>
              <w:rPr>
                <w:rFonts w:hint="eastAsia"/>
                <w:sz w:val="24"/>
                <w:highlight w:val="none"/>
              </w:rPr>
              <w:t xml:space="preserve">植</w:t>
            </w:r>
            <w:r>
              <w:rPr>
                <w:rFonts w:hint="eastAsia"/>
                <w:sz w:val="24"/>
                <w:highlight w:val="none"/>
              </w:rPr>
            </w:r>
            <w:r/>
          </w:p>
          <w:p>
            <w:pPr>
              <w:pStyle w:val="1289"/>
              <w:ind w:firstLine="120"/>
              <w:rPr>
                <w:rFonts w:hint="eastAsia"/>
                <w:sz w:val="24"/>
                <w:highlight w:val="none"/>
              </w:rPr>
            </w:pPr>
            <w:r>
              <w:rPr>
                <w:rFonts w:hint="eastAsia"/>
                <w:sz w:val="24"/>
                <w:highlight w:val="none"/>
              </w:rPr>
              <w:t xml:space="preserve">物</w:t>
            </w:r>
            <w:r>
              <w:rPr>
                <w:rFonts w:hint="eastAsia"/>
                <w:sz w:val="24"/>
                <w:highlight w:val="none"/>
              </w:rPr>
            </w:r>
            <w:r/>
          </w:p>
          <w:p>
            <w:pPr>
              <w:pStyle w:val="1289"/>
              <w:ind w:firstLine="120"/>
              <w:rPr>
                <w:rFonts w:hint="eastAsia"/>
                <w:sz w:val="24"/>
                <w:highlight w:val="none"/>
              </w:rPr>
            </w:pPr>
            <w:r>
              <w:rPr>
                <w:rFonts w:hint="eastAsia"/>
                <w:sz w:val="24"/>
                <w:highlight w:val="none"/>
              </w:rPr>
              <w:t xml:space="preserve">保</w:t>
            </w:r>
            <w:r>
              <w:rPr>
                <w:rFonts w:hint="eastAsia"/>
                <w:sz w:val="24"/>
                <w:highlight w:val="none"/>
              </w:rPr>
            </w:r>
            <w:r/>
          </w:p>
          <w:p>
            <w:pPr>
              <w:pStyle w:val="1289"/>
              <w:ind w:firstLine="120"/>
              <w:rPr>
                <w:rFonts w:hint="eastAsia"/>
                <w:sz w:val="24"/>
                <w:highlight w:val="none"/>
              </w:rPr>
            </w:pPr>
            <w:r>
              <w:rPr>
                <w:rFonts w:hint="eastAsia"/>
                <w:sz w:val="24"/>
                <w:highlight w:val="none"/>
              </w:rPr>
              <w:t xml:space="preserve">护</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7</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树木长势良好，枝条健壮、无枯枝、死杈，绿地内无死株</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6</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有一内容达不到要求，扣0.5分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8</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做好绿地内植物病虫害的防治工作，危害状不明显，病虫害较严重时应及时防治、措施得力。</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5</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危害状明显的，发现一处扣1</w:t>
            </w:r>
            <w:r>
              <w:rPr>
                <w:sz w:val="24"/>
                <w:highlight w:val="none"/>
              </w:rPr>
              <w:t xml:space="preserve">—</w:t>
            </w:r>
            <w:r>
              <w:rPr>
                <w:rFonts w:hint="eastAsia"/>
                <w:sz w:val="24"/>
                <w:highlight w:val="none"/>
              </w:rPr>
              <w:t xml:space="preserve">2分，大面积危害扣3</w:t>
            </w:r>
            <w:r>
              <w:rPr>
                <w:sz w:val="24"/>
                <w:highlight w:val="none"/>
              </w:rPr>
              <w:t xml:space="preserve">—</w:t>
            </w:r>
            <w:r>
              <w:rPr>
                <w:rFonts w:hint="eastAsia"/>
                <w:sz w:val="24"/>
                <w:highlight w:val="none"/>
              </w:rPr>
              <w:t xml:space="preserve">4分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9</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路口三角绿地内乔木、花灌木有切边圆形培土塘</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4</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不明显扣0.5-1分，不做的扣3-4分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10</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树木或树干重心与地面基本垂直，支撑应稳定，牢固一致，不伤树木，树木支撑不得用铅丝扎缚在树木上</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4</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发现树木歪斜应扶正，否则扣0.5分，违反规定有一项扣0.5分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11</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对树体伤口应清理、修整后</w:t>
            </w:r>
            <w:r>
              <w:rPr>
                <w:rFonts w:hint="eastAsia"/>
                <w:sz w:val="24"/>
                <w:highlight w:val="none"/>
                <w:lang w:eastAsia="zh-CN"/>
              </w:rPr>
              <w:t xml:space="preserve">消毒</w:t>
            </w:r>
            <w:r>
              <w:rPr>
                <w:rFonts w:hint="eastAsia"/>
                <w:sz w:val="24"/>
                <w:highlight w:val="none"/>
              </w:rPr>
              <w:t xml:space="preserve">，涂保护剂，发现树洞要及时修补</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有一内容达不到要求扣0.5分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12</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落叶树修剪规范整齐、定枝、整枝合理均匀</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5</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发现乱剪或不及时修剪扣1</w:t>
            </w:r>
            <w:r>
              <w:rPr>
                <w:sz w:val="24"/>
                <w:highlight w:val="none"/>
              </w:rPr>
              <w:t xml:space="preserve">—</w:t>
            </w:r>
            <w:r>
              <w:rPr>
                <w:rFonts w:hint="eastAsia"/>
                <w:sz w:val="24"/>
                <w:highlight w:val="none"/>
              </w:rPr>
              <w:t xml:space="preserve">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textDirection w:val="lrTb"/>
            <w:noWrap w:val="false"/>
          </w:tcPr>
          <w:p>
            <w:pPr>
              <w:pStyle w:val="1289"/>
              <w:ind w:firstLine="120"/>
              <w:rPr>
                <w:rFonts w:hint="eastAsia"/>
                <w:sz w:val="24"/>
                <w:highlight w:val="none"/>
              </w:rPr>
            </w:pPr>
            <w:r>
              <w:rPr>
                <w:rFonts w:hint="eastAsia"/>
                <w:sz w:val="24"/>
                <w:highlight w:val="none"/>
              </w:rPr>
              <w:t xml:space="preserve">项目</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编号</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考核内容及要求</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标准分</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扣分标准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扣分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得分</w:t>
            </w:r>
            <w:r>
              <w:rPr>
                <w:rFonts w:hint="eastAsia"/>
                <w:sz w:val="24"/>
                <w:highlight w:val="none"/>
              </w:rPr>
            </w:r>
            <w:r/>
          </w:p>
        </w:tc>
      </w:tr>
      <w:tr>
        <w:trPr/>
        <w:tc>
          <w:tcPr>
            <w:tcW w:w="648" w:type="dxa"/>
            <w:vAlign w:val="center"/>
            <w:vMerge w:val="restart"/>
            <w:textDirection w:val="lrTb"/>
            <w:noWrap w:val="false"/>
          </w:tcPr>
          <w:p>
            <w:pPr>
              <w:pStyle w:val="1289"/>
              <w:ind w:firstLine="120"/>
              <w:rPr>
                <w:rFonts w:hint="eastAsia"/>
                <w:sz w:val="24"/>
                <w:highlight w:val="none"/>
              </w:rPr>
            </w:pPr>
            <w:r>
              <w:rPr>
                <w:rFonts w:hint="eastAsia"/>
                <w:sz w:val="24"/>
                <w:highlight w:val="none"/>
              </w:rPr>
              <w:t xml:space="preserve">季节性重点工作</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13</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灌木、色块、草坪修剪及时</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6</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凡草坪生长超过平面5公分、色块、绿篱生长超过8公分未修剪的不得分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14</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灌木、色块修剪、平面平整、高度统一、棱角清楚、球形圆整</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8</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有一内容达不到要求，扣1-2分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15</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按要求施基肥，做好保质、保量、及时 </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3</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偷工减料或不按要求，扣1-2分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16</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树木、草坪、地被无火烧现象</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发现一处扣1-2分</w:t>
            </w:r>
            <w:r>
              <w:rPr>
                <w:rFonts w:hint="eastAsia"/>
                <w:sz w:val="24"/>
                <w:highlight w:val="none"/>
              </w:rPr>
            </w:r>
            <w:r/>
          </w:p>
        </w:tc>
        <w:tc>
          <w:tcPr>
            <w:tcW w:w="720" w:type="dxa"/>
            <w:vAlign w:val="center"/>
            <w:textDirection w:val="lrTb"/>
            <w:noWrap w:val="false"/>
          </w:tcPr>
          <w:p>
            <w:pPr>
              <w:pStyle w:val="1289"/>
              <w:ind w:firstLine="120"/>
              <w:rPr>
                <w:sz w:val="24"/>
                <w:highlight w:val="none"/>
              </w:rPr>
            </w:pPr>
            <w:r>
              <w:rPr>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17</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冬季树木统一涂白，做好防扫雪等植物保护工作</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3</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有一内容不到要求，扣1-2分</w:t>
            </w:r>
            <w:r>
              <w:rPr>
                <w:rFonts w:hint="eastAsia"/>
                <w:sz w:val="24"/>
                <w:highlight w:val="none"/>
              </w:rPr>
            </w:r>
            <w:r/>
          </w:p>
        </w:tc>
        <w:tc>
          <w:tcPr>
            <w:tcW w:w="720" w:type="dxa"/>
            <w:vAlign w:val="center"/>
            <w:textDirection w:val="lrTb"/>
            <w:noWrap w:val="false"/>
          </w:tcPr>
          <w:p>
            <w:pPr>
              <w:pStyle w:val="1289"/>
              <w:ind w:firstLine="120"/>
              <w:rPr>
                <w:sz w:val="24"/>
                <w:highlight w:val="none"/>
              </w:rPr>
            </w:pPr>
            <w:r>
              <w:rPr>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18</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树木、草坪、地被要按要求施追肥1-2次</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6</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少施一处扣3分，施肥不足或不按要求扣2分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19</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雨季及时排水、绿地不积水，高温季节及时灌水，叶面喷水，做好台风季节的防护工作</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7</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发现一处积水扣1分，植物缺水影响生长或是死亡扣4分，植株抗台风防护工作做不好，有一处扣0.5分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20</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及时根除杂草，树穴整修，绿篱两侧30公分内无杂草</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6</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有一内容达不到要求扣1-2分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21</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结合冬季修剪，冬耕消灭越冬虫茧、虫蛹、越冬的虫蚜等虫活体。</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4</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按情况酌情扣分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center"/>
            <w:vMerge w:val="restart"/>
            <w:textDirection w:val="lrTb"/>
            <w:noWrap w:val="false"/>
          </w:tcPr>
          <w:p>
            <w:pPr>
              <w:pStyle w:val="1289"/>
              <w:ind w:firstLine="120"/>
              <w:rPr>
                <w:rFonts w:hint="eastAsia"/>
                <w:sz w:val="24"/>
                <w:highlight w:val="none"/>
              </w:rPr>
            </w:pPr>
            <w:r>
              <w:rPr>
                <w:rFonts w:hint="eastAsia"/>
                <w:sz w:val="24"/>
                <w:highlight w:val="none"/>
                <w:lang w:eastAsia="zh-CN"/>
              </w:rPr>
              <w:t xml:space="preserve">其他</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22</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积极参加锡山城管局的各类会议、活动、评比与竞赛</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无故缺席或借故中途离开，发现一次扣2分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tcW w:w="648" w:type="dxa"/>
            <w:vAlign w:val="top"/>
            <w:vMerge w:val="continue"/>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23</w:t>
            </w:r>
            <w:r>
              <w:rPr>
                <w:rFonts w:hint="eastAsia"/>
                <w:sz w:val="24"/>
                <w:highlight w:val="none"/>
              </w:rPr>
            </w:r>
            <w:r/>
          </w:p>
        </w:tc>
        <w:tc>
          <w:tcPr>
            <w:tcW w:w="6300" w:type="dxa"/>
            <w:vAlign w:val="center"/>
            <w:textDirection w:val="lrTb"/>
            <w:noWrap w:val="false"/>
          </w:tcPr>
          <w:p>
            <w:pPr>
              <w:pStyle w:val="1289"/>
              <w:ind w:firstLine="120"/>
              <w:rPr>
                <w:rFonts w:hint="eastAsia"/>
                <w:sz w:val="24"/>
                <w:highlight w:val="none"/>
              </w:rPr>
            </w:pPr>
            <w:r>
              <w:rPr>
                <w:rFonts w:hint="eastAsia"/>
                <w:sz w:val="24"/>
                <w:highlight w:val="none"/>
              </w:rPr>
              <w:t xml:space="preserve">在规定的时间内做好甲方下达的任务</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7</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t xml:space="preserve">有无故拖延的发现一次扣2分</w:t>
            </w: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r>
        <w:trPr/>
        <w:tc>
          <w:tcPr>
            <w:gridSpan w:val="2"/>
            <w:tcW w:w="1368" w:type="dxa"/>
            <w:vAlign w:val="center"/>
            <w:textDirection w:val="lrTb"/>
            <w:noWrap w:val="false"/>
          </w:tcPr>
          <w:p>
            <w:pPr>
              <w:pStyle w:val="1289"/>
              <w:ind w:firstLine="120"/>
              <w:rPr>
                <w:rFonts w:hint="eastAsia"/>
                <w:sz w:val="24"/>
                <w:highlight w:val="none"/>
              </w:rPr>
            </w:pPr>
            <w:r>
              <w:rPr>
                <w:rFonts w:hint="eastAsia"/>
                <w:sz w:val="24"/>
                <w:highlight w:val="none"/>
              </w:rPr>
              <w:t xml:space="preserve">合 计</w:t>
            </w:r>
            <w:r>
              <w:rPr>
                <w:rFonts w:hint="eastAsia"/>
                <w:sz w:val="24"/>
                <w:highlight w:val="none"/>
              </w:rPr>
            </w:r>
            <w:r/>
          </w:p>
        </w:tc>
        <w:tc>
          <w:tcPr>
            <w:tcW w:w="6300" w:type="dxa"/>
            <w:vAlign w:val="top"/>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t xml:space="preserve">100</w:t>
            </w:r>
            <w:r>
              <w:rPr>
                <w:rFonts w:hint="eastAsia"/>
                <w:sz w:val="24"/>
                <w:highlight w:val="none"/>
              </w:rPr>
            </w:r>
            <w:r/>
          </w:p>
        </w:tc>
        <w:tc>
          <w:tcPr>
            <w:tcW w:w="43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c>
          <w:tcPr>
            <w:tcW w:w="720" w:type="dxa"/>
            <w:vAlign w:val="center"/>
            <w:textDirection w:val="lrTb"/>
            <w:noWrap w:val="false"/>
          </w:tcPr>
          <w:p>
            <w:pPr>
              <w:pStyle w:val="1289"/>
              <w:ind w:firstLine="120"/>
              <w:rPr>
                <w:rFonts w:hint="eastAsia"/>
                <w:sz w:val="24"/>
                <w:highlight w:val="none"/>
              </w:rPr>
            </w:pPr>
            <w:r>
              <w:rPr>
                <w:rFonts w:hint="eastAsia"/>
                <w:sz w:val="24"/>
                <w:highlight w:val="none"/>
              </w:rPr>
            </w:r>
            <w:r/>
          </w:p>
        </w:tc>
      </w:tr>
    </w:tbl>
    <w:p>
      <w:pPr>
        <w:pStyle w:val="1289"/>
        <w:ind w:firstLine="120"/>
        <w:rPr>
          <w:rFonts w:hint="eastAsia"/>
          <w:sz w:val="24"/>
          <w:highlight w:val="none"/>
        </w:rPr>
      </w:pPr>
      <w:r>
        <w:rPr>
          <w:rFonts w:hint="eastAsia"/>
          <w:sz w:val="24"/>
          <w:highlight w:val="none"/>
        </w:rPr>
      </w:r>
      <w:r/>
    </w:p>
    <w:p>
      <w:pPr>
        <w:pStyle w:val="1289"/>
        <w:spacing w:line="400" w:lineRule="exact"/>
        <w:rPr>
          <w:rFonts w:hint="eastAsia" w:ascii="宋体" w:hAnsi="宋体" w:eastAsia="宋体" w:cs="宋体"/>
          <w:b w:val="0"/>
          <w:bCs w:val="0"/>
          <w:color w:val="000000"/>
          <w:sz w:val="24"/>
          <w:szCs w:val="24"/>
          <w:highlight w:val="none"/>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sz w:val="24"/>
          <w:highlight w:val="none"/>
        </w:rPr>
        <w:t xml:space="preserve">此评分标准以100分为满分，按月度进行考核，连续2次考核得分低于</w:t>
      </w:r>
      <w:r>
        <w:rPr>
          <w:rFonts w:hint="eastAsia" w:ascii="宋体" w:hAnsi="宋体"/>
          <w:sz w:val="24"/>
          <w:highlight w:val="none"/>
          <w:lang w:val="en-US" w:eastAsia="zh-CN"/>
        </w:rPr>
        <w:t xml:space="preserve">7</w:t>
      </w:r>
      <w:r>
        <w:rPr>
          <w:rFonts w:hint="eastAsia" w:ascii="宋体" w:hAnsi="宋体"/>
          <w:sz w:val="24"/>
          <w:highlight w:val="none"/>
        </w:rPr>
        <w:t xml:space="preserve">0分为考核不合格，采购人有权终止合同。</w:t>
      </w:r>
      <w:r>
        <w:rPr>
          <w:rFonts w:hint="eastAsia" w:ascii="宋体" w:hAnsi="宋体" w:eastAsia="宋体" w:cs="宋体"/>
          <w:b w:val="0"/>
          <w:bCs w:val="0"/>
          <w:color w:val="000000"/>
          <w:sz w:val="24"/>
          <w:szCs w:val="24"/>
          <w:highlight w:val="none"/>
          <w:lang w:val="en-US" w:eastAsia="zh-CN"/>
        </w:rPr>
      </w:r>
      <w:r/>
    </w:p>
    <w:p>
      <w:pPr>
        <w:pStyle w:val="1289"/>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bookmarkStart w:id="30" w:name="_Toc21985"/>
      <w:r/>
      <w:bookmarkStart w:id="31" w:name="_Toc12214"/>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289"/>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28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289"/>
        <w:ind w:firstLine="480"/>
        <w:jc w:val="both"/>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宋体" w:hAnsi="宋体" w:eastAsia="宋体" w:cs="宋体"/>
          <w:color w:val="000000"/>
          <w:sz w:val="24"/>
          <w:szCs w:val="24"/>
          <w:highlight w:val="none"/>
          <w:lang w:val="en"/>
        </w:rPr>
        <w:outlineLvl w:val="0"/>
      </w:pPr>
      <w:r>
        <w:rPr>
          <w:rFonts w:hint="eastAsia" w:ascii="宋体" w:hAnsi="宋体" w:eastAsia="宋体" w:cs="宋体"/>
          <w:color w:val="000000"/>
          <w:sz w:val="24"/>
          <w:szCs w:val="24"/>
          <w:highlight w:val="none"/>
          <w:lang w:val="en"/>
        </w:rPr>
      </w:r>
      <w:r/>
    </w:p>
    <w:p>
      <w:pPr>
        <w:pStyle w:val="1289"/>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四、合同书（格式文本）</w:t>
      </w:r>
      <w:bookmarkEnd w:id="27"/>
      <w:r/>
      <w:bookmarkEnd w:id="30"/>
      <w:r/>
      <w:bookmarkEnd w:id="31"/>
      <w:r>
        <w:rPr>
          <w:rFonts w:hint="eastAsia" w:ascii="Times New Roman" w:hAnsi="宋体" w:eastAsia="宋体" w:cs="宋体"/>
          <w:b/>
          <w:bCs/>
          <w:sz w:val="32"/>
          <w:szCs w:val="32"/>
          <w:highlight w:val="none"/>
          <w:lang w:val="en-US" w:eastAsia="zh-CN"/>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2" w:name="_Toc17918"/>
      <w:r/>
      <w:bookmarkStart w:id="33" w:name="_Toc4709"/>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rPr>
      </w:pPr>
      <w:r>
        <w:rPr>
          <w:rFonts w:hint="eastAsia" w:hAnsi="宋体" w:cs="宋体"/>
          <w:bCs/>
          <w:sz w:val="24"/>
        </w:rPr>
        <w:t xml:space="preserve">十一、合同不可分割部分：</w:t>
      </w:r>
      <w:r>
        <w:rPr>
          <w:rFonts w:hint="eastAsia" w:hAnsi="宋体" w:cs="宋体"/>
          <w:bCs/>
          <w:sz w:val="24"/>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招标文件、投标文件、合同条款及中标通知书，乙方在投标、评标过程中所作</w:t>
      </w:r>
      <w:r>
        <w:rPr>
          <w:rFonts w:hint="eastAsia" w:ascii="Times New Roman" w:hAnsi="宋体" w:eastAsia="宋体" w:cs="宋体"/>
          <w:bCs/>
          <w:sz w:val="24"/>
          <w:lang w:eastAsia="zh-CN"/>
        </w:rPr>
        <w:t xml:space="preserve">其他</w:t>
      </w:r>
      <w:r>
        <w:rPr>
          <w:rFonts w:hint="eastAsia" w:ascii="Times New Roman" w:hAnsi="宋体" w:eastAsia="宋体" w:cs="宋体"/>
          <w:bCs/>
          <w:sz w:val="24"/>
        </w:rPr>
        <w:t xml:space="preserve">有关承诺、声明、书面澄清等均为合同不可分割的部分，与主合同具有同等法律效力。</w:t>
      </w:r>
      <w:r>
        <w:rPr>
          <w:rFonts w:hint="eastAsia" w:ascii="Times New Roman" w:hAnsi="宋体" w:eastAsia="宋体" w:cs="宋体"/>
          <w:bCs/>
          <w:sz w:val="24"/>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十二、合同备案：</w:t>
      </w:r>
      <w:r>
        <w:rPr>
          <w:rFonts w:hint="eastAsia" w:ascii="Times New Roman" w:hAnsi="宋体" w:eastAsia="宋体" w:cs="宋体"/>
          <w:bCs/>
          <w:sz w:val="24"/>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合同一式伍份，甲乙双方各执贰份，采购代理机构壹份。</w:t>
      </w:r>
      <w:r>
        <w:rPr>
          <w:rFonts w:hint="eastAsia" w:ascii="Times New Roman" w:hAnsi="宋体" w:eastAsia="宋体" w:cs="宋体"/>
          <w:bCs/>
          <w:sz w:val="24"/>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十三、合同生效：</w:t>
      </w:r>
      <w:r>
        <w:rPr>
          <w:rFonts w:hint="eastAsia" w:ascii="Times New Roman" w:hAnsi="宋体" w:eastAsia="宋体" w:cs="宋体"/>
          <w:bCs/>
          <w:sz w:val="24"/>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28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28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289"/>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314"/>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根据《中华人民共和国民法典》及其他有关法律、行政法规，遵循平等、自愿、公平和诚实信用的原则，</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内容的基础上，协商一致，订立本合同。</w:t>
      </w:r>
      <w:r>
        <w:rPr>
          <w:rFonts w:hint="eastAsia" w:ascii="宋体" w:hAnsi="宋体" w:eastAsia="宋体" w:cs="宋体"/>
          <w:sz w:val="24"/>
          <w:szCs w:val="24"/>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第一条 合同项目</w:t>
      </w:r>
      <w:r>
        <w:rPr>
          <w:rFonts w:hint="eastAsia" w:ascii="宋体" w:hAnsi="宋体" w:eastAsia="宋体" w:cs="宋体"/>
          <w:b/>
          <w:bCs/>
          <w:i w:val="0"/>
          <w:iCs w:val="0"/>
          <w:caps w:val="0"/>
          <w:color w:val="1c1917"/>
          <w:spacing w:val="0"/>
          <w:sz w:val="24"/>
          <w:szCs w:val="24"/>
          <w:highlight w:val="none"/>
        </w:rPr>
      </w:r>
      <w:r/>
    </w:p>
    <w:p>
      <w:pPr>
        <w:pStyle w:val="1333"/>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本合同约定乙方为甲方提供东北塘街道新增绿化养护共计</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175125.41</w:t>
      </w:r>
      <w:r>
        <w:rPr>
          <w:rFonts w:hint="eastAsia" w:ascii="宋体" w:hAnsi="宋体" w:eastAsia="宋体" w:cs="宋体"/>
          <w:i w:val="0"/>
          <w:iCs w:val="0"/>
          <w:caps w:val="0"/>
          <w:color w:val="1c1917"/>
          <w:spacing w:val="0"/>
          <w:sz w:val="24"/>
          <w:szCs w:val="24"/>
          <w:highlight w:val="none"/>
          <w:shd w:val="clear" w:color="auto" w:fill="ffffff"/>
        </w:rPr>
        <w:t xml:space="preserve">㎡的养护服务</w:t>
      </w:r>
      <w:r>
        <w:rPr>
          <w:rFonts w:hint="eastAsia" w:ascii="宋体" w:hAnsi="宋体" w:eastAsia="宋体" w:cs="宋体"/>
          <w:i w:val="0"/>
          <w:iCs w:val="0"/>
          <w:caps w:val="0"/>
          <w:color w:val="1c1917"/>
          <w:spacing w:val="0"/>
          <w:sz w:val="24"/>
          <w:szCs w:val="24"/>
          <w:highlight w:val="none"/>
          <w:shd w:val="clear" w:color="auto" w:fill="ffffff"/>
          <w:lang w:eastAsia="zh-CN"/>
        </w:rPr>
        <w:t xml:space="preserve">，</w:t>
      </w:r>
      <w:r>
        <w:rPr>
          <w:rFonts w:hint="eastAsia" w:ascii="宋体" w:hAnsi="宋体" w:eastAsia="宋体" w:cs="宋体"/>
          <w:i w:val="0"/>
          <w:iCs w:val="0"/>
          <w:caps w:val="0"/>
          <w:color w:val="1c1917"/>
          <w:spacing w:val="0"/>
          <w:sz w:val="24"/>
          <w:szCs w:val="24"/>
          <w:highlight w:val="none"/>
          <w:shd w:val="clear" w:color="auto" w:fill="ffffff"/>
        </w:rPr>
        <w:t xml:space="preserve">服务范围包括所有绿地保洁，草花布置，行道树、球类、色块、绿篱等修剪、施肥及病虫害防治，绿化隔离带喷水除尘，草坪管理</w:t>
      </w:r>
      <w:r>
        <w:rPr>
          <w:rFonts w:hint="eastAsia" w:ascii="宋体" w:hAnsi="宋体" w:eastAsia="宋体" w:cs="宋体"/>
          <w:i w:val="0"/>
          <w:iCs w:val="0"/>
          <w:caps w:val="0"/>
          <w:color w:val="1c1917"/>
          <w:spacing w:val="0"/>
          <w:sz w:val="24"/>
          <w:szCs w:val="24"/>
          <w:highlight w:val="none"/>
          <w:shd w:val="clear" w:color="auto" w:fill="ffffff"/>
          <w:lang w:eastAsia="zh-CN"/>
        </w:rPr>
        <w:t xml:space="preserve">等</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二</w:t>
      </w:r>
      <w:r>
        <w:rPr>
          <w:rFonts w:hint="eastAsia" w:ascii="宋体" w:hAnsi="宋体" w:eastAsia="宋体" w:cs="宋体"/>
          <w:b/>
          <w:bCs/>
          <w:i w:val="0"/>
          <w:iCs w:val="0"/>
          <w:caps w:val="0"/>
          <w:color w:val="1c1917"/>
          <w:spacing w:val="0"/>
          <w:sz w:val="24"/>
          <w:szCs w:val="24"/>
          <w:highlight w:val="none"/>
          <w:shd w:val="clear" w:color="auto" w:fill="ffffff"/>
        </w:rPr>
        <w:t xml:space="preserve">条 服务内容</w:t>
      </w:r>
      <w:r>
        <w:rPr>
          <w:rFonts w:hint="eastAsia" w:ascii="宋体" w:hAnsi="宋体" w:eastAsia="宋体" w:cs="宋体"/>
          <w:b/>
          <w:bCs/>
          <w:i w:val="0"/>
          <w:iCs w:val="0"/>
          <w:caps w:val="0"/>
          <w:color w:val="1c1917"/>
          <w:spacing w:val="0"/>
          <w:sz w:val="24"/>
          <w:szCs w:val="24"/>
          <w:highlight w:val="none"/>
          <w:shd w:val="clear" w:color="auto" w:fill="ffffff"/>
        </w:rPr>
      </w:r>
      <w:r/>
    </w:p>
    <w:p>
      <w:pPr>
        <w:pStyle w:val="1333"/>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1.日常养护:包括绿地保洁，草花布置，行道树、球类、色块、绿篱等修剪、施肥及病虫害防治，绿化隔离带喷水除尘，草坪管理等 。</w:t>
      </w:r>
      <w:r>
        <w:rPr>
          <w:rFonts w:hint="eastAsia" w:ascii="宋体" w:hAnsi="宋体" w:eastAsia="宋体" w:cs="宋体"/>
          <w:i w:val="0"/>
          <w:iCs w:val="0"/>
          <w:caps w:val="0"/>
          <w:color w:val="1c1917"/>
          <w:spacing w:val="0"/>
          <w:sz w:val="24"/>
          <w:szCs w:val="24"/>
          <w:highlight w:val="none"/>
          <w:shd w:val="clear" w:color="auto" w:fill="ffffff"/>
        </w:rPr>
      </w:r>
      <w:r/>
    </w:p>
    <w:p>
      <w:pPr>
        <w:pStyle w:val="1333"/>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1c1917"/>
          <w:spacing w:val="0"/>
          <w:sz w:val="24"/>
          <w:szCs w:val="24"/>
          <w:highlight w:val="none"/>
          <w:shd w:val="clear" w:color="auto" w:fill="ffffff"/>
        </w:rPr>
        <w:t xml:space="preserve">.突发事件处置:如遭遇风雨雷电、植被病虫害等突发事件,需要及时报告甲方并处理。</w:t>
      </w:r>
      <w:r>
        <w:rPr>
          <w:rFonts w:hint="eastAsia" w:ascii="宋体" w:hAnsi="宋体" w:eastAsia="宋体" w:cs="宋体"/>
          <w:i w:val="0"/>
          <w:iCs w:val="0"/>
          <w:caps w:val="0"/>
          <w:color w:val="1c1917"/>
          <w:spacing w:val="0"/>
          <w:sz w:val="24"/>
          <w:szCs w:val="24"/>
          <w:highlight w:val="none"/>
          <w:shd w:val="clear" w:color="auto" w:fill="ffffff"/>
        </w:rPr>
      </w:r>
      <w:r/>
    </w:p>
    <w:p>
      <w:pPr>
        <w:pStyle w:val="1333"/>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lang w:val="en-US" w:eastAsia="zh-CN"/>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3.乙方负责清理养护作业时产生的垃圾，以及车辆清运费用。</w:t>
      </w:r>
      <w:r>
        <w:rPr>
          <w:rFonts w:hint="eastAsia" w:ascii="宋体" w:hAnsi="宋体" w:eastAsia="宋体" w:cs="宋体"/>
          <w:i w:val="0"/>
          <w:iCs w:val="0"/>
          <w:caps w:val="0"/>
          <w:color w:val="1c1917"/>
          <w:spacing w:val="0"/>
          <w:sz w:val="24"/>
          <w:szCs w:val="24"/>
          <w:shd w:val="clear" w:color="auto" w:fill="ffffff"/>
          <w:lang w:val="en-US" w:eastAsia="zh-CN"/>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shd w:val="clear" w:color="auto" w:fill="ffffff"/>
        </w:rPr>
        <w:t xml:space="preserve">服务标准</w:t>
      </w:r>
      <w:r>
        <w:rPr>
          <w:rFonts w:hint="eastAsia" w:ascii="宋体" w:hAnsi="宋体" w:eastAsia="宋体" w:cs="宋体"/>
          <w:b/>
          <w:bCs/>
          <w:i w:val="0"/>
          <w:iCs w:val="0"/>
          <w:caps w:val="0"/>
          <w:color w:val="1c1917"/>
          <w:spacing w:val="0"/>
          <w:sz w:val="24"/>
          <w:szCs w:val="24"/>
          <w:shd w:val="clear" w:color="auto" w:fill="ffffff"/>
        </w:rPr>
      </w:r>
      <w:r/>
    </w:p>
    <w:p>
      <w:pPr>
        <w:pStyle w:val="1314"/>
        <w:ind w:left="0" w:firstLine="480"/>
        <w:jc w:val="left"/>
        <w:keepLines w:val="0"/>
        <w:keepNext w:val="0"/>
        <w:pageBreakBefore w:val="0"/>
        <w:spacing w:line="360" w:lineRule="auto"/>
        <w:rPr>
          <w:rFonts w:hint="eastAsia" w:ascii="宋体" w:hAnsi="宋体" w:eastAsia="宋体" w:cs="宋体"/>
          <w:bCs/>
          <w:sz w:val="24"/>
          <w:szCs w:val="24"/>
          <w:highlight w:val="none"/>
          <w:u w:val="none"/>
          <w:lang w:eastAsia="zh-CN"/>
        </w:rPr>
      </w:pPr>
      <w:r>
        <w:rPr>
          <w:rFonts w:hint="eastAsia" w:ascii="宋体" w:hAnsi="宋体" w:eastAsia="宋体" w:cs="宋体"/>
          <w:sz w:val="24"/>
          <w:szCs w:val="24"/>
          <w:highlight w:val="none"/>
          <w:u w:val="none"/>
        </w:rPr>
        <w:t xml:space="preserve">本项目养护质量标准：</w:t>
      </w:r>
      <w:r>
        <w:rPr>
          <w:rFonts w:hint="eastAsia" w:ascii="宋体" w:hAnsi="宋体" w:eastAsia="宋体" w:cs="宋体"/>
          <w:bCs/>
          <w:sz w:val="24"/>
          <w:szCs w:val="24"/>
          <w:highlight w:val="none"/>
          <w:u w:val="none"/>
        </w:rPr>
        <w:t xml:space="preserve">《江苏省城市园林绿化养护管理规范及分级标准》</w:t>
      </w: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none"/>
          <w:lang w:eastAsia="zh-CN"/>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组成本合同的有关文件</w:t>
      </w:r>
      <w:r>
        <w:rPr>
          <w:rFonts w:hint="eastAsia" w:ascii="宋体" w:hAnsi="宋体" w:eastAsia="宋体" w:cs="宋体"/>
          <w:b/>
          <w:bCs/>
          <w:i w:val="0"/>
          <w:iCs w:val="0"/>
          <w:caps w:val="0"/>
          <w:color w:val="1c1917"/>
          <w:spacing w:val="0"/>
          <w:sz w:val="24"/>
          <w:szCs w:val="24"/>
          <w:shd w:val="clear" w:color="auto" w:fill="ffffff"/>
          <w:lang w:eastAsia="zh-CN"/>
        </w:rPr>
      </w:r>
      <w:r/>
    </w:p>
    <w:p>
      <w:pPr>
        <w:pStyle w:val="1289"/>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rPr>
        <w:t xml:space="preserve">关于无锡市政府采购</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bCs/>
          <w:sz w:val="24"/>
          <w:szCs w:val="24"/>
          <w:u w:val="single"/>
        </w:rPr>
        <w:t xml:space="preserve"> </w:t>
      </w:r>
      <w:r>
        <w:rPr>
          <w:rFonts w:hint="eastAsia" w:ascii="宋体" w:hAnsi="宋体"/>
          <w:sz w:val="24"/>
          <w:szCs w:val="24"/>
        </w:rPr>
        <w:t xml:space="preserve">的</w:t>
      </w:r>
      <w:r>
        <w:rPr>
          <w:rFonts w:hint="eastAsia" w:ascii="宋体" w:hAnsi="宋体"/>
          <w:bCs/>
          <w:sz w:val="24"/>
          <w:szCs w:val="24"/>
        </w:rPr>
        <w:t xml:space="preserve">招标文件、投标文件、合同条款及中标通知书，乙方在投标、评标过程中所作</w:t>
      </w:r>
      <w:r>
        <w:rPr>
          <w:rFonts w:hint="eastAsia" w:ascii="宋体" w:hAnsi="宋体"/>
          <w:bCs/>
          <w:sz w:val="24"/>
          <w:szCs w:val="24"/>
          <w:lang w:eastAsia="zh-CN"/>
        </w:rPr>
        <w:t xml:space="preserve">其他</w:t>
      </w:r>
      <w:r>
        <w:rPr>
          <w:rFonts w:hint="eastAsia" w:ascii="宋体" w:hAnsi="宋体"/>
          <w:bCs/>
          <w:sz w:val="24"/>
          <w:szCs w:val="24"/>
        </w:rPr>
        <w:t xml:space="preserve">有关承诺、声明、书面澄清等均为合同不可分割的部分，与主合同具有同等法律效力。</w:t>
      </w:r>
      <w:r>
        <w:rPr>
          <w:rFonts w:hint="eastAsia" w:ascii="宋体" w:hAnsi="宋体" w:eastAsia="宋体" w:cs="宋体"/>
          <w:bCs/>
          <w:sz w:val="24"/>
          <w:szCs w:val="24"/>
          <w:highlight w:val="none"/>
          <w:u w:val="none"/>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shd w:val="clear" w:color="auto" w:fill="ffffff"/>
          <w:lang w:eastAsia="zh-CN"/>
        </w:rPr>
        <w:t xml:space="preserve">条 考核机制</w:t>
      </w:r>
      <w:r>
        <w:rPr>
          <w:rFonts w:hint="eastAsia" w:ascii="宋体" w:hAnsi="宋体" w:eastAsia="宋体" w:cs="宋体"/>
          <w:b/>
          <w:bCs/>
          <w:i w:val="0"/>
          <w:iCs w:val="0"/>
          <w:caps w:val="0"/>
          <w:color w:val="1c1917"/>
          <w:spacing w:val="0"/>
          <w:sz w:val="24"/>
          <w:szCs w:val="24"/>
          <w:shd w:val="clear" w:color="auto" w:fill="ffffff"/>
          <w:lang w:eastAsia="zh-CN"/>
        </w:rPr>
      </w:r>
      <w:r/>
    </w:p>
    <w:p>
      <w:pPr>
        <w:pStyle w:val="1333"/>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shd w:val="clear" w:color="auto" w:fill="ffffff"/>
        </w:rPr>
        <w:t xml:space="preserve">甲方</w:t>
      </w:r>
      <w:r>
        <w:rPr>
          <w:rFonts w:hint="eastAsia" w:ascii="宋体" w:hAnsi="宋体" w:eastAsia="宋体" w:cs="宋体"/>
          <w:i w:val="0"/>
          <w:iCs w:val="0"/>
          <w:caps w:val="0"/>
          <w:color w:val="1c1917"/>
          <w:spacing w:val="0"/>
          <w:sz w:val="24"/>
          <w:szCs w:val="24"/>
          <w:highlight w:val="none"/>
          <w:shd w:val="clear" w:color="auto" w:fill="ffffff"/>
        </w:rPr>
        <w:t xml:space="preserve">每月末对乙方服务进行评鉴考核,按照清洁度、植被状态、服务态度等指标打分。</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详见附件 锡山区绿化养护管理考核评定表。</w:t>
      </w:r>
      <w:r>
        <w:rPr>
          <w:rFonts w:hint="eastAsia" w:ascii="宋体" w:hAnsi="宋体" w:eastAsia="宋体" w:cs="宋体"/>
          <w:i w:val="0"/>
          <w:iCs w:val="0"/>
          <w:caps w:val="0"/>
          <w:color w:val="1c1917"/>
          <w:spacing w:val="0"/>
          <w:sz w:val="24"/>
          <w:szCs w:val="24"/>
          <w:highlight w:val="none"/>
          <w:lang w:val="en-US" w:eastAsia="zh-CN"/>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highlight w:val="none"/>
          <w:shd w:val="clear" w:color="auto" w:fill="ffffff"/>
        </w:rPr>
        <w:t xml:space="preserve">条 合同价款</w:t>
      </w:r>
      <w:r>
        <w:rPr>
          <w:rFonts w:hint="eastAsia" w:ascii="宋体" w:hAnsi="宋体" w:eastAsia="宋体" w:cs="宋体"/>
          <w:b/>
          <w:bCs/>
          <w:i w:val="0"/>
          <w:iCs w:val="0"/>
          <w:caps w:val="0"/>
          <w:color w:val="1c1917"/>
          <w:spacing w:val="0"/>
          <w:sz w:val="24"/>
          <w:szCs w:val="24"/>
          <w:highlight w:val="none"/>
          <w:shd w:val="clear" w:color="auto" w:fill="ffffff"/>
        </w:rPr>
      </w:r>
      <w:r/>
    </w:p>
    <w:p>
      <w:pPr>
        <w:pStyle w:val="1333"/>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1c1917"/>
          <w:spacing w:val="0"/>
          <w:sz w:val="24"/>
          <w:szCs w:val="24"/>
          <w:highlight w:val="none"/>
          <w:shd w:val="clear" w:color="auto" w:fill="ffffff"/>
        </w:rPr>
        <w:t xml:space="preserve">甲方向乙方支付养护服务费共计人民币</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元(大写</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服务周期结束后，甲方根据考核分按比例结算。</w:t>
      </w:r>
      <w:r>
        <w:rPr>
          <w:rFonts w:hint="eastAsia" w:ascii="宋体" w:hAnsi="宋体" w:eastAsia="宋体" w:cs="宋体"/>
          <w:i w:val="0"/>
          <w:iCs w:val="0"/>
          <w:caps w:val="0"/>
          <w:color w:val="1c1917"/>
          <w:spacing w:val="0"/>
          <w:sz w:val="24"/>
          <w:szCs w:val="24"/>
          <w:highlight w:val="none"/>
          <w:shd w:val="clear" w:color="auto" w:fill="ffffff"/>
          <w:lang w:val="en-US" w:eastAsia="zh-CN"/>
        </w:rPr>
      </w:r>
      <w:r/>
    </w:p>
    <w:p>
      <w:pPr>
        <w:pStyle w:val="1289"/>
        <w:ind w:left="0"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经考核后按季结算，每半年支付一次，合同期结束后按审计价付清余额。</w:t>
      </w:r>
      <w:r>
        <w:rPr>
          <w:rFonts w:hint="eastAsia" w:ascii="宋体" w:hAnsi="宋体"/>
          <w:sz w:val="24"/>
          <w:highlight w:val="none"/>
        </w:rPr>
      </w:r>
      <w:r/>
    </w:p>
    <w:p>
      <w:pPr>
        <w:pStyle w:val="1289"/>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3、本项目不需要履约保证金。</w:t>
      </w:r>
      <w:r>
        <w:rPr>
          <w:rFonts w:ascii="宋体" w:hAnsi="宋体" w:eastAsia="宋体" w:cs="宋体"/>
          <w:color w:val="000000"/>
          <w:sz w:val="24"/>
          <w:szCs w:val="24"/>
          <w:highlight w:val="none"/>
          <w:lang w:val="en-US" w:eastAsia="zh-CN"/>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双方权利义务</w:t>
      </w:r>
      <w:r>
        <w:rPr>
          <w:rFonts w:hint="eastAsia" w:ascii="宋体" w:hAnsi="宋体" w:eastAsia="宋体" w:cs="宋体"/>
          <w:b/>
          <w:bCs/>
          <w:i w:val="0"/>
          <w:iCs w:val="0"/>
          <w:caps w:val="0"/>
          <w:color w:val="1c1917"/>
          <w:spacing w:val="0"/>
          <w:sz w:val="24"/>
          <w:szCs w:val="24"/>
          <w:shd w:val="clear" w:color="auto" w:fill="ffffff"/>
          <w:lang w:eastAsia="zh-CN"/>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一、甲方权利义务：</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1、代表和维护产权人及使用人的合法权益；</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2、不得干涉乙方依法或依本合同规定内容所进行的管理活动；</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3、负责处理非乙方原因而产生的各种纠纷；</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4、审定乙方撰写的绿化综合养护服务管理制度；</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5、检查监督乙方管理工作的实施及制度的执行情况；</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6、审定乙方提出的绿化综合养护服务年度计划及财务预决算；</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7、协助乙方做好服务管理工作；</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二、乙方权利义务：</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1、根据有关法律、法规、本合同的规定及本服务的实际情况，制定服务管理制度及管理方案、年度管理计划、资金使用计划及决算报告等工作目标；</w:t>
      </w:r>
      <w:r>
        <w:rPr>
          <w:rFonts w:hint="eastAsia" w:ascii="宋体" w:hAnsi="宋体"/>
          <w:sz w:val="24"/>
          <w:szCs w:val="24"/>
        </w:rPr>
      </w:r>
      <w:r/>
    </w:p>
    <w:p>
      <w:pPr>
        <w:pStyle w:val="1289"/>
        <w:ind w:left="0" w:firstLine="480"/>
        <w:jc w:val="left"/>
        <w:keepLines w:val="0"/>
        <w:keepNext w:val="0"/>
        <w:pageBreakBefore w:val="0"/>
        <w:spacing w:line="360" w:lineRule="auto"/>
        <w:rPr>
          <w:rFonts w:ascii="宋体" w:hAnsi="宋体" w:eastAsia="宋体"/>
          <w:sz w:val="24"/>
          <w:szCs w:val="24"/>
          <w:lang w:val="en-US" w:eastAsia="zh-CN"/>
        </w:rPr>
      </w:pPr>
      <w:r>
        <w:rPr>
          <w:rFonts w:hint="eastAsia" w:ascii="宋体" w:hAnsi="宋体"/>
          <w:sz w:val="24"/>
          <w:szCs w:val="24"/>
        </w:rPr>
        <w:t xml:space="preserve">2、定期向甲方公布服务管理费用</w:t>
      </w:r>
      <w:r>
        <w:rPr>
          <w:rFonts w:hint="eastAsia" w:ascii="宋体" w:hAnsi="宋体"/>
          <w:sz w:val="24"/>
          <w:szCs w:val="24"/>
          <w:lang w:eastAsia="zh-CN"/>
        </w:rPr>
        <w:t xml:space="preserve">收支账目</w:t>
      </w:r>
      <w:r>
        <w:rPr>
          <w:rFonts w:hint="eastAsia" w:ascii="宋体" w:hAnsi="宋体"/>
          <w:sz w:val="24"/>
          <w:szCs w:val="24"/>
        </w:rPr>
        <w:t xml:space="preserve">；</w:t>
      </w:r>
      <w:r>
        <w:rPr>
          <w:rFonts w:ascii="宋体" w:hAnsi="宋体" w:eastAsia="宋体"/>
          <w:sz w:val="24"/>
          <w:szCs w:val="24"/>
          <w:lang w:val="en-US" w:eastAsia="zh-CN"/>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3、在本服务管理区域内设立专门机构负责本项目的日常服务管理工作，并委派有岗位资质的人员履行本合同；</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4、负责所有日常服务材料、用品及易耗品的更新；</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5、自主开展服务管理活动，但不得侵害甲方、服务使用人及他人的合法权益，不得利用提供绿化综合养护服务的便利获取不当利益；</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6、根据有关法律、法规的规定和本合同的规定，向甲方收取服务费用，通过合法有效方式解决拖欠服务费的问题；</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7、建立、保存服务管理</w:t>
      </w:r>
      <w:r>
        <w:rPr>
          <w:rFonts w:hint="eastAsia" w:ascii="宋体" w:hAnsi="宋体"/>
          <w:sz w:val="24"/>
          <w:szCs w:val="24"/>
          <w:lang w:eastAsia="zh-CN"/>
        </w:rPr>
        <w:t xml:space="preserve">账</w:t>
      </w:r>
      <w:r>
        <w:rPr>
          <w:rFonts w:hint="eastAsia" w:ascii="宋体" w:hAnsi="宋体"/>
          <w:sz w:val="24"/>
          <w:szCs w:val="24"/>
        </w:rPr>
        <w:t xml:space="preserve">目，及时向甲方公告本管理区域内的重大服务事项；</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8、合同终止时，向甲方移交全部服务管理用房、档案资料和注明应属甲方所有的其他资产和物资（含开办费），并办理交接手续；</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9、法规、政策规定由乙方承担的其他责任。</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三、在管理过程中，因下列因素所致的损害，不论其为直接或间接，均构成对乙方的免责事由，乙方均不负赔偿之责：</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1、天灾、地震等不可抗力的事由所致的损害；</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2、暴动、持械抢劫、破坏、爆炸、火灾、刑事犯罪等违法行为等事由所致的损害，但因乙方故意或过失所致，不在此限；</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3、因本合同标的物本身固有瑕疵所致的损害；</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4、因甲方或第三者之故意、过失所致的损害；</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5、因甲方或使用人专有部分的火灾、盗窃等所致的损害。</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6、因乙方书面建议甲方改善或改进服务管理措施，而甲方未采纳所致的损害；</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7、因甲方或使用人指挥调派乙方工作人员所致的损害；</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8、本合同标的物之共用部分（含共用部位、共用设备设施）自然或人为的任何损坏。但因乙方故意或重大过失所致的，不在此限；</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9、除上述各款外，</w:t>
      </w:r>
      <w:r>
        <w:rPr>
          <w:rFonts w:hint="eastAsia" w:ascii="宋体" w:hAnsi="宋体"/>
          <w:sz w:val="24"/>
          <w:szCs w:val="24"/>
          <w:lang w:eastAsia="zh-CN"/>
        </w:rPr>
        <w:t xml:space="preserve">其他</w:t>
      </w:r>
      <w:r>
        <w:rPr>
          <w:rFonts w:hint="eastAsia" w:ascii="宋体" w:hAnsi="宋体"/>
          <w:sz w:val="24"/>
          <w:szCs w:val="24"/>
        </w:rPr>
        <w:t xml:space="preserve">不可归责于乙方之事由的。</w:t>
      </w:r>
      <w:r>
        <w:rPr>
          <w:rFonts w:hint="eastAsia" w:ascii="宋体" w:hAnsi="宋体"/>
          <w:sz w:val="24"/>
          <w:szCs w:val="24"/>
        </w:rPr>
      </w:r>
      <w:r/>
    </w:p>
    <w:p>
      <w:pPr>
        <w:pStyle w:val="1289"/>
        <w:ind w:left="0" w:firstLine="480"/>
        <w:jc w:val="left"/>
        <w:keepLines w:val="0"/>
        <w:keepNext w:val="0"/>
        <w:pageBreakBefore w:val="0"/>
        <w:spacing w:line="360" w:lineRule="auto"/>
        <w:rPr>
          <w:rFonts w:ascii="宋体" w:hAnsi="宋体"/>
          <w:sz w:val="24"/>
          <w:szCs w:val="24"/>
        </w:rPr>
      </w:pPr>
      <w:r>
        <w:rPr>
          <w:rFonts w:hint="eastAsia" w:ascii="宋体" w:hAnsi="宋体"/>
          <w:sz w:val="24"/>
          <w:szCs w:val="24"/>
        </w:rPr>
        <w:t xml:space="preserve">四、为维护公众、甲方及使用人的合法利益，在不可预见情况下，如发生煤气泄</w:t>
      </w:r>
      <w:r>
        <w:rPr>
          <w:rFonts w:hint="eastAsia" w:ascii="宋体" w:hAnsi="宋体"/>
          <w:sz w:val="24"/>
          <w:szCs w:val="24"/>
          <w:lang w:eastAsia="zh-CN"/>
        </w:rPr>
        <w:t xml:space="preserve">漏</w:t>
      </w:r>
      <w:r>
        <w:rPr>
          <w:rFonts w:hint="eastAsia" w:ascii="宋体" w:hAnsi="宋体"/>
          <w:sz w:val="24"/>
          <w:szCs w:val="24"/>
        </w:rPr>
        <w:t xml:space="preserve">、漏电、</w:t>
      </w:r>
      <w:r>
        <w:rPr>
          <w:rFonts w:ascii="宋体" w:hAnsi="宋体"/>
          <w:sz w:val="24"/>
          <w:szCs w:val="24"/>
        </w:rPr>
        <w:t xml:space="preserve">火灾、水管破裂、救助人命、协助公安机关执行任务等情况，乙方因采取紧急避险措施造成财产损失的，按有关法律规定处理。</w:t>
      </w:r>
      <w:r>
        <w:rPr>
          <w:rFonts w:ascii="宋体" w:hAnsi="宋体"/>
          <w:sz w:val="24"/>
          <w:szCs w:val="24"/>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知识产权</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89"/>
        <w:ind w:left="0" w:firstLine="480"/>
        <w:jc w:val="left"/>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Times New Roman"/>
          <w:bCs/>
          <w:sz w:val="24"/>
          <w:szCs w:val="24"/>
          <w:lang w:val="en-US" w:eastAsia="zh-CN"/>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第十条 合同的变更及终止</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有下列情形之一的，本合同自行终止。</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(1)因不可抗力因素及政策原因，造成合同无法履行的。</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(2)经双方协商一致，自愿解除的。</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有下列情形之一的，</w:t>
      </w:r>
      <w:r>
        <w:rPr>
          <w:rFonts w:hint="eastAsia" w:ascii="宋体" w:hAnsi="宋体"/>
          <w:bCs/>
          <w:sz w:val="24"/>
          <w:szCs w:val="24"/>
          <w:lang w:eastAsia="zh-CN"/>
        </w:rPr>
        <w:t xml:space="preserve">甲方</w:t>
      </w:r>
      <w:r>
        <w:rPr>
          <w:rFonts w:hint="eastAsia" w:ascii="宋体" w:hAnsi="宋体"/>
          <w:bCs/>
          <w:sz w:val="24"/>
          <w:szCs w:val="24"/>
        </w:rPr>
        <w:t xml:space="preserve">有权单方终止合同。</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(1)未经</w:t>
      </w:r>
      <w:r>
        <w:rPr>
          <w:rFonts w:hint="eastAsia" w:ascii="宋体" w:hAnsi="宋体"/>
          <w:bCs/>
          <w:sz w:val="24"/>
          <w:szCs w:val="24"/>
          <w:lang w:eastAsia="zh-CN"/>
        </w:rPr>
        <w:t xml:space="preserve">甲方</w:t>
      </w:r>
      <w:r>
        <w:rPr>
          <w:rFonts w:hint="eastAsia" w:ascii="宋体" w:hAnsi="宋体"/>
          <w:bCs/>
          <w:sz w:val="24"/>
          <w:szCs w:val="24"/>
        </w:rPr>
        <w:t xml:space="preserve">书面同意，</w:t>
      </w:r>
      <w:r>
        <w:rPr>
          <w:rFonts w:hint="eastAsia" w:ascii="宋体" w:hAnsi="宋体"/>
          <w:bCs/>
          <w:sz w:val="24"/>
          <w:szCs w:val="24"/>
          <w:lang w:eastAsia="zh-CN"/>
        </w:rPr>
        <w:t xml:space="preserve">乙方</w:t>
      </w:r>
      <w:r>
        <w:rPr>
          <w:rFonts w:hint="eastAsia" w:ascii="宋体" w:hAnsi="宋体"/>
          <w:bCs/>
          <w:sz w:val="24"/>
          <w:szCs w:val="24"/>
        </w:rPr>
        <w:t xml:space="preserve">擅自分包或者转包他人的。</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乙方</w:t>
      </w:r>
      <w:r>
        <w:rPr>
          <w:rFonts w:hint="eastAsia" w:ascii="宋体" w:hAnsi="宋体"/>
          <w:bCs/>
          <w:sz w:val="24"/>
          <w:szCs w:val="24"/>
        </w:rPr>
        <w:t xml:space="preserve">不履行义务，</w:t>
      </w:r>
      <w:r>
        <w:rPr>
          <w:rFonts w:hint="eastAsia" w:ascii="宋体" w:hAnsi="宋体"/>
          <w:bCs/>
          <w:sz w:val="24"/>
          <w:szCs w:val="24"/>
          <w:lang w:eastAsia="zh-CN"/>
        </w:rPr>
        <w:t xml:space="preserve">甲方</w:t>
      </w:r>
      <w:r>
        <w:rPr>
          <w:rFonts w:hint="eastAsia" w:ascii="宋体" w:hAnsi="宋体"/>
          <w:bCs/>
          <w:sz w:val="24"/>
          <w:szCs w:val="24"/>
        </w:rPr>
        <w:t xml:space="preserve">有权终止承包合同。</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合同履行过程中发生下列情形的，</w:t>
      </w:r>
      <w:r>
        <w:rPr>
          <w:rFonts w:hint="eastAsia" w:ascii="宋体" w:hAnsi="宋体"/>
          <w:bCs/>
          <w:sz w:val="24"/>
          <w:szCs w:val="24"/>
          <w:lang w:eastAsia="zh-CN"/>
        </w:rPr>
        <w:t xml:space="preserve">甲</w:t>
      </w:r>
      <w:r>
        <w:rPr>
          <w:rFonts w:hint="eastAsia" w:ascii="宋体" w:hAnsi="宋体"/>
          <w:bCs/>
          <w:sz w:val="24"/>
          <w:szCs w:val="24"/>
        </w:rPr>
        <w:t xml:space="preserve">方有权变更、中止或终止合同，</w:t>
      </w:r>
      <w:r>
        <w:rPr>
          <w:rFonts w:hint="eastAsia" w:ascii="宋体" w:hAnsi="宋体"/>
          <w:color w:val="000000"/>
          <w:sz w:val="24"/>
          <w:lang w:eastAsia="zh-CN"/>
        </w:rPr>
        <w:t xml:space="preserve">乙方</w:t>
      </w:r>
      <w:r>
        <w:rPr>
          <w:rFonts w:hint="eastAsia" w:ascii="宋体" w:hAnsi="宋体"/>
          <w:bCs/>
          <w:sz w:val="24"/>
          <w:szCs w:val="24"/>
        </w:rPr>
        <w:t xml:space="preserve">应当予以配合，但</w:t>
      </w:r>
      <w:r>
        <w:rPr>
          <w:rFonts w:hint="eastAsia" w:ascii="宋体" w:hAnsi="宋体"/>
          <w:bCs/>
          <w:sz w:val="24"/>
          <w:szCs w:val="24"/>
          <w:lang w:eastAsia="zh-CN"/>
        </w:rPr>
        <w:t xml:space="preserve">甲方</w:t>
      </w:r>
      <w:r>
        <w:rPr>
          <w:rFonts w:hint="eastAsia" w:ascii="宋体" w:hAnsi="宋体"/>
          <w:bCs/>
          <w:sz w:val="24"/>
          <w:szCs w:val="24"/>
        </w:rPr>
        <w:t xml:space="preserve">应当在发生相应情形后及时通知</w:t>
      </w:r>
      <w:r>
        <w:rPr>
          <w:rFonts w:hint="eastAsia" w:ascii="宋体" w:hAnsi="宋体"/>
          <w:color w:val="000000"/>
          <w:sz w:val="24"/>
          <w:lang w:eastAsia="zh-CN"/>
        </w:rPr>
        <w:t xml:space="preserve">乙方</w:t>
      </w:r>
      <w:r>
        <w:rPr>
          <w:rFonts w:hint="eastAsia" w:ascii="宋体" w:hAnsi="宋体"/>
          <w:bCs/>
          <w:sz w:val="24"/>
          <w:szCs w:val="24"/>
        </w:rPr>
        <w:t xml:space="preserve">，并组织双方协商确定解决方案，</w:t>
      </w:r>
      <w:r>
        <w:rPr>
          <w:rFonts w:hint="eastAsia" w:ascii="宋体" w:hAnsi="宋体"/>
          <w:bCs/>
          <w:sz w:val="24"/>
          <w:szCs w:val="24"/>
          <w:lang w:eastAsia="zh-CN"/>
        </w:rPr>
        <w:t xml:space="preserve">甲方</w:t>
      </w:r>
      <w:r>
        <w:rPr>
          <w:rFonts w:hint="eastAsia" w:ascii="宋体" w:hAnsi="宋体"/>
          <w:bCs/>
          <w:sz w:val="24"/>
          <w:szCs w:val="24"/>
        </w:rPr>
        <w:t xml:space="preserve">应当按约支付</w:t>
      </w:r>
      <w:r>
        <w:rPr>
          <w:rFonts w:hint="eastAsia" w:ascii="宋体" w:hAnsi="宋体"/>
          <w:color w:val="000000"/>
          <w:sz w:val="24"/>
          <w:lang w:eastAsia="zh-CN"/>
        </w:rPr>
        <w:t xml:space="preserve">乙方</w:t>
      </w:r>
      <w:r>
        <w:rPr>
          <w:rFonts w:hint="eastAsia" w:ascii="宋体" w:hAnsi="宋体"/>
          <w:bCs/>
          <w:sz w:val="24"/>
          <w:szCs w:val="24"/>
        </w:rPr>
        <w:t xml:space="preserve">已经完成的服务对应的合同价款，并补偿因合同变更、中止或终止而引发的</w:t>
      </w:r>
      <w:r>
        <w:rPr>
          <w:rFonts w:hint="eastAsia" w:ascii="宋体" w:hAnsi="宋体"/>
          <w:color w:val="000000"/>
          <w:sz w:val="24"/>
          <w:lang w:eastAsia="zh-CN"/>
        </w:rPr>
        <w:t xml:space="preserve">乙方</w:t>
      </w:r>
      <w:r>
        <w:rPr>
          <w:rFonts w:hint="eastAsia" w:ascii="宋体" w:hAnsi="宋体"/>
          <w:bCs/>
          <w:sz w:val="24"/>
          <w:szCs w:val="24"/>
        </w:rPr>
        <w:t xml:space="preserve">直接损失：</w:t>
      </w:r>
      <w:r>
        <w:rPr>
          <w:rFonts w:hint="eastAsia" w:ascii="宋体" w:hAnsi="宋体"/>
          <w:bCs/>
          <w:sz w:val="24"/>
          <w:szCs w:val="24"/>
        </w:rPr>
      </w:r>
      <w:r/>
    </w:p>
    <w:p>
      <w:pPr>
        <w:pStyle w:val="128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内部工作安排、计划调整等自身原因；</w:t>
      </w:r>
      <w:r>
        <w:rPr>
          <w:rFonts w:hint="eastAsia" w:ascii="宋体" w:hAnsi="宋体" w:eastAsia="宋体" w:cs="Times New Roman"/>
          <w:bCs/>
          <w:sz w:val="24"/>
          <w:szCs w:val="24"/>
          <w:lang w:val="en-US" w:eastAsia="zh-CN"/>
        </w:rPr>
      </w:r>
      <w:r/>
    </w:p>
    <w:p>
      <w:pPr>
        <w:pStyle w:val="128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（2）中央、省、市、区级政策变动，以及规划、计划调整等外部原因；</w:t>
      </w:r>
      <w:r>
        <w:rPr>
          <w:rFonts w:hint="eastAsia" w:ascii="宋体" w:hAnsi="宋体" w:eastAsia="宋体" w:cs="Times New Roman"/>
          <w:bCs/>
          <w:sz w:val="24"/>
          <w:szCs w:val="24"/>
          <w:lang w:val="en-US" w:eastAsia="zh-CN"/>
        </w:rPr>
      </w:r>
      <w:r/>
    </w:p>
    <w:p>
      <w:pPr>
        <w:pStyle w:val="128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（3）其他</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原因。</w:t>
      </w:r>
      <w:r>
        <w:rPr>
          <w:rFonts w:hint="eastAsia" w:ascii="宋体" w:hAnsi="宋体" w:eastAsia="宋体" w:cs="Times New Roman"/>
          <w:bCs/>
          <w:sz w:val="24"/>
          <w:szCs w:val="24"/>
          <w:lang w:val="en-US" w:eastAsia="zh-CN"/>
        </w:rPr>
      </w:r>
      <w:r/>
    </w:p>
    <w:p>
      <w:pPr>
        <w:pStyle w:val="128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本合同对合同变更、中止或终止合同有其他特殊约定的，按该特殊约定执行。</w:t>
      </w:r>
      <w:r>
        <w:rPr>
          <w:rFonts w:hint="eastAsia" w:ascii="宋体" w:hAnsi="宋体" w:eastAsia="宋体" w:cs="Times New Roman"/>
          <w:bCs/>
          <w:sz w:val="24"/>
          <w:szCs w:val="24"/>
          <w:lang w:val="en-US" w:eastAsia="zh-CN"/>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第十一条 违约责任</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1、甲方无正当理由，违反本</w:t>
      </w:r>
      <w:r>
        <w:rPr>
          <w:rFonts w:hint="eastAsia" w:ascii="宋体" w:hAnsi="宋体"/>
          <w:sz w:val="24"/>
          <w:szCs w:val="24"/>
          <w:highlight w:val="none"/>
        </w:rPr>
        <w:t xml:space="preserve">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w:t>
      </w:r>
      <w:r>
        <w:rPr>
          <w:rFonts w:hint="eastAsia" w:ascii="宋体" w:hAnsi="宋体"/>
          <w:sz w:val="24"/>
          <w:szCs w:val="24"/>
        </w:rPr>
        <w:t xml:space="preserve">规定，使乙方未能完成规定管理目标的，乙方有权要求甲方在一定期限内解决，逾期未解决，造成乙方经济损失的，由甲方向乙方偿付合同总价5%的违约金,</w:t>
      </w:r>
      <w:r>
        <w:rPr>
          <w:rFonts w:hint="eastAsia" w:ascii="宋体" w:hAnsi="宋体"/>
          <w:bCs/>
          <w:sz w:val="24"/>
          <w:szCs w:val="24"/>
        </w:rPr>
        <w:t xml:space="preserve">或依照法律程序解除部分或全部合同。</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2、甲方未按合同规定的期限向乙方支付款项的，每逾期1天甲方向乙方偿付欠款总额的5‰滞纳金，但累计滞纳金总额不超过欠款总额的5%。</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3、乙方无正当理由，未能达到规定管理目标及质量保证的，甲方有权要求乙方限期整改，逾期未整改，造成甲方经济损失的，乙方应向甲方支付合同总价5%的违约金。</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乙方</w:t>
      </w:r>
      <w:r>
        <w:rPr>
          <w:rFonts w:hint="eastAsia" w:ascii="宋体" w:hAnsi="宋体"/>
          <w:sz w:val="24"/>
          <w:szCs w:val="24"/>
        </w:rPr>
        <w:t xml:space="preserve">无正当理由，擅自收费或擅自提高收费标准的，</w:t>
      </w:r>
      <w:r>
        <w:rPr>
          <w:rFonts w:ascii="宋体" w:hAnsi="宋体"/>
          <w:sz w:val="24"/>
          <w:szCs w:val="24"/>
        </w:rPr>
        <w:t xml:space="preserve">对擅自收费部分或超出标准的部分，</w:t>
      </w:r>
      <w:r>
        <w:rPr>
          <w:rFonts w:hint="eastAsia" w:ascii="宋体" w:hAnsi="宋体"/>
          <w:sz w:val="24"/>
          <w:szCs w:val="24"/>
        </w:rPr>
        <w:t xml:space="preserve">甲方</w:t>
      </w:r>
      <w:r>
        <w:rPr>
          <w:rFonts w:ascii="宋体" w:hAnsi="宋体"/>
          <w:sz w:val="24"/>
          <w:szCs w:val="24"/>
        </w:rPr>
        <w:t xml:space="preserve">有权要求乙方双倍返还</w:t>
      </w:r>
      <w:r>
        <w:rPr>
          <w:rFonts w:hint="eastAsia" w:ascii="宋体" w:hAnsi="宋体"/>
          <w:sz w:val="24"/>
          <w:szCs w:val="24"/>
        </w:rPr>
        <w:t xml:space="preserve">；造成甲方经济损失的，乙方应给予甲方经济赔偿。</w:t>
      </w:r>
      <w:r>
        <w:rPr>
          <w:rFonts w:hint="eastAsia" w:ascii="宋体" w:hAnsi="宋体"/>
          <w:sz w:val="24"/>
          <w:szCs w:val="24"/>
        </w:rPr>
      </w:r>
      <w:r/>
    </w:p>
    <w:p>
      <w:pPr>
        <w:pStyle w:val="128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5、乙方在承担上述3、4款一项或多项违约责任后，仍应继续履行合同规定的义务（解除合同的除外）。甲方未能及时追究乙方的任何一项违约责任并不表明甲方放弃追究乙方该项或其他违约责任。</w:t>
      </w:r>
      <w:r>
        <w:rPr>
          <w:rFonts w:hint="eastAsia" w:ascii="宋体" w:hAnsi="宋体"/>
          <w:sz w:val="24"/>
          <w:szCs w:val="24"/>
        </w:rPr>
      </w:r>
      <w:r/>
    </w:p>
    <w:p>
      <w:pPr>
        <w:pStyle w:val="133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第十二条 合同生效及其他</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1、合同经</w:t>
      </w:r>
      <w:r>
        <w:rPr>
          <w:rFonts w:hint="eastAsia" w:ascii="宋体" w:hAnsi="宋体"/>
          <w:bCs/>
          <w:sz w:val="24"/>
          <w:szCs w:val="24"/>
          <w:lang w:eastAsia="zh-CN"/>
        </w:rPr>
        <w:t xml:space="preserve">甲乙</w:t>
      </w:r>
      <w:r>
        <w:rPr>
          <w:rFonts w:hint="eastAsia" w:ascii="宋体" w:hAnsi="宋体"/>
          <w:bCs/>
          <w:sz w:val="24"/>
          <w:szCs w:val="24"/>
        </w:rPr>
        <w:t xml:space="preserve">双方</w:t>
      </w:r>
      <w:r>
        <w:rPr>
          <w:rFonts w:hint="eastAsia" w:ascii="宋体" w:hAnsi="宋体"/>
          <w:bCs/>
          <w:sz w:val="24"/>
          <w:szCs w:val="24"/>
          <w:lang w:eastAsia="zh-CN"/>
        </w:rPr>
        <w:t xml:space="preserve">盖章、</w:t>
      </w:r>
      <w:r>
        <w:rPr>
          <w:rFonts w:hint="eastAsia" w:ascii="宋体" w:hAnsi="宋体"/>
          <w:bCs/>
          <w:sz w:val="24"/>
          <w:szCs w:val="24"/>
        </w:rPr>
        <w:t xml:space="preserve">签字后</w:t>
      </w:r>
      <w:r>
        <w:rPr>
          <w:rFonts w:hint="eastAsia" w:ascii="宋体" w:hAnsi="宋体"/>
          <w:bCs/>
          <w:sz w:val="24"/>
          <w:szCs w:val="24"/>
          <w:lang w:eastAsia="zh-CN"/>
        </w:rPr>
        <w:t xml:space="preserve">并经代理机构</w:t>
      </w:r>
      <w:r>
        <w:rPr>
          <w:rFonts w:hint="eastAsia" w:ascii="宋体" w:hAnsi="宋体"/>
          <w:bCs/>
          <w:sz w:val="24"/>
          <w:szCs w:val="24"/>
        </w:rPr>
        <w:t xml:space="preserve">见证后生效。</w:t>
      </w:r>
      <w:r>
        <w:rPr>
          <w:rFonts w:hint="eastAsia" w:ascii="宋体" w:hAnsi="宋体"/>
          <w:bCs/>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3、合同中未有约定的按照有关的法律法规以及国家行业标准或技术文件规定予以解决。</w:t>
      </w:r>
      <w:r>
        <w:rPr>
          <w:rFonts w:hint="eastAsia" w:ascii="宋体" w:hAnsi="宋体"/>
          <w:bCs/>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4、甲乙双方确认：对本合同条款及后果均已知悉，一致确认不存在欺诈、胁迫、乘人之危、重大误解、显失公平等任何可能导致合同无效或被撤销的情形。</w:t>
      </w:r>
      <w:r>
        <w:rPr>
          <w:rFonts w:hint="eastAsia" w:ascii="宋体" w:hAnsi="宋体"/>
          <w:bCs/>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5、合同签订后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 </w:t>
      </w:r>
      <w:r>
        <w:rPr>
          <w:rFonts w:hint="eastAsia" w:ascii="宋体" w:hAnsi="宋体"/>
          <w:bCs/>
          <w:sz w:val="24"/>
          <w:szCs w:val="24"/>
        </w:rPr>
        <w:t xml:space="preserve">方式处理：</w:t>
      </w:r>
      <w:r>
        <w:rPr>
          <w:rFonts w:hint="eastAsia" w:ascii="宋体" w:hAnsi="宋体"/>
          <w:bCs/>
          <w:sz w:val="24"/>
          <w:szCs w:val="24"/>
        </w:rPr>
      </w:r>
      <w:r/>
    </w:p>
    <w:p>
      <w:pPr>
        <w:pStyle w:val="1289"/>
        <w:ind w:left="0" w:firstLine="480"/>
        <w:keepLines w:val="0"/>
        <w:keepNext w:val="0"/>
        <w:pageBreakBefore w:val="0"/>
        <w:spacing w:line="360" w:lineRule="auto"/>
        <w:tabs>
          <w:tab w:val="left" w:pos="525" w:leader="none"/>
          <w:tab w:val="left" w:pos="945" w:leader="none"/>
        </w:tabs>
        <w:rPr>
          <w:rFonts w:hint="eastAsia" w:ascii="宋体" w:hAnsi="宋体"/>
          <w:sz w:val="24"/>
          <w:szCs w:val="24"/>
        </w:rPr>
      </w:pPr>
      <w:r>
        <w:rPr>
          <w:rFonts w:hint="eastAsia" w:ascii="宋体" w:hAnsi="宋体"/>
          <w:sz w:val="24"/>
          <w:szCs w:val="24"/>
        </w:rPr>
        <w:t xml:space="preserve">（1）向无锡仲裁委员会申请仲裁。</w:t>
      </w:r>
      <w:r>
        <w:rPr>
          <w:rFonts w:hint="eastAsia" w:ascii="宋体" w:hAnsi="宋体"/>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（2）向</w:t>
      </w:r>
      <w:r>
        <w:rPr>
          <w:rFonts w:hint="eastAsia" w:ascii="宋体" w:hAnsi="宋体"/>
          <w:sz w:val="24"/>
          <w:szCs w:val="24"/>
          <w:lang w:val="en-US" w:eastAsia="zh-CN"/>
        </w:rPr>
        <w:t xml:space="preserve">甲</w:t>
      </w:r>
      <w:r>
        <w:rPr>
          <w:rFonts w:hint="eastAsia" w:ascii="宋体" w:hAnsi="宋体"/>
          <w:sz w:val="24"/>
          <w:szCs w:val="24"/>
        </w:rPr>
        <w:t xml:space="preserve">方所在地法院提起诉讼。</w:t>
      </w:r>
      <w:r>
        <w:rPr>
          <w:rFonts w:hint="eastAsia" w:ascii="宋体" w:hAnsi="宋体"/>
          <w:bCs/>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6、</w:t>
      </w:r>
      <w:r>
        <w:rPr>
          <w:rFonts w:ascii="宋体" w:hAnsi="宋体"/>
          <w:sz w:val="24"/>
          <w:szCs w:val="24"/>
        </w:rPr>
        <w:t xml:space="preserve">本合同终止时，乙方应移交</w:t>
      </w:r>
      <w:r>
        <w:rPr>
          <w:rFonts w:hint="eastAsia" w:ascii="宋体" w:hAnsi="宋体"/>
          <w:sz w:val="24"/>
          <w:szCs w:val="24"/>
        </w:rPr>
        <w:t xml:space="preserve">服务管理</w:t>
      </w:r>
      <w:r>
        <w:rPr>
          <w:rFonts w:ascii="宋体" w:hAnsi="宋体"/>
          <w:sz w:val="24"/>
          <w:szCs w:val="24"/>
        </w:rPr>
        <w:t xml:space="preserve">权，撤出本</w:t>
      </w:r>
      <w:r>
        <w:rPr>
          <w:rFonts w:hint="eastAsia" w:ascii="宋体" w:hAnsi="宋体"/>
          <w:sz w:val="24"/>
          <w:szCs w:val="24"/>
        </w:rPr>
        <w:t xml:space="preserve">服务</w:t>
      </w:r>
      <w:r>
        <w:rPr>
          <w:rFonts w:ascii="宋体" w:hAnsi="宋体"/>
          <w:sz w:val="24"/>
          <w:szCs w:val="24"/>
        </w:rPr>
        <w:t xml:space="preserve">项目，协助甲方</w:t>
      </w:r>
      <w:r>
        <w:rPr>
          <w:rFonts w:hint="eastAsia" w:ascii="宋体" w:hAnsi="宋体"/>
          <w:sz w:val="24"/>
          <w:szCs w:val="24"/>
          <w:lang w:eastAsia="zh-CN"/>
        </w:rPr>
        <w:t xml:space="preserve">做好</w:t>
      </w:r>
      <w:r>
        <w:rPr>
          <w:rFonts w:ascii="宋体" w:hAnsi="宋体"/>
          <w:sz w:val="24"/>
          <w:szCs w:val="24"/>
        </w:rPr>
        <w:t xml:space="preserve">服务的交接和善后工作，移交或配合甲方移交管理用房和</w:t>
      </w:r>
      <w:r>
        <w:rPr>
          <w:rFonts w:hint="eastAsia" w:ascii="宋体" w:hAnsi="宋体"/>
          <w:sz w:val="24"/>
          <w:szCs w:val="24"/>
        </w:rPr>
        <w:t xml:space="preserve">服务管理</w:t>
      </w:r>
      <w:r>
        <w:rPr>
          <w:rFonts w:ascii="宋体" w:hAnsi="宋体"/>
          <w:sz w:val="24"/>
          <w:szCs w:val="24"/>
        </w:rPr>
        <w:t xml:space="preserve">的全部档案资料</w:t>
      </w:r>
      <w:r>
        <w:rPr>
          <w:rFonts w:hint="eastAsia" w:ascii="宋体" w:hAnsi="宋体"/>
          <w:sz w:val="24"/>
          <w:szCs w:val="24"/>
        </w:rPr>
        <w:t xml:space="preserve">等</w:t>
      </w:r>
      <w:r>
        <w:rPr>
          <w:rFonts w:ascii="宋体" w:hAnsi="宋体"/>
          <w:sz w:val="24"/>
          <w:szCs w:val="24"/>
        </w:rPr>
        <w:t xml:space="preserve">。</w:t>
      </w:r>
      <w:r>
        <w:rPr>
          <w:rFonts w:hint="eastAsia" w:ascii="宋体" w:hAnsi="宋体"/>
          <w:bCs/>
          <w:sz w:val="24"/>
          <w:szCs w:val="24"/>
        </w:rPr>
      </w:r>
      <w:r/>
    </w:p>
    <w:p>
      <w:pPr>
        <w:pStyle w:val="128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sz w:val="24"/>
          <w:szCs w:val="24"/>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rPr>
          <w:rFonts w:hint="eastAsia" w:ascii="宋体" w:hAnsi="宋体" w:eastAsia="宋体" w:cs="Times New Roman"/>
          <w:b/>
          <w:color w:val="000000"/>
          <w:sz w:val="24"/>
          <w:szCs w:val="24"/>
          <w:highlight w:val="none"/>
          <w:u w:val="single"/>
        </w:rPr>
      </w:r>
      <w:r/>
    </w:p>
    <w:p>
      <w:pPr>
        <w:pStyle w:val="1289"/>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289"/>
        <w:jc w:val="center"/>
        <w:spacing w:line="360" w:lineRule="auto"/>
        <w:rPr>
          <w:rFonts w:hint="eastAsia" w:ascii="Times New Roman" w:hAnsi="宋体" w:eastAsia="宋体" w:cs="宋体"/>
          <w:b/>
          <w:bCs/>
          <w:sz w:val="32"/>
          <w:szCs w:val="32"/>
          <w:highlight w:val="none"/>
          <w:lang w:val="en-US" w:eastAsia="zh-CN"/>
        </w:rPr>
        <w:outlineLvl w:val="0"/>
      </w:pPr>
      <w:r/>
      <w:bookmarkStart w:id="34" w:name="_Toc5730"/>
      <w:r>
        <w:rPr>
          <w:rFonts w:hint="eastAsia" w:ascii="Times New Roman" w:hAnsi="宋体" w:eastAsia="宋体" w:cs="宋体"/>
          <w:b/>
          <w:bCs/>
          <w:sz w:val="32"/>
          <w:szCs w:val="32"/>
          <w:highlight w:val="none"/>
          <w:lang w:val="en-US" w:eastAsia="zh-CN"/>
        </w:rPr>
        <w:t xml:space="preserve">五、附件</w:t>
      </w:r>
      <w:bookmarkEnd w:id="32"/>
      <w:r/>
      <w:bookmarkEnd w:id="33"/>
      <w:r/>
      <w:bookmarkEnd w:id="34"/>
      <w:r>
        <w:rPr>
          <w:rFonts w:hint="eastAsia" w:ascii="Times New Roman" w:hAnsi="宋体" w:eastAsia="宋体" w:cs="宋体"/>
          <w:b/>
          <w:bCs/>
          <w:sz w:val="32"/>
          <w:szCs w:val="32"/>
          <w:highlight w:val="none"/>
          <w:lang w:val="en-US" w:eastAsia="zh-CN"/>
        </w:rPr>
      </w:r>
      <w:r/>
    </w:p>
    <w:p>
      <w:pPr>
        <w:pStyle w:val="128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289"/>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hAnsi="宋体" w:cs="宋体"/>
          <w:b/>
          <w:bCs/>
          <w:sz w:val="24"/>
          <w:szCs w:val="24"/>
        </w:rPr>
        <w:t xml:space="preserve">企业综合实力</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numPr>
          <w:ilvl w:val="0"/>
          <w:numId w:val="6"/>
        </w:numPr>
        <w:ind w:firstLine="480"/>
        <w:spacing w:line="360" w:lineRule="auto"/>
        <w:rPr>
          <w:rFonts w:hint="eastAsia" w:hAnsi="宋体" w:cs="宋体"/>
          <w:b/>
          <w:bCs/>
          <w:sz w:val="24"/>
          <w:szCs w:val="24"/>
        </w:rPr>
      </w:pPr>
      <w:r>
        <w:rPr>
          <w:rFonts w:hint="eastAsia" w:hAnsi="宋体" w:cs="宋体"/>
          <w:b/>
          <w:bCs/>
          <w:sz w:val="24"/>
          <w:szCs w:val="24"/>
        </w:rPr>
        <w:t xml:space="preserve">机械设备配备</w:t>
      </w:r>
      <w:r>
        <w:rPr>
          <w:rFonts w:hint="eastAsia" w:hAnsi="宋体" w:cs="宋体"/>
          <w:b/>
          <w:bCs/>
          <w:sz w:val="24"/>
          <w:szCs w:val="24"/>
          <w:lang w:val="en-US" w:eastAsia="zh-CN"/>
        </w:rPr>
        <w:t xml:space="preserve">                              7</w:t>
      </w:r>
      <w:r>
        <w:rPr>
          <w:rFonts w:hint="eastAsia" w:hAnsi="宋体" w:cs="宋体"/>
          <w:b/>
          <w:bCs/>
          <w:sz w:val="24"/>
          <w:szCs w:val="24"/>
        </w:rPr>
        <w:t xml:space="preserve">分</w:t>
      </w:r>
      <w:r>
        <w:rPr>
          <w:rFonts w:hint="eastAsia" w:hAnsi="宋体" w:cs="宋体"/>
          <w:b/>
          <w:bCs/>
          <w:sz w:val="24"/>
          <w:szCs w:val="24"/>
        </w:rPr>
      </w:r>
      <w:r/>
    </w:p>
    <w:p>
      <w:pPr>
        <w:pStyle w:val="1289"/>
        <w:ind w:firstLine="480"/>
        <w:spacing w:line="360" w:lineRule="auto"/>
        <w:rPr>
          <w:rFonts w:hint="eastAsia" w:hAnsi="宋体" w:cs="宋体"/>
          <w:sz w:val="24"/>
          <w:szCs w:val="24"/>
        </w:rPr>
      </w:pPr>
      <w:r>
        <w:rPr>
          <w:rFonts w:hint="eastAsia" w:ascii="宋体" w:hAnsi="宋体" w:eastAsia="宋体" w:cs="宋体"/>
          <w:b/>
          <w:color w:val="000000"/>
          <w:sz w:val="24"/>
          <w:szCs w:val="24"/>
          <w:highlight w:val="none"/>
          <w:lang w:val="en-US" w:eastAsia="zh-CN"/>
        </w:rPr>
        <w:t xml:space="preserve">4、</w:t>
      </w:r>
      <w:r>
        <w:rPr>
          <w:rFonts w:hint="eastAsia" w:hAnsi="宋体" w:cs="宋体"/>
          <w:b/>
          <w:bCs/>
          <w:sz w:val="24"/>
          <w:szCs w:val="24"/>
        </w:rPr>
        <w:t xml:space="preserve">人员配置</w:t>
      </w:r>
      <w:r>
        <w:rPr>
          <w:rFonts w:hint="eastAsia" w:hAnsi="宋体" w:cs="宋体"/>
          <w:b/>
          <w:bCs/>
          <w:sz w:val="24"/>
          <w:szCs w:val="24"/>
          <w:lang w:val="en-US" w:eastAsia="zh-CN"/>
        </w:rPr>
        <w:t xml:space="preserve">                                  8</w:t>
      </w:r>
      <w:r>
        <w:rPr>
          <w:rFonts w:hint="eastAsia" w:hAnsi="宋体" w:cs="宋体"/>
          <w:b/>
          <w:bCs/>
          <w:sz w:val="24"/>
          <w:szCs w:val="24"/>
        </w:rPr>
        <w:t xml:space="preserve">分</w:t>
      </w:r>
      <w:r>
        <w:rPr>
          <w:rFonts w:hint="eastAsia" w:hAnsi="宋体" w:cs="宋体"/>
          <w:sz w:val="24"/>
          <w:szCs w:val="24"/>
        </w:rPr>
      </w:r>
      <w:r/>
    </w:p>
    <w:p>
      <w:pPr>
        <w:pStyle w:val="128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服务方案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336"/>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289"/>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336"/>
        <w:ind w:left="0" w:firstLine="480"/>
        <w:jc w:val="left"/>
        <w:keepLines w:val="0"/>
        <w:keepNext w:val="0"/>
        <w:pageBreakBefore w:val="0"/>
        <w:spacing w:after="0" w:line="360" w:lineRule="auto"/>
        <w:rPr>
          <w:rFonts w:hint="eastAsia" w:ascii="宋体" w:hAnsi="宋体" w:eastAsia="宋体" w:cs="宋体"/>
          <w:b/>
          <w:bCs w:val="0"/>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hAnsi="宋体" w:cs="宋体"/>
          <w:b/>
          <w:bCs/>
          <w:sz w:val="24"/>
          <w:szCs w:val="24"/>
        </w:rPr>
        <w:t xml:space="preserve">企业综合实力（</w:t>
      </w:r>
      <w:r>
        <w:rPr>
          <w:rFonts w:hint="eastAsia" w:hAnsi="宋体" w:cs="宋体"/>
          <w:b/>
          <w:bCs/>
          <w:sz w:val="24"/>
          <w:szCs w:val="24"/>
          <w:lang w:val="en-US" w:eastAsia="zh-CN"/>
        </w:rPr>
        <w:t xml:space="preserve">5</w:t>
      </w:r>
      <w:r>
        <w:rPr>
          <w:rFonts w:hint="eastAsia" w:hAnsi="宋体" w:cs="宋体"/>
          <w:b/>
          <w:bCs/>
          <w:sz w:val="24"/>
          <w:szCs w:val="24"/>
        </w:rPr>
        <w:t xml:space="preserve">分）</w:t>
      </w:r>
      <w:r>
        <w:rPr>
          <w:rFonts w:hint="eastAsia" w:ascii="宋体" w:hAnsi="宋体" w:eastAsia="宋体" w:cs="宋体"/>
          <w:b/>
          <w:bCs w:val="0"/>
          <w:color w:val="000000"/>
          <w:sz w:val="24"/>
          <w:szCs w:val="24"/>
          <w:highlight w:val="none"/>
          <w:lang w:val="zh-CN"/>
        </w:rPr>
      </w:r>
      <w:r/>
    </w:p>
    <w:p>
      <w:pPr>
        <w:pStyle w:val="1289"/>
        <w:ind w:firstLine="480"/>
        <w:spacing w:line="360" w:lineRule="auto"/>
        <w:rPr>
          <w:rFonts w:hAnsi="宋体" w:cs="宋体"/>
          <w:sz w:val="24"/>
          <w:szCs w:val="24"/>
          <w:highlight w:val="none"/>
        </w:rPr>
      </w:pPr>
      <w:r>
        <w:rPr>
          <w:rFonts w:hint="eastAsia" w:hAnsi="宋体" w:cs="宋体"/>
          <w:sz w:val="24"/>
          <w:szCs w:val="24"/>
        </w:rPr>
        <w:t xml:space="preserve">（1）认证证书（4分）：</w:t>
      </w:r>
      <w:r>
        <w:rPr>
          <w:rFonts w:hint="eastAsia" w:ascii="宋体" w:hAnsi="宋体" w:cs="宋体"/>
          <w:color w:val="000000"/>
          <w:sz w:val="24"/>
          <w:lang w:val="zh-CN"/>
        </w:rPr>
        <w:t xml:space="preserve">投标供应商</w:t>
      </w:r>
      <w:r>
        <w:rPr>
          <w:rFonts w:hint="eastAsia" w:ascii="宋体" w:hAnsi="宋体" w:cs="宋体"/>
          <w:color w:val="000000"/>
          <w:sz w:val="24"/>
        </w:rPr>
        <w:t xml:space="preserve">具备</w:t>
      </w:r>
      <w:r>
        <w:rPr>
          <w:rFonts w:hint="eastAsia" w:ascii="宋体" w:hAnsi="宋体" w:cs="宋体"/>
          <w:color w:val="000000"/>
          <w:sz w:val="24"/>
          <w:lang w:val="zh-CN"/>
        </w:rPr>
        <w:t xml:space="preserve">有效期内的环境管理体系认证证书、职业安全健康管理体系认证证书、质量管</w:t>
      </w:r>
      <w:r>
        <w:rPr>
          <w:rFonts w:hint="eastAsia" w:ascii="宋体" w:hAnsi="宋体" w:cs="宋体"/>
          <w:color w:val="000000"/>
          <w:sz w:val="24"/>
          <w:highlight w:val="none"/>
          <w:lang w:val="zh-CN"/>
        </w:rPr>
        <w:t xml:space="preserve">理体系认证证书、售后服务认证证书，</w:t>
      </w:r>
      <w:r>
        <w:rPr>
          <w:rFonts w:hint="eastAsia" w:hAnsi="宋体" w:cs="宋体"/>
          <w:sz w:val="24"/>
          <w:szCs w:val="24"/>
          <w:highlight w:val="none"/>
        </w:rPr>
        <w:t xml:space="preserve">每提供1项得1分</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本项最高得</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分。</w:t>
      </w:r>
      <w:r>
        <w:rPr>
          <w:rFonts w:hint="eastAsia" w:hAnsi="宋体" w:cs="宋体"/>
          <w:b/>
          <w:bCs/>
          <w:sz w:val="24"/>
          <w:szCs w:val="24"/>
          <w:highlight w:val="none"/>
        </w:rPr>
        <w:t xml:space="preserve">（注：提供证书扫描件及国家认证认可监督管理委员会官网www.cnca.gov.cn查询截图上传至投标文件并电子签章，不提供不得分；）</w:t>
      </w:r>
      <w:r>
        <w:rPr>
          <w:rFonts w:hAnsi="宋体" w:cs="宋体"/>
          <w:sz w:val="24"/>
          <w:szCs w:val="24"/>
          <w:highlight w:val="none"/>
        </w:rPr>
      </w:r>
      <w:r/>
    </w:p>
    <w:p>
      <w:pPr>
        <w:pStyle w:val="1289"/>
        <w:ind w:firstLine="480"/>
        <w:spacing w:line="360" w:lineRule="auto"/>
        <w:rPr>
          <w:rFonts w:hint="eastAsia" w:hAnsi="宋体" w:cs="宋体"/>
          <w:b/>
          <w:bCs/>
          <w:sz w:val="24"/>
          <w:szCs w:val="24"/>
        </w:rPr>
      </w:pPr>
      <w:r>
        <w:rPr>
          <w:rFonts w:hint="eastAsia" w:hAnsi="宋体" w:cs="宋体"/>
          <w:sz w:val="24"/>
          <w:szCs w:val="24"/>
          <w:highlight w:val="none"/>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）企业业绩（</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分）：投标供应商自2021年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月1日（以中标通知书</w:t>
      </w:r>
      <w:r>
        <w:rPr>
          <w:rFonts w:hint="eastAsia" w:hAnsi="宋体" w:cs="宋体"/>
          <w:sz w:val="24"/>
          <w:szCs w:val="24"/>
        </w:rPr>
        <w:t xml:space="preserve">签发时间为准）以来承担过类似项目的，有一个得</w:t>
      </w:r>
      <w:r>
        <w:rPr>
          <w:rFonts w:hint="eastAsia" w:hAnsi="宋体" w:cs="宋体"/>
          <w:sz w:val="24"/>
          <w:szCs w:val="24"/>
          <w:lang w:val="en-US" w:eastAsia="zh-CN"/>
        </w:rPr>
        <w:t xml:space="preserve">1</w:t>
      </w:r>
      <w:r>
        <w:rPr>
          <w:rFonts w:hint="eastAsia" w:hAnsi="宋体" w:cs="宋体"/>
          <w:sz w:val="24"/>
          <w:szCs w:val="24"/>
        </w:rPr>
        <w:t xml:space="preserve">分，最高得</w:t>
      </w:r>
      <w:r>
        <w:rPr>
          <w:rFonts w:hint="eastAsia" w:hAnsi="宋体" w:cs="宋体"/>
          <w:sz w:val="24"/>
          <w:szCs w:val="24"/>
          <w:lang w:val="en-US" w:eastAsia="zh-CN"/>
        </w:rPr>
        <w:t xml:space="preserve">1</w:t>
      </w:r>
      <w:r>
        <w:rPr>
          <w:rFonts w:hint="eastAsia" w:hAnsi="宋体" w:cs="宋体"/>
          <w:sz w:val="24"/>
          <w:szCs w:val="24"/>
        </w:rPr>
        <w:t xml:space="preserve">分。</w:t>
      </w:r>
      <w:r>
        <w:rPr>
          <w:rFonts w:hint="eastAsia" w:hAnsi="宋体" w:cs="宋体"/>
          <w:b/>
          <w:bCs/>
          <w:sz w:val="24"/>
          <w:szCs w:val="24"/>
        </w:rPr>
        <w:t xml:space="preserve">（提供中标通知书、合同扫描件上传至系统中并电子签章，否则不得分。）</w:t>
      </w:r>
      <w:r>
        <w:rPr>
          <w:rFonts w:hint="eastAsia" w:hAnsi="宋体" w:cs="宋体"/>
          <w:b/>
          <w:bCs/>
          <w:sz w:val="24"/>
          <w:szCs w:val="24"/>
        </w:rPr>
      </w:r>
      <w:r/>
    </w:p>
    <w:p>
      <w:pPr>
        <w:pStyle w:val="1289"/>
        <w:ind w:firstLine="480"/>
        <w:spacing w:line="360" w:lineRule="auto"/>
        <w:rPr>
          <w:rFonts w:hint="eastAsia" w:ascii="宋体" w:hAnsi="宋体" w:cs="宋体"/>
          <w:b/>
          <w:sz w:val="24"/>
        </w:rPr>
      </w:pPr>
      <w:r>
        <w:rPr>
          <w:rFonts w:hint="eastAsia" w:hAnsi="宋体" w:cs="宋体"/>
          <w:b/>
          <w:bCs/>
          <w:sz w:val="24"/>
          <w:szCs w:val="24"/>
          <w:lang w:val="en-US" w:eastAsia="zh-CN"/>
        </w:rPr>
        <w:t xml:space="preserve">3、</w:t>
      </w:r>
      <w:r>
        <w:rPr>
          <w:rFonts w:hint="eastAsia" w:ascii="宋体" w:hAnsi="宋体" w:cs="宋体"/>
          <w:b/>
          <w:sz w:val="24"/>
        </w:rPr>
        <w:t xml:space="preserve">机械设备配置（</w:t>
      </w:r>
      <w:r>
        <w:rPr>
          <w:rFonts w:hint="eastAsia" w:ascii="宋体" w:hAnsi="宋体" w:cs="宋体"/>
          <w:b/>
          <w:sz w:val="24"/>
          <w:lang w:val="en-US" w:eastAsia="zh-CN"/>
        </w:rPr>
        <w:t xml:space="preserve">7</w:t>
      </w:r>
      <w:r>
        <w:rPr>
          <w:rFonts w:hint="eastAsia" w:ascii="宋体" w:hAnsi="宋体" w:cs="宋体"/>
          <w:b/>
          <w:sz w:val="24"/>
        </w:rPr>
        <w:t xml:space="preserve">分）</w:t>
      </w:r>
      <w:r>
        <w:rPr>
          <w:rFonts w:hint="eastAsia" w:ascii="宋体" w:hAnsi="宋体" w:cs="宋体"/>
          <w:b/>
          <w:sz w:val="24"/>
        </w:rPr>
      </w:r>
      <w:r/>
    </w:p>
    <w:p>
      <w:pPr>
        <w:pStyle w:val="1289"/>
        <w:ind w:right="-197" w:firstLine="480"/>
        <w:jc w:val="left"/>
        <w:spacing w:line="360" w:lineRule="auto"/>
        <w:tabs>
          <w:tab w:val="left" w:pos="552" w:leader="none"/>
          <w:tab w:val="left" w:pos="1050" w:leader="none"/>
          <w:tab w:val="left" w:pos="1365" w:leader="none"/>
        </w:tabs>
        <w:rPr>
          <w:rFonts w:ascii="宋体" w:hAnsi="宋体" w:cs="宋体"/>
          <w:b w:val="0"/>
          <w:bCs w:val="0"/>
          <w:sz w:val="24"/>
          <w:szCs w:val="24"/>
        </w:rPr>
      </w:pPr>
      <w:r>
        <w:rPr>
          <w:rFonts w:hint="eastAsia" w:ascii="宋体" w:hAnsi="宋体" w:cs="宋体"/>
          <w:b w:val="0"/>
          <w:bCs w:val="0"/>
          <w:sz w:val="24"/>
        </w:rPr>
        <w:t xml:space="preserve">（1）投标供应商投入</w:t>
      </w:r>
      <w:r>
        <w:rPr>
          <w:rFonts w:hint="eastAsia" w:ascii="宋体" w:hAnsi="宋体" w:cs="宋体"/>
          <w:b w:val="0"/>
          <w:bCs w:val="0"/>
          <w:sz w:val="24"/>
          <w:szCs w:val="24"/>
        </w:rPr>
        <w:t xml:space="preserve">标准制式水车（核定载质量≥</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吨），</w:t>
      </w:r>
      <w:r>
        <w:rPr>
          <w:rFonts w:hint="eastAsia" w:ascii="宋体" w:hAnsi="宋体" w:cs="宋体"/>
          <w:b w:val="0"/>
          <w:bCs w:val="0"/>
          <w:sz w:val="24"/>
        </w:rPr>
        <w:t xml:space="preserve">有1辆得1分，本项最高得2分；</w:t>
      </w:r>
      <w:r>
        <w:rPr>
          <w:rFonts w:ascii="宋体" w:hAnsi="宋体" w:cs="宋体"/>
          <w:b w:val="0"/>
          <w:bCs w:val="0"/>
          <w:sz w:val="24"/>
          <w:szCs w:val="24"/>
        </w:rPr>
      </w:r>
      <w:r/>
    </w:p>
    <w:p>
      <w:pPr>
        <w:pStyle w:val="1289"/>
        <w:ind w:right="-197" w:firstLine="480"/>
        <w:jc w:val="left"/>
        <w:spacing w:line="360" w:lineRule="auto"/>
        <w:tabs>
          <w:tab w:val="left" w:pos="552" w:leader="none"/>
          <w:tab w:val="left" w:pos="1050" w:leader="none"/>
          <w:tab w:val="left" w:pos="1365" w:leader="none"/>
        </w:tabs>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吊车（汽车起重机）</w:t>
      </w:r>
      <w:r>
        <w:rPr>
          <w:rFonts w:hint="eastAsia" w:ascii="宋体" w:hAnsi="宋体" w:cs="宋体"/>
          <w:b w:val="0"/>
          <w:bCs w:val="0"/>
          <w:sz w:val="24"/>
        </w:rPr>
        <w:t xml:space="preserve">（核定载质量或额定起重量≥</w:t>
      </w:r>
      <w:r>
        <w:rPr>
          <w:rFonts w:hint="eastAsia" w:ascii="宋体" w:hAnsi="宋体" w:cs="宋体"/>
          <w:b w:val="0"/>
          <w:bCs w:val="0"/>
          <w:sz w:val="24"/>
          <w:lang w:val="en-US" w:eastAsia="zh-CN"/>
        </w:rPr>
        <w:t xml:space="preserve">12</w:t>
      </w:r>
      <w:r>
        <w:rPr>
          <w:rFonts w:hint="eastAsia" w:ascii="宋体" w:hAnsi="宋体" w:cs="宋体"/>
          <w:b w:val="0"/>
          <w:bCs w:val="0"/>
          <w:sz w:val="24"/>
        </w:rPr>
        <w:t xml:space="preserve">吨）</w:t>
      </w:r>
      <w:r>
        <w:rPr>
          <w:rFonts w:hint="eastAsia" w:ascii="宋体" w:hAnsi="宋体" w:cs="宋体"/>
          <w:b w:val="0"/>
          <w:bCs w:val="0"/>
          <w:sz w:val="24"/>
          <w:szCs w:val="24"/>
        </w:rPr>
        <w:t xml:space="preserve">，</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rPr>
          <w:rFonts w:ascii="宋体" w:hAnsi="宋体" w:cs="宋体"/>
          <w:b w:val="0"/>
          <w:bCs w:val="0"/>
          <w:sz w:val="24"/>
          <w:szCs w:val="24"/>
        </w:rPr>
      </w:r>
      <w:r/>
    </w:p>
    <w:p>
      <w:pPr>
        <w:pStyle w:val="1310"/>
        <w:ind w:firstLine="420"/>
        <w:spacing w:line="360" w:lineRule="auto"/>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高空作业车(作业高度达≥1</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米），</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rPr>
          <w:rFonts w:ascii="宋体" w:hAnsi="宋体" w:cs="宋体"/>
          <w:b w:val="0"/>
          <w:bCs w:val="0"/>
          <w:sz w:val="24"/>
          <w:szCs w:val="24"/>
        </w:rPr>
      </w:r>
      <w:r/>
    </w:p>
    <w:p>
      <w:pPr>
        <w:pStyle w:val="1310"/>
        <w:ind w:firstLine="420"/>
        <w:spacing w:line="360" w:lineRule="auto"/>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运输车（核定载质量≥</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吨，用于运输材料），</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rPr>
          <w:rFonts w:ascii="宋体" w:hAnsi="宋体" w:cs="宋体"/>
          <w:b w:val="0"/>
          <w:bCs w:val="0"/>
          <w:sz w:val="24"/>
          <w:szCs w:val="24"/>
        </w:rPr>
      </w:r>
      <w:r/>
    </w:p>
    <w:p>
      <w:pPr>
        <w:pStyle w:val="1310"/>
        <w:ind w:firstLine="420"/>
        <w:spacing w:line="360" w:lineRule="auto"/>
        <w:rPr>
          <w:rFonts w:ascii="宋体" w:hAnsi="宋体" w:cs="宋体"/>
          <w:b w:val="0"/>
          <w:bCs w:val="0"/>
          <w:sz w:val="24"/>
          <w:szCs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）投标供应商投入</w:t>
      </w:r>
      <w:r>
        <w:rPr>
          <w:rFonts w:hint="eastAsia" w:ascii="宋体" w:hAnsi="宋体" w:cs="宋体"/>
          <w:b w:val="0"/>
          <w:bCs w:val="0"/>
          <w:sz w:val="24"/>
          <w:szCs w:val="24"/>
        </w:rPr>
        <w:t xml:space="preserve">客车（</w:t>
      </w:r>
      <w:r>
        <w:rPr>
          <w:rFonts w:hint="eastAsia" w:ascii="宋体" w:hAnsi="宋体" w:cs="宋体"/>
          <w:b w:val="0"/>
          <w:bCs w:val="0"/>
          <w:sz w:val="24"/>
          <w:szCs w:val="24"/>
          <w:lang w:val="en-US" w:eastAsia="zh-CN"/>
        </w:rPr>
        <w:t xml:space="preserve">15</w:t>
      </w:r>
      <w:r>
        <w:rPr>
          <w:rFonts w:hint="eastAsia" w:ascii="宋体" w:hAnsi="宋体" w:cs="宋体"/>
          <w:b w:val="0"/>
          <w:bCs w:val="0"/>
          <w:sz w:val="24"/>
          <w:szCs w:val="24"/>
        </w:rPr>
        <w:t xml:space="preserve">座及以上，用于接送养护工人及应急作业），</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rPr>
          <w:rFonts w:ascii="宋体" w:hAnsi="宋体" w:cs="宋体"/>
          <w:b w:val="0"/>
          <w:bCs w:val="0"/>
          <w:sz w:val="24"/>
          <w:szCs w:val="24"/>
        </w:rPr>
      </w:r>
      <w:r/>
    </w:p>
    <w:p>
      <w:pPr>
        <w:pStyle w:val="1289"/>
        <w:ind w:firstLine="480"/>
        <w:spacing w:line="440" w:lineRule="exact"/>
        <w:rPr>
          <w:rFonts w:hint="eastAsia" w:ascii="宋体" w:hAnsi="宋体" w:cs="宋体"/>
          <w:sz w:val="24"/>
          <w:highlight w:val="none"/>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6</w:t>
      </w:r>
      <w:r>
        <w:rPr>
          <w:rFonts w:hint="eastAsia" w:ascii="宋体" w:hAnsi="宋体" w:cs="宋体"/>
          <w:b w:val="0"/>
          <w:bCs w:val="0"/>
          <w:sz w:val="24"/>
        </w:rPr>
        <w:t xml:space="preserve">）投标供应商配备多功能抑尘车（核定载质量≥</w:t>
      </w: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吨）</w:t>
      </w:r>
      <w:r>
        <w:rPr>
          <w:rFonts w:hint="eastAsia" w:ascii="宋体" w:hAnsi="宋体" w:cs="宋体"/>
          <w:b w:val="0"/>
          <w:bCs w:val="0"/>
          <w:sz w:val="24"/>
          <w:lang w:eastAsia="zh-CN"/>
        </w:rPr>
        <w:t xml:space="preserve">，</w:t>
      </w:r>
      <w:r>
        <w:rPr>
          <w:rFonts w:hint="eastAsia" w:ascii="宋体" w:hAnsi="宋体" w:cs="宋体"/>
          <w:b w:val="0"/>
          <w:bCs w:val="0"/>
          <w:sz w:val="24"/>
        </w:rPr>
        <w:t xml:space="preserve">有1辆得1分，本项最高得</w:t>
      </w: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分</w:t>
      </w:r>
      <w:r>
        <w:rPr>
          <w:rFonts w:hint="eastAsia" w:ascii="宋体" w:hAnsi="宋体" w:cs="宋体"/>
          <w:b w:val="0"/>
          <w:bCs w:val="0"/>
          <w:sz w:val="24"/>
          <w:lang w:eastAsia="zh-CN"/>
        </w:rPr>
        <w:t xml:space="preserve">。</w:t>
      </w:r>
      <w:r>
        <w:rPr>
          <w:rFonts w:hint="eastAsia" w:ascii="宋体" w:hAnsi="宋体" w:cs="宋体"/>
          <w:sz w:val="24"/>
          <w:highlight w:val="none"/>
        </w:rPr>
      </w:r>
      <w:r/>
    </w:p>
    <w:p>
      <w:pPr>
        <w:pStyle w:val="1289"/>
        <w:ind w:firstLine="480"/>
        <w:spacing w:line="440" w:lineRule="exact"/>
        <w:rPr>
          <w:rFonts w:hint="eastAsia" w:ascii="宋体" w:hAnsi="宋体" w:cs="宋体"/>
          <w:b/>
          <w:bCs/>
          <w:color w:val="000000"/>
          <w:sz w:val="24"/>
          <w:szCs w:val="24"/>
        </w:rPr>
      </w:pPr>
      <w:r>
        <w:rPr>
          <w:rFonts w:hint="eastAsia" w:ascii="宋体" w:hAnsi="宋体" w:cs="宋体"/>
          <w:b/>
          <w:bCs/>
          <w:color w:val="000000"/>
          <w:sz w:val="24"/>
          <w:lang w:val="zh-CN"/>
        </w:rPr>
        <w:t xml:space="preserve">注：标准制式水车、吊车（汽车起重机）、</w:t>
      </w:r>
      <w:r>
        <w:rPr>
          <w:rFonts w:hint="eastAsia" w:ascii="宋体" w:hAnsi="宋体" w:cs="宋体"/>
          <w:b/>
          <w:bCs/>
          <w:color w:val="000000"/>
          <w:sz w:val="24"/>
          <w:lang w:val="en-US" w:eastAsia="zh-CN"/>
        </w:rPr>
        <w:t xml:space="preserve">高空作业车、运输车、客车、</w:t>
      </w:r>
      <w:r>
        <w:rPr>
          <w:rFonts w:hint="eastAsia" w:ascii="宋体" w:hAnsi="宋体" w:cs="宋体"/>
          <w:b/>
          <w:bCs/>
          <w:color w:val="000000"/>
          <w:sz w:val="24"/>
        </w:rPr>
        <w:t xml:space="preserve">多功能抑尘车</w:t>
      </w:r>
      <w:r>
        <w:rPr>
          <w:rFonts w:hint="eastAsia" w:ascii="宋体" w:hAnsi="宋体" w:cs="宋体"/>
          <w:b/>
          <w:bCs/>
          <w:color w:val="000000"/>
          <w:sz w:val="24"/>
          <w:lang w:val="zh-CN"/>
        </w:rPr>
        <w:t xml:space="preserve">等机械</w:t>
      </w:r>
      <w:r>
        <w:rPr>
          <w:rFonts w:hint="eastAsia" w:hAnsi="宋体" w:cs="宋体"/>
          <w:b/>
          <w:bCs/>
          <w:color w:val="000000"/>
          <w:sz w:val="24"/>
          <w:szCs w:val="24"/>
        </w:rPr>
        <w:t xml:space="preserve">车辆自有的提供车辆购置发票（发票抬头与投标人一致的发票）、车辆行驶证、车辆实景图片等相关证明材料原件扫描件上传至系统中并电子签章；若是租赁车辆需提供租赁协议（有效期需满足本项目养护期）、租赁发票、车辆购置发票、车辆行驶证以及含车牌的车辆实景图片等相关证明材料原件扫描件上传至系统中并电子签章</w:t>
      </w:r>
      <w:r>
        <w:rPr>
          <w:rFonts w:hint="eastAsia" w:ascii="宋体" w:hAnsi="宋体" w:cs="宋体"/>
          <w:b/>
          <w:bCs/>
          <w:color w:val="000000"/>
          <w:sz w:val="24"/>
          <w:szCs w:val="24"/>
        </w:rPr>
        <w:t xml:space="preserve">；</w:t>
      </w:r>
      <w:r>
        <w:rPr>
          <w:rFonts w:hint="eastAsia" w:ascii="宋体" w:hAnsi="宋体" w:eastAsia="宋体" w:cs="宋体"/>
          <w:b/>
          <w:bCs w:val="0"/>
          <w:color w:val="000000"/>
          <w:sz w:val="24"/>
          <w:szCs w:val="24"/>
          <w:highlight w:val="none"/>
          <w:lang w:val="en-US" w:eastAsia="zh-CN"/>
        </w:rPr>
        <w:t xml:space="preserve">或提供承诺书（承诺中标后签订合同前提供以上所有车辆，并上传至投标文件并电子签章，格式自拟），不提供或提供不全者不得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cs="宋体"/>
          <w:b/>
          <w:bCs/>
          <w:color w:val="000000"/>
          <w:sz w:val="24"/>
          <w:szCs w:val="24"/>
        </w:rPr>
      </w:r>
      <w:r/>
    </w:p>
    <w:p>
      <w:pPr>
        <w:pStyle w:val="1289"/>
        <w:ind w:firstLine="480"/>
        <w:spacing w:line="360" w:lineRule="auto"/>
        <w:rPr>
          <w:rFonts w:hAnsi="宋体" w:cs="宋体"/>
          <w:color w:val="000000"/>
          <w:sz w:val="24"/>
          <w:szCs w:val="24"/>
        </w:rPr>
      </w:pPr>
      <w:r>
        <w:rPr>
          <w:rFonts w:hint="eastAsia" w:hAnsi="宋体" w:cs="宋体"/>
          <w:b/>
          <w:bCs/>
          <w:color w:val="000000"/>
          <w:sz w:val="24"/>
          <w:szCs w:val="24"/>
        </w:rPr>
        <w:t xml:space="preserve">4、人员配置（</w:t>
      </w:r>
      <w:r>
        <w:rPr>
          <w:rFonts w:hint="eastAsia" w:hAnsi="宋体" w:cs="宋体"/>
          <w:b/>
          <w:bCs/>
          <w:color w:val="000000"/>
          <w:sz w:val="24"/>
          <w:szCs w:val="24"/>
          <w:lang w:val="en-US" w:eastAsia="zh-CN"/>
        </w:rPr>
        <w:t xml:space="preserve">8</w:t>
      </w:r>
      <w:r>
        <w:rPr>
          <w:rFonts w:hint="eastAsia" w:hAnsi="宋体" w:cs="宋体"/>
          <w:b/>
          <w:bCs/>
          <w:color w:val="000000"/>
          <w:sz w:val="24"/>
          <w:szCs w:val="24"/>
        </w:rPr>
        <w:t xml:space="preserve">分）</w:t>
      </w:r>
      <w:r>
        <w:rPr>
          <w:rFonts w:hAnsi="宋体" w:cs="宋体"/>
          <w:color w:val="000000"/>
          <w:sz w:val="24"/>
          <w:szCs w:val="24"/>
        </w:rPr>
      </w:r>
      <w:r/>
    </w:p>
    <w:p>
      <w:pPr>
        <w:pStyle w:val="1289"/>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养护作业基本人员（</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p>
      <w:pPr>
        <w:pStyle w:val="1289"/>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本项目养护作业人员中（项目负责人除外）具有</w:t>
      </w:r>
      <w:r>
        <w:rPr>
          <w:rFonts w:hint="eastAsia" w:ascii="宋体" w:hAnsi="宋体"/>
          <w:sz w:val="24"/>
          <w:szCs w:val="24"/>
          <w:highlight w:val="none"/>
        </w:rPr>
        <w:t xml:space="preserve">园林绿化相关专业中级及以上职称证书同时具备中级及以上绿化工证书的</w:t>
      </w:r>
      <w:r>
        <w:rPr>
          <w:rFonts w:hint="eastAsia" w:ascii="宋体" w:hAnsi="宋体" w:cs="宋体"/>
          <w:sz w:val="24"/>
          <w:szCs w:val="24"/>
          <w:highlight w:val="none"/>
        </w:rPr>
        <w:t xml:space="preserve">，每人得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p>
    <w:p>
      <w:pPr>
        <w:pStyle w:val="1289"/>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（2）养护作业专业技术人员（4分）</w:t>
      </w:r>
      <w:r>
        <w:rPr>
          <w:rFonts w:ascii="宋体" w:hAnsi="宋体" w:cs="宋体"/>
          <w:sz w:val="24"/>
          <w:szCs w:val="24"/>
          <w:highlight w:val="none"/>
        </w:rPr>
      </w:r>
      <w:r/>
    </w:p>
    <w:p>
      <w:pPr>
        <w:pStyle w:val="1289"/>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①本项目养护作业人员中（项目负责人除外）具有</w:t>
      </w:r>
      <w:r>
        <w:rPr>
          <w:rFonts w:hint="eastAsia" w:ascii="宋体" w:hAnsi="宋体"/>
          <w:sz w:val="24"/>
          <w:szCs w:val="24"/>
          <w:highlight w:val="none"/>
        </w:rPr>
        <w:t xml:space="preserve">园林绿化相关专业中级及以上职称证书同时具备</w:t>
      </w:r>
      <w:r>
        <w:rPr>
          <w:rFonts w:hint="eastAsia" w:ascii="宋体" w:hAnsi="宋体" w:cs="宋体"/>
          <w:sz w:val="24"/>
          <w:szCs w:val="24"/>
          <w:highlight w:val="none"/>
        </w:rPr>
        <w:t xml:space="preserve">花卉工或植保工中级及以上技能等级证书的，每人得1分，本项最高得2分。</w:t>
      </w:r>
      <w:r>
        <w:rPr>
          <w:rFonts w:ascii="宋体" w:hAnsi="宋体" w:cs="宋体"/>
          <w:sz w:val="24"/>
          <w:szCs w:val="24"/>
          <w:highlight w:val="none"/>
        </w:rPr>
      </w:r>
      <w:r/>
    </w:p>
    <w:p>
      <w:pPr>
        <w:pStyle w:val="1289"/>
        <w:ind w:firstLine="480"/>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②本项目养护作业人员中（项目负责人除外）</w:t>
      </w:r>
      <w:r>
        <w:rPr>
          <w:rFonts w:hint="eastAsia" w:ascii="宋体" w:hAnsi="宋体" w:cs="宋体"/>
          <w:color w:val="000000"/>
          <w:sz w:val="24"/>
          <w:szCs w:val="24"/>
          <w:highlight w:val="none"/>
        </w:rPr>
        <w:t xml:space="preserve">配备特种作业人员中具有高处作业相关专业特种工证书的</w:t>
      </w:r>
      <w:r>
        <w:rPr>
          <w:rFonts w:hint="eastAsia" w:ascii="宋体" w:hAnsi="宋体" w:cs="宋体"/>
          <w:sz w:val="24"/>
          <w:szCs w:val="24"/>
          <w:highlight w:val="none"/>
        </w:rPr>
        <w:t xml:space="preserve">，有一人得2分，本项最高2分。</w:t>
      </w:r>
      <w:r>
        <w:rPr>
          <w:rFonts w:ascii="宋体" w:hAnsi="宋体" w:cs="宋体"/>
          <w:sz w:val="24"/>
          <w:szCs w:val="24"/>
          <w:highlight w:val="none"/>
        </w:rPr>
      </w:r>
      <w:r/>
    </w:p>
    <w:p>
      <w:pPr>
        <w:pStyle w:val="1289"/>
        <w:ind w:firstLine="576"/>
        <w:spacing w:line="360" w:lineRule="auto"/>
        <w:rPr>
          <w:rFonts w:hAnsi="宋体" w:cs="宋体"/>
          <w:sz w:val="24"/>
          <w:szCs w:val="24"/>
        </w:rPr>
      </w:pPr>
      <w:r>
        <w:rPr>
          <w:rFonts w:hint="eastAsia" w:hAnsi="宋体"/>
          <w:sz w:val="24"/>
          <w:szCs w:val="24"/>
          <w:highlight w:val="none"/>
        </w:rPr>
        <w:t xml:space="preserve">注：（1）、（2）、（3）配置</w:t>
      </w:r>
      <w:r>
        <w:rPr>
          <w:rFonts w:hint="eastAsia" w:ascii="宋体" w:hAnsi="宋体" w:cs="宋体"/>
          <w:sz w:val="24"/>
          <w:highlight w:val="none"/>
        </w:rPr>
        <w:t xml:space="preserve">同一人时不可重复得分，</w:t>
      </w:r>
      <w:r>
        <w:rPr>
          <w:rFonts w:hint="eastAsia" w:hAnsi="宋体"/>
          <w:sz w:val="24"/>
          <w:szCs w:val="24"/>
          <w:highlight w:val="none"/>
        </w:rPr>
        <w:t xml:space="preserve">须提供以上人员相关</w:t>
      </w:r>
      <w:r>
        <w:rPr>
          <w:rFonts w:hint="eastAsia" w:hAnsi="宋体" w:cs="宋体"/>
          <w:sz w:val="24"/>
          <w:szCs w:val="24"/>
          <w:highlight w:val="none"/>
        </w:rPr>
        <w:t xml:space="preserve">证书原件扫描件、由社保机构出具的2024年</w:t>
      </w:r>
      <w:r>
        <w:rPr>
          <w:rFonts w:hint="eastAsia" w:hAnsi="宋体" w:cs="宋体"/>
          <w:sz w:val="24"/>
          <w:szCs w:val="24"/>
          <w:highlight w:val="none"/>
          <w:lang w:val="en-US" w:eastAsia="zh-CN"/>
        </w:rPr>
        <w:t xml:space="preserve">10</w:t>
      </w:r>
      <w:r>
        <w:rPr>
          <w:rFonts w:hint="eastAsia" w:hAnsi="宋体" w:cs="宋体"/>
          <w:sz w:val="24"/>
          <w:szCs w:val="24"/>
          <w:highlight w:val="none"/>
        </w:rPr>
        <w:t xml:space="preserve">月至2024年</w:t>
      </w:r>
      <w:r>
        <w:rPr>
          <w:rFonts w:hint="eastAsia" w:hAnsi="宋体" w:cs="宋体"/>
          <w:sz w:val="24"/>
          <w:szCs w:val="24"/>
          <w:highlight w:val="none"/>
          <w:lang w:val="en-US" w:eastAsia="zh-CN"/>
        </w:rPr>
        <w:t xml:space="preserve">12</w:t>
      </w:r>
      <w:r>
        <w:rPr>
          <w:rFonts w:hint="eastAsia" w:hAnsi="宋体" w:cs="宋体"/>
          <w:sz w:val="24"/>
          <w:szCs w:val="24"/>
          <w:highlight w:val="none"/>
        </w:rPr>
        <w:t xml:space="preserve">月连续的缴费证明（原件扫描件或含有县(区)级及以上社保部门电子签章或带二维码</w:t>
      </w:r>
      <w:r>
        <w:rPr>
          <w:rFonts w:hint="eastAsia" w:hAnsi="宋体" w:cs="宋体"/>
          <w:sz w:val="24"/>
          <w:szCs w:val="24"/>
        </w:rPr>
        <w:t xml:space="preserve">验证的打印件）扫描件上传至系统中并电子签章，不提供或提供不全者本项不得分。</w:t>
      </w:r>
      <w:r>
        <w:rPr>
          <w:rFonts w:hint="eastAsia" w:ascii="宋体" w:hAnsi="宋体"/>
          <w:sz w:val="24"/>
          <w:szCs w:val="24"/>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hAnsi="宋体" w:cs="宋体"/>
          <w:sz w:val="24"/>
          <w:szCs w:val="24"/>
        </w:rPr>
      </w:r>
      <w:r/>
    </w:p>
    <w:p>
      <w:pPr>
        <w:pStyle w:val="1362"/>
        <w:ind w:firstLine="480"/>
        <w:spacing w:line="360" w:lineRule="auto"/>
        <w:rPr>
          <w:rFonts w:hint="eastAsia" w:ascii="宋体" w:hAnsi="宋体" w:cs="宋体"/>
          <w:b/>
          <w:bCs/>
          <w:sz w:val="24"/>
          <w:highlight w:val="none"/>
        </w:rPr>
      </w:pPr>
      <w:r>
        <w:rPr>
          <w:rFonts w:hint="eastAsia" w:ascii="宋体" w:hAnsi="宋体" w:cs="宋体"/>
          <w:b/>
          <w:bCs/>
          <w:sz w:val="24"/>
          <w:lang w:val="en-US" w:eastAsia="zh-CN"/>
        </w:rPr>
        <w:t xml:space="preserve">5</w:t>
      </w:r>
      <w:r>
        <w:rPr>
          <w:rFonts w:hint="eastAsia" w:ascii="宋体" w:hAnsi="宋体" w:cs="宋体"/>
          <w:b/>
          <w:bCs/>
          <w:sz w:val="24"/>
        </w:rPr>
        <w:t xml:space="preserve">、</w:t>
      </w:r>
      <w:r>
        <w:rPr>
          <w:rFonts w:hint="eastAsia" w:ascii="宋体" w:hAnsi="宋体" w:cs="宋体"/>
          <w:b/>
          <w:bCs/>
          <w:sz w:val="24"/>
          <w:lang w:eastAsia="zh-CN"/>
        </w:rPr>
        <w:t xml:space="preserve">服务</w:t>
      </w:r>
      <w:r>
        <w:rPr>
          <w:rFonts w:hint="eastAsia" w:ascii="宋体" w:hAnsi="宋体" w:cs="宋体"/>
          <w:b/>
          <w:bCs/>
          <w:sz w:val="24"/>
          <w:lang w:val="en-US" w:eastAsia="zh-CN"/>
        </w:rPr>
        <w:t xml:space="preserve">方案</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60</w:t>
      </w:r>
      <w:r>
        <w:rPr>
          <w:rFonts w:hint="eastAsia" w:ascii="宋体" w:hAnsi="宋体" w:cs="宋体"/>
          <w:b/>
          <w:bCs/>
          <w:sz w:val="24"/>
          <w:highlight w:val="none"/>
        </w:rPr>
        <w:t xml:space="preserve">分）</w:t>
      </w:r>
      <w:r>
        <w:rPr>
          <w:rFonts w:hint="eastAsia" w:ascii="宋体" w:hAnsi="宋体" w:cs="宋体"/>
          <w:b/>
          <w:bCs/>
          <w:sz w:val="24"/>
          <w:highlight w:val="none"/>
        </w:rPr>
      </w:r>
      <w:r/>
    </w:p>
    <w:p>
      <w:pPr>
        <w:pStyle w:val="1289"/>
        <w:ind w:left="42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1）绿化养护作业方案16分</w:t>
      </w:r>
      <w:r>
        <w:rPr>
          <w:rFonts w:ascii="宋体" w:hAnsi="宋体" w:cs="宋体"/>
          <w:b/>
          <w:bCs/>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绿化养护作业方案包括：</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①养护计划、作业规范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②养护管理制度和养护管理档案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③专项养护方案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cs="宋体"/>
          <w:sz w:val="24"/>
          <w:szCs w:val="24"/>
        </w:rPr>
        <w:t xml:space="preserve">④园林绿化废弃物处置方案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16分。</w:t>
      </w:r>
      <w:r>
        <w:rPr>
          <w:rFonts w:ascii="宋体" w:hAnsi="宋体" w:cs="宋体"/>
          <w:sz w:val="24"/>
          <w:szCs w:val="24"/>
        </w:rPr>
      </w:r>
      <w:r/>
    </w:p>
    <w:p>
      <w:pPr>
        <w:pStyle w:val="1289"/>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2）本项目实施的重点难点及解决方案7分</w:t>
      </w:r>
      <w:r>
        <w:rPr>
          <w:rFonts w:ascii="宋体" w:hAnsi="宋体" w:cs="宋体"/>
          <w:b/>
          <w:bCs/>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本项目实施的重点难点及解决方案包括：</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①本项目重难点分析及解决方案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3.5分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cs="宋体"/>
          <w:sz w:val="24"/>
          <w:szCs w:val="24"/>
        </w:rPr>
        <w:t xml:space="preserve">②本项目重点路段人员保障、技术保障方案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3.5分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3.5分；以上内容存在1处瑕疵的该条得2分；以上内容存在2处瑕疵的该条得1分；未进行阐述或不满足采购需求或内容存在3处及以上瑕疵的该条得0分；本项最高得7分。</w:t>
      </w:r>
      <w:r>
        <w:rPr>
          <w:rFonts w:ascii="宋体" w:hAnsi="宋体" w:cs="宋体"/>
          <w:sz w:val="24"/>
          <w:szCs w:val="24"/>
        </w:rPr>
      </w:r>
      <w:r/>
    </w:p>
    <w:p>
      <w:pPr>
        <w:pStyle w:val="1289"/>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3）精细化管理提升方案12分</w:t>
      </w:r>
      <w:r>
        <w:rPr>
          <w:rFonts w:ascii="宋体" w:hAnsi="宋体" w:cs="宋体"/>
          <w:b/>
          <w:bCs/>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精细化管理提升方案包括：</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①提升原则</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②提升目标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③提升方法</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cs="宋体"/>
          <w:sz w:val="24"/>
          <w:szCs w:val="24"/>
        </w:rPr>
        <w:t xml:space="preserve">④实施步骤</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rPr>
          <w:rFonts w:ascii="宋体" w:hAnsi="宋体" w:cs="宋体"/>
          <w:sz w:val="24"/>
          <w:szCs w:val="24"/>
        </w:rPr>
      </w:r>
      <w:r/>
    </w:p>
    <w:p>
      <w:pPr>
        <w:pStyle w:val="1289"/>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4）安全文明保障措施方案9分</w:t>
      </w:r>
      <w:r>
        <w:rPr>
          <w:rFonts w:ascii="宋体" w:hAnsi="宋体" w:cs="宋体"/>
          <w:b/>
          <w:bCs/>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安全文明保障措施方案包括：</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①安全养护指导思想</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②各类安全防护措施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cs="宋体"/>
          <w:sz w:val="24"/>
          <w:szCs w:val="24"/>
        </w:rPr>
        <w:t xml:space="preserve">③安全文明制度、安全教育制度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289"/>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5）快速保障应急措施方案4分</w:t>
      </w:r>
      <w:r>
        <w:rPr>
          <w:rFonts w:ascii="宋体" w:hAnsi="宋体" w:cs="宋体"/>
          <w:b/>
          <w:bCs/>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快速保障应急措施方案包括：</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①灾害性天气（防汛、防冻、防雪）、养护防护应急措施、交通应急措施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left="478" w:firstLine="64"/>
        <w:spacing w:line="360" w:lineRule="auto"/>
        <w:rPr>
          <w:rFonts w:ascii="宋体" w:hAnsi="宋体" w:cs="宋体"/>
          <w:sz w:val="24"/>
          <w:szCs w:val="24"/>
        </w:rPr>
      </w:pPr>
      <w:r>
        <w:rPr>
          <w:rFonts w:hint="eastAsia" w:ascii="宋体" w:hAnsi="宋体" w:cs="宋体"/>
          <w:sz w:val="24"/>
          <w:szCs w:val="24"/>
        </w:rPr>
        <w:t xml:space="preserve">②重大活动、各类创建活动、重大事故的快速处理预案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ascii="宋体" w:hAnsi="宋体" w:cs="宋体"/>
          <w:sz w:val="24"/>
          <w:szCs w:val="24"/>
        </w:rPr>
      </w:r>
      <w:r/>
    </w:p>
    <w:p>
      <w:pPr>
        <w:pStyle w:val="1289"/>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6）养护管理制度和养护台账管理方案8分</w:t>
      </w:r>
      <w:r>
        <w:rPr>
          <w:rFonts w:ascii="宋体" w:hAnsi="宋体" w:cs="宋体"/>
          <w:b/>
          <w:bCs/>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养护管理制度和养护台账管理方案包括：</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①公司管理体系</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②养护管理制度及考核制度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③日常养护管理方案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spacing w:line="360" w:lineRule="auto"/>
        <w:rPr>
          <w:rFonts w:ascii="宋体" w:hAnsi="宋体" w:cs="宋体"/>
          <w:sz w:val="24"/>
          <w:szCs w:val="24"/>
        </w:rPr>
      </w:pPr>
      <w:r>
        <w:rPr>
          <w:rFonts w:hint="eastAsia" w:ascii="宋体" w:hAnsi="宋体" w:cs="宋体"/>
          <w:sz w:val="24"/>
          <w:szCs w:val="24"/>
        </w:rPr>
        <w:t xml:space="preserve">④养护台账管理体系</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rPr>
          <w:rFonts w:hint="eastAsia" w:ascii="宋体" w:hAnsi="宋体" w:eastAsia="宋体" w:cs="宋体"/>
          <w:bCs/>
          <w:color w:val="000000"/>
          <w:sz w:val="24"/>
          <w:szCs w:val="24"/>
          <w:highlight w:val="none"/>
          <w:lang w:val="en-US" w:eastAsia="zh-CN"/>
        </w:rPr>
      </w:r>
      <w:r/>
    </w:p>
    <w:p>
      <w:pPr>
        <w:pStyle w:val="1289"/>
        <w:ind w:firstLine="480"/>
        <w:spacing w:line="360" w:lineRule="auto"/>
        <w:rPr>
          <w:rFonts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7）常见病害养护技术方案4分</w:t>
      </w:r>
      <w:r>
        <w:rPr>
          <w:rFonts w:ascii="宋体" w:hAnsi="宋体" w:cs="宋体"/>
          <w:b/>
          <w:bCs/>
          <w:sz w:val="24"/>
          <w:szCs w:val="24"/>
        </w:rPr>
      </w:r>
      <w:r/>
    </w:p>
    <w:p>
      <w:pPr>
        <w:pStyle w:val="1289"/>
        <w:ind w:firstLine="480"/>
        <w:jc w:val="left"/>
        <w:spacing w:line="360" w:lineRule="auto"/>
        <w:rPr>
          <w:rFonts w:hint="eastAsia" w:ascii="宋体" w:hAnsi="宋体" w:cs="宋体"/>
          <w:sz w:val="24"/>
          <w:szCs w:val="24"/>
        </w:rPr>
      </w:pPr>
      <w:r>
        <w:rPr>
          <w:rFonts w:hint="eastAsia" w:ascii="宋体" w:hAnsi="宋体" w:cs="宋体"/>
          <w:sz w:val="24"/>
          <w:szCs w:val="24"/>
        </w:rPr>
        <w:t xml:space="preserve">常见病害养护技术方案包括：</w:t>
      </w:r>
      <w:r>
        <w:rPr>
          <w:rFonts w:hint="eastAsia" w:ascii="宋体" w:hAnsi="宋体" w:cs="宋体"/>
          <w:sz w:val="24"/>
          <w:szCs w:val="24"/>
        </w:rPr>
      </w:r>
      <w:r/>
    </w:p>
    <w:p>
      <w:pPr>
        <w:pStyle w:val="1289"/>
        <w:ind w:firstLine="480"/>
        <w:jc w:val="left"/>
        <w:spacing w:line="360" w:lineRule="auto"/>
        <w:rPr>
          <w:rFonts w:hint="eastAsia" w:ascii="宋体" w:hAnsi="宋体" w:cs="宋体"/>
          <w:sz w:val="24"/>
          <w:szCs w:val="24"/>
        </w:rPr>
      </w:pPr>
      <w:r>
        <w:rPr>
          <w:rFonts w:hint="eastAsia" w:ascii="宋体" w:hAnsi="宋体" w:cs="宋体"/>
          <w:sz w:val="24"/>
          <w:szCs w:val="24"/>
        </w:rPr>
        <w:t xml:space="preserve">①常见病害分析阐述</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rPr>
      </w:r>
      <w:r/>
    </w:p>
    <w:p>
      <w:pPr>
        <w:pStyle w:val="1289"/>
        <w:ind w:firstLine="480"/>
        <w:jc w:val="left"/>
        <w:spacing w:line="360" w:lineRule="auto"/>
        <w:rPr>
          <w:rFonts w:ascii="宋体" w:hAnsi="宋体" w:cs="宋体"/>
          <w:sz w:val="24"/>
          <w:szCs w:val="24"/>
        </w:rPr>
      </w:pPr>
      <w:r>
        <w:rPr>
          <w:rFonts w:hint="eastAsia" w:ascii="宋体" w:hAnsi="宋体" w:cs="宋体"/>
          <w:sz w:val="24"/>
          <w:szCs w:val="24"/>
        </w:rPr>
        <w:t xml:space="preserve">②常见病害对应解决方案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2分</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1289"/>
        <w:ind w:firstLine="480"/>
        <w:jc w:val="left"/>
        <w:spacing w:line="360" w:lineRule="auto"/>
        <w:rPr>
          <w:rFonts w:ascii="宋体" w:hAnsi="宋体" w:cs="宋体"/>
          <w:sz w:val="24"/>
          <w:szCs w:val="24"/>
        </w:rPr>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ascii="宋体" w:hAnsi="宋体" w:cs="宋体"/>
          <w:sz w:val="24"/>
          <w:szCs w:val="24"/>
        </w:rPr>
      </w:r>
      <w:r/>
    </w:p>
    <w:p>
      <w:pPr>
        <w:pStyle w:val="1289"/>
        <w:ind w:firstLine="480"/>
        <w:jc w:val="left"/>
        <w:spacing w:line="360" w:lineRule="auto"/>
        <w:tabs>
          <w:tab w:val="left" w:pos="945" w:leader="none"/>
          <w:tab w:val="left" w:pos="1155" w:leader="none"/>
        </w:tabs>
        <w:rPr>
          <w:rFonts w:hint="eastAsia" w:ascii="宋体" w:hAnsi="宋体" w:cs="宋体"/>
          <w:bCs/>
          <w:color w:val="000000"/>
          <w:sz w:val="24"/>
          <w:szCs w:val="24"/>
        </w:rPr>
      </w:pPr>
      <w:r>
        <w:rPr>
          <w:rFonts w:hint="eastAsia" w:ascii="宋体" w:hAnsi="宋体" w:eastAsia="宋体" w:cs="宋体"/>
          <w:b/>
          <w:bCs w:val="0"/>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Cs/>
          <w:color w:val="000000"/>
          <w:sz w:val="24"/>
          <w:szCs w:val="24"/>
        </w:rPr>
      </w:r>
      <w:r/>
    </w:p>
    <w:p>
      <w:pPr>
        <w:pStyle w:val="1289"/>
        <w:ind w:firstLine="480"/>
        <w:jc w:val="left"/>
        <w:spacing w:line="360" w:lineRule="auto"/>
        <w:tabs>
          <w:tab w:val="left" w:pos="945" w:leader="none"/>
          <w:tab w:val="left" w:pos="1155" w:leader="none"/>
        </w:tabs>
        <w:rPr>
          <w:rFonts w:ascii="宋体" w:hAnsi="宋体" w:cs="宋体"/>
          <w:b/>
          <w:bCs w:val="0"/>
          <w:color w:val="000000"/>
          <w:sz w:val="24"/>
          <w:szCs w:val="24"/>
        </w:rPr>
      </w:pPr>
      <w:r>
        <w:rPr>
          <w:rFonts w:hint="eastAsia" w:ascii="宋体" w:hAnsi="宋体" w:cs="宋体"/>
          <w:b/>
          <w:bCs w:val="0"/>
          <w:color w:val="000000"/>
          <w:sz w:val="24"/>
          <w:szCs w:val="24"/>
        </w:rPr>
        <w:t xml:space="preserve">技术标评委在5人及5人以上的，取所有成员的平均值。评分办法及评分细则的解释权属采购人。未列入本评分细则的其他条件不作为评分内容。</w:t>
      </w:r>
      <w:r>
        <w:rPr>
          <w:rFonts w:ascii="宋体" w:hAnsi="宋体" w:cs="宋体"/>
          <w:b/>
          <w:bCs w:val="0"/>
          <w:color w:val="000000"/>
          <w:sz w:val="24"/>
          <w:szCs w:val="24"/>
        </w:rPr>
      </w:r>
      <w:r/>
    </w:p>
    <w:p>
      <w:pPr>
        <w:pStyle w:val="1289"/>
        <w:ind w:firstLine="480"/>
        <w:jc w:val="left"/>
        <w:spacing w:line="360" w:lineRule="auto"/>
        <w:tabs>
          <w:tab w:val="left" w:pos="945" w:leader="none"/>
          <w:tab w:val="left" w:pos="1155" w:leader="none"/>
        </w:tabs>
        <w:rPr>
          <w:rFonts w:ascii="宋体" w:hAnsi="宋体" w:cs="宋体"/>
          <w:b/>
          <w:color w:val="000000"/>
          <w:sz w:val="24"/>
          <w:szCs w:val="24"/>
        </w:rPr>
      </w:pPr>
      <w:r>
        <w:rPr>
          <w:rFonts w:hint="eastAsia" w:ascii="宋体" w:hAnsi="宋体" w:cs="宋体"/>
          <w:b/>
          <w:color w:val="000000"/>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rFonts w:ascii="宋体" w:hAnsi="宋体" w:cs="宋体"/>
          <w:b/>
          <w:color w:val="000000"/>
          <w:sz w:val="24"/>
          <w:szCs w:val="24"/>
        </w:rPr>
      </w:r>
      <w:r/>
    </w:p>
    <w:p>
      <w:pPr>
        <w:pStyle w:val="1289"/>
      </w:pPr>
      <w:r/>
      <w:r/>
    </w:p>
    <w:p>
      <w:pPr>
        <w:pStyle w:val="1289"/>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28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28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289"/>
        <w:rPr>
          <w:rFonts w:ascii="黑体" w:eastAsia="黑体"/>
          <w:bCs/>
          <w:color w:val="000000"/>
          <w:sz w:val="32"/>
          <w:highlight w:val="none"/>
        </w:rPr>
        <w:outlineLvl w:val="9"/>
      </w:pPr>
      <w:r>
        <w:rPr>
          <w:rFonts w:ascii="黑体" w:eastAsia="黑体"/>
          <w:bCs/>
          <w:color w:val="000000"/>
          <w:sz w:val="32"/>
          <w:highlight w:val="none"/>
        </w:rPr>
      </w:r>
      <w:r/>
    </w:p>
    <w:p>
      <w:pPr>
        <w:pStyle w:val="1289"/>
        <w:rPr>
          <w:rFonts w:ascii="黑体" w:eastAsia="黑体"/>
          <w:bCs/>
          <w:color w:val="000000"/>
          <w:sz w:val="32"/>
          <w:highlight w:val="none"/>
        </w:rPr>
        <w:outlineLvl w:val="9"/>
      </w:pPr>
      <w:r>
        <w:rPr>
          <w:rFonts w:ascii="黑体" w:eastAsia="黑体"/>
          <w:bCs/>
          <w:color w:val="000000"/>
          <w:sz w:val="3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28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28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322"/>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289"/>
        <w:rPr>
          <w:rFonts w:hint="eastAsia" w:ascii="宋体" w:hAnsi="宋体" w:cs="宋体"/>
          <w:color w:val="000000"/>
          <w:highlight w:val="none"/>
        </w:rPr>
        <w:outlineLvl w:val="9"/>
      </w:pPr>
      <w:r>
        <w:rPr>
          <w:rFonts w:hint="eastAsia" w:ascii="宋体" w:hAnsi="宋体" w:cs="宋体"/>
          <w:color w:val="000000"/>
          <w:highlight w:val="none"/>
        </w:rPr>
      </w:r>
      <w:r/>
    </w:p>
    <w:p>
      <w:pPr>
        <w:pStyle w:val="1289"/>
        <w:spacing w:line="360" w:lineRule="auto"/>
        <w:rPr>
          <w:rFonts w:hint="eastAsia" w:ascii="宋体" w:hAnsi="宋体" w:eastAsia="宋体" w:cs="宋体"/>
          <w:bCs/>
          <w:color w:val="000000"/>
          <w:sz w:val="30"/>
          <w:szCs w:val="30"/>
          <w:highlight w:val="yellow"/>
          <w:lang w:eastAsia="zh-CN"/>
        </w:rPr>
        <w:outlineLvl w:val="9"/>
      </w:pPr>
      <w:r/>
      <w:bookmarkStart w:id="35" w:name="_Toc31708"/>
      <w:r/>
      <w:bookmarkStart w:id="36" w:name="_Toc3725"/>
      <w:r>
        <w:rPr>
          <w:rFonts w:hint="eastAsia" w:ascii="宋体" w:hAnsi="宋体" w:cs="宋体"/>
          <w:bCs/>
          <w:color w:val="000000"/>
          <w:sz w:val="30"/>
          <w:szCs w:val="30"/>
          <w:highlight w:val="none"/>
        </w:rPr>
        <w:t xml:space="preserve">采购项目编号：</w:t>
      </w:r>
      <w:bookmarkEnd w:id="35"/>
      <w:r/>
      <w:bookmarkEnd w:id="36"/>
      <w:r>
        <w:rPr>
          <w:rFonts w:hint="eastAsia" w:ascii="宋体" w:hAnsi="宋体" w:eastAsia="宋体" w:cs="宋体"/>
          <w:bCs/>
          <w:color w:val="000000"/>
          <w:sz w:val="30"/>
          <w:szCs w:val="30"/>
          <w:highlight w:val="yellow"/>
          <w:lang w:eastAsia="zh-CN"/>
        </w:rPr>
      </w:r>
      <w:r/>
    </w:p>
    <w:p>
      <w:pPr>
        <w:pStyle w:val="1289"/>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rPr>
      </w:r>
      <w:r/>
    </w:p>
    <w:p>
      <w:pPr>
        <w:pStyle w:val="128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28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289"/>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7" w:name="一．报价函（格式）"/>
      <w:r/>
      <w:bookmarkEnd w:id="37"/>
      <w:r>
        <w:rPr>
          <w:rFonts w:hint="eastAsia" w:ascii="宋体" w:hAnsi="宋体" w:cs="宋体"/>
          <w:bCs/>
          <w:color w:val="000000"/>
          <w:sz w:val="28"/>
          <w:szCs w:val="28"/>
          <w:highlight w:val="none"/>
        </w:rPr>
      </w:r>
      <w:r/>
    </w:p>
    <w:p>
      <w:pPr>
        <w:pStyle w:val="1289"/>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289"/>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289"/>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289"/>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289"/>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289"/>
        <w:numPr>
          <w:ilvl w:val="0"/>
          <w:numId w:val="7"/>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43"/>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343"/>
          <w:rFonts w:hint="eastAsia"/>
          <w:bCs/>
          <w:color w:val="000000"/>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289"/>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289"/>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center"/>
        <w:rPr>
          <w:rFonts w:hint="eastAsia" w:ascii="宋体" w:hAnsi="宋体" w:cs="宋体"/>
          <w:bCs/>
          <w:color w:val="000000"/>
          <w:sz w:val="24"/>
          <w:szCs w:val="24"/>
          <w:highlight w:val="none"/>
        </w:rPr>
        <w:outlineLvl w:val="9"/>
      </w:pPr>
      <w:r/>
      <w:bookmarkStart w:id="38" w:name="报价方关于资格的声明函（格式）"/>
      <w:r/>
      <w:bookmarkEnd w:id="38"/>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289"/>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289"/>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28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13"/>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宋体"/>
          <w:bCs/>
          <w:color w:val="000000"/>
          <w:sz w:val="24"/>
          <w:szCs w:val="24"/>
          <w:highlight w:val="none"/>
          <w:lang w:eastAsia="zh-CN"/>
        </w:rPr>
        <w:t xml:space="preserve">〔2022〕3号</w:t>
      </w:r>
      <w:r>
        <w:rPr>
          <w:rFonts w:hint="eastAsia" w:ascii="宋体" w:hAnsi="宋体" w:cs="宋体"/>
          <w:bCs/>
          <w:color w:val="000000"/>
          <w:sz w:val="24"/>
          <w:szCs w:val="24"/>
          <w:highlight w:val="none"/>
        </w:rPr>
        <w:t xml:space="preserve">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28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9" w:name="_Toc2444"/>
      <w:r/>
      <w:bookmarkStart w:id="40" w:name="_Toc32348"/>
      <w:r>
        <w:rPr>
          <w:rFonts w:hint="eastAsia" w:ascii="宋体" w:hAnsi="宋体" w:cs="宋体"/>
          <w:bCs/>
          <w:color w:val="000000"/>
          <w:sz w:val="24"/>
          <w:szCs w:val="24"/>
          <w:highlight w:val="none"/>
        </w:rPr>
      </w:r>
      <w:r/>
    </w:p>
    <w:p>
      <w:pPr>
        <w:pStyle w:val="1289"/>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39"/>
      <w:r/>
      <w:bookmarkEnd w:id="40"/>
      <w:r>
        <w:rPr>
          <w:rFonts w:hint="eastAsia" w:ascii="宋体" w:hAnsi="宋体" w:cs="宋体"/>
          <w:bCs/>
          <w:color w:val="000000"/>
          <w:sz w:val="24"/>
          <w:szCs w:val="24"/>
          <w:highlight w:val="none"/>
        </w:rPr>
      </w:r>
      <w:r/>
    </w:p>
    <w:p>
      <w:pPr>
        <w:pStyle w:val="1289"/>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289"/>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289"/>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289"/>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rPr>
        <w:t xml:space="preserve">扫描件：</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rPr>
        <w:t xml:space="preserve">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289"/>
        <w:jc w:val="center"/>
        <w:spacing w:line="360" w:lineRule="auto"/>
        <w:rPr>
          <w:rFonts w:ascii="宋体" w:hAnsi="宋体"/>
          <w:b/>
          <w:sz w:val="28"/>
          <w:szCs w:val="28"/>
          <w:highlight w:val="none"/>
        </w:rPr>
      </w:pPr>
      <w:r>
        <w:rPr>
          <w:rFonts w:ascii="宋体" w:hAnsi="宋体"/>
          <w:b/>
          <w:sz w:val="28"/>
          <w:szCs w:val="28"/>
          <w:highlight w:val="none"/>
        </w:rPr>
      </w:r>
      <w:r/>
    </w:p>
    <w:p>
      <w:pPr>
        <w:pStyle w:val="1289"/>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289"/>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289"/>
        <w:ind w:firstLine="612"/>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89"/>
        <w:ind w:firstLine="610"/>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89"/>
        <w:ind w:firstLine="610"/>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289"/>
        <w:ind w:firstLine="610"/>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89"/>
        <w:ind w:firstLine="610"/>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89"/>
        <w:ind w:firstLine="610"/>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289"/>
        <w:ind w:firstLine="610"/>
        <w:spacing w:line="360" w:lineRule="auto"/>
        <w:rPr>
          <w:rFonts w:ascii="宋体" w:hAnsi="宋体"/>
          <w:sz w:val="24"/>
          <w:szCs w:val="24"/>
          <w:highlight w:val="none"/>
        </w:rPr>
      </w:pPr>
      <w:r>
        <w:rPr>
          <w:rFonts w:ascii="宋体" w:hAnsi="宋体"/>
          <w:sz w:val="24"/>
          <w:szCs w:val="24"/>
          <w:highlight w:val="none"/>
        </w:rPr>
      </w:r>
      <w:r/>
    </w:p>
    <w:p>
      <w:pPr>
        <w:pStyle w:val="1289"/>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289"/>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289"/>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w:t>
      </w:r>
      <w:r>
        <w:rPr>
          <w:rFonts w:hint="eastAsia" w:ascii="宋体" w:hAnsi="宋体" w:cs="宋体"/>
          <w:bCs/>
          <w:color w:val="000000"/>
          <w:sz w:val="24"/>
          <w:szCs w:val="24"/>
          <w:highlight w:val="none"/>
          <w:lang w:val="en-US" w:eastAsia="zh-CN"/>
        </w:rPr>
        <w:t xml:space="preserve">正、反面</w:t>
      </w:r>
      <w:r>
        <w:rPr>
          <w:rFonts w:hint="eastAsia" w:ascii="宋体" w:hAnsi="宋体" w:cs="宋体"/>
          <w:bCs/>
          <w:color w:val="000000"/>
          <w:sz w:val="24"/>
          <w:szCs w:val="24"/>
          <w:highlight w:val="none"/>
        </w:rPr>
        <w:t xml:space="preserve">扫描件：</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bookmarkStart w:id="41" w:name="_Toc7396"/>
      <w:r/>
      <w:bookmarkStart w:id="42" w:name="_Toc1904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1"/>
      <w:r/>
      <w:bookmarkEnd w:id="42"/>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31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289"/>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28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rFonts w:hint="eastAsia" w:ascii="宋体" w:hAnsi="宋体" w:cs="宋体"/>
          <w:bCs/>
          <w:color w:val="000000"/>
          <w:sz w:val="24"/>
          <w:szCs w:val="24"/>
          <w:highlight w:val="none"/>
        </w:rPr>
      </w:r>
      <w:r/>
    </w:p>
    <w:p>
      <w:pPr>
        <w:pStyle w:val="1308"/>
        <w:rPr>
          <w:rFonts w:hint="eastAsia"/>
          <w:color w:val="000000"/>
          <w:highlight w:val="none"/>
        </w:rPr>
        <w:outlineLvl w:val="9"/>
      </w:pPr>
      <w:r>
        <w:rPr>
          <w:rFonts w:hint="eastAsia"/>
          <w:color w:val="000000"/>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采购项目编号：</w:t>
      </w:r>
      <w:r>
        <w:rPr>
          <w:rFonts w:hint="eastAsia" w:ascii="宋体" w:hAnsi="宋体" w:cs="宋体"/>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308"/>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5374" w:type="dxa"/>
            <w:vAlign w:val="center"/>
            <w:textDirection w:val="lrTb"/>
            <w:noWrap w:val="false"/>
          </w:tcPr>
          <w:p>
            <w:pPr>
              <w:pStyle w:val="1308"/>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rFonts w:hint="eastAsia" w:ascii="宋体" w:hAnsi="宋体" w:cs="宋体"/>
                <w:color w:val="000000"/>
                <w:sz w:val="24"/>
                <w:szCs w:val="24"/>
                <w:highlight w:val="none"/>
              </w:rPr>
            </w:r>
            <w:r/>
          </w:p>
        </w:tc>
        <w:tc>
          <w:tcPr>
            <w:tcW w:w="5374" w:type="dxa"/>
            <w:vAlign w:val="center"/>
            <w:textDirection w:val="lrTb"/>
            <w:noWrap w:val="false"/>
          </w:tcPr>
          <w:p>
            <w:pPr>
              <w:pStyle w:val="1289"/>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8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rPr>
                <w:rFonts w:hint="eastAsia" w:ascii="宋体" w:hAnsi="宋体" w:cs="宋体"/>
                <w:color w:val="000000"/>
                <w:sz w:val="24"/>
                <w:szCs w:val="24"/>
                <w:highlight w:val="none"/>
              </w:rPr>
            </w:r>
            <w:r/>
          </w:p>
        </w:tc>
        <w:tc>
          <w:tcPr>
            <w:tcW w:w="5374" w:type="dxa"/>
            <w:vAlign w:val="center"/>
            <w:textDirection w:val="lrTb"/>
            <w:noWrap w:val="false"/>
          </w:tcPr>
          <w:p>
            <w:pPr>
              <w:pStyle w:val="128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bCs/>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eastAsia="zh-CN"/>
              </w:rPr>
            </w:r>
            <w:r/>
          </w:p>
        </w:tc>
        <w:tc>
          <w:tcPr>
            <w:tcW w:w="5374" w:type="dxa"/>
            <w:vAlign w:val="center"/>
            <w:textDirection w:val="lrTb"/>
            <w:noWrap w:val="false"/>
          </w:tcPr>
          <w:p>
            <w:pPr>
              <w:pStyle w:val="128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289"/>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366"/>
        <w:ind w:firstLine="0"/>
        <w:rPr>
          <w:rFonts w:hint="eastAsia" w:ascii="宋体" w:hAnsi="宋体" w:cs="宋体"/>
          <w:color w:val="000000"/>
          <w:highlight w:val="none"/>
        </w:rPr>
        <w:outlineLvl w:val="9"/>
      </w:pPr>
      <w:r>
        <w:rPr>
          <w:rFonts w:hint="eastAsia" w:ascii="宋体" w:hAnsi="宋体" w:cs="宋体"/>
          <w:color w:val="000000"/>
          <w:highlight w:val="none"/>
        </w:rPr>
      </w:r>
      <w:r/>
    </w:p>
    <w:p>
      <w:pPr>
        <w:pStyle w:val="1289"/>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289"/>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）报价明细表（格式自拟）：</w:t>
      </w:r>
      <w:r>
        <w:rPr>
          <w:rFonts w:hint="eastAsia" w:ascii="宋体" w:hAnsi="宋体" w:eastAsia="宋体" w:cs="宋体"/>
          <w:b/>
          <w:color w:val="000000"/>
          <w:sz w:val="24"/>
          <w:szCs w:val="24"/>
          <w:highlight w:val="none"/>
          <w:lang w:eastAsia="zh-CN"/>
        </w:rPr>
      </w:r>
      <w:r/>
    </w:p>
    <w:p>
      <w:pPr>
        <w:pStyle w:val="1289"/>
        <w:ind w:firstLine="560"/>
        <w:jc w:val="center"/>
        <w:spacing w:line="48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t xml:space="preserve">报价明细表</w:t>
      </w:r>
      <w:r>
        <w:rPr>
          <w:rFonts w:hint="eastAsia" w:ascii="宋体" w:hAnsi="宋体" w:eastAsia="宋体" w:cs="宋体"/>
          <w:bCs/>
          <w:color w:val="000000"/>
          <w:sz w:val="28"/>
          <w:szCs w:val="28"/>
          <w:highlight w:val="none"/>
        </w:rPr>
      </w:r>
      <w:r/>
    </w:p>
    <w:p>
      <w:pPr>
        <w:pStyle w:val="1289"/>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rPr>
        <w:t xml:space="preserve">项目名称：</w:t>
      </w:r>
      <w:r>
        <w:rPr>
          <w:rFonts w:hint="eastAsia" w:ascii="宋体" w:hAnsi="宋体"/>
          <w:bCs/>
          <w:sz w:val="24"/>
          <w:szCs w:val="24"/>
          <w:lang w:val="en-US" w:eastAsia="zh-CN"/>
        </w:rPr>
        <w:t xml:space="preserve">                                     采购项目编号：</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Cs w:val="21"/>
          <w:highlight w:val="none"/>
        </w:rPr>
      </w:r>
      <w:r/>
    </w:p>
    <w:p>
      <w:pPr>
        <w:pStyle w:val="1322"/>
        <w:tabs>
          <w:tab w:val="center" w:pos="4153" w:leader="none"/>
          <w:tab w:val="right" w:pos="8306" w:leader="none"/>
        </w:tabs>
        <w:rPr>
          <w:rFonts w:hint="eastAsia"/>
        </w:rPr>
      </w:pPr>
      <w:r>
        <w:rPr>
          <w:rFonts w:hint="eastAsia"/>
        </w:rPr>
      </w:r>
      <w:r/>
    </w:p>
    <w:p>
      <w:pPr>
        <w:pStyle w:val="1322"/>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89"/>
        <w:ind w:firstLine="480"/>
        <w:jc w:val="right"/>
        <w:spacing w:line="480" w:lineRule="exact"/>
        <w:rPr>
          <w:rFonts w:hint="eastAsia" w:ascii="宋体" w:hAnsi="宋体" w:eastAsia="宋体" w:cs="宋体"/>
          <w:b/>
          <w:bCs/>
          <w:color w:val="000000"/>
          <w:sz w:val="24"/>
          <w:szCs w:val="24"/>
          <w:highlight w:val="none"/>
        </w:rPr>
        <w:outlineLvl w:val="9"/>
      </w:pPr>
      <w:r/>
      <w:bookmarkStart w:id="43" w:name="_Toc17818"/>
      <w:r/>
      <w:bookmarkStart w:id="44" w:name="_Toc11575"/>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28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28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289"/>
        <w:spacing w:line="480" w:lineRule="auto"/>
        <w:rPr>
          <w:rFonts w:hint="eastAsia"/>
        </w:rPr>
        <w:outlineLvl w:val="9"/>
      </w:pPr>
      <w:r>
        <w:rPr>
          <w:rFonts w:hint="eastAsia" w:ascii="宋体" w:hAnsi="宋体" w:cs="宋体"/>
          <w:b/>
          <w:color w:val="000000"/>
          <w:sz w:val="24"/>
          <w:szCs w:val="24"/>
          <w:highlight w:val="none"/>
        </w:rPr>
        <w:t xml:space="preserve">注：投标供应商应当根据“项目技术要求和有关说明”的内容在详细填写。</w:t>
      </w:r>
      <w:r>
        <w:rPr>
          <w:rFonts w:hint="eastAsia"/>
        </w:rPr>
      </w:r>
      <w:r/>
    </w:p>
    <w:p>
      <w:pPr>
        <w:pStyle w:val="1289"/>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3"/>
      <w:r/>
      <w:bookmarkEnd w:id="44"/>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jc w:val="center"/>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en-US" w:eastAsia="zh-CN"/>
        </w:rPr>
      </w:r>
      <w:r/>
    </w:p>
    <w:p>
      <w:pPr>
        <w:pStyle w:val="1289"/>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289"/>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89"/>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308"/>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289"/>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308"/>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336"/>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336"/>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bookmarkStart w:id="45" w:name="_Toc4377"/>
      <w:r/>
      <w:bookmarkStart w:id="46"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20"/>
        <w:jc w:val="center"/>
        <w:rPr>
          <w:rFonts w:hint="eastAsia" w:ascii="宋体" w:hAnsi="宋体" w:cs="宋体"/>
          <w:bCs/>
          <w:color w:val="000000"/>
          <w:sz w:val="24"/>
          <w:szCs w:val="24"/>
          <w:highlight w:val="none"/>
        </w:rPr>
        <w:outlineLvl w:val="9"/>
      </w:pPr>
      <w:r/>
      <w:bookmarkStart w:id="47" w:name="_Toc25155"/>
      <w:r/>
      <w:bookmarkStart w:id="48" w:name="_Toc27971"/>
      <w:r>
        <w:rPr>
          <w:rFonts w:hint="eastAsia" w:ascii="宋体" w:hAnsi="宋体" w:cs="宋体"/>
          <w:bCs/>
          <w:color w:val="000000"/>
          <w:sz w:val="24"/>
          <w:szCs w:val="24"/>
          <w:highlight w:val="none"/>
        </w:rPr>
        <w:t xml:space="preserve">投标偏离表</w:t>
      </w:r>
      <w:bookmarkEnd w:id="47"/>
      <w:r/>
      <w:bookmarkEnd w:id="48"/>
      <w:r>
        <w:rPr>
          <w:rFonts w:hint="eastAsia" w:ascii="宋体" w:hAnsi="宋体" w:cs="宋体"/>
          <w:bCs/>
          <w:color w:val="000000"/>
          <w:sz w:val="24"/>
          <w:szCs w:val="24"/>
          <w:highlight w:val="none"/>
        </w:rPr>
      </w:r>
      <w:r/>
    </w:p>
    <w:p>
      <w:pPr>
        <w:pStyle w:val="1289"/>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rPr>
          <w:rFonts w:hint="eastAsia" w:ascii="宋体" w:hAnsi="宋体" w:cs="宋体"/>
          <w:bCs/>
          <w:color w:val="000000"/>
          <w:sz w:val="24"/>
          <w:szCs w:val="24"/>
          <w:highlight w:val="none"/>
        </w:rPr>
      </w:r>
      <w:r/>
    </w:p>
    <w:p>
      <w:pPr>
        <w:pStyle w:val="1289"/>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3120"/>
        <w:rPr>
          <w:rFonts w:hint="eastAsia" w:ascii="宋体" w:hAnsi="宋体" w:cs="宋体"/>
          <w:b/>
          <w:bCs/>
          <w:color w:val="000000"/>
          <w:sz w:val="24"/>
          <w:szCs w:val="24"/>
          <w:highlight w:val="none"/>
        </w:rPr>
        <w:outlineLvl w:val="9"/>
      </w:pPr>
      <w:r/>
      <w:bookmarkStart w:id="49" w:name="_Toc24453"/>
      <w:r/>
      <w:bookmarkStart w:id="50" w:name="_Toc31759"/>
      <w:r>
        <w:rPr>
          <w:rFonts w:hint="eastAsia" w:ascii="宋体" w:hAnsi="宋体" w:cs="宋体"/>
          <w:b/>
          <w:bCs/>
          <w:color w:val="000000"/>
          <w:sz w:val="24"/>
          <w:szCs w:val="24"/>
          <w:highlight w:val="none"/>
        </w:rPr>
        <w:t xml:space="preserve">法定代表人或法定代表人授权代表签字或盖章：</w:t>
      </w:r>
      <w:bookmarkEnd w:id="49"/>
      <w:r/>
      <w:bookmarkEnd w:id="50"/>
      <w:r>
        <w:rPr>
          <w:rFonts w:hint="eastAsia" w:ascii="宋体" w:hAnsi="宋体" w:cs="宋体"/>
          <w:b/>
          <w:bCs/>
          <w:color w:val="000000"/>
          <w:sz w:val="24"/>
          <w:szCs w:val="24"/>
          <w:highlight w:val="none"/>
        </w:rPr>
      </w:r>
      <w:r/>
    </w:p>
    <w:p>
      <w:pPr>
        <w:pStyle w:val="1308"/>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bookmarkStart w:id="51" w:name="_Toc2067"/>
      <w:r/>
      <w:bookmarkStart w:id="52" w:name="_Toc8176"/>
      <w:r>
        <w:rPr>
          <w:rFonts w:hint="eastAsia" w:ascii="宋体" w:hAnsi="宋体" w:cs="宋体"/>
          <w:bCs/>
          <w:color w:val="000000"/>
          <w:sz w:val="24"/>
          <w:szCs w:val="24"/>
          <w:highlight w:val="none"/>
        </w:rPr>
        <w:t xml:space="preserve">注：（1）本表不得删除，可自行延长；</w:t>
      </w:r>
      <w:bookmarkEnd w:id="51"/>
      <w:r/>
      <w:bookmarkEnd w:id="52"/>
      <w:r>
        <w:rPr>
          <w:rFonts w:hint="eastAsia" w:ascii="宋体" w:hAnsi="宋体" w:cs="宋体"/>
          <w:bCs/>
          <w:color w:val="000000"/>
          <w:sz w:val="24"/>
          <w:szCs w:val="24"/>
          <w:highlight w:val="none"/>
        </w:rPr>
      </w:r>
      <w:r/>
    </w:p>
    <w:p>
      <w:pPr>
        <w:pStyle w:val="1289"/>
        <w:ind w:left="-214" w:firstLine="720"/>
        <w:rPr>
          <w:rFonts w:hint="eastAsia" w:ascii="宋体" w:hAnsi="宋体" w:cs="宋体"/>
          <w:bCs/>
          <w:color w:val="000000"/>
          <w:sz w:val="24"/>
          <w:szCs w:val="24"/>
          <w:highlight w:val="none"/>
        </w:rPr>
        <w:outlineLvl w:val="9"/>
      </w:pPr>
      <w:r/>
      <w:bookmarkStart w:id="53" w:name="_Toc511"/>
      <w:r/>
      <w:bookmarkStart w:id="54" w:name="_Toc22220"/>
      <w:r>
        <w:rPr>
          <w:rFonts w:hint="eastAsia" w:ascii="宋体" w:hAnsi="宋体" w:cs="宋体"/>
          <w:bCs/>
          <w:color w:val="000000"/>
          <w:sz w:val="24"/>
          <w:szCs w:val="24"/>
          <w:highlight w:val="none"/>
        </w:rPr>
        <w:t xml:space="preserve">（2）如无任何服务偏离，请于本表“偏离说明”中注明“无偏离”；</w:t>
      </w:r>
      <w:bookmarkEnd w:id="53"/>
      <w:r/>
      <w:bookmarkEnd w:id="54"/>
      <w:r>
        <w:rPr>
          <w:rFonts w:hint="eastAsia" w:ascii="宋体" w:hAnsi="宋体" w:cs="宋体"/>
          <w:bCs/>
          <w:color w:val="000000"/>
          <w:sz w:val="24"/>
          <w:szCs w:val="24"/>
          <w:highlight w:val="none"/>
        </w:rPr>
      </w:r>
      <w:r/>
    </w:p>
    <w:p>
      <w:pPr>
        <w:pStyle w:val="1289"/>
        <w:ind w:firstLine="480"/>
        <w:rPr>
          <w:rFonts w:hint="eastAsia" w:ascii="宋体" w:hAnsi="宋体" w:cs="宋体"/>
          <w:bCs/>
          <w:color w:val="000000"/>
          <w:sz w:val="24"/>
          <w:szCs w:val="24"/>
          <w:highlight w:val="none"/>
        </w:rPr>
        <w:outlineLvl w:val="9"/>
      </w:pPr>
      <w:r/>
      <w:bookmarkStart w:id="55" w:name="_Toc9412"/>
      <w:r/>
      <w:bookmarkStart w:id="56"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5"/>
      <w:r/>
      <w:bookmarkEnd w:id="56"/>
      <w:r>
        <w:rPr>
          <w:rFonts w:hint="eastAsia" w:ascii="宋体" w:hAnsi="宋体" w:cs="宋体"/>
          <w:bCs/>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289"/>
        <w:spacing w:line="400" w:lineRule="exact"/>
        <w:rPr>
          <w:rFonts w:hint="eastAsia" w:eastAsia="宋体"/>
          <w:highlight w:val="none"/>
          <w:lang w:eastAsia="zh-CN"/>
        </w:rPr>
        <w:outlineLvl w:val="9"/>
      </w:pPr>
      <w:r>
        <w:rPr>
          <w:rFonts w:hint="eastAsia" w:ascii="宋体" w:hAnsi="宋体"/>
          <w:bCs/>
          <w:sz w:val="24"/>
          <w:szCs w:val="24"/>
          <w:highlight w:val="none"/>
        </w:rPr>
        <w:t xml:space="preserve">供应商名称（盖章）                        </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w:t>
      </w:r>
      <w:r>
        <w:rPr>
          <w:rFonts w:hint="eastAsia" w:eastAsia="宋体"/>
          <w:highlight w:val="none"/>
          <w:lang w:eastAsia="zh-CN"/>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289"/>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28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28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28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28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28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28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28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28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28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28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93"/>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93"/>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r>
      <w:r>
        <w:rPr>
          <w:rFonts w:hint="eastAsia" w:ascii="宋体" w:hAnsi="宋体" w:eastAsia="宋体" w:cs="宋体"/>
          <w:b/>
          <w:color w:val="000000"/>
          <w:sz w:val="24"/>
          <w:szCs w:val="24"/>
          <w:highlight w:val="none"/>
          <w:lang w:eastAsia="zh-CN"/>
        </w:rPr>
      </w:r>
    </w:p>
    <w:p>
      <w:pPr>
        <w:pStyle w:val="1293"/>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人员配置表及项目</w:t>
      </w:r>
      <w:r>
        <w:rPr>
          <w:rFonts w:hint="eastAsia" w:ascii="宋体" w:hAnsi="宋体" w:eastAsia="宋体" w:cs="宋体"/>
          <w:b/>
          <w:bCs w:val="0"/>
          <w:color w:val="000000"/>
          <w:sz w:val="24"/>
          <w:szCs w:val="24"/>
          <w:highlight w:val="none"/>
          <w:lang w:val="en-US" w:eastAsia="zh-CN"/>
        </w:rPr>
        <w:t xml:space="preserve">负责人</w:t>
      </w:r>
      <w:r>
        <w:rPr>
          <w:rFonts w:hint="eastAsia" w:ascii="宋体" w:hAnsi="宋体" w:eastAsia="宋体" w:cs="宋体"/>
          <w:b/>
          <w:bCs w:val="0"/>
          <w:color w:val="000000"/>
          <w:sz w:val="24"/>
          <w:szCs w:val="24"/>
          <w:highlight w:val="none"/>
        </w:rPr>
        <w:t xml:space="preserve">简历表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289"/>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289"/>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289"/>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w:t>
      </w:r>
      <w:r>
        <w:rPr>
          <w:rFonts w:hint="eastAsia" w:ascii="宋体" w:hAnsi="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289"/>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289"/>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289"/>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289"/>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289"/>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89"/>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89"/>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289"/>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289"/>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289"/>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289"/>
        <w:rPr>
          <w:rFonts w:hint="eastAsia"/>
          <w:lang w:eastAsia="zh-CN"/>
        </w:rPr>
      </w:pPr>
      <w:r>
        <w:rPr>
          <w:rFonts w:hint="eastAsia"/>
          <w:lang w:eastAsia="zh-CN"/>
        </w:rPr>
      </w:r>
      <w:r/>
    </w:p>
    <w:p>
      <w:pPr>
        <w:pStyle w:val="1293"/>
        <w:rPr>
          <w:rFonts w:hint="eastAsia"/>
          <w:lang w:eastAsia="zh-CN"/>
        </w:rPr>
      </w:pPr>
      <w:r>
        <w:rPr>
          <w:rFonts w:hint="eastAsia"/>
          <w:lang w:eastAsia="zh-CN"/>
        </w:rPr>
      </w:r>
      <w:r/>
    </w:p>
    <w:p>
      <w:pPr>
        <w:pStyle w:val="1289"/>
        <w:rPr>
          <w:rFonts w:hint="eastAsia"/>
          <w:lang w:eastAsia="zh-CN"/>
        </w:rPr>
      </w:pPr>
      <w:r>
        <w:rPr>
          <w:rFonts w:hint="eastAsia"/>
          <w:lang w:eastAsia="zh-CN"/>
        </w:rPr>
      </w:r>
      <w:r/>
    </w:p>
    <w:p>
      <w:pPr>
        <w:pStyle w:val="1293"/>
        <w:rPr>
          <w:rFonts w:hint="eastAsia"/>
          <w:lang w:eastAsia="zh-CN"/>
        </w:rPr>
      </w:pPr>
      <w:r>
        <w:rPr>
          <w:rFonts w:hint="eastAsia"/>
          <w:lang w:eastAsia="zh-CN"/>
        </w:rPr>
      </w: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rPr>
          <w:rFonts w:hint="eastAsia"/>
          <w:lang w:eastAsia="zh-CN"/>
        </w:rPr>
      </w:pPr>
      <w:r>
        <w:rPr>
          <w:rFonts w:hint="eastAsia"/>
          <w:lang w:eastAsia="zh-CN"/>
        </w:rPr>
      </w:r>
      <w:r>
        <w:rPr>
          <w:rFonts w:hint="eastAsia"/>
          <w:lang w:eastAsia="zh-CN"/>
        </w:rPr>
      </w:r>
    </w:p>
    <w:p>
      <w:pPr>
        <w:pStyle w:val="1289"/>
        <w:rPr>
          <w:rFonts w:hint="eastAsia"/>
          <w:lang w:eastAsia="zh-CN"/>
        </w:rPr>
      </w:pPr>
      <w:r>
        <w:rPr>
          <w:rFonts w:hint="eastAsia"/>
          <w:lang w:eastAsia="zh-CN"/>
        </w:rPr>
      </w:r>
      <w:r/>
    </w:p>
    <w:p>
      <w:pPr>
        <w:pStyle w:val="1293"/>
        <w:rPr>
          <w:rFonts w:hint="eastAsia"/>
          <w:lang w:eastAsia="zh-CN"/>
        </w:rPr>
      </w:pPr>
      <w:r>
        <w:rPr>
          <w:rFonts w:hint="eastAsia"/>
          <w:lang w:eastAsia="zh-CN"/>
        </w:rPr>
      </w:r>
      <w:r/>
    </w:p>
    <w:p>
      <w:pPr>
        <w:pStyle w:val="1289"/>
        <w:rPr>
          <w:rFonts w:hint="eastAsia"/>
          <w:lang w:eastAsia="zh-CN"/>
        </w:rPr>
      </w:pPr>
      <w:r>
        <w:rPr>
          <w:rFonts w:hint="eastAsia"/>
          <w:lang w:eastAsia="zh-CN"/>
        </w:rPr>
      </w:r>
      <w:r/>
    </w:p>
    <w:p>
      <w:pPr>
        <w:pStyle w:val="1293"/>
        <w:rPr>
          <w:rFonts w:hint="eastAsia"/>
          <w:lang w:eastAsia="zh-CN"/>
        </w:rPr>
      </w:pPr>
      <w:r>
        <w:rPr>
          <w:rFonts w:hint="eastAsia"/>
          <w:lang w:eastAsia="zh-CN"/>
        </w:rPr>
      </w:r>
      <w:r/>
    </w:p>
    <w:p>
      <w:pPr>
        <w:pStyle w:val="1289"/>
        <w:rPr>
          <w:rFonts w:hint="eastAsia"/>
          <w:lang w:eastAsia="zh-CN"/>
        </w:rPr>
      </w:pPr>
      <w:r>
        <w:rPr>
          <w:rFonts w:hint="eastAsia"/>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89"/>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89"/>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2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8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8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89"/>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bookmarkStart w:id="57" w:name="OLE_LINK13"/>
      <w:r/>
      <w:bookmarkStart w:id="58" w:name="OLE_LINK14"/>
      <w:r/>
      <w:bookmarkStart w:id="59"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289"/>
        <w:spacing w:line="588" w:lineRule="exact"/>
        <w:rPr>
          <w:rFonts w:hint="eastAsia" w:ascii="宋体" w:hAnsi="宋体" w:cs="宋体"/>
          <w:b/>
          <w:color w:val="000000"/>
          <w:spacing w:val="6"/>
          <w:sz w:val="24"/>
          <w:szCs w:val="24"/>
          <w:highlight w:val="none"/>
        </w:rPr>
        <w:outlineLvl w:val="9"/>
      </w:pPr>
      <w:r/>
      <w:bookmarkEnd w:id="57"/>
      <w:r/>
      <w:bookmarkEnd w:id="58"/>
      <w:r>
        <w:rPr>
          <w:rFonts w:hint="eastAsia" w:ascii="宋体" w:hAnsi="宋体" w:cs="宋体"/>
          <w:b/>
          <w:color w:val="000000"/>
          <w:spacing w:val="6"/>
          <w:sz w:val="24"/>
          <w:szCs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89"/>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66"/>
        <w:ind w:firstLine="480"/>
        <w:rPr>
          <w:rFonts w:hint="eastAsia" w:ascii="宋体" w:hAnsi="宋体" w:cs="宋体"/>
          <w:color w:val="000000"/>
          <w:sz w:val="24"/>
          <w:szCs w:val="24"/>
          <w:highlight w:val="none"/>
        </w:rPr>
        <w:outlineLvl w:val="9"/>
      </w:pPr>
      <w:r/>
      <w:bookmarkEnd w:id="59"/>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t xml:space="preserve">服务方案：</w:t>
      </w:r>
      <w:r>
        <w:rPr>
          <w:rFonts w:hint="eastAsia" w:ascii="宋体" w:hAnsi="宋体" w:eastAsia="宋体" w:cs="宋体"/>
          <w:b/>
          <w:color w:val="000000"/>
          <w:sz w:val="24"/>
          <w:szCs w:val="24"/>
          <w:highlight w:val="none"/>
          <w:lang w:eastAsia="zh-CN"/>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服务方案</w:t>
      </w:r>
      <w:r>
        <w:rPr>
          <w:rFonts w:hint="eastAsia" w:ascii="宋体" w:hAnsi="宋体" w:cs="宋体"/>
          <w:bCs/>
          <w:color w:val="000000"/>
          <w:sz w:val="24"/>
          <w:szCs w:val="24"/>
          <w:highlight w:val="none"/>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289"/>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289"/>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Vrinda">
    <w:panose1 w:val="020B0502040204020203"/>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tabs>
        <w:tab w:val="center" w:pos="4153" w:leader="none"/>
        <w:tab w:val="right" w:pos="8306" w:leader="none"/>
      </w:tabs>
      <w:rPr>
        <w:rStyle w:val="1341"/>
      </w:rPr>
      <w:framePr w:wrap="around" w:vAnchor="text" w:hAnchor="margin" w:xAlign="center" w:y="1"/>
    </w:pPr>
    <w:r>
      <w:fldChar w:fldCharType="begin"/>
    </w:r>
    <w:r>
      <w:rPr>
        <w:rStyle w:val="1341"/>
      </w:rPr>
      <w:instrText xml:space="preserve">PAGE  </w:instrText>
    </w:r>
    <w:r>
      <w:fldChar w:fldCharType="separate"/>
    </w:r>
    <w:r>
      <w:rPr>
        <w:rStyle w:val="1341"/>
      </w:rPr>
      <w:t xml:space="preserve">1</w:t>
    </w:r>
    <w:r>
      <w:fldChar w:fldCharType="end"/>
    </w:r>
    <w:r>
      <w:rPr>
        <w:rStyle w:val="1341"/>
      </w:rPr>
    </w:r>
    <w:r/>
  </w:p>
  <w:p>
    <w:pPr>
      <w:pStyle w:val="1322"/>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89"/>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8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89"/>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8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89"/>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8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89"/>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89"/>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8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89"/>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89"/>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spacing w:after="240"/>
      <w:tabs>
        <w:tab w:val="center" w:pos="4153" w:leader="none"/>
        <w:tab w:val="right" w:pos="8306" w:leader="none"/>
      </w:tabs>
      <w:rPr>
        <w:rStyle w:val="1341"/>
      </w:rPr>
      <w:framePr w:wrap="around" w:vAnchor="text" w:hAnchor="margin" w:xAlign="center" w:y="1"/>
    </w:pPr>
    <w:r>
      <w:fldChar w:fldCharType="begin"/>
    </w:r>
    <w:r>
      <w:rPr>
        <w:rStyle w:val="1341"/>
      </w:rPr>
      <w:instrText xml:space="preserve">PAGE  </w:instrText>
    </w:r>
    <w:r>
      <w:fldChar w:fldCharType="end"/>
    </w:r>
    <w:r>
      <w:rPr>
        <w:rStyle w:val="1341"/>
      </w:rPr>
    </w:r>
    <w:r/>
  </w:p>
  <w:p>
    <w:pPr>
      <w:pStyle w:val="1322"/>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nothing"/>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6"/>
      <w:isLgl w:val="false"/>
      <w:suff w:val="tab"/>
      <w:lvlText w:val="%1．"/>
      <w:lvlJc w:val="left"/>
      <w:pPr>
        <w:pStyle w:val="1289"/>
        <w:ind w:left="552" w:hanging="420"/>
        <w:tabs>
          <w:tab w:val="num" w:pos="552" w:leader="none"/>
        </w:tabs>
      </w:pPr>
      <w:rPr>
        <w:u w:val="none"/>
      </w:rPr>
    </w:lvl>
    <w:lvl w:ilvl="1">
      <w:start w:val="1"/>
      <w:numFmt w:val="decimal"/>
      <w:isLgl w:val="false"/>
      <w:suff w:val="tab"/>
      <w:lvlText w:val=""/>
      <w:lvlJc w:val="left"/>
      <w:pPr>
        <w:pStyle w:val="1289"/>
      </w:pPr>
    </w:lvl>
    <w:lvl w:ilvl="2">
      <w:start w:val="1"/>
      <w:numFmt w:val="decimal"/>
      <w:isLgl w:val="false"/>
      <w:suff w:val="tab"/>
      <w:lvlText w:val=""/>
      <w:lvlJc w:val="left"/>
      <w:pPr>
        <w:pStyle w:val="1289"/>
      </w:pPr>
    </w:lvl>
    <w:lvl w:ilvl="3">
      <w:start w:val="1"/>
      <w:numFmt w:val="decimal"/>
      <w:isLgl w:val="false"/>
      <w:suff w:val="tab"/>
      <w:lvlText w:val=""/>
      <w:lvlJc w:val="left"/>
      <w:pPr>
        <w:pStyle w:val="1289"/>
      </w:pPr>
    </w:lvl>
    <w:lvl w:ilvl="4">
      <w:start w:val="1"/>
      <w:numFmt w:val="decimal"/>
      <w:isLgl w:val="false"/>
      <w:suff w:val="tab"/>
      <w:lvlText w:val=""/>
      <w:lvlJc w:val="left"/>
      <w:pPr>
        <w:pStyle w:val="1289"/>
      </w:pPr>
    </w:lvl>
    <w:lvl w:ilvl="5">
      <w:start w:val="1"/>
      <w:numFmt w:val="decimal"/>
      <w:isLgl w:val="false"/>
      <w:suff w:val="tab"/>
      <w:lvlText w:val=""/>
      <w:lvlJc w:val="left"/>
      <w:pPr>
        <w:pStyle w:val="1289"/>
      </w:pPr>
    </w:lvl>
    <w:lvl w:ilvl="6">
      <w:start w:val="1"/>
      <w:numFmt w:val="decimal"/>
      <w:isLgl w:val="false"/>
      <w:suff w:val="tab"/>
      <w:lvlText w:val=""/>
      <w:lvlJc w:val="left"/>
      <w:pPr>
        <w:pStyle w:val="1289"/>
      </w:pPr>
    </w:lvl>
    <w:lvl w:ilvl="7">
      <w:start w:val="1"/>
      <w:numFmt w:val="decimal"/>
      <w:isLgl w:val="false"/>
      <w:suff w:val="tab"/>
      <w:lvlText w:val=""/>
      <w:lvlJc w:val="left"/>
      <w:pPr>
        <w:pStyle w:val="1289"/>
      </w:pPr>
    </w:lvl>
    <w:lvl w:ilvl="8">
      <w:start w:val="1"/>
      <w:numFmt w:val="decimal"/>
      <w:isLgl w:val="false"/>
      <w:suff w:val="tab"/>
      <w:lvlText w:val=""/>
      <w:lvlJc w:val="left"/>
      <w:pPr>
        <w:pStyle w:val="1289"/>
      </w:pPr>
    </w:lvl>
  </w:abstractNum>
  <w:abstractNum w:abstractNumId="2">
    <w:multiLevelType w:val="hybridMultilevel"/>
    <w:lvl w:ilvl="0">
      <w:start w:val="3"/>
      <w:numFmt w:val="decimal"/>
      <w:isLgl w:val="false"/>
      <w:suff w:val="nothing"/>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2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12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289"/>
        <w:ind w:left="840" w:hanging="420"/>
        <w:tabs>
          <w:tab w:val="num" w:pos="840" w:leader="none"/>
        </w:tabs>
      </w:pPr>
      <w:rPr>
        <w:rFonts w:cs="Times New Roman"/>
      </w:rPr>
    </w:lvl>
    <w:lvl w:ilvl="2">
      <w:start w:val="10"/>
      <w:numFmt w:val="decimal"/>
      <w:isLgl w:val="false"/>
      <w:suff w:val="tab"/>
      <w:lvlText w:val="%3."/>
      <w:lvlJc w:val="left"/>
      <w:pPr>
        <w:pStyle w:val="1289"/>
        <w:ind w:left="1200" w:hanging="360"/>
        <w:tabs>
          <w:tab w:val="num" w:pos="1200" w:leader="none"/>
        </w:tabs>
      </w:pPr>
      <w:rPr>
        <w:rFonts w:cs="Times New Roman"/>
      </w:rPr>
    </w:lvl>
    <w:lvl w:ilvl="3">
      <w:start w:val="1"/>
      <w:numFmt w:val="decimal"/>
      <w:isLgl w:val="false"/>
      <w:suff w:val="tab"/>
      <w:lvlText w:val="%4."/>
      <w:lvlJc w:val="left"/>
      <w:pPr>
        <w:pStyle w:val="1289"/>
        <w:ind w:left="1680" w:hanging="420"/>
        <w:tabs>
          <w:tab w:val="num" w:pos="1680" w:leader="none"/>
        </w:tabs>
      </w:pPr>
      <w:rPr>
        <w:rFonts w:cs="Times New Roman"/>
      </w:rPr>
    </w:lvl>
    <w:lvl w:ilvl="4">
      <w:start w:val="1"/>
      <w:numFmt w:val="lowerLetter"/>
      <w:isLgl w:val="false"/>
      <w:suff w:val="tab"/>
      <w:lvlText w:val="%5)"/>
      <w:lvlJc w:val="left"/>
      <w:pPr>
        <w:pStyle w:val="1289"/>
        <w:ind w:left="2100" w:hanging="420"/>
        <w:tabs>
          <w:tab w:val="num" w:pos="2100" w:leader="none"/>
        </w:tabs>
      </w:pPr>
      <w:rPr>
        <w:rFonts w:cs="Times New Roman"/>
      </w:rPr>
    </w:lvl>
    <w:lvl w:ilvl="5">
      <w:start w:val="1"/>
      <w:numFmt w:val="lowerRoman"/>
      <w:isLgl w:val="false"/>
      <w:suff w:val="tab"/>
      <w:lvlText w:val="%6."/>
      <w:lvlJc w:val="right"/>
      <w:pPr>
        <w:pStyle w:val="1289"/>
        <w:ind w:left="2520" w:hanging="420"/>
        <w:tabs>
          <w:tab w:val="num" w:pos="2520" w:leader="none"/>
        </w:tabs>
      </w:pPr>
      <w:rPr>
        <w:rFonts w:cs="Times New Roman"/>
      </w:rPr>
    </w:lvl>
    <w:lvl w:ilvl="6">
      <w:start w:val="1"/>
      <w:numFmt w:val="decimal"/>
      <w:isLgl w:val="false"/>
      <w:suff w:val="tab"/>
      <w:lvlText w:val="%7."/>
      <w:lvlJc w:val="left"/>
      <w:pPr>
        <w:pStyle w:val="1289"/>
        <w:ind w:left="2940" w:hanging="420"/>
        <w:tabs>
          <w:tab w:val="num" w:pos="2940" w:leader="none"/>
        </w:tabs>
      </w:pPr>
      <w:rPr>
        <w:rFonts w:cs="Times New Roman"/>
      </w:rPr>
    </w:lvl>
    <w:lvl w:ilvl="7">
      <w:start w:val="1"/>
      <w:numFmt w:val="lowerLetter"/>
      <w:isLgl w:val="false"/>
      <w:suff w:val="tab"/>
      <w:lvlText w:val="%8)"/>
      <w:lvlJc w:val="left"/>
      <w:pPr>
        <w:pStyle w:val="1289"/>
        <w:ind w:left="3360" w:hanging="420"/>
        <w:tabs>
          <w:tab w:val="num" w:pos="3360" w:leader="none"/>
        </w:tabs>
      </w:pPr>
      <w:rPr>
        <w:rFonts w:cs="Times New Roman"/>
      </w:rPr>
    </w:lvl>
    <w:lvl w:ilvl="8">
      <w:start w:val="1"/>
      <w:numFmt w:val="lowerRoman"/>
      <w:isLgl w:val="false"/>
      <w:suff w:val="tab"/>
      <w:lvlText w:val="%9."/>
      <w:lvlJc w:val="right"/>
      <w:pPr>
        <w:pStyle w:val="1289"/>
        <w:ind w:left="3780" w:hanging="420"/>
        <w:tabs>
          <w:tab w:val="num" w:pos="3780" w:leader="none"/>
        </w:tabs>
      </w:pPr>
      <w:rPr>
        <w:rFonts w:cs="Times New Roman"/>
      </w:rPr>
    </w:lvl>
  </w:abstractNum>
  <w:abstractNum w:abstractNumId="6">
    <w:multiLevelType w:val="hybridMultilevel"/>
    <w:lvl w:ilvl="0">
      <w:start w:val="1"/>
      <w:numFmt w:val="upperLetter"/>
      <w:pStyle w:val="1294"/>
      <w:isLgl w:val="false"/>
      <w:suff w:val="tab"/>
      <w:lvlText w:val="%1."/>
      <w:lvlJc w:val="left"/>
      <w:pPr>
        <w:pStyle w:val="1289"/>
        <w:ind w:left="360" w:hanging="360"/>
        <w:tabs>
          <w:tab w:val="num" w:pos="360" w:leader="none"/>
        </w:tabs>
      </w:pPr>
      <w:rPr>
        <w:rFonts w:cs="Times New Roman"/>
      </w:rPr>
    </w:lvl>
    <w:lvl w:ilvl="1">
      <w:start w:val="1"/>
      <w:numFmt w:val="lowerLetter"/>
      <w:isLgl w:val="false"/>
      <w:suff w:val="tab"/>
      <w:lvlText w:val="%2)"/>
      <w:lvlJc w:val="left"/>
      <w:pPr>
        <w:pStyle w:val="1289"/>
        <w:ind w:left="840" w:hanging="420"/>
        <w:tabs>
          <w:tab w:val="num" w:pos="840" w:leader="none"/>
        </w:tabs>
      </w:pPr>
      <w:rPr>
        <w:rFonts w:cs="Times New Roman"/>
      </w:rPr>
    </w:lvl>
    <w:lvl w:ilvl="2">
      <w:start w:val="1"/>
      <w:numFmt w:val="lowerRoman"/>
      <w:isLgl w:val="false"/>
      <w:suff w:val="tab"/>
      <w:lvlText w:val="%3."/>
      <w:lvlJc w:val="right"/>
      <w:pPr>
        <w:pStyle w:val="1289"/>
        <w:ind w:left="1260" w:hanging="420"/>
        <w:tabs>
          <w:tab w:val="num" w:pos="1260" w:leader="none"/>
        </w:tabs>
      </w:pPr>
      <w:rPr>
        <w:rFonts w:cs="Times New Roman"/>
      </w:rPr>
    </w:lvl>
    <w:lvl w:ilvl="3">
      <w:start w:val="1"/>
      <w:numFmt w:val="decimal"/>
      <w:isLgl w:val="false"/>
      <w:suff w:val="tab"/>
      <w:lvlText w:val="%4."/>
      <w:lvlJc w:val="left"/>
      <w:pPr>
        <w:pStyle w:val="1289"/>
        <w:ind w:left="1680" w:hanging="420"/>
        <w:tabs>
          <w:tab w:val="num" w:pos="1680" w:leader="none"/>
        </w:tabs>
      </w:pPr>
      <w:rPr>
        <w:rFonts w:cs="Times New Roman"/>
      </w:rPr>
    </w:lvl>
    <w:lvl w:ilvl="4">
      <w:start w:val="1"/>
      <w:numFmt w:val="lowerLetter"/>
      <w:isLgl w:val="false"/>
      <w:suff w:val="tab"/>
      <w:lvlText w:val="%5)"/>
      <w:lvlJc w:val="left"/>
      <w:pPr>
        <w:pStyle w:val="1289"/>
        <w:ind w:left="2100" w:hanging="420"/>
        <w:tabs>
          <w:tab w:val="num" w:pos="2100" w:leader="none"/>
        </w:tabs>
      </w:pPr>
      <w:rPr>
        <w:rFonts w:cs="Times New Roman"/>
      </w:rPr>
    </w:lvl>
    <w:lvl w:ilvl="5">
      <w:start w:val="1"/>
      <w:numFmt w:val="lowerRoman"/>
      <w:isLgl w:val="false"/>
      <w:suff w:val="tab"/>
      <w:lvlText w:val="%6."/>
      <w:lvlJc w:val="right"/>
      <w:pPr>
        <w:pStyle w:val="1289"/>
        <w:ind w:left="2520" w:hanging="420"/>
        <w:tabs>
          <w:tab w:val="num" w:pos="2520" w:leader="none"/>
        </w:tabs>
      </w:pPr>
      <w:rPr>
        <w:rFonts w:cs="Times New Roman"/>
      </w:rPr>
    </w:lvl>
    <w:lvl w:ilvl="6">
      <w:start w:val="1"/>
      <w:numFmt w:val="decimal"/>
      <w:isLgl w:val="false"/>
      <w:suff w:val="tab"/>
      <w:lvlText w:val="%7."/>
      <w:lvlJc w:val="left"/>
      <w:pPr>
        <w:pStyle w:val="1289"/>
        <w:ind w:left="2940" w:hanging="420"/>
        <w:tabs>
          <w:tab w:val="num" w:pos="2940" w:leader="none"/>
        </w:tabs>
      </w:pPr>
      <w:rPr>
        <w:rFonts w:cs="Times New Roman"/>
      </w:rPr>
    </w:lvl>
    <w:lvl w:ilvl="7">
      <w:start w:val="1"/>
      <w:numFmt w:val="lowerLetter"/>
      <w:isLgl w:val="false"/>
      <w:suff w:val="tab"/>
      <w:lvlText w:val="%8)"/>
      <w:lvlJc w:val="left"/>
      <w:pPr>
        <w:pStyle w:val="1289"/>
        <w:ind w:left="3360" w:hanging="420"/>
        <w:tabs>
          <w:tab w:val="num" w:pos="3360" w:leader="none"/>
        </w:tabs>
      </w:pPr>
      <w:rPr>
        <w:rFonts w:cs="Times New Roman"/>
      </w:rPr>
    </w:lvl>
    <w:lvl w:ilvl="8">
      <w:start w:val="1"/>
      <w:numFmt w:val="lowerRoman"/>
      <w:isLgl w:val="false"/>
      <w:suff w:val="tab"/>
      <w:lvlText w:val="%9."/>
      <w:lvlJc w:val="right"/>
      <w:pPr>
        <w:pStyle w:val="1289"/>
        <w:ind w:left="3780" w:hanging="420"/>
        <w:tabs>
          <w:tab w:val="num" w:pos="3780" w:leader="none"/>
        </w:tabs>
      </w:pPr>
      <w:rPr>
        <w:rFonts w:cs="Times New Roman"/>
      </w:rPr>
    </w:lvl>
  </w:abstractNum>
  <w:num w:numId="1">
    <w:abstractNumId w:val="6"/>
  </w:num>
  <w:num w:numId="2">
    <w:abstractNumId w:val="1"/>
  </w:num>
  <w:num w:numId="3">
    <w:abstractNumId w:val="0"/>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89"/>
    <w:next w:val="12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89"/>
    <w:next w:val="12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89"/>
    <w:next w:val="12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89"/>
    <w:next w:val="12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89"/>
    <w:next w:val="12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89"/>
    <w:next w:val="12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89"/>
    <w:next w:val="12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89"/>
    <w:next w:val="12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89"/>
    <w:next w:val="12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89"/>
    <w:next w:val="12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89"/>
    <w:next w:val="12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89"/>
    <w:next w:val="1289"/>
    <w:link w:val="38"/>
    <w:uiPriority w:val="29"/>
    <w:qFormat/>
    <w:pPr>
      <w:ind w:left="720" w:right="720"/>
    </w:pPr>
    <w:rPr>
      <w:i/>
    </w:rPr>
  </w:style>
  <w:style w:type="character" w:styleId="38">
    <w:name w:val="Quote Char"/>
    <w:link w:val="37"/>
    <w:uiPriority w:val="29"/>
    <w:rPr>
      <w:i/>
    </w:rPr>
  </w:style>
  <w:style w:type="paragraph" w:styleId="39">
    <w:name w:val="Intense Quote"/>
    <w:basedOn w:val="1289"/>
    <w:next w:val="12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89"/>
    <w:next w:val="12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89"/>
    <w:next w:val="1289"/>
    <w:uiPriority w:val="39"/>
    <w:unhideWhenUsed/>
    <w:pPr>
      <w:ind w:left="0" w:right="0" w:firstLine="0"/>
      <w:spacing w:after="57"/>
    </w:pPr>
  </w:style>
  <w:style w:type="paragraph" w:styleId="181">
    <w:name w:val="toc 2"/>
    <w:basedOn w:val="1289"/>
    <w:next w:val="1289"/>
    <w:uiPriority w:val="39"/>
    <w:unhideWhenUsed/>
    <w:pPr>
      <w:ind w:left="283" w:right="0" w:firstLine="0"/>
      <w:spacing w:after="57"/>
    </w:pPr>
  </w:style>
  <w:style w:type="paragraph" w:styleId="182">
    <w:name w:val="toc 3"/>
    <w:basedOn w:val="1289"/>
    <w:next w:val="1289"/>
    <w:uiPriority w:val="39"/>
    <w:unhideWhenUsed/>
    <w:pPr>
      <w:ind w:left="567" w:right="0" w:firstLine="0"/>
      <w:spacing w:after="57"/>
    </w:pPr>
  </w:style>
  <w:style w:type="paragraph" w:styleId="183">
    <w:name w:val="toc 4"/>
    <w:basedOn w:val="1289"/>
    <w:next w:val="1289"/>
    <w:uiPriority w:val="39"/>
    <w:unhideWhenUsed/>
    <w:pPr>
      <w:ind w:left="850" w:right="0" w:firstLine="0"/>
      <w:spacing w:after="57"/>
    </w:pPr>
  </w:style>
  <w:style w:type="paragraph" w:styleId="184">
    <w:name w:val="toc 5"/>
    <w:basedOn w:val="1289"/>
    <w:next w:val="1289"/>
    <w:uiPriority w:val="39"/>
    <w:unhideWhenUsed/>
    <w:pPr>
      <w:ind w:left="1134" w:right="0" w:firstLine="0"/>
      <w:spacing w:after="57"/>
    </w:pPr>
  </w:style>
  <w:style w:type="paragraph" w:styleId="185">
    <w:name w:val="toc 6"/>
    <w:basedOn w:val="1289"/>
    <w:next w:val="1289"/>
    <w:uiPriority w:val="39"/>
    <w:unhideWhenUsed/>
    <w:pPr>
      <w:ind w:left="1417" w:right="0" w:firstLine="0"/>
      <w:spacing w:after="57"/>
    </w:pPr>
  </w:style>
  <w:style w:type="paragraph" w:styleId="186">
    <w:name w:val="toc 7"/>
    <w:basedOn w:val="1289"/>
    <w:next w:val="1289"/>
    <w:uiPriority w:val="39"/>
    <w:unhideWhenUsed/>
    <w:pPr>
      <w:ind w:left="1701" w:right="0" w:firstLine="0"/>
      <w:spacing w:after="57"/>
    </w:pPr>
  </w:style>
  <w:style w:type="paragraph" w:styleId="187">
    <w:name w:val="toc 8"/>
    <w:basedOn w:val="1289"/>
    <w:next w:val="1289"/>
    <w:uiPriority w:val="39"/>
    <w:unhideWhenUsed/>
    <w:pPr>
      <w:ind w:left="1984" w:right="0" w:firstLine="0"/>
      <w:spacing w:after="57"/>
    </w:pPr>
  </w:style>
  <w:style w:type="paragraph" w:styleId="188">
    <w:name w:val="toc 9"/>
    <w:basedOn w:val="1289"/>
    <w:next w:val="12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89"/>
    <w:next w:val="1289"/>
    <w:uiPriority w:val="99"/>
    <w:unhideWhenUsed/>
    <w:pPr>
      <w:spacing w:after="0" w:afterAutospacing="0"/>
    </w:pPr>
  </w:style>
  <w:style w:type="paragraph" w:styleId="1289" w:default="1">
    <w:name w:val="Normal"/>
    <w:next w:val="1293"/>
    <w:link w:val="1289"/>
    <w:qFormat/>
    <w:pPr>
      <w:jc w:val="both"/>
      <w:widowControl w:val="off"/>
    </w:pPr>
    <w:rPr>
      <w:sz w:val="21"/>
      <w:lang w:val="en-US" w:eastAsia="zh-CN" w:bidi="ar-SA"/>
    </w:rPr>
  </w:style>
  <w:style w:type="paragraph" w:styleId="1290">
    <w:name w:val="标题 1"/>
    <w:basedOn w:val="1289"/>
    <w:next w:val="1289"/>
    <w:link w:val="1298"/>
    <w:qFormat/>
    <w:pPr>
      <w:jc w:val="center"/>
      <w:keepNext/>
      <w:outlineLvl w:val="0"/>
    </w:pPr>
    <w:rPr>
      <w:rFonts w:ascii="楷体_GB2312" w:hAnsi="楷体_GB2312" w:eastAsia="宋体"/>
      <w:b/>
      <w:sz w:val="28"/>
      <w:szCs w:val="32"/>
    </w:rPr>
  </w:style>
  <w:style w:type="paragraph" w:styleId="1291">
    <w:name w:val="标题 2"/>
    <w:basedOn w:val="1289"/>
    <w:next w:val="1289"/>
    <w:link w:val="1299"/>
    <w:qFormat/>
    <w:pPr>
      <w:jc w:val="center"/>
      <w:keepNext/>
      <w:outlineLvl w:val="1"/>
    </w:pPr>
    <w:rPr>
      <w:rFonts w:ascii="楷体_GB2312" w:eastAsia="楷体_GB2312"/>
      <w:b/>
      <w:bCs/>
      <w:sz w:val="18"/>
    </w:rPr>
  </w:style>
  <w:style w:type="paragraph" w:styleId="1292">
    <w:name w:val="标题 3"/>
    <w:basedOn w:val="1289"/>
    <w:next w:val="1289"/>
    <w:link w:val="1300"/>
    <w:qFormat/>
    <w:pPr>
      <w:jc w:val="center"/>
      <w:keepNext/>
      <w:outlineLvl w:val="2"/>
    </w:pPr>
    <w:rPr>
      <w:rFonts w:eastAsia="楷体_GB2312"/>
      <w:b/>
      <w:bCs/>
      <w:sz w:val="15"/>
    </w:rPr>
  </w:style>
  <w:style w:type="paragraph" w:styleId="1293">
    <w:name w:val="标题 4"/>
    <w:basedOn w:val="1289"/>
    <w:next w:val="1289"/>
    <w:link w:val="1297"/>
    <w:qFormat/>
    <w:pPr>
      <w:jc w:val="center"/>
      <w:keepNext/>
      <w:outlineLvl w:val="3"/>
    </w:pPr>
    <w:rPr>
      <w:rFonts w:eastAsia="楷体_GB2312"/>
      <w:b/>
      <w:bCs/>
      <w:sz w:val="13"/>
    </w:rPr>
  </w:style>
  <w:style w:type="paragraph" w:styleId="1294">
    <w:name w:val="标题 5"/>
    <w:basedOn w:val="1289"/>
    <w:next w:val="1289"/>
    <w:link w:val="1301"/>
    <w:qFormat/>
    <w:pPr>
      <w:numPr>
        <w:ilvl w:val="0"/>
        <w:numId w:val="1"/>
      </w:numPr>
      <w:keepNext/>
      <w:tabs>
        <w:tab w:val="left" w:pos="360" w:leader="none"/>
      </w:tabs>
      <w:outlineLvl w:val="4"/>
    </w:pPr>
    <w:rPr>
      <w:rFonts w:ascii="楷体_GB2312" w:eastAsia="楷体_GB2312"/>
      <w:bCs/>
      <w:sz w:val="28"/>
    </w:rPr>
  </w:style>
  <w:style w:type="character" w:styleId="1295">
    <w:name w:val="默认段落字体"/>
    <w:next w:val="1295"/>
    <w:link w:val="1289"/>
    <w:uiPriority w:val="1"/>
    <w:unhideWhenUsed/>
  </w:style>
  <w:style w:type="table" w:styleId="1296">
    <w:name w:val="普通表格"/>
    <w:next w:val="1296"/>
    <w:link w:val="1289"/>
    <w:uiPriority w:val="99"/>
    <w:unhideWhenUsed/>
    <w:qFormat/>
    <w:tblPr/>
  </w:style>
  <w:style w:type="character" w:styleId="1297">
    <w:name w:val="标题 4 字符"/>
    <w:next w:val="1297"/>
    <w:link w:val="1293"/>
    <w:qFormat/>
    <w:rPr>
      <w:rFonts w:ascii="Times New Roman" w:hAnsi="Times New Roman" w:eastAsia="楷体_GB2312" w:cs="Times New Roman"/>
      <w:b/>
      <w:bCs/>
      <w:sz w:val="13"/>
      <w:szCs w:val="20"/>
    </w:rPr>
  </w:style>
  <w:style w:type="character" w:styleId="1298">
    <w:name w:val="标题 1 字符"/>
    <w:next w:val="1298"/>
    <w:link w:val="1290"/>
    <w:qFormat/>
    <w:rPr>
      <w:rFonts w:ascii="楷体_GB2312" w:hAnsi="楷体_GB2312" w:eastAsia="宋体" w:cs="Times New Roman"/>
      <w:b/>
      <w:sz w:val="28"/>
      <w:szCs w:val="32"/>
    </w:rPr>
  </w:style>
  <w:style w:type="character" w:styleId="1299">
    <w:name w:val="标题 2 字符"/>
    <w:next w:val="1299"/>
    <w:link w:val="1291"/>
    <w:qFormat/>
    <w:rPr>
      <w:rFonts w:ascii="楷体_GB2312" w:hAnsi="Times New Roman" w:eastAsia="楷体_GB2312" w:cs="Times New Roman"/>
      <w:b/>
      <w:bCs/>
      <w:sz w:val="18"/>
      <w:szCs w:val="20"/>
    </w:rPr>
  </w:style>
  <w:style w:type="character" w:styleId="1300">
    <w:name w:val="标题 3 字符"/>
    <w:next w:val="1300"/>
    <w:link w:val="1292"/>
    <w:qFormat/>
    <w:rPr>
      <w:rFonts w:ascii="Times New Roman" w:hAnsi="Times New Roman" w:eastAsia="楷体_GB2312" w:cs="Times New Roman"/>
      <w:b/>
      <w:bCs/>
      <w:sz w:val="15"/>
      <w:szCs w:val="20"/>
    </w:rPr>
  </w:style>
  <w:style w:type="character" w:styleId="1301">
    <w:name w:val="标题 5 字符"/>
    <w:next w:val="1301"/>
    <w:link w:val="1294"/>
    <w:qFormat/>
    <w:rPr>
      <w:rFonts w:ascii="楷体_GB2312" w:hAnsi="Times New Roman" w:eastAsia="楷体_GB2312" w:cs="Times New Roman"/>
      <w:bCs/>
      <w:sz w:val="28"/>
      <w:szCs w:val="20"/>
    </w:rPr>
  </w:style>
  <w:style w:type="paragraph" w:styleId="1302">
    <w:name w:val="正文缩进"/>
    <w:basedOn w:val="1289"/>
    <w:next w:val="1302"/>
    <w:link w:val="1303"/>
    <w:unhideWhenUsed/>
    <w:qFormat/>
    <w:pPr>
      <w:ind w:firstLine="420"/>
    </w:pPr>
  </w:style>
  <w:style w:type="character" w:styleId="1303">
    <w:name w:val="正文缩进 字符"/>
    <w:next w:val="1303"/>
    <w:link w:val="1302"/>
    <w:semiHidden/>
    <w:qFormat/>
    <w:rPr>
      <w:rFonts w:ascii="Times New Roman" w:hAnsi="Times New Roman"/>
      <w:sz w:val="21"/>
    </w:rPr>
  </w:style>
  <w:style w:type="paragraph" w:styleId="1304">
    <w:name w:val="文档结构图"/>
    <w:basedOn w:val="1289"/>
    <w:next w:val="1304"/>
    <w:link w:val="1305"/>
    <w:semiHidden/>
    <w:qFormat/>
    <w:pPr>
      <w:shd w:val="clear" w:color="auto" w:fill="000080"/>
    </w:pPr>
    <w:rPr>
      <w:sz w:val="20"/>
    </w:rPr>
  </w:style>
  <w:style w:type="character" w:styleId="1305">
    <w:name w:val="文档结构图 字符"/>
    <w:next w:val="1305"/>
    <w:link w:val="1304"/>
    <w:semiHidden/>
    <w:qFormat/>
    <w:rPr>
      <w:rFonts w:ascii="Times New Roman" w:hAnsi="Times New Roman" w:eastAsia="宋体" w:cs="Times New Roman"/>
      <w:szCs w:val="20"/>
      <w:shd w:val="clear" w:color="auto" w:fill="000080"/>
    </w:rPr>
  </w:style>
  <w:style w:type="paragraph" w:styleId="1306">
    <w:name w:val="批注文字"/>
    <w:basedOn w:val="1289"/>
    <w:next w:val="1306"/>
    <w:link w:val="1307"/>
    <w:uiPriority w:val="99"/>
    <w:semiHidden/>
    <w:qFormat/>
    <w:pPr>
      <w:jc w:val="left"/>
    </w:pPr>
    <w:rPr>
      <w:sz w:val="20"/>
      <w:szCs w:val="24"/>
    </w:rPr>
  </w:style>
  <w:style w:type="character" w:styleId="1307">
    <w:name w:val="批注文字 字符"/>
    <w:next w:val="1307"/>
    <w:link w:val="1306"/>
    <w:uiPriority w:val="99"/>
    <w:semiHidden/>
    <w:qFormat/>
    <w:rPr>
      <w:rFonts w:ascii="Times New Roman" w:hAnsi="Times New Roman" w:eastAsia="宋体" w:cs="Times New Roman"/>
      <w:szCs w:val="24"/>
    </w:rPr>
  </w:style>
  <w:style w:type="paragraph" w:styleId="1308">
    <w:name w:val="正文文本"/>
    <w:basedOn w:val="1289"/>
    <w:next w:val="1289"/>
    <w:link w:val="1309"/>
    <w:uiPriority w:val="99"/>
    <w:qFormat/>
    <w:rPr>
      <w:rFonts w:ascii="华文中宋" w:eastAsia="华文中宋"/>
      <w:bCs/>
      <w:sz w:val="28"/>
    </w:rPr>
  </w:style>
  <w:style w:type="character" w:styleId="1309">
    <w:name w:val="正文文本 字符"/>
    <w:next w:val="1309"/>
    <w:link w:val="1308"/>
    <w:uiPriority w:val="99"/>
    <w:qFormat/>
    <w:rPr>
      <w:rFonts w:ascii="华文中宋" w:hAnsi="Times New Roman" w:eastAsia="华文中宋" w:cs="Times New Roman"/>
      <w:bCs/>
      <w:sz w:val="28"/>
      <w:szCs w:val="20"/>
    </w:rPr>
  </w:style>
  <w:style w:type="paragraph" w:styleId="1310">
    <w:name w:val="正文文本缩进"/>
    <w:basedOn w:val="1289"/>
    <w:next w:val="1312"/>
    <w:link w:val="1311"/>
    <w:qFormat/>
    <w:pPr>
      <w:ind w:firstLine="576"/>
    </w:pPr>
    <w:rPr>
      <w:b/>
      <w:sz w:val="30"/>
    </w:rPr>
  </w:style>
  <w:style w:type="character" w:styleId="1311">
    <w:name w:val="正文文本缩进 字符"/>
    <w:next w:val="1311"/>
    <w:link w:val="1310"/>
    <w:qFormat/>
    <w:rPr>
      <w:rFonts w:ascii="Times New Roman" w:hAnsi="Times New Roman" w:eastAsia="宋体" w:cs="Times New Roman"/>
      <w:b/>
      <w:sz w:val="30"/>
      <w:szCs w:val="20"/>
    </w:rPr>
  </w:style>
  <w:style w:type="paragraph" w:styleId="1312">
    <w:name w:val="寄信人地址"/>
    <w:basedOn w:val="1289"/>
    <w:next w:val="1312"/>
    <w:link w:val="1289"/>
    <w:qFormat/>
    <w:rPr>
      <w:rFonts w:ascii="Arial" w:hAnsi="Arial"/>
    </w:rPr>
  </w:style>
  <w:style w:type="paragraph" w:styleId="1313">
    <w:name w:val="索引 4"/>
    <w:basedOn w:val="1289"/>
    <w:next w:val="1289"/>
    <w:link w:val="1289"/>
    <w:uiPriority w:val="99"/>
    <w:qFormat/>
    <w:pPr>
      <w:ind w:left="600"/>
    </w:pPr>
    <w:rPr>
      <w:szCs w:val="24"/>
    </w:rPr>
  </w:style>
  <w:style w:type="paragraph" w:styleId="1314">
    <w:name w:val="纯文本"/>
    <w:basedOn w:val="1289"/>
    <w:next w:val="1314"/>
    <w:link w:val="1315"/>
    <w:qFormat/>
    <w:rPr>
      <w:rFonts w:ascii="宋体" w:hAnsi="Courier New"/>
    </w:rPr>
  </w:style>
  <w:style w:type="character" w:styleId="1315">
    <w:name w:val="纯文本 字符"/>
    <w:next w:val="1315"/>
    <w:link w:val="1314"/>
    <w:rPr>
      <w:rFonts w:ascii="宋体" w:hAnsi="Courier New"/>
      <w:sz w:val="21"/>
    </w:rPr>
  </w:style>
  <w:style w:type="paragraph" w:styleId="1316">
    <w:name w:val="日期"/>
    <w:basedOn w:val="1289"/>
    <w:next w:val="1289"/>
    <w:link w:val="1317"/>
    <w:qFormat/>
    <w:rPr>
      <w:rFonts w:eastAsia="黑体"/>
      <w:b/>
      <w:sz w:val="36"/>
    </w:rPr>
  </w:style>
  <w:style w:type="character" w:styleId="1317">
    <w:name w:val="日期 字符"/>
    <w:next w:val="1317"/>
    <w:link w:val="1316"/>
    <w:qFormat/>
    <w:rPr>
      <w:rFonts w:ascii="Times New Roman" w:hAnsi="Times New Roman" w:eastAsia="黑体" w:cs="Times New Roman"/>
      <w:b/>
      <w:sz w:val="36"/>
      <w:szCs w:val="20"/>
    </w:rPr>
  </w:style>
  <w:style w:type="paragraph" w:styleId="1318">
    <w:name w:val="正文文本缩进 2"/>
    <w:basedOn w:val="1289"/>
    <w:next w:val="1318"/>
    <w:link w:val="1319"/>
    <w:qFormat/>
    <w:pPr>
      <w:ind w:left="900"/>
    </w:pPr>
    <w:rPr>
      <w:rFonts w:ascii="楷体_GB2312" w:eastAsia="楷体_GB2312"/>
      <w:b/>
      <w:sz w:val="28"/>
    </w:rPr>
  </w:style>
  <w:style w:type="character" w:styleId="1319">
    <w:name w:val="正文文本缩进 2 字符"/>
    <w:next w:val="1319"/>
    <w:link w:val="1318"/>
    <w:qFormat/>
    <w:rPr>
      <w:rFonts w:ascii="楷体_GB2312" w:hAnsi="Times New Roman" w:eastAsia="楷体_GB2312" w:cs="Times New Roman"/>
      <w:b/>
      <w:sz w:val="28"/>
      <w:szCs w:val="20"/>
    </w:rPr>
  </w:style>
  <w:style w:type="paragraph" w:styleId="1320">
    <w:name w:val="批注框文本"/>
    <w:basedOn w:val="1289"/>
    <w:next w:val="1320"/>
    <w:link w:val="1321"/>
    <w:uiPriority w:val="99"/>
    <w:unhideWhenUsed/>
    <w:qFormat/>
    <w:rPr>
      <w:sz w:val="18"/>
      <w:szCs w:val="18"/>
    </w:rPr>
  </w:style>
  <w:style w:type="character" w:styleId="1321">
    <w:name w:val="批注框文本 字符"/>
    <w:next w:val="1321"/>
    <w:link w:val="1320"/>
    <w:uiPriority w:val="99"/>
    <w:semiHidden/>
    <w:qFormat/>
    <w:rPr>
      <w:rFonts w:ascii="Times New Roman" w:hAnsi="Times New Roman" w:eastAsia="宋体" w:cs="Times New Roman"/>
      <w:sz w:val="18"/>
      <w:szCs w:val="18"/>
    </w:rPr>
  </w:style>
  <w:style w:type="paragraph" w:styleId="1322">
    <w:name w:val="页脚"/>
    <w:basedOn w:val="1289"/>
    <w:next w:val="1322"/>
    <w:link w:val="1323"/>
    <w:unhideWhenUsed/>
    <w:qFormat/>
    <w:pPr>
      <w:jc w:val="left"/>
      <w:tabs>
        <w:tab w:val="center" w:pos="4153" w:leader="none"/>
        <w:tab w:val="right" w:pos="8306" w:leader="none"/>
      </w:tabs>
    </w:pPr>
    <w:rPr>
      <w:sz w:val="18"/>
      <w:szCs w:val="18"/>
    </w:rPr>
  </w:style>
  <w:style w:type="character" w:styleId="1323">
    <w:name w:val="页脚 字符"/>
    <w:next w:val="1323"/>
    <w:link w:val="1322"/>
    <w:qFormat/>
    <w:rPr>
      <w:sz w:val="18"/>
      <w:szCs w:val="18"/>
    </w:rPr>
  </w:style>
  <w:style w:type="paragraph" w:styleId="1324">
    <w:name w:val="页眉"/>
    <w:basedOn w:val="1289"/>
    <w:next w:val="1324"/>
    <w:link w:val="1325"/>
    <w:unhideWhenUsed/>
    <w:qFormat/>
    <w:pPr>
      <w:jc w:val="center"/>
      <w:tabs>
        <w:tab w:val="center" w:pos="4153" w:leader="none"/>
        <w:tab w:val="right" w:pos="8306" w:leader="none"/>
      </w:tabs>
      <w:pBdr>
        <w:bottom w:val="single" w:color="000000" w:sz="6" w:space="1"/>
      </w:pBdr>
    </w:pPr>
    <w:rPr>
      <w:sz w:val="18"/>
      <w:szCs w:val="18"/>
    </w:rPr>
  </w:style>
  <w:style w:type="character" w:styleId="1325">
    <w:name w:val="页眉 字符"/>
    <w:next w:val="1325"/>
    <w:link w:val="1324"/>
    <w:qFormat/>
    <w:rPr>
      <w:sz w:val="18"/>
      <w:szCs w:val="18"/>
    </w:rPr>
  </w:style>
  <w:style w:type="paragraph" w:styleId="1326">
    <w:name w:val="目录 1"/>
    <w:basedOn w:val="1289"/>
    <w:next w:val="1289"/>
    <w:link w:val="1289"/>
    <w:uiPriority w:val="39"/>
    <w:unhideWhenUsed/>
  </w:style>
  <w:style w:type="paragraph" w:styleId="1327">
    <w:name w:val="列表"/>
    <w:basedOn w:val="1289"/>
    <w:next w:val="1327"/>
    <w:link w:val="1289"/>
    <w:qFormat/>
    <w:pPr>
      <w:ind w:left="420" w:hanging="420"/>
      <w:spacing w:after="20" w:line="288" w:lineRule="auto"/>
      <w:tabs>
        <w:tab w:val="left" w:pos="420" w:leader="none"/>
      </w:tabs>
    </w:pPr>
    <w:rPr>
      <w:szCs w:val="20"/>
      <w:lang w:val="en-GB"/>
    </w:rPr>
  </w:style>
  <w:style w:type="paragraph" w:styleId="1328">
    <w:name w:val="正文文本缩进 3"/>
    <w:basedOn w:val="1289"/>
    <w:next w:val="1328"/>
    <w:link w:val="1329"/>
    <w:qFormat/>
    <w:pPr>
      <w:ind w:left="359" w:firstLine="359"/>
    </w:pPr>
    <w:rPr>
      <w:sz w:val="20"/>
    </w:rPr>
  </w:style>
  <w:style w:type="character" w:styleId="1329">
    <w:name w:val="正文文本缩进 3 字符"/>
    <w:next w:val="1329"/>
    <w:link w:val="1328"/>
    <w:qFormat/>
    <w:rPr>
      <w:rFonts w:ascii="Times New Roman" w:hAnsi="Times New Roman" w:eastAsia="宋体" w:cs="Times New Roman"/>
      <w:szCs w:val="20"/>
    </w:rPr>
  </w:style>
  <w:style w:type="paragraph" w:styleId="1330">
    <w:name w:val="目录 2"/>
    <w:basedOn w:val="1289"/>
    <w:next w:val="1289"/>
    <w:link w:val="1289"/>
    <w:uiPriority w:val="39"/>
    <w:qFormat/>
    <w:pPr>
      <w:ind w:left="210" w:firstLine="150"/>
      <w:jc w:val="left"/>
      <w:tabs>
        <w:tab w:val="right" w:pos="9170" w:leader="dot"/>
      </w:tabs>
    </w:pPr>
    <w:rPr>
      <w:smallCaps/>
      <w:sz w:val="20"/>
    </w:rPr>
  </w:style>
  <w:style w:type="paragraph" w:styleId="1331">
    <w:name w:val="正文文本 2"/>
    <w:basedOn w:val="1289"/>
    <w:next w:val="1331"/>
    <w:link w:val="1332"/>
    <w:qFormat/>
    <w:pPr>
      <w:spacing w:after="120" w:line="480" w:lineRule="auto"/>
    </w:pPr>
    <w:rPr>
      <w:sz w:val="20"/>
    </w:rPr>
  </w:style>
  <w:style w:type="character" w:styleId="1332">
    <w:name w:val="正文文本 2 字符"/>
    <w:next w:val="1332"/>
    <w:link w:val="1331"/>
    <w:qFormat/>
    <w:rPr>
      <w:rFonts w:ascii="Times New Roman" w:hAnsi="Times New Roman" w:eastAsia="宋体" w:cs="Times New Roman"/>
      <w:szCs w:val="20"/>
    </w:rPr>
  </w:style>
  <w:style w:type="paragraph" w:styleId="1333">
    <w:name w:val="普通(网站)"/>
    <w:basedOn w:val="1289"/>
    <w:next w:val="1333"/>
    <w:link w:val="1289"/>
    <w:uiPriority w:val="99"/>
    <w:qFormat/>
    <w:pPr>
      <w:jc w:val="left"/>
      <w:spacing w:before="100" w:beforeAutospacing="1" w:after="100" w:afterAutospacing="1"/>
      <w:widowControl/>
    </w:pPr>
    <w:rPr>
      <w:rFonts w:ascii="宋体" w:hAnsi="宋体" w:cs="宋体"/>
      <w:sz w:val="24"/>
      <w:szCs w:val="24"/>
    </w:rPr>
  </w:style>
  <w:style w:type="paragraph" w:styleId="1334">
    <w:name w:val="批注主题"/>
    <w:basedOn w:val="1306"/>
    <w:next w:val="1306"/>
    <w:link w:val="1335"/>
    <w:uiPriority w:val="99"/>
    <w:semiHidden/>
    <w:qFormat/>
    <w:rPr>
      <w:b/>
      <w:bCs/>
    </w:rPr>
  </w:style>
  <w:style w:type="character" w:styleId="1335">
    <w:name w:val="批注主题 字符"/>
    <w:next w:val="1335"/>
    <w:link w:val="1334"/>
    <w:uiPriority w:val="99"/>
    <w:semiHidden/>
    <w:qFormat/>
    <w:rPr>
      <w:rFonts w:ascii="Times New Roman" w:hAnsi="Times New Roman" w:eastAsia="宋体" w:cs="Times New Roman"/>
      <w:b/>
      <w:bCs/>
      <w:szCs w:val="24"/>
    </w:rPr>
  </w:style>
  <w:style w:type="paragraph" w:styleId="1336">
    <w:name w:val="正文首行缩进"/>
    <w:basedOn w:val="1308"/>
    <w:next w:val="1336"/>
    <w:link w:val="1337"/>
    <w:pPr>
      <w:ind w:firstLine="420"/>
      <w:spacing w:after="120"/>
    </w:pPr>
    <w:rPr>
      <w:rFonts w:ascii="Times New Roman" w:eastAsia="宋体"/>
      <w:sz w:val="21"/>
      <w:szCs w:val="24"/>
    </w:rPr>
  </w:style>
  <w:style w:type="character" w:styleId="1337">
    <w:name w:val="正文首行缩进 字符"/>
    <w:next w:val="1337"/>
    <w:link w:val="1336"/>
    <w:qFormat/>
    <w:rPr>
      <w:rFonts w:ascii="Times New Roman" w:eastAsia="宋体"/>
      <w:sz w:val="21"/>
      <w:szCs w:val="24"/>
    </w:rPr>
  </w:style>
  <w:style w:type="paragraph" w:styleId="1338">
    <w:name w:val="正文首行缩进 2"/>
    <w:basedOn w:val="1310"/>
    <w:next w:val="1338"/>
    <w:link w:val="1289"/>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39">
    <w:name w:val="网格型"/>
    <w:basedOn w:val="1296"/>
    <w:next w:val="1339"/>
    <w:link w:val="1289"/>
    <w:qFormat/>
    <w:pPr>
      <w:jc w:val="both"/>
      <w:widowControl w:val="off"/>
    </w:pPr>
    <w:tblPr/>
  </w:style>
  <w:style w:type="character" w:styleId="1340">
    <w:name w:val="要点"/>
    <w:next w:val="1340"/>
    <w:link w:val="1289"/>
    <w:uiPriority w:val="99"/>
    <w:qFormat/>
    <w:rPr>
      <w:rFonts w:cs="Times New Roman"/>
      <w:b/>
      <w:bCs/>
    </w:rPr>
  </w:style>
  <w:style w:type="character" w:styleId="1341">
    <w:name w:val="页码"/>
    <w:next w:val="1341"/>
    <w:link w:val="1289"/>
    <w:rPr>
      <w:rFonts w:cs="Times New Roman"/>
    </w:rPr>
  </w:style>
  <w:style w:type="character" w:styleId="1342">
    <w:name w:val="已访问的超链接"/>
    <w:next w:val="1342"/>
    <w:link w:val="1289"/>
    <w:uiPriority w:val="99"/>
    <w:qFormat/>
    <w:rPr>
      <w:rFonts w:cs="Times New Roman"/>
      <w:color w:val="000000"/>
      <w:u w:val="none"/>
    </w:rPr>
  </w:style>
  <w:style w:type="character" w:styleId="1343">
    <w:name w:val="HTML 打字机"/>
    <w:next w:val="1343"/>
    <w:link w:val="1289"/>
    <w:uiPriority w:val="99"/>
    <w:qFormat/>
    <w:rPr>
      <w:rFonts w:ascii="宋体" w:hAnsi="宋体" w:eastAsia="宋体" w:cs="宋体"/>
      <w:sz w:val="24"/>
      <w:szCs w:val="24"/>
    </w:rPr>
  </w:style>
  <w:style w:type="character" w:styleId="1344">
    <w:name w:val="超链接"/>
    <w:next w:val="1344"/>
    <w:link w:val="1289"/>
    <w:qFormat/>
    <w:rPr>
      <w:color w:val="000000"/>
      <w:u w:val="none"/>
    </w:rPr>
  </w:style>
  <w:style w:type="paragraph" w:styleId="1345">
    <w:name w:val="标题 411"/>
    <w:basedOn w:val="1289"/>
    <w:next w:val="1289"/>
    <w:link w:val="1289"/>
    <w:qFormat/>
    <w:pPr>
      <w:jc w:val="center"/>
      <w:keepNext/>
      <w:outlineLvl w:val="3"/>
    </w:pPr>
    <w:rPr>
      <w:rFonts w:eastAsia="楷体_GB2312"/>
      <w:b/>
      <w:bCs/>
      <w:sz w:val="13"/>
    </w:rPr>
  </w:style>
  <w:style w:type="paragraph" w:styleId="1346">
    <w:name w:val="TOC Heading1"/>
    <w:next w:val="1289"/>
    <w:link w:val="1289"/>
    <w:qFormat/>
    <w:rPr>
      <w:sz w:val="32"/>
      <w:lang w:val="en-US" w:eastAsia="zh-CN" w:bidi="ar-SA"/>
    </w:rPr>
  </w:style>
  <w:style w:type="character" w:styleId="1347">
    <w:name w:val="font31"/>
    <w:next w:val="1347"/>
    <w:link w:val="1289"/>
    <w:qFormat/>
    <w:rPr>
      <w:rFonts w:hint="eastAsia" w:ascii="仿宋" w:hAnsi="仿宋" w:eastAsia="仿宋" w:cs="仿宋"/>
      <w:color w:val="000000"/>
      <w:sz w:val="24"/>
      <w:szCs w:val="24"/>
      <w:u w:val="none"/>
    </w:rPr>
  </w:style>
  <w:style w:type="character" w:styleId="1348">
    <w:name w:val="font11"/>
    <w:next w:val="1348"/>
    <w:link w:val="1289"/>
    <w:rPr>
      <w:rFonts w:hint="eastAsia" w:ascii="宋体" w:hAnsi="宋体" w:eastAsia="宋体" w:cs="宋体"/>
      <w:color w:val="000000"/>
      <w:sz w:val="20"/>
      <w:szCs w:val="20"/>
      <w:u w:val="none"/>
    </w:rPr>
  </w:style>
  <w:style w:type="character" w:styleId="1349">
    <w:name w:val="正文文本缩进 2 Char1"/>
    <w:next w:val="1349"/>
    <w:link w:val="1289"/>
    <w:semiHidden/>
    <w:qFormat/>
    <w:rPr>
      <w:rFonts w:ascii="Times New Roman" w:hAnsi="Times New Roman" w:eastAsia="宋体" w:cs="Times New Roman"/>
      <w:szCs w:val="20"/>
    </w:rPr>
  </w:style>
  <w:style w:type="character" w:styleId="1350">
    <w:name w:val="批注框文本 Char1"/>
    <w:next w:val="1350"/>
    <w:link w:val="1289"/>
    <w:uiPriority w:val="99"/>
    <w:semiHidden/>
    <w:rPr>
      <w:rFonts w:ascii="Times New Roman" w:hAnsi="Times New Roman" w:eastAsia="宋体" w:cs="Times New Roman"/>
      <w:sz w:val="18"/>
      <w:szCs w:val="18"/>
    </w:rPr>
  </w:style>
  <w:style w:type="character" w:styleId="1351">
    <w:name w:val="NormalCharacter1"/>
    <w:next w:val="1351"/>
    <w:link w:val="1352"/>
    <w:uiPriority w:val="99"/>
    <w:qFormat/>
    <w:rPr>
      <w:sz w:val="20"/>
    </w:rPr>
  </w:style>
  <w:style w:type="paragraph" w:styleId="1352">
    <w:name w:val="UserStyle_4"/>
    <w:basedOn w:val="1289"/>
    <w:next w:val="1352"/>
    <w:link w:val="1351"/>
    <w:uiPriority w:val="99"/>
    <w:qFormat/>
    <w:pPr>
      <w:widowControl/>
    </w:pPr>
    <w:rPr>
      <w:sz w:val="20"/>
    </w:rPr>
  </w:style>
  <w:style w:type="character" w:styleId="1353">
    <w:name w:val="正文文本缩进 Char1"/>
    <w:next w:val="1353"/>
    <w:link w:val="1289"/>
    <w:semiHidden/>
    <w:qFormat/>
    <w:rPr>
      <w:rFonts w:ascii="Times New Roman" w:hAnsi="Times New Roman" w:eastAsia="宋体" w:cs="Times New Roman"/>
      <w:szCs w:val="20"/>
    </w:rPr>
  </w:style>
  <w:style w:type="character" w:styleId="1354">
    <w:name w:val="case31"/>
    <w:next w:val="1354"/>
    <w:link w:val="1289"/>
    <w:qFormat/>
    <w:rPr>
      <w:spacing w:val="390"/>
      <w:sz w:val="21"/>
      <w:szCs w:val="21"/>
    </w:rPr>
  </w:style>
  <w:style w:type="character" w:styleId="1355">
    <w:name w:val="正文首行缩进两字 Char"/>
    <w:next w:val="1355"/>
    <w:link w:val="1356"/>
    <w:qFormat/>
    <w:rPr>
      <w:sz w:val="24"/>
      <w:szCs w:val="24"/>
      <w:lang w:val="en-US" w:eastAsia="zh-CN" w:bidi="ar-SA"/>
    </w:rPr>
  </w:style>
  <w:style w:type="paragraph" w:styleId="1356">
    <w:name w:val="正文首行缩进两字"/>
    <w:next w:val="1356"/>
    <w:link w:val="1355"/>
    <w:qFormat/>
    <w:pPr>
      <w:ind w:left="240" w:right="240" w:firstLine="480"/>
      <w:spacing w:line="300" w:lineRule="auto"/>
    </w:pPr>
    <w:rPr>
      <w:sz w:val="24"/>
      <w:szCs w:val="24"/>
      <w:lang w:val="en-US" w:eastAsia="zh-CN" w:bidi="ar-SA"/>
    </w:rPr>
  </w:style>
  <w:style w:type="character" w:styleId="1357">
    <w:name w:val="正文文本缩进 3 Char1"/>
    <w:next w:val="1357"/>
    <w:link w:val="1289"/>
    <w:semiHidden/>
    <w:qFormat/>
    <w:rPr>
      <w:rFonts w:ascii="Times New Roman" w:hAnsi="Times New Roman" w:eastAsia="宋体" w:cs="Times New Roman"/>
      <w:sz w:val="16"/>
      <w:szCs w:val="16"/>
    </w:rPr>
  </w:style>
  <w:style w:type="character" w:styleId="1358">
    <w:name w:val="日期 Char1"/>
    <w:next w:val="1358"/>
    <w:link w:val="1289"/>
    <w:semiHidden/>
    <w:qFormat/>
    <w:rPr>
      <w:rFonts w:ascii="Times New Roman" w:hAnsi="Times New Roman" w:eastAsia="宋体" w:cs="Times New Roman"/>
      <w:szCs w:val="20"/>
    </w:rPr>
  </w:style>
  <w:style w:type="character" w:styleId="1359">
    <w:name w:val="文档结构图 Char1"/>
    <w:next w:val="1359"/>
    <w:link w:val="1289"/>
    <w:semiHidden/>
    <w:qFormat/>
    <w:rPr>
      <w:rFonts w:ascii="宋体" w:hAnsi="Times New Roman" w:eastAsia="宋体" w:cs="Times New Roman"/>
      <w:sz w:val="18"/>
      <w:szCs w:val="18"/>
    </w:rPr>
  </w:style>
  <w:style w:type="character" w:styleId="1360">
    <w:name w:val="正文文本 2 Char1"/>
    <w:next w:val="1360"/>
    <w:link w:val="1289"/>
    <w:semiHidden/>
    <w:qFormat/>
    <w:rPr>
      <w:rFonts w:ascii="Times New Roman" w:hAnsi="Times New Roman" w:eastAsia="宋体" w:cs="Times New Roman"/>
      <w:szCs w:val="20"/>
    </w:rPr>
  </w:style>
  <w:style w:type="character" w:styleId="1361">
    <w:name w:val="font21"/>
    <w:next w:val="1361"/>
    <w:link w:val="1289"/>
    <w:qFormat/>
    <w:rPr>
      <w:rFonts w:hint="eastAsia" w:ascii="仿宋" w:hAnsi="仿宋" w:eastAsia="仿宋" w:cs="仿宋"/>
      <w:color w:val="000000"/>
      <w:sz w:val="24"/>
      <w:szCs w:val="24"/>
      <w:u w:val="none"/>
    </w:rPr>
  </w:style>
  <w:style w:type="paragraph" w:styleId="1362">
    <w:name w:val="列出段落"/>
    <w:basedOn w:val="1289"/>
    <w:next w:val="1362"/>
    <w:link w:val="1289"/>
    <w:uiPriority w:val="34"/>
    <w:qFormat/>
    <w:pPr>
      <w:ind w:firstLine="420"/>
    </w:pPr>
  </w:style>
  <w:style w:type="paragraph" w:styleId="1363">
    <w:name w:val="一级条标题"/>
    <w:next w:val="1289"/>
    <w:link w:val="1289"/>
    <w:qFormat/>
    <w:pPr>
      <w:ind w:left="552" w:hanging="420"/>
      <w:tabs>
        <w:tab w:val="left" w:pos="552" w:leader="none"/>
      </w:tabs>
      <w:outlineLvl w:val="2"/>
    </w:pPr>
    <w:rPr>
      <w:rFonts w:ascii="黑体" w:eastAsia="黑体"/>
      <w:sz w:val="21"/>
      <w:szCs w:val="21"/>
      <w:lang w:val="en-US" w:eastAsia="zh-CN" w:bidi="ar-SA"/>
    </w:rPr>
  </w:style>
  <w:style w:type="paragraph" w:styleId="1364">
    <w:name w:val="_Style 1"/>
    <w:basedOn w:val="1289"/>
    <w:next w:val="1364"/>
    <w:link w:val="1289"/>
    <w:uiPriority w:val="99"/>
    <w:qFormat/>
    <w:pPr>
      <w:ind w:firstLine="420"/>
    </w:pPr>
    <w:rPr>
      <w:rFonts w:ascii="Calibri" w:hAnsi="Calibri" w:eastAsia="宋体" w:cs="Calibri"/>
      <w:sz w:val="34"/>
      <w:szCs w:val="34"/>
    </w:rPr>
  </w:style>
  <w:style w:type="paragraph" w:styleId="1365">
    <w:name w:val="首行缩进"/>
    <w:basedOn w:val="1289"/>
    <w:next w:val="1365"/>
    <w:link w:val="1289"/>
    <w:qFormat/>
    <w:pPr>
      <w:ind w:firstLine="480"/>
    </w:pPr>
    <w:rPr>
      <w:szCs w:val="20"/>
      <w:lang w:val="zh-CN"/>
    </w:rPr>
  </w:style>
  <w:style w:type="paragraph" w:styleId="1366">
    <w:name w:val="List Paragraph1"/>
    <w:basedOn w:val="1289"/>
    <w:next w:val="1366"/>
    <w:link w:val="1289"/>
    <w:qFormat/>
    <w:pPr>
      <w:ind w:firstLine="420"/>
    </w:pPr>
    <w:rPr>
      <w:szCs w:val="21"/>
    </w:rPr>
  </w:style>
  <w:style w:type="paragraph" w:styleId="1367">
    <w:name w:val="普通文字"/>
    <w:basedOn w:val="1289"/>
    <w:next w:val="1289"/>
    <w:link w:val="1289"/>
    <w:rPr>
      <w:rFonts w:ascii="宋体"/>
      <w:sz w:val="24"/>
    </w:rPr>
  </w:style>
  <w:style w:type="paragraph" w:styleId="1368">
    <w:name w:val="二级无"/>
    <w:basedOn w:val="1289"/>
    <w:next w:val="1368"/>
    <w:link w:val="1289"/>
    <w:qFormat/>
    <w:pPr>
      <w:ind w:left="552" w:hanging="420"/>
      <w:jc w:val="left"/>
      <w:widowControl/>
      <w:tabs>
        <w:tab w:val="left" w:pos="552" w:leader="none"/>
      </w:tabs>
      <w:outlineLvl w:val="3"/>
    </w:pPr>
    <w:rPr>
      <w:rFonts w:ascii="宋体"/>
      <w:szCs w:val="21"/>
    </w:rPr>
  </w:style>
  <w:style w:type="paragraph" w:styleId="1369">
    <w:name w:val="正文文本1"/>
    <w:basedOn w:val="1289"/>
    <w:next w:val="1289"/>
    <w:link w:val="1289"/>
    <w:qFormat/>
    <w:rPr>
      <w:rFonts w:ascii="仿宋_GB2312" w:hAnsi="Times New Roman" w:eastAsia="仿宋_GB2312"/>
      <w:sz w:val="28"/>
      <w:szCs w:val="20"/>
    </w:rPr>
  </w:style>
  <w:style w:type="paragraph" w:styleId="1370">
    <w:name w:val="p0 paragraphindent"/>
    <w:basedOn w:val="1289"/>
    <w:next w:val="1370"/>
    <w:link w:val="1289"/>
    <w:qFormat/>
    <w:pPr>
      <w:jc w:val="left"/>
      <w:spacing w:before="100" w:beforeAutospacing="1" w:after="100" w:afterAutospacing="1"/>
      <w:widowControl/>
    </w:pPr>
    <w:rPr>
      <w:rFonts w:ascii="宋体" w:hAnsi="宋体" w:cs="宋体"/>
      <w:sz w:val="24"/>
      <w:szCs w:val="24"/>
    </w:rPr>
  </w:style>
  <w:style w:type="paragraph" w:styleId="1371">
    <w:name w:val="List Paragraph"/>
    <w:basedOn w:val="1289"/>
    <w:next w:val="1371"/>
    <w:link w:val="1289"/>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72">
    <w:name w:val="字母编号列项（一级）"/>
    <w:next w:val="1372"/>
    <w:link w:val="1289"/>
    <w:qFormat/>
    <w:pPr>
      <w:ind w:left="552" w:hanging="420"/>
      <w:jc w:val="both"/>
      <w:tabs>
        <w:tab w:val="left" w:pos="552" w:leader="none"/>
        <w:tab w:val="left" w:pos="840" w:leader="none"/>
      </w:tabs>
    </w:pPr>
    <w:rPr>
      <w:rFonts w:ascii="宋体"/>
      <w:sz w:val="21"/>
      <w:lang w:val="en-US" w:eastAsia="zh-CN" w:bidi="ar-SA"/>
    </w:rPr>
  </w:style>
  <w:style w:type="paragraph" w:styleId="1373">
    <w:name w:val="标题 41"/>
    <w:basedOn w:val="1289"/>
    <w:next w:val="1289"/>
    <w:link w:val="1289"/>
    <w:qFormat/>
    <w:pPr>
      <w:jc w:val="center"/>
      <w:keepNext/>
      <w:outlineLvl w:val="3"/>
    </w:pPr>
    <w:rPr>
      <w:rFonts w:eastAsia="楷体_GB2312"/>
      <w:b/>
      <w:bCs/>
      <w:sz w:val="13"/>
    </w:rPr>
  </w:style>
  <w:style w:type="paragraph" w:styleId="1374">
    <w:name w:val="样式 小四 段前: 5 磅 段后: 5 磅 首行缩进:  2 字符"/>
    <w:basedOn w:val="1289"/>
    <w:next w:val="1374"/>
    <w:link w:val="1289"/>
    <w:qFormat/>
    <w:pPr>
      <w:jc w:val="center"/>
      <w:spacing w:line="360" w:lineRule="auto"/>
    </w:pPr>
    <w:rPr>
      <w:rFonts w:ascii="宋体" w:hAnsi="宋体"/>
      <w:bCs/>
      <w:color w:val="ff0000"/>
      <w:sz w:val="24"/>
      <w:szCs w:val="24"/>
    </w:rPr>
  </w:style>
  <w:style w:type="paragraph" w:styleId="1375">
    <w:name w:val="列表段落1"/>
    <w:basedOn w:val="1289"/>
    <w:next w:val="1375"/>
    <w:link w:val="1289"/>
    <w:qFormat/>
    <w:pPr>
      <w:ind w:firstLine="420"/>
    </w:pPr>
    <w:rPr>
      <w:szCs w:val="21"/>
    </w:rPr>
  </w:style>
  <w:style w:type="paragraph" w:styleId="1376">
    <w:name w:val="Char"/>
    <w:basedOn w:val="1289"/>
    <w:next w:val="1376"/>
    <w:link w:val="1289"/>
    <w:unhideWhenUsed/>
    <w:qFormat/>
    <w:pPr>
      <w:numPr>
        <w:ilvl w:val="0"/>
        <w:numId w:val="2"/>
      </w:numPr>
      <w:ind w:left="552" w:hanging="420"/>
      <w:tabs>
        <w:tab w:val="left" w:pos="1080" w:leader="none"/>
      </w:tabs>
    </w:pPr>
    <w:rPr>
      <w:sz w:val="24"/>
      <w:szCs w:val="20"/>
    </w:rPr>
  </w:style>
  <w:style w:type="paragraph" w:styleId="1377">
    <w:name w:val="Table Text"/>
    <w:basedOn w:val="1289"/>
    <w:next w:val="1377"/>
    <w:link w:val="1289"/>
    <w:semiHidden/>
    <w:qFormat/>
    <w:rPr>
      <w:rFonts w:ascii="宋体" w:hAnsi="宋体" w:eastAsia="宋体" w:cs="宋体"/>
      <w:sz w:val="24"/>
      <w:szCs w:val="24"/>
      <w:lang w:val="en-US" w:eastAsia="en-US" w:bidi="ar-SA"/>
    </w:rPr>
  </w:style>
  <w:style w:type="table" w:styleId="1378">
    <w:name w:val="Table Normal"/>
    <w:next w:val="1378"/>
    <w:link w:val="1289"/>
    <w:unhideWhenUsed/>
    <w:qFormat/>
    <w:tblPr/>
  </w:style>
  <w:style w:type="character" w:styleId="13461" w:default="1">
    <w:name w:val="Default Paragraph Font"/>
    <w:uiPriority w:val="1"/>
    <w:semiHidden/>
    <w:unhideWhenUsed/>
  </w:style>
  <w:style w:type="numbering" w:styleId="13462" w:default="1">
    <w:name w:val="No List"/>
    <w:uiPriority w:val="99"/>
    <w:semiHidden/>
    <w:unhideWhenUsed/>
  </w:style>
  <w:style w:type="table" w:styleId="13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3</cp:revision>
  <dcterms:created xsi:type="dcterms:W3CDTF">2023-03-28T06:55:00Z</dcterms:created>
  <dcterms:modified xsi:type="dcterms:W3CDTF">2024-12-23T04:47:56Z</dcterms:modified>
</cp:coreProperties>
</file>